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F5" w:rsidRPr="00FA7BE2" w:rsidRDefault="00D21CF5" w:rsidP="00D21CF5">
      <w:pPr>
        <w:snapToGrid w:val="0"/>
        <w:spacing w:line="360" w:lineRule="auto"/>
        <w:ind w:firstLine="881"/>
        <w:jc w:val="center"/>
        <w:rPr>
          <w:rFonts w:asciiTheme="minorEastAsia" w:eastAsiaTheme="minorEastAsia" w:hAnsiTheme="minorEastAsia"/>
          <w:b/>
          <w:sz w:val="44"/>
        </w:rPr>
      </w:pPr>
    </w:p>
    <w:p w:rsidR="00D21CF5" w:rsidRPr="00FA7BE2" w:rsidRDefault="00D21CF5" w:rsidP="00D21CF5">
      <w:pPr>
        <w:snapToGrid w:val="0"/>
        <w:spacing w:line="360" w:lineRule="auto"/>
        <w:ind w:firstLine="881"/>
        <w:jc w:val="center"/>
        <w:rPr>
          <w:rFonts w:asciiTheme="minorEastAsia" w:eastAsiaTheme="minorEastAsia" w:hAnsiTheme="minorEastAsia"/>
          <w:b/>
          <w:sz w:val="44"/>
        </w:rPr>
      </w:pPr>
    </w:p>
    <w:p w:rsidR="00D21CF5" w:rsidRPr="00FA7BE2" w:rsidRDefault="00D21CF5" w:rsidP="00D21CF5">
      <w:pPr>
        <w:snapToGrid w:val="0"/>
        <w:spacing w:line="360" w:lineRule="auto"/>
        <w:ind w:firstLine="881"/>
        <w:jc w:val="center"/>
        <w:rPr>
          <w:rFonts w:asciiTheme="minorEastAsia" w:eastAsiaTheme="minorEastAsia" w:hAnsiTheme="minorEastAsia"/>
          <w:b/>
          <w:sz w:val="44"/>
        </w:rPr>
      </w:pPr>
    </w:p>
    <w:p w:rsidR="00D21CF5" w:rsidRPr="00FA7BE2" w:rsidRDefault="00D21CF5" w:rsidP="00D21CF5">
      <w:pPr>
        <w:snapToGrid w:val="0"/>
        <w:spacing w:line="360" w:lineRule="auto"/>
        <w:ind w:firstLine="881"/>
        <w:jc w:val="center"/>
        <w:rPr>
          <w:rFonts w:asciiTheme="minorEastAsia" w:eastAsiaTheme="minorEastAsia" w:hAnsiTheme="minorEastAsia"/>
          <w:b/>
          <w:sz w:val="44"/>
        </w:rPr>
      </w:pPr>
    </w:p>
    <w:p w:rsidR="00D21CF5" w:rsidRPr="00FA7BE2" w:rsidRDefault="00D21CF5" w:rsidP="00D21CF5">
      <w:pPr>
        <w:snapToGrid w:val="0"/>
        <w:spacing w:line="360" w:lineRule="auto"/>
        <w:rPr>
          <w:rFonts w:asciiTheme="minorEastAsia" w:eastAsiaTheme="minorEastAsia" w:hAnsiTheme="minorEastAsia"/>
          <w:sz w:val="48"/>
          <w:szCs w:val="48"/>
        </w:rPr>
      </w:pPr>
      <w:r w:rsidRPr="00FA7BE2">
        <w:rPr>
          <w:rFonts w:asciiTheme="minorEastAsia" w:eastAsiaTheme="minorEastAsia" w:hAnsiTheme="minorEastAsia" w:hint="eastAsia"/>
          <w:sz w:val="48"/>
          <w:szCs w:val="48"/>
        </w:rPr>
        <w:t>易方达稳健收益债券型证券投资基金</w:t>
      </w:r>
    </w:p>
    <w:p w:rsidR="00D21CF5" w:rsidRPr="00FA7BE2" w:rsidRDefault="00D21CF5" w:rsidP="00D21CF5">
      <w:pPr>
        <w:snapToGrid w:val="0"/>
        <w:spacing w:line="360" w:lineRule="auto"/>
        <w:jc w:val="center"/>
        <w:rPr>
          <w:rFonts w:asciiTheme="minorEastAsia" w:eastAsiaTheme="minorEastAsia" w:hAnsiTheme="minorEastAsia"/>
          <w:sz w:val="48"/>
          <w:szCs w:val="48"/>
        </w:rPr>
      </w:pPr>
      <w:r w:rsidRPr="00FA7BE2">
        <w:rPr>
          <w:rFonts w:asciiTheme="minorEastAsia" w:eastAsiaTheme="minorEastAsia" w:hAnsiTheme="minorEastAsia" w:hint="eastAsia"/>
          <w:sz w:val="48"/>
          <w:szCs w:val="48"/>
        </w:rPr>
        <w:t>更新的招募说明书</w:t>
      </w:r>
    </w:p>
    <w:p w:rsidR="00D21CF5" w:rsidRPr="00FA7BE2" w:rsidRDefault="00D21CF5" w:rsidP="00D21CF5">
      <w:pPr>
        <w:snapToGrid w:val="0"/>
        <w:spacing w:line="360" w:lineRule="auto"/>
        <w:jc w:val="center"/>
        <w:rPr>
          <w:rFonts w:asciiTheme="minorEastAsia" w:eastAsiaTheme="minorEastAsia" w:hAnsiTheme="minorEastAsia"/>
          <w:sz w:val="30"/>
        </w:rPr>
      </w:pPr>
    </w:p>
    <w:p w:rsidR="00D21CF5" w:rsidRPr="00FA7BE2" w:rsidRDefault="00D21CF5" w:rsidP="00D21CF5">
      <w:pPr>
        <w:snapToGrid w:val="0"/>
        <w:spacing w:line="360" w:lineRule="auto"/>
        <w:jc w:val="center"/>
        <w:rPr>
          <w:rFonts w:asciiTheme="minorEastAsia" w:eastAsiaTheme="minorEastAsia" w:hAnsiTheme="minorEastAsia"/>
          <w:sz w:val="30"/>
        </w:rPr>
      </w:pPr>
    </w:p>
    <w:p w:rsidR="00D21CF5" w:rsidRPr="00FA7BE2" w:rsidRDefault="00D21CF5" w:rsidP="00D21CF5">
      <w:pPr>
        <w:snapToGrid w:val="0"/>
        <w:spacing w:line="360" w:lineRule="auto"/>
        <w:jc w:val="center"/>
        <w:rPr>
          <w:rFonts w:asciiTheme="minorEastAsia" w:eastAsiaTheme="minorEastAsia" w:hAnsiTheme="minorEastAsia"/>
          <w:sz w:val="48"/>
          <w:szCs w:val="48"/>
        </w:rPr>
      </w:pPr>
    </w:p>
    <w:p w:rsidR="00D21CF5" w:rsidRPr="00FA7BE2" w:rsidRDefault="00D21CF5" w:rsidP="00D21CF5">
      <w:pPr>
        <w:snapToGrid w:val="0"/>
        <w:spacing w:line="360" w:lineRule="auto"/>
        <w:jc w:val="center"/>
        <w:rPr>
          <w:rFonts w:asciiTheme="minorEastAsia" w:eastAsiaTheme="minorEastAsia" w:hAnsiTheme="minorEastAsia"/>
          <w:sz w:val="30"/>
        </w:rPr>
      </w:pPr>
    </w:p>
    <w:p w:rsidR="00D21CF5" w:rsidRPr="00FA7BE2" w:rsidRDefault="00D21CF5" w:rsidP="00D21CF5">
      <w:pPr>
        <w:snapToGrid w:val="0"/>
        <w:spacing w:line="360" w:lineRule="auto"/>
        <w:jc w:val="center"/>
        <w:rPr>
          <w:rFonts w:asciiTheme="minorEastAsia" w:eastAsiaTheme="minorEastAsia" w:hAnsiTheme="minorEastAsia"/>
          <w:sz w:val="30"/>
        </w:rPr>
      </w:pPr>
    </w:p>
    <w:p w:rsidR="00D21CF5" w:rsidRPr="00FA7BE2" w:rsidRDefault="00D21CF5" w:rsidP="00D21CF5">
      <w:pPr>
        <w:snapToGrid w:val="0"/>
        <w:spacing w:line="360" w:lineRule="auto"/>
        <w:jc w:val="center"/>
        <w:rPr>
          <w:rFonts w:asciiTheme="minorEastAsia" w:eastAsiaTheme="minorEastAsia" w:hAnsiTheme="minorEastAsia"/>
          <w:sz w:val="30"/>
        </w:rPr>
      </w:pPr>
    </w:p>
    <w:p w:rsidR="00D21CF5" w:rsidRPr="00FA7BE2" w:rsidRDefault="00D21CF5" w:rsidP="00D21CF5">
      <w:pPr>
        <w:snapToGrid w:val="0"/>
        <w:spacing w:line="360" w:lineRule="auto"/>
        <w:ind w:left="1680"/>
        <w:rPr>
          <w:rFonts w:asciiTheme="minorEastAsia" w:eastAsiaTheme="minorEastAsia" w:hAnsiTheme="minorEastAsia"/>
          <w:sz w:val="30"/>
        </w:rPr>
      </w:pPr>
    </w:p>
    <w:p w:rsidR="00D21CF5" w:rsidRPr="00FA7BE2" w:rsidRDefault="00D21CF5" w:rsidP="00D21CF5">
      <w:pPr>
        <w:snapToGrid w:val="0"/>
        <w:spacing w:line="360" w:lineRule="auto"/>
        <w:jc w:val="center"/>
        <w:rPr>
          <w:rFonts w:asciiTheme="minorEastAsia" w:eastAsiaTheme="minorEastAsia" w:hAnsiTheme="minorEastAsia"/>
          <w:b/>
          <w:bCs/>
          <w:sz w:val="32"/>
          <w:szCs w:val="32"/>
        </w:rPr>
      </w:pPr>
      <w:r w:rsidRPr="00FA7BE2">
        <w:rPr>
          <w:rFonts w:asciiTheme="minorEastAsia" w:eastAsiaTheme="minorEastAsia" w:hAnsiTheme="minorEastAsia" w:hint="eastAsia"/>
          <w:b/>
          <w:bCs/>
          <w:sz w:val="32"/>
          <w:szCs w:val="32"/>
        </w:rPr>
        <w:t>基金管理人：易方达基金管理有限公司</w:t>
      </w:r>
    </w:p>
    <w:p w:rsidR="00D21CF5" w:rsidRPr="00FA7BE2" w:rsidRDefault="00D21CF5" w:rsidP="00D21CF5">
      <w:pPr>
        <w:snapToGrid w:val="0"/>
        <w:spacing w:line="360" w:lineRule="auto"/>
        <w:jc w:val="center"/>
        <w:rPr>
          <w:rFonts w:asciiTheme="minorEastAsia" w:eastAsiaTheme="minorEastAsia" w:hAnsiTheme="minorEastAsia"/>
          <w:b/>
          <w:bCs/>
          <w:sz w:val="32"/>
          <w:szCs w:val="32"/>
        </w:rPr>
      </w:pPr>
      <w:r w:rsidRPr="00FA7BE2">
        <w:rPr>
          <w:rFonts w:asciiTheme="minorEastAsia" w:eastAsiaTheme="minorEastAsia" w:hAnsiTheme="minorEastAsia" w:hint="eastAsia"/>
          <w:b/>
          <w:bCs/>
          <w:sz w:val="32"/>
          <w:szCs w:val="32"/>
        </w:rPr>
        <w:t>基金托管人：中国银行股份有限公司</w:t>
      </w:r>
    </w:p>
    <w:p w:rsidR="00D21CF5" w:rsidRPr="00FA7BE2" w:rsidRDefault="00D21CF5" w:rsidP="00D21CF5">
      <w:pPr>
        <w:snapToGrid w:val="0"/>
        <w:spacing w:line="360" w:lineRule="auto"/>
        <w:ind w:left="1680"/>
        <w:rPr>
          <w:rFonts w:asciiTheme="minorEastAsia" w:eastAsiaTheme="minorEastAsia" w:hAnsiTheme="minorEastAsia"/>
          <w:b/>
          <w:bCs/>
          <w:sz w:val="32"/>
          <w:szCs w:val="32"/>
        </w:rPr>
      </w:pPr>
    </w:p>
    <w:p w:rsidR="003D59C8" w:rsidRPr="00FA7BE2" w:rsidRDefault="003D59C8" w:rsidP="00D21CF5">
      <w:pPr>
        <w:snapToGrid w:val="0"/>
        <w:spacing w:line="360" w:lineRule="auto"/>
        <w:ind w:firstLine="561"/>
        <w:jc w:val="center"/>
        <w:rPr>
          <w:rFonts w:asciiTheme="minorEastAsia" w:eastAsiaTheme="minorEastAsia" w:hAnsiTheme="minorEastAsia"/>
          <w:b/>
          <w:bCs/>
          <w:sz w:val="32"/>
          <w:szCs w:val="32"/>
        </w:rPr>
      </w:pPr>
      <w:r w:rsidRPr="00FA7BE2">
        <w:rPr>
          <w:rFonts w:asciiTheme="minorEastAsia" w:eastAsiaTheme="minorEastAsia" w:hAnsiTheme="minorEastAsia"/>
          <w:b/>
          <w:sz w:val="32"/>
        </w:rPr>
        <w:t>二〇二一年六月</w:t>
      </w:r>
    </w:p>
    <w:p w:rsidR="00D21CF5" w:rsidRPr="00FA7BE2" w:rsidRDefault="00D21CF5" w:rsidP="00D21CF5">
      <w:pPr>
        <w:snapToGrid w:val="0"/>
        <w:spacing w:line="360" w:lineRule="auto"/>
        <w:ind w:firstLine="561"/>
        <w:jc w:val="center"/>
        <w:rPr>
          <w:rFonts w:asciiTheme="minorEastAsia" w:eastAsiaTheme="minorEastAsia" w:hAnsiTheme="minorEastAsia"/>
          <w:b/>
          <w:bCs/>
          <w:sz w:val="32"/>
          <w:szCs w:val="32"/>
        </w:rPr>
      </w:pPr>
    </w:p>
    <w:p w:rsidR="0048767A" w:rsidRPr="00FA7BE2" w:rsidRDefault="0048767A" w:rsidP="00D21CF5">
      <w:pPr>
        <w:snapToGrid w:val="0"/>
        <w:spacing w:line="360" w:lineRule="auto"/>
        <w:ind w:firstLine="561"/>
        <w:jc w:val="center"/>
        <w:rPr>
          <w:rFonts w:asciiTheme="minorEastAsia" w:eastAsiaTheme="minorEastAsia" w:hAnsiTheme="minorEastAsia"/>
          <w:b/>
          <w:bCs/>
          <w:sz w:val="32"/>
          <w:szCs w:val="32"/>
        </w:rPr>
      </w:pPr>
    </w:p>
    <w:p w:rsidR="00D21CF5" w:rsidRPr="00FA7BE2" w:rsidRDefault="00D21CF5" w:rsidP="00D21CF5">
      <w:pPr>
        <w:snapToGrid w:val="0"/>
        <w:spacing w:line="360" w:lineRule="auto"/>
        <w:ind w:firstLine="561"/>
        <w:jc w:val="center"/>
        <w:rPr>
          <w:rFonts w:asciiTheme="minorEastAsia" w:eastAsiaTheme="minorEastAsia" w:hAnsiTheme="minorEastAsia"/>
          <w:b/>
          <w:sz w:val="28"/>
        </w:rPr>
      </w:pPr>
      <w:r w:rsidRPr="00FA7BE2">
        <w:rPr>
          <w:rFonts w:asciiTheme="minorEastAsia" w:eastAsiaTheme="minorEastAsia" w:hAnsiTheme="minorEastAsia" w:hint="eastAsia"/>
          <w:b/>
          <w:sz w:val="28"/>
        </w:rPr>
        <w:lastRenderedPageBreak/>
        <w:t>重要提示</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易方达稳健收益债券型证券投资基金由易方达月月收益中短期债券投资基金转型而成。依据中国证监会</w:t>
      </w:r>
      <w:smartTag w:uri="urn:schemas-microsoft-com:office:smarttags" w:element="chsdate">
        <w:smartTagPr>
          <w:attr w:name="IsROCDate" w:val="False"/>
          <w:attr w:name="IsLunarDate" w:val="False"/>
          <w:attr w:name="Day" w:val="25"/>
          <w:attr w:name="Month" w:val="1"/>
          <w:attr w:name="Year" w:val="2008"/>
        </w:smartTagPr>
        <w:r w:rsidRPr="00FA7BE2">
          <w:rPr>
            <w:rFonts w:asciiTheme="minorEastAsia" w:eastAsiaTheme="minorEastAsia" w:hAnsiTheme="minorEastAsia" w:hint="eastAsia"/>
          </w:rPr>
          <w:t>2008年1月25日</w:t>
        </w:r>
      </w:smartTag>
      <w:r w:rsidRPr="00FA7BE2">
        <w:rPr>
          <w:rFonts w:asciiTheme="minorEastAsia" w:eastAsiaTheme="minorEastAsia" w:hAnsiTheme="minorEastAsia"/>
        </w:rPr>
        <w:t>证监</w:t>
      </w:r>
      <w:r w:rsidRPr="00FA7BE2">
        <w:rPr>
          <w:rFonts w:asciiTheme="minorEastAsia" w:eastAsiaTheme="minorEastAsia" w:hAnsiTheme="minorEastAsia" w:hint="eastAsia"/>
        </w:rPr>
        <w:t>许可</w:t>
      </w:r>
      <w:r w:rsidRPr="00FA7BE2">
        <w:rPr>
          <w:rFonts w:asciiTheme="minorEastAsia" w:eastAsiaTheme="minorEastAsia" w:hAnsiTheme="minorEastAsia"/>
        </w:rPr>
        <w:t>[</w:t>
      </w:r>
      <w:r w:rsidRPr="00FA7BE2">
        <w:rPr>
          <w:rFonts w:asciiTheme="minorEastAsia" w:eastAsiaTheme="minorEastAsia" w:hAnsiTheme="minorEastAsia" w:hint="eastAsia"/>
        </w:rPr>
        <w:t>2008</w:t>
      </w:r>
      <w:r w:rsidRPr="00FA7BE2">
        <w:rPr>
          <w:rFonts w:asciiTheme="minorEastAsia" w:eastAsiaTheme="minorEastAsia" w:hAnsiTheme="minorEastAsia"/>
        </w:rPr>
        <w:t>]</w:t>
      </w:r>
      <w:r w:rsidRPr="00FA7BE2">
        <w:rPr>
          <w:rFonts w:asciiTheme="minorEastAsia" w:eastAsiaTheme="minorEastAsia" w:hAnsiTheme="minorEastAsia" w:hint="eastAsia"/>
        </w:rPr>
        <w:t>101</w:t>
      </w:r>
      <w:r w:rsidRPr="00FA7BE2">
        <w:rPr>
          <w:rFonts w:asciiTheme="minorEastAsia" w:eastAsiaTheme="minorEastAsia" w:hAnsiTheme="minorEastAsia"/>
        </w:rPr>
        <w:t>号</w:t>
      </w:r>
      <w:r w:rsidRPr="00FA7BE2">
        <w:rPr>
          <w:rFonts w:asciiTheme="minorEastAsia" w:eastAsiaTheme="minorEastAsia" w:hAnsiTheme="minorEastAsia" w:hint="eastAsia"/>
        </w:rPr>
        <w:t>文</w:t>
      </w:r>
      <w:r w:rsidRPr="00FA7BE2">
        <w:rPr>
          <w:rFonts w:asciiTheme="minorEastAsia" w:eastAsiaTheme="minorEastAsia" w:hAnsiTheme="minorEastAsia"/>
        </w:rPr>
        <w:t>《关于核准</w:t>
      </w:r>
      <w:r w:rsidRPr="00FA7BE2">
        <w:rPr>
          <w:rFonts w:asciiTheme="minorEastAsia" w:eastAsiaTheme="minorEastAsia" w:hAnsiTheme="minorEastAsia" w:hint="eastAsia"/>
        </w:rPr>
        <w:t>易方达月月收益</w:t>
      </w:r>
      <w:r w:rsidRPr="00FA7BE2">
        <w:rPr>
          <w:rFonts w:asciiTheme="minorEastAsia" w:eastAsiaTheme="minorEastAsia" w:hAnsiTheme="minorEastAsia"/>
        </w:rPr>
        <w:t>中短期债券投资基金基金份额持有人大会有关变更基金类别决议的批复》</w:t>
      </w:r>
      <w:r w:rsidRPr="00FA7BE2">
        <w:rPr>
          <w:rFonts w:asciiTheme="minorEastAsia" w:eastAsiaTheme="minorEastAsia" w:hAnsiTheme="minorEastAsia" w:hint="eastAsia"/>
        </w:rPr>
        <w:t>，易方达月月收益中短期债券投资基金调整投资目标、范围和策略、修订基金合同，并更名为“易方达稳健收益债券型证券投资基金”。自</w:t>
      </w:r>
      <w:smartTag w:uri="urn:schemas-microsoft-com:office:smarttags" w:element="chsdate">
        <w:smartTagPr>
          <w:attr w:name="IsROCDate" w:val="False"/>
          <w:attr w:name="IsLunarDate" w:val="False"/>
          <w:attr w:name="Day" w:val="29"/>
          <w:attr w:name="Month" w:val="1"/>
          <w:attr w:name="Year" w:val="2008"/>
        </w:smartTagPr>
        <w:r w:rsidRPr="00FA7BE2">
          <w:rPr>
            <w:rFonts w:asciiTheme="minorEastAsia" w:eastAsiaTheme="minorEastAsia" w:hAnsiTheme="minorEastAsia" w:hint="eastAsia"/>
          </w:rPr>
          <w:t>2008年1月29日起</w:t>
        </w:r>
      </w:smartTag>
      <w:r w:rsidRPr="00FA7BE2">
        <w:rPr>
          <w:rFonts w:asciiTheme="minorEastAsia" w:eastAsiaTheme="minorEastAsia" w:hAnsiTheme="minorEastAsia" w:hint="eastAsia"/>
        </w:rPr>
        <w:t>，由《易方达月月收益中短期债券投资基金基金合同》修订而成的《易方达稳健收益债券型证券投资基金基金合同》生效。</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D21CF5" w:rsidRPr="00FA7BE2" w:rsidRDefault="00DA07D8" w:rsidP="00946F2D">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基金不同于银行储蓄</w:t>
      </w:r>
      <w:r w:rsidR="00D21CF5" w:rsidRPr="00FA7BE2">
        <w:rPr>
          <w:rFonts w:asciiTheme="minorEastAsia" w:eastAsiaTheme="minorEastAsia" w:hAnsiTheme="minorEastAsia" w:hint="eastAsia"/>
        </w:rPr>
        <w:t>，基金投资者有可能获得较高的收益，也有可能损失本金。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市场价格产生影响的市场风险，基金管理人在基金管理实施过程中产生的基金管理风险，由于基金份额持有人大量赎回基金</w:t>
      </w:r>
      <w:r w:rsidR="003349D9" w:rsidRPr="00FA7BE2">
        <w:rPr>
          <w:rFonts w:asciiTheme="minorEastAsia" w:eastAsiaTheme="minorEastAsia" w:hAnsiTheme="minorEastAsia" w:hint="eastAsia"/>
        </w:rPr>
        <w:t>、</w:t>
      </w:r>
      <w:r w:rsidR="00D21CF5" w:rsidRPr="00FA7BE2">
        <w:rPr>
          <w:rFonts w:asciiTheme="minorEastAsia" w:eastAsiaTheme="minorEastAsia" w:hAnsiTheme="minorEastAsia" w:hint="eastAsia"/>
        </w:rPr>
        <w:t>证券市场交易量不足</w:t>
      </w:r>
      <w:r w:rsidR="003349D9" w:rsidRPr="00FA7BE2">
        <w:rPr>
          <w:rFonts w:asciiTheme="minorEastAsia" w:eastAsiaTheme="minorEastAsia" w:hAnsiTheme="minorEastAsia" w:hint="eastAsia"/>
        </w:rPr>
        <w:t>、启用摆动定价或侧袋机制等流动性风险管理工具</w:t>
      </w:r>
      <w:r w:rsidR="00D21CF5" w:rsidRPr="00FA7BE2">
        <w:rPr>
          <w:rFonts w:asciiTheme="minorEastAsia" w:eastAsiaTheme="minorEastAsia" w:hAnsiTheme="minorEastAsia" w:hint="eastAsia"/>
        </w:rPr>
        <w:t>导致的流动性风险，</w:t>
      </w:r>
      <w:r w:rsidR="00B87BA8" w:rsidRPr="00FA7BE2">
        <w:rPr>
          <w:rFonts w:asciiTheme="minorEastAsia" w:eastAsiaTheme="minorEastAsia" w:hAnsiTheme="minorEastAsia" w:hint="eastAsia"/>
        </w:rPr>
        <w:t>以及本基金法律文件中涉及基金风险特征的表述与销售机构对基金的风险评级可能不一致的风险，</w:t>
      </w:r>
      <w:r w:rsidR="00D21CF5" w:rsidRPr="00FA7BE2">
        <w:rPr>
          <w:rFonts w:asciiTheme="minorEastAsia" w:eastAsiaTheme="minorEastAsia" w:hAnsiTheme="minorEastAsia" w:hint="eastAsia"/>
        </w:rPr>
        <w:t>等等。</w:t>
      </w:r>
      <w:r w:rsidR="00D723BA" w:rsidRPr="00FA7BE2">
        <w:rPr>
          <w:rFonts w:asciiTheme="minorEastAsia" w:eastAsiaTheme="minorEastAsia" w:hAnsiTheme="minorEastAsia" w:hint="eastAsia"/>
        </w:rPr>
        <w:t>投资有风险，投资者申购基金时应认真阅读本招募说明书、基金合同和基金产品资料概要等信息披露文件。</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基金的过往业绩并不预示其未来表现。</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基金管理人承诺恪尽职守，依照诚实信用、勤勉尽责的原则，谨慎、有效地管理和运用本基金财产，但不保证本基金一定盈利，也不保证最低收益。</w:t>
      </w:r>
    </w:p>
    <w:p w:rsidR="00D21CF5" w:rsidRPr="00FA7BE2" w:rsidRDefault="003D59C8"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本基金有关财务数据截止日为2021年3月31日，净值表现截止日为2020年12月31日，主要人员情况截止日为2021年6月29日，除非另有说明，本招募说明书其他所载内容截止日为2021年5月16日。（本报告中财务数据未经审计）</w:t>
      </w:r>
    </w:p>
    <w:p w:rsidR="00D21CF5" w:rsidRPr="00FA7BE2" w:rsidRDefault="00D21CF5" w:rsidP="00D21CF5">
      <w:pPr>
        <w:snapToGrid w:val="0"/>
        <w:spacing w:line="360" w:lineRule="auto"/>
        <w:ind w:firstLineChars="200" w:firstLine="420"/>
        <w:rPr>
          <w:rFonts w:asciiTheme="minorEastAsia" w:eastAsiaTheme="minorEastAsia" w:hAnsiTheme="minorEastAsia"/>
        </w:rPr>
        <w:sectPr w:rsidR="00D21CF5" w:rsidRPr="00FA7BE2">
          <w:headerReference w:type="even" r:id="rId9"/>
          <w:footerReference w:type="even" r:id="rId10"/>
          <w:footerReference w:type="default" r:id="rId11"/>
          <w:headerReference w:type="first" r:id="rId12"/>
          <w:footerReference w:type="first" r:id="rId13"/>
          <w:pgSz w:w="11906" w:h="16838" w:code="9"/>
          <w:pgMar w:top="1701" w:right="1814" w:bottom="1701" w:left="1814" w:header="1134" w:footer="1247" w:gutter="0"/>
          <w:pgNumType w:fmt="upperRoman" w:start="1"/>
          <w:cols w:space="425"/>
          <w:docGrid w:type="lines" w:linePitch="447"/>
        </w:sectPr>
      </w:pPr>
    </w:p>
    <w:p w:rsidR="00D21CF5" w:rsidRPr="00FA7BE2" w:rsidRDefault="00D21CF5" w:rsidP="00D21CF5">
      <w:pPr>
        <w:adjustRightInd w:val="0"/>
        <w:snapToGrid w:val="0"/>
        <w:spacing w:line="360" w:lineRule="auto"/>
        <w:jc w:val="center"/>
        <w:rPr>
          <w:rFonts w:asciiTheme="minorEastAsia" w:eastAsiaTheme="minorEastAsia" w:hAnsiTheme="minorEastAsia"/>
          <w:b/>
          <w:sz w:val="28"/>
        </w:rPr>
      </w:pPr>
      <w:r w:rsidRPr="00FA7BE2">
        <w:rPr>
          <w:rFonts w:asciiTheme="minorEastAsia" w:eastAsiaTheme="minorEastAsia" w:hAnsiTheme="minorEastAsia" w:hint="eastAsia"/>
          <w:b/>
          <w:sz w:val="28"/>
        </w:rPr>
        <w:lastRenderedPageBreak/>
        <w:t>目录</w:t>
      </w:r>
    </w:p>
    <w:p w:rsidR="00D21CF5" w:rsidRPr="00FA7BE2" w:rsidRDefault="00D21CF5" w:rsidP="00D21CF5">
      <w:pPr>
        <w:adjustRightInd w:val="0"/>
        <w:snapToGrid w:val="0"/>
        <w:spacing w:line="360" w:lineRule="auto"/>
        <w:jc w:val="center"/>
        <w:rPr>
          <w:rFonts w:asciiTheme="minorEastAsia" w:eastAsiaTheme="minorEastAsia" w:hAnsiTheme="minorEastAsia"/>
          <w:b/>
          <w:sz w:val="28"/>
        </w:rPr>
      </w:pPr>
    </w:p>
    <w:p w:rsidR="00306598" w:rsidRDefault="00D21CF5">
      <w:pPr>
        <w:pStyle w:val="10"/>
        <w:rPr>
          <w:rFonts w:asciiTheme="minorHAnsi" w:eastAsiaTheme="minorEastAsia" w:hAnsiTheme="minorHAnsi" w:cstheme="minorBidi"/>
          <w:caps w:val="0"/>
          <w:sz w:val="21"/>
          <w:szCs w:val="22"/>
        </w:rPr>
      </w:pPr>
      <w:r w:rsidRPr="00FA7BE2">
        <w:rPr>
          <w:rFonts w:asciiTheme="minorEastAsia" w:eastAsiaTheme="minorEastAsia" w:hAnsiTheme="minorEastAsia"/>
          <w:b/>
        </w:rPr>
        <w:fldChar w:fldCharType="begin"/>
      </w:r>
      <w:r w:rsidRPr="00FA7BE2">
        <w:rPr>
          <w:rFonts w:asciiTheme="minorEastAsia" w:eastAsiaTheme="minorEastAsia" w:hAnsiTheme="minorEastAsia"/>
          <w:b/>
        </w:rPr>
        <w:instrText xml:space="preserve"> TOC \o "1-3" \h \z </w:instrText>
      </w:r>
      <w:r w:rsidRPr="00FA7BE2">
        <w:rPr>
          <w:rFonts w:asciiTheme="minorEastAsia" w:eastAsiaTheme="minorEastAsia" w:hAnsiTheme="minorEastAsia"/>
          <w:b/>
        </w:rPr>
        <w:fldChar w:fldCharType="separate"/>
      </w:r>
      <w:hyperlink w:anchor="_Toc75869936" w:history="1">
        <w:r w:rsidR="00306598" w:rsidRPr="0028164A">
          <w:rPr>
            <w:rStyle w:val="ab"/>
            <w:rFonts w:asciiTheme="minorEastAsia" w:hAnsiTheme="minorEastAsia" w:hint="eastAsia"/>
            <w:b/>
          </w:rPr>
          <w:t>一、绪言</w:t>
        </w:r>
        <w:r w:rsidR="00306598">
          <w:rPr>
            <w:webHidden/>
          </w:rPr>
          <w:tab/>
        </w:r>
        <w:r w:rsidR="00306598">
          <w:rPr>
            <w:webHidden/>
          </w:rPr>
          <w:fldChar w:fldCharType="begin"/>
        </w:r>
        <w:r w:rsidR="00306598">
          <w:rPr>
            <w:webHidden/>
          </w:rPr>
          <w:instrText xml:space="preserve"> PAGEREF _Toc75869936 \h </w:instrText>
        </w:r>
        <w:r w:rsidR="00306598">
          <w:rPr>
            <w:webHidden/>
          </w:rPr>
        </w:r>
        <w:r w:rsidR="00306598">
          <w:rPr>
            <w:webHidden/>
          </w:rPr>
          <w:fldChar w:fldCharType="separate"/>
        </w:r>
        <w:r w:rsidR="00306598">
          <w:rPr>
            <w:webHidden/>
          </w:rPr>
          <w:t>1</w:t>
        </w:r>
        <w:r w:rsidR="00306598">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37" w:history="1">
        <w:r w:rsidRPr="0028164A">
          <w:rPr>
            <w:rStyle w:val="ab"/>
            <w:rFonts w:asciiTheme="minorEastAsia" w:hAnsiTheme="minorEastAsia" w:hint="eastAsia"/>
            <w:b/>
          </w:rPr>
          <w:t>二、释义</w:t>
        </w:r>
        <w:r>
          <w:rPr>
            <w:webHidden/>
          </w:rPr>
          <w:tab/>
        </w:r>
        <w:r>
          <w:rPr>
            <w:webHidden/>
          </w:rPr>
          <w:fldChar w:fldCharType="begin"/>
        </w:r>
        <w:r>
          <w:rPr>
            <w:webHidden/>
          </w:rPr>
          <w:instrText xml:space="preserve"> PAGEREF _Toc75869937 \h </w:instrText>
        </w:r>
        <w:r>
          <w:rPr>
            <w:webHidden/>
          </w:rPr>
        </w:r>
        <w:r>
          <w:rPr>
            <w:webHidden/>
          </w:rPr>
          <w:fldChar w:fldCharType="separate"/>
        </w:r>
        <w:r>
          <w:rPr>
            <w:webHidden/>
          </w:rPr>
          <w:t>2</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38" w:history="1">
        <w:r w:rsidRPr="0028164A">
          <w:rPr>
            <w:rStyle w:val="ab"/>
            <w:rFonts w:asciiTheme="minorEastAsia" w:hAnsiTheme="minorEastAsia" w:hint="eastAsia"/>
            <w:b/>
          </w:rPr>
          <w:t>三、基金管理人</w:t>
        </w:r>
        <w:r>
          <w:rPr>
            <w:webHidden/>
          </w:rPr>
          <w:tab/>
        </w:r>
        <w:r>
          <w:rPr>
            <w:webHidden/>
          </w:rPr>
          <w:fldChar w:fldCharType="begin"/>
        </w:r>
        <w:r>
          <w:rPr>
            <w:webHidden/>
          </w:rPr>
          <w:instrText xml:space="preserve"> PAGEREF _Toc75869938 \h </w:instrText>
        </w:r>
        <w:r>
          <w:rPr>
            <w:webHidden/>
          </w:rPr>
        </w:r>
        <w:r>
          <w:rPr>
            <w:webHidden/>
          </w:rPr>
          <w:fldChar w:fldCharType="separate"/>
        </w:r>
        <w:r>
          <w:rPr>
            <w:webHidden/>
          </w:rPr>
          <w:t>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39" w:history="1">
        <w:r w:rsidRPr="0028164A">
          <w:rPr>
            <w:rStyle w:val="ab"/>
            <w:rFonts w:asciiTheme="minorEastAsia" w:hAnsiTheme="minorEastAsia" w:hint="eastAsia"/>
            <w:kern w:val="0"/>
          </w:rPr>
          <w:t>（一）基金管理人基本情况</w:t>
        </w:r>
        <w:r>
          <w:rPr>
            <w:webHidden/>
          </w:rPr>
          <w:tab/>
        </w:r>
        <w:r>
          <w:rPr>
            <w:webHidden/>
          </w:rPr>
          <w:fldChar w:fldCharType="begin"/>
        </w:r>
        <w:r>
          <w:rPr>
            <w:webHidden/>
          </w:rPr>
          <w:instrText xml:space="preserve"> PAGEREF _Toc75869939 \h </w:instrText>
        </w:r>
        <w:r>
          <w:rPr>
            <w:webHidden/>
          </w:rPr>
        </w:r>
        <w:r>
          <w:rPr>
            <w:webHidden/>
          </w:rPr>
          <w:fldChar w:fldCharType="separate"/>
        </w:r>
        <w:r>
          <w:rPr>
            <w:webHidden/>
          </w:rPr>
          <w:t>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0" w:history="1">
        <w:r w:rsidRPr="0028164A">
          <w:rPr>
            <w:rStyle w:val="ab"/>
            <w:rFonts w:asciiTheme="minorEastAsia" w:hAnsiTheme="minorEastAsia" w:hint="eastAsia"/>
          </w:rPr>
          <w:t>（二）主要人员情况</w:t>
        </w:r>
        <w:r>
          <w:rPr>
            <w:webHidden/>
          </w:rPr>
          <w:tab/>
        </w:r>
        <w:r>
          <w:rPr>
            <w:webHidden/>
          </w:rPr>
          <w:fldChar w:fldCharType="begin"/>
        </w:r>
        <w:r>
          <w:rPr>
            <w:webHidden/>
          </w:rPr>
          <w:instrText xml:space="preserve"> PAGEREF _Toc75869940 \h </w:instrText>
        </w:r>
        <w:r>
          <w:rPr>
            <w:webHidden/>
          </w:rPr>
        </w:r>
        <w:r>
          <w:rPr>
            <w:webHidden/>
          </w:rPr>
          <w:fldChar w:fldCharType="separate"/>
        </w:r>
        <w:r>
          <w:rPr>
            <w:webHidden/>
          </w:rPr>
          <w:t>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1" w:history="1">
        <w:r w:rsidRPr="0028164A">
          <w:rPr>
            <w:rStyle w:val="ab"/>
            <w:rFonts w:asciiTheme="minorEastAsia" w:hAnsiTheme="minorEastAsia" w:hint="eastAsia"/>
            <w:kern w:val="0"/>
          </w:rPr>
          <w:t>（三）基金管理人的职责</w:t>
        </w:r>
        <w:r>
          <w:rPr>
            <w:webHidden/>
          </w:rPr>
          <w:tab/>
        </w:r>
        <w:r>
          <w:rPr>
            <w:webHidden/>
          </w:rPr>
          <w:fldChar w:fldCharType="begin"/>
        </w:r>
        <w:r>
          <w:rPr>
            <w:webHidden/>
          </w:rPr>
          <w:instrText xml:space="preserve"> PAGEREF _Toc75869941 \h </w:instrText>
        </w:r>
        <w:r>
          <w:rPr>
            <w:webHidden/>
          </w:rPr>
        </w:r>
        <w:r>
          <w:rPr>
            <w:webHidden/>
          </w:rPr>
          <w:fldChar w:fldCharType="separate"/>
        </w:r>
        <w:r>
          <w:rPr>
            <w:webHidden/>
          </w:rPr>
          <w:t>14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2" w:history="1">
        <w:r w:rsidRPr="0028164A">
          <w:rPr>
            <w:rStyle w:val="ab"/>
            <w:rFonts w:asciiTheme="minorEastAsia" w:hAnsiTheme="minorEastAsia" w:hint="eastAsia"/>
          </w:rPr>
          <w:t>（四）基金管理人的承诺</w:t>
        </w:r>
        <w:r>
          <w:rPr>
            <w:webHidden/>
          </w:rPr>
          <w:tab/>
        </w:r>
        <w:r>
          <w:rPr>
            <w:webHidden/>
          </w:rPr>
          <w:fldChar w:fldCharType="begin"/>
        </w:r>
        <w:r>
          <w:rPr>
            <w:webHidden/>
          </w:rPr>
          <w:instrText xml:space="preserve"> PAGEREF _Toc75869942 \h </w:instrText>
        </w:r>
        <w:r>
          <w:rPr>
            <w:webHidden/>
          </w:rPr>
        </w:r>
        <w:r>
          <w:rPr>
            <w:webHidden/>
          </w:rPr>
          <w:fldChar w:fldCharType="separate"/>
        </w:r>
        <w:r>
          <w:rPr>
            <w:webHidden/>
          </w:rPr>
          <w:t>15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3" w:history="1">
        <w:r w:rsidRPr="0028164A">
          <w:rPr>
            <w:rStyle w:val="ab"/>
            <w:rFonts w:asciiTheme="minorEastAsia" w:hAnsiTheme="minorEastAsia" w:hint="eastAsia"/>
          </w:rPr>
          <w:t>（五）基金管理人的内部控制制度</w:t>
        </w:r>
        <w:r>
          <w:rPr>
            <w:webHidden/>
          </w:rPr>
          <w:tab/>
        </w:r>
        <w:r>
          <w:rPr>
            <w:webHidden/>
          </w:rPr>
          <w:fldChar w:fldCharType="begin"/>
        </w:r>
        <w:r>
          <w:rPr>
            <w:webHidden/>
          </w:rPr>
          <w:instrText xml:space="preserve"> PAGEREF _Toc75869943 \h </w:instrText>
        </w:r>
        <w:r>
          <w:rPr>
            <w:webHidden/>
          </w:rPr>
        </w:r>
        <w:r>
          <w:rPr>
            <w:webHidden/>
          </w:rPr>
          <w:fldChar w:fldCharType="separate"/>
        </w:r>
        <w:r>
          <w:rPr>
            <w:webHidden/>
          </w:rPr>
          <w:t>16</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44" w:history="1">
        <w:r w:rsidRPr="0028164A">
          <w:rPr>
            <w:rStyle w:val="ab"/>
            <w:rFonts w:asciiTheme="minorEastAsia" w:hAnsiTheme="minorEastAsia" w:hint="eastAsia"/>
            <w:b/>
          </w:rPr>
          <w:t>四、基金托管人</w:t>
        </w:r>
        <w:r>
          <w:rPr>
            <w:webHidden/>
          </w:rPr>
          <w:tab/>
        </w:r>
        <w:r>
          <w:rPr>
            <w:webHidden/>
          </w:rPr>
          <w:fldChar w:fldCharType="begin"/>
        </w:r>
        <w:r>
          <w:rPr>
            <w:webHidden/>
          </w:rPr>
          <w:instrText xml:space="preserve"> PAGEREF _Toc75869944 \h </w:instrText>
        </w:r>
        <w:r>
          <w:rPr>
            <w:webHidden/>
          </w:rPr>
        </w:r>
        <w:r>
          <w:rPr>
            <w:webHidden/>
          </w:rPr>
          <w:fldChar w:fldCharType="separate"/>
        </w:r>
        <w:r>
          <w:rPr>
            <w:webHidden/>
          </w:rPr>
          <w:t>19</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45" w:history="1">
        <w:r w:rsidRPr="0028164A">
          <w:rPr>
            <w:rStyle w:val="ab"/>
            <w:rFonts w:asciiTheme="minorEastAsia" w:hAnsiTheme="minorEastAsia" w:hint="eastAsia"/>
            <w:b/>
            <w:bCs/>
          </w:rPr>
          <w:t>五、相关服务机构</w:t>
        </w:r>
        <w:r>
          <w:rPr>
            <w:webHidden/>
          </w:rPr>
          <w:tab/>
        </w:r>
        <w:r>
          <w:rPr>
            <w:webHidden/>
          </w:rPr>
          <w:fldChar w:fldCharType="begin"/>
        </w:r>
        <w:r>
          <w:rPr>
            <w:webHidden/>
          </w:rPr>
          <w:instrText xml:space="preserve"> PAGEREF _Toc75869945 \h </w:instrText>
        </w:r>
        <w:r>
          <w:rPr>
            <w:webHidden/>
          </w:rPr>
        </w:r>
        <w:r>
          <w:rPr>
            <w:webHidden/>
          </w:rPr>
          <w:fldChar w:fldCharType="separate"/>
        </w:r>
        <w:r>
          <w:rPr>
            <w:webHidden/>
          </w:rPr>
          <w:t>21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6" w:history="1">
        <w:r w:rsidRPr="0028164A">
          <w:rPr>
            <w:rStyle w:val="ab"/>
            <w:rFonts w:asciiTheme="minorEastAsia" w:hAnsiTheme="minorEastAsia" w:hint="eastAsia"/>
          </w:rPr>
          <w:t>（一）基金份额销售机构</w:t>
        </w:r>
        <w:r>
          <w:rPr>
            <w:webHidden/>
          </w:rPr>
          <w:tab/>
        </w:r>
        <w:r>
          <w:rPr>
            <w:webHidden/>
          </w:rPr>
          <w:fldChar w:fldCharType="begin"/>
        </w:r>
        <w:r>
          <w:rPr>
            <w:webHidden/>
          </w:rPr>
          <w:instrText xml:space="preserve"> PAGEREF _Toc75869946 \h </w:instrText>
        </w:r>
        <w:r>
          <w:rPr>
            <w:webHidden/>
          </w:rPr>
        </w:r>
        <w:r>
          <w:rPr>
            <w:webHidden/>
          </w:rPr>
          <w:fldChar w:fldCharType="separate"/>
        </w:r>
        <w:r>
          <w:rPr>
            <w:webHidden/>
          </w:rPr>
          <w:t>21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7" w:history="1">
        <w:r w:rsidRPr="0028164A">
          <w:rPr>
            <w:rStyle w:val="ab"/>
            <w:rFonts w:asciiTheme="minorEastAsia" w:hAnsiTheme="minorEastAsia" w:hint="eastAsia"/>
          </w:rPr>
          <w:t>（二）基金注册登记机构</w:t>
        </w:r>
        <w:r>
          <w:rPr>
            <w:webHidden/>
          </w:rPr>
          <w:tab/>
        </w:r>
        <w:r>
          <w:rPr>
            <w:webHidden/>
          </w:rPr>
          <w:fldChar w:fldCharType="begin"/>
        </w:r>
        <w:r>
          <w:rPr>
            <w:webHidden/>
          </w:rPr>
          <w:instrText xml:space="preserve"> PAGEREF _Toc75869947 \h </w:instrText>
        </w:r>
        <w:r>
          <w:rPr>
            <w:webHidden/>
          </w:rPr>
        </w:r>
        <w:r>
          <w:rPr>
            <w:webHidden/>
          </w:rPr>
          <w:fldChar w:fldCharType="separate"/>
        </w:r>
        <w:r>
          <w:rPr>
            <w:webHidden/>
          </w:rPr>
          <w:t>95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8" w:history="1">
        <w:r w:rsidRPr="0028164A">
          <w:rPr>
            <w:rStyle w:val="ab"/>
            <w:rFonts w:asciiTheme="minorEastAsia" w:hAnsiTheme="minorEastAsia" w:hint="eastAsia"/>
          </w:rPr>
          <w:t>（三）律师事务所和经办律师</w:t>
        </w:r>
        <w:r>
          <w:rPr>
            <w:webHidden/>
          </w:rPr>
          <w:tab/>
        </w:r>
        <w:r>
          <w:rPr>
            <w:webHidden/>
          </w:rPr>
          <w:fldChar w:fldCharType="begin"/>
        </w:r>
        <w:r>
          <w:rPr>
            <w:webHidden/>
          </w:rPr>
          <w:instrText xml:space="preserve"> PAGEREF _Toc75869948 \h </w:instrText>
        </w:r>
        <w:r>
          <w:rPr>
            <w:webHidden/>
          </w:rPr>
        </w:r>
        <w:r>
          <w:rPr>
            <w:webHidden/>
          </w:rPr>
          <w:fldChar w:fldCharType="separate"/>
        </w:r>
        <w:r>
          <w:rPr>
            <w:webHidden/>
          </w:rPr>
          <w:t>95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49" w:history="1">
        <w:r w:rsidRPr="0028164A">
          <w:rPr>
            <w:rStyle w:val="ab"/>
            <w:rFonts w:asciiTheme="minorEastAsia" w:hAnsiTheme="minorEastAsia" w:hint="eastAsia"/>
          </w:rPr>
          <w:t>（四）会计师事务所和经办注册会计师</w:t>
        </w:r>
        <w:r>
          <w:rPr>
            <w:webHidden/>
          </w:rPr>
          <w:tab/>
        </w:r>
        <w:r>
          <w:rPr>
            <w:webHidden/>
          </w:rPr>
          <w:fldChar w:fldCharType="begin"/>
        </w:r>
        <w:r>
          <w:rPr>
            <w:webHidden/>
          </w:rPr>
          <w:instrText xml:space="preserve"> PAGEREF _Toc75869949 \h </w:instrText>
        </w:r>
        <w:r>
          <w:rPr>
            <w:webHidden/>
          </w:rPr>
        </w:r>
        <w:r>
          <w:rPr>
            <w:webHidden/>
          </w:rPr>
          <w:fldChar w:fldCharType="separate"/>
        </w:r>
        <w:r>
          <w:rPr>
            <w:webHidden/>
          </w:rPr>
          <w:t>95</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50" w:history="1">
        <w:r w:rsidRPr="0028164A">
          <w:rPr>
            <w:rStyle w:val="ab"/>
            <w:rFonts w:asciiTheme="minorEastAsia" w:hAnsiTheme="minorEastAsia" w:hint="eastAsia"/>
            <w:b/>
          </w:rPr>
          <w:t>六、基金的存续</w:t>
        </w:r>
        <w:r>
          <w:rPr>
            <w:webHidden/>
          </w:rPr>
          <w:tab/>
        </w:r>
        <w:r>
          <w:rPr>
            <w:webHidden/>
          </w:rPr>
          <w:fldChar w:fldCharType="begin"/>
        </w:r>
        <w:r>
          <w:rPr>
            <w:webHidden/>
          </w:rPr>
          <w:instrText xml:space="preserve"> PAGEREF _Toc75869950 \h </w:instrText>
        </w:r>
        <w:r>
          <w:rPr>
            <w:webHidden/>
          </w:rPr>
        </w:r>
        <w:r>
          <w:rPr>
            <w:webHidden/>
          </w:rPr>
          <w:fldChar w:fldCharType="separate"/>
        </w:r>
        <w:r>
          <w:rPr>
            <w:webHidden/>
          </w:rPr>
          <w:t>97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1" w:history="1">
        <w:r w:rsidRPr="0028164A">
          <w:rPr>
            <w:rStyle w:val="ab"/>
            <w:rFonts w:asciiTheme="minorEastAsia" w:hAnsiTheme="minorEastAsia" w:hint="eastAsia"/>
            <w:bCs/>
          </w:rPr>
          <w:t>（一）</w:t>
        </w:r>
        <w:r w:rsidRPr="0028164A">
          <w:rPr>
            <w:rStyle w:val="ab"/>
            <w:rFonts w:asciiTheme="minorEastAsia" w:hAnsiTheme="minorEastAsia" w:hint="eastAsia"/>
          </w:rPr>
          <w:t>基金</w:t>
        </w:r>
        <w:r w:rsidRPr="0028164A">
          <w:rPr>
            <w:rStyle w:val="ab"/>
            <w:rFonts w:asciiTheme="minorEastAsia" w:hAnsiTheme="minorEastAsia" w:hint="eastAsia"/>
            <w:bCs/>
          </w:rPr>
          <w:t>合同的生效</w:t>
        </w:r>
        <w:r>
          <w:rPr>
            <w:webHidden/>
          </w:rPr>
          <w:tab/>
        </w:r>
        <w:r>
          <w:rPr>
            <w:webHidden/>
          </w:rPr>
          <w:fldChar w:fldCharType="begin"/>
        </w:r>
        <w:r>
          <w:rPr>
            <w:webHidden/>
          </w:rPr>
          <w:instrText xml:space="preserve"> PAGEREF _Toc75869951 \h </w:instrText>
        </w:r>
        <w:r>
          <w:rPr>
            <w:webHidden/>
          </w:rPr>
        </w:r>
        <w:r>
          <w:rPr>
            <w:webHidden/>
          </w:rPr>
          <w:fldChar w:fldCharType="separate"/>
        </w:r>
        <w:r>
          <w:rPr>
            <w:webHidden/>
          </w:rPr>
          <w:t>97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2" w:history="1">
        <w:r w:rsidRPr="0028164A">
          <w:rPr>
            <w:rStyle w:val="ab"/>
            <w:rFonts w:asciiTheme="minorEastAsia" w:hAnsiTheme="minorEastAsia" w:hint="eastAsia"/>
            <w:bCs/>
          </w:rPr>
          <w:t>（二）基金存续期内的基金份额持有人数量和资产规模</w:t>
        </w:r>
        <w:r>
          <w:rPr>
            <w:webHidden/>
          </w:rPr>
          <w:tab/>
        </w:r>
        <w:r>
          <w:rPr>
            <w:webHidden/>
          </w:rPr>
          <w:fldChar w:fldCharType="begin"/>
        </w:r>
        <w:r>
          <w:rPr>
            <w:webHidden/>
          </w:rPr>
          <w:instrText xml:space="preserve"> PAGEREF _Toc75869952 \h </w:instrText>
        </w:r>
        <w:r>
          <w:rPr>
            <w:webHidden/>
          </w:rPr>
        </w:r>
        <w:r>
          <w:rPr>
            <w:webHidden/>
          </w:rPr>
          <w:fldChar w:fldCharType="separate"/>
        </w:r>
        <w:r>
          <w:rPr>
            <w:webHidden/>
          </w:rPr>
          <w:t>97</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53" w:history="1">
        <w:r w:rsidRPr="0028164A">
          <w:rPr>
            <w:rStyle w:val="ab"/>
            <w:rFonts w:asciiTheme="minorEastAsia" w:hAnsiTheme="minorEastAsia" w:hint="eastAsia"/>
            <w:b/>
          </w:rPr>
          <w:t>七、基金份额的申购、赎回</w:t>
        </w:r>
        <w:r>
          <w:rPr>
            <w:webHidden/>
          </w:rPr>
          <w:tab/>
        </w:r>
        <w:r>
          <w:rPr>
            <w:webHidden/>
          </w:rPr>
          <w:fldChar w:fldCharType="begin"/>
        </w:r>
        <w:r>
          <w:rPr>
            <w:webHidden/>
          </w:rPr>
          <w:instrText xml:space="preserve"> PAGEREF _Toc75869953 \h </w:instrText>
        </w:r>
        <w:r>
          <w:rPr>
            <w:webHidden/>
          </w:rPr>
        </w:r>
        <w:r>
          <w:rPr>
            <w:webHidden/>
          </w:rPr>
          <w:fldChar w:fldCharType="separate"/>
        </w:r>
        <w:r>
          <w:rPr>
            <w:webHidden/>
          </w:rPr>
          <w:t>98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4" w:history="1">
        <w:r w:rsidRPr="0028164A">
          <w:rPr>
            <w:rStyle w:val="ab"/>
            <w:rFonts w:asciiTheme="minorEastAsia" w:hAnsiTheme="minorEastAsia" w:hint="eastAsia"/>
          </w:rPr>
          <w:t>（一）基金投资者范围</w:t>
        </w:r>
        <w:r>
          <w:rPr>
            <w:webHidden/>
          </w:rPr>
          <w:tab/>
        </w:r>
        <w:r>
          <w:rPr>
            <w:webHidden/>
          </w:rPr>
          <w:fldChar w:fldCharType="begin"/>
        </w:r>
        <w:r>
          <w:rPr>
            <w:webHidden/>
          </w:rPr>
          <w:instrText xml:space="preserve"> PAGEREF _Toc75869954 \h </w:instrText>
        </w:r>
        <w:r>
          <w:rPr>
            <w:webHidden/>
          </w:rPr>
        </w:r>
        <w:r>
          <w:rPr>
            <w:webHidden/>
          </w:rPr>
          <w:fldChar w:fldCharType="separate"/>
        </w:r>
        <w:r>
          <w:rPr>
            <w:webHidden/>
          </w:rPr>
          <w:t>98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5" w:history="1">
        <w:r w:rsidRPr="0028164A">
          <w:rPr>
            <w:rStyle w:val="ab"/>
            <w:rFonts w:asciiTheme="minorEastAsia" w:hAnsiTheme="minorEastAsia" w:hint="eastAsia"/>
          </w:rPr>
          <w:t>（二）申购、赎回的场所</w:t>
        </w:r>
        <w:r>
          <w:rPr>
            <w:webHidden/>
          </w:rPr>
          <w:tab/>
        </w:r>
        <w:r>
          <w:rPr>
            <w:webHidden/>
          </w:rPr>
          <w:fldChar w:fldCharType="begin"/>
        </w:r>
        <w:r>
          <w:rPr>
            <w:webHidden/>
          </w:rPr>
          <w:instrText xml:space="preserve"> PAGEREF _Toc75869955 \h </w:instrText>
        </w:r>
        <w:r>
          <w:rPr>
            <w:webHidden/>
          </w:rPr>
        </w:r>
        <w:r>
          <w:rPr>
            <w:webHidden/>
          </w:rPr>
          <w:fldChar w:fldCharType="separate"/>
        </w:r>
        <w:r>
          <w:rPr>
            <w:webHidden/>
          </w:rPr>
          <w:t>98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6" w:history="1">
        <w:r w:rsidRPr="0028164A">
          <w:rPr>
            <w:rStyle w:val="ab"/>
            <w:rFonts w:asciiTheme="minorEastAsia" w:hAnsiTheme="minorEastAsia" w:hint="eastAsia"/>
          </w:rPr>
          <w:t>（三）申购、赎回的开放日及时间</w:t>
        </w:r>
        <w:r>
          <w:rPr>
            <w:webHidden/>
          </w:rPr>
          <w:tab/>
        </w:r>
        <w:r>
          <w:rPr>
            <w:webHidden/>
          </w:rPr>
          <w:fldChar w:fldCharType="begin"/>
        </w:r>
        <w:r>
          <w:rPr>
            <w:webHidden/>
          </w:rPr>
          <w:instrText xml:space="preserve"> PAGEREF _Toc75869956 \h </w:instrText>
        </w:r>
        <w:r>
          <w:rPr>
            <w:webHidden/>
          </w:rPr>
        </w:r>
        <w:r>
          <w:rPr>
            <w:webHidden/>
          </w:rPr>
          <w:fldChar w:fldCharType="separate"/>
        </w:r>
        <w:r>
          <w:rPr>
            <w:webHidden/>
          </w:rPr>
          <w:t>98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7" w:history="1">
        <w:r w:rsidRPr="0028164A">
          <w:rPr>
            <w:rStyle w:val="ab"/>
            <w:rFonts w:asciiTheme="minorEastAsia" w:hAnsiTheme="minorEastAsia" w:hint="eastAsia"/>
          </w:rPr>
          <w:t>（四）申购、赎回的原则</w:t>
        </w:r>
        <w:r>
          <w:rPr>
            <w:webHidden/>
          </w:rPr>
          <w:tab/>
        </w:r>
        <w:r>
          <w:rPr>
            <w:webHidden/>
          </w:rPr>
          <w:fldChar w:fldCharType="begin"/>
        </w:r>
        <w:r>
          <w:rPr>
            <w:webHidden/>
          </w:rPr>
          <w:instrText xml:space="preserve"> PAGEREF _Toc75869957 \h </w:instrText>
        </w:r>
        <w:r>
          <w:rPr>
            <w:webHidden/>
          </w:rPr>
        </w:r>
        <w:r>
          <w:rPr>
            <w:webHidden/>
          </w:rPr>
          <w:fldChar w:fldCharType="separate"/>
        </w:r>
        <w:r>
          <w:rPr>
            <w:webHidden/>
          </w:rPr>
          <w:t>98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8" w:history="1">
        <w:r w:rsidRPr="0028164A">
          <w:rPr>
            <w:rStyle w:val="ab"/>
            <w:rFonts w:asciiTheme="minorEastAsia" w:hAnsiTheme="minorEastAsia" w:hint="eastAsia"/>
          </w:rPr>
          <w:t>（五）基金份额分类</w:t>
        </w:r>
        <w:r>
          <w:rPr>
            <w:webHidden/>
          </w:rPr>
          <w:tab/>
        </w:r>
        <w:r>
          <w:rPr>
            <w:webHidden/>
          </w:rPr>
          <w:fldChar w:fldCharType="begin"/>
        </w:r>
        <w:r>
          <w:rPr>
            <w:webHidden/>
          </w:rPr>
          <w:instrText xml:space="preserve"> PAGEREF _Toc75869958 \h </w:instrText>
        </w:r>
        <w:r>
          <w:rPr>
            <w:webHidden/>
          </w:rPr>
        </w:r>
        <w:r>
          <w:rPr>
            <w:webHidden/>
          </w:rPr>
          <w:fldChar w:fldCharType="separate"/>
        </w:r>
        <w:r>
          <w:rPr>
            <w:webHidden/>
          </w:rPr>
          <w:t>99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59" w:history="1">
        <w:r w:rsidRPr="0028164A">
          <w:rPr>
            <w:rStyle w:val="ab"/>
            <w:rFonts w:asciiTheme="minorEastAsia" w:hAnsiTheme="minorEastAsia" w:hint="eastAsia"/>
          </w:rPr>
          <w:t>（六）申购、赎回的数额限制</w:t>
        </w:r>
        <w:r>
          <w:rPr>
            <w:webHidden/>
          </w:rPr>
          <w:tab/>
        </w:r>
        <w:r>
          <w:rPr>
            <w:webHidden/>
          </w:rPr>
          <w:fldChar w:fldCharType="begin"/>
        </w:r>
        <w:r>
          <w:rPr>
            <w:webHidden/>
          </w:rPr>
          <w:instrText xml:space="preserve"> PAGEREF _Toc75869959 \h </w:instrText>
        </w:r>
        <w:r>
          <w:rPr>
            <w:webHidden/>
          </w:rPr>
        </w:r>
        <w:r>
          <w:rPr>
            <w:webHidden/>
          </w:rPr>
          <w:fldChar w:fldCharType="separate"/>
        </w:r>
        <w:r>
          <w:rPr>
            <w:webHidden/>
          </w:rPr>
          <w:t>99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0" w:history="1">
        <w:r w:rsidRPr="0028164A">
          <w:rPr>
            <w:rStyle w:val="ab"/>
            <w:rFonts w:asciiTheme="minorEastAsia" w:hAnsiTheme="minorEastAsia" w:hint="eastAsia"/>
          </w:rPr>
          <w:t>（七）申购、赎回的程序</w:t>
        </w:r>
        <w:r>
          <w:rPr>
            <w:webHidden/>
          </w:rPr>
          <w:tab/>
        </w:r>
        <w:r>
          <w:rPr>
            <w:webHidden/>
          </w:rPr>
          <w:fldChar w:fldCharType="begin"/>
        </w:r>
        <w:r>
          <w:rPr>
            <w:webHidden/>
          </w:rPr>
          <w:instrText xml:space="preserve"> PAGEREF _Toc75869960 \h </w:instrText>
        </w:r>
        <w:r>
          <w:rPr>
            <w:webHidden/>
          </w:rPr>
        </w:r>
        <w:r>
          <w:rPr>
            <w:webHidden/>
          </w:rPr>
          <w:fldChar w:fldCharType="separate"/>
        </w:r>
        <w:r>
          <w:rPr>
            <w:webHidden/>
          </w:rPr>
          <w:t>100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1" w:history="1">
        <w:r w:rsidRPr="0028164A">
          <w:rPr>
            <w:rStyle w:val="ab"/>
            <w:rFonts w:asciiTheme="minorEastAsia" w:hAnsiTheme="minorEastAsia" w:hint="eastAsia"/>
          </w:rPr>
          <w:t>（八）申购、赎回的费率</w:t>
        </w:r>
        <w:r>
          <w:rPr>
            <w:webHidden/>
          </w:rPr>
          <w:tab/>
        </w:r>
        <w:r>
          <w:rPr>
            <w:webHidden/>
          </w:rPr>
          <w:fldChar w:fldCharType="begin"/>
        </w:r>
        <w:r>
          <w:rPr>
            <w:webHidden/>
          </w:rPr>
          <w:instrText xml:space="preserve"> PAGEREF _Toc75869961 \h </w:instrText>
        </w:r>
        <w:r>
          <w:rPr>
            <w:webHidden/>
          </w:rPr>
        </w:r>
        <w:r>
          <w:rPr>
            <w:webHidden/>
          </w:rPr>
          <w:fldChar w:fldCharType="separate"/>
        </w:r>
        <w:r>
          <w:rPr>
            <w:webHidden/>
          </w:rPr>
          <w:t>100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2" w:history="1">
        <w:r w:rsidRPr="0028164A">
          <w:rPr>
            <w:rStyle w:val="ab"/>
            <w:rFonts w:asciiTheme="minorEastAsia" w:hAnsiTheme="minorEastAsia" w:hint="eastAsia"/>
          </w:rPr>
          <w:t>（九）申购份额、赎回金额的计算方式</w:t>
        </w:r>
        <w:r>
          <w:rPr>
            <w:webHidden/>
          </w:rPr>
          <w:tab/>
        </w:r>
        <w:r>
          <w:rPr>
            <w:webHidden/>
          </w:rPr>
          <w:fldChar w:fldCharType="begin"/>
        </w:r>
        <w:r>
          <w:rPr>
            <w:webHidden/>
          </w:rPr>
          <w:instrText xml:space="preserve"> PAGEREF _Toc75869962 \h </w:instrText>
        </w:r>
        <w:r>
          <w:rPr>
            <w:webHidden/>
          </w:rPr>
        </w:r>
        <w:r>
          <w:rPr>
            <w:webHidden/>
          </w:rPr>
          <w:fldChar w:fldCharType="separate"/>
        </w:r>
        <w:r>
          <w:rPr>
            <w:webHidden/>
          </w:rPr>
          <w:t>102</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3" w:history="1">
        <w:r w:rsidRPr="0028164A">
          <w:rPr>
            <w:rStyle w:val="ab"/>
            <w:rFonts w:asciiTheme="minorEastAsia" w:hAnsiTheme="minorEastAsia" w:hint="eastAsia"/>
          </w:rPr>
          <w:t>（十）申购、赎回的注册登记</w:t>
        </w:r>
        <w:r>
          <w:rPr>
            <w:webHidden/>
          </w:rPr>
          <w:tab/>
        </w:r>
        <w:r>
          <w:rPr>
            <w:webHidden/>
          </w:rPr>
          <w:fldChar w:fldCharType="begin"/>
        </w:r>
        <w:r>
          <w:rPr>
            <w:webHidden/>
          </w:rPr>
          <w:instrText xml:space="preserve"> PAGEREF _Toc75869963 \h </w:instrText>
        </w:r>
        <w:r>
          <w:rPr>
            <w:webHidden/>
          </w:rPr>
        </w:r>
        <w:r>
          <w:rPr>
            <w:webHidden/>
          </w:rPr>
          <w:fldChar w:fldCharType="separate"/>
        </w:r>
        <w:r>
          <w:rPr>
            <w:webHidden/>
          </w:rPr>
          <w:t>104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4" w:history="1">
        <w:r w:rsidRPr="0028164A">
          <w:rPr>
            <w:rStyle w:val="ab"/>
            <w:rFonts w:asciiTheme="minorEastAsia" w:hAnsiTheme="minorEastAsia" w:hint="eastAsia"/>
          </w:rPr>
          <w:t>（十一）巨额赎回的认定及处理方式</w:t>
        </w:r>
        <w:r>
          <w:rPr>
            <w:webHidden/>
          </w:rPr>
          <w:tab/>
        </w:r>
        <w:r>
          <w:rPr>
            <w:webHidden/>
          </w:rPr>
          <w:fldChar w:fldCharType="begin"/>
        </w:r>
        <w:r>
          <w:rPr>
            <w:webHidden/>
          </w:rPr>
          <w:instrText xml:space="preserve"> PAGEREF _Toc75869964 \h </w:instrText>
        </w:r>
        <w:r>
          <w:rPr>
            <w:webHidden/>
          </w:rPr>
        </w:r>
        <w:r>
          <w:rPr>
            <w:webHidden/>
          </w:rPr>
          <w:fldChar w:fldCharType="separate"/>
        </w:r>
        <w:r>
          <w:rPr>
            <w:webHidden/>
          </w:rPr>
          <w:t>104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5" w:history="1">
        <w:r w:rsidRPr="0028164A">
          <w:rPr>
            <w:rStyle w:val="ab"/>
            <w:rFonts w:asciiTheme="minorEastAsia" w:hAnsiTheme="minorEastAsia" w:hint="eastAsia"/>
          </w:rPr>
          <w:t>（十二）拒绝或暂停申购、赎回的情形及处理方式</w:t>
        </w:r>
        <w:r>
          <w:rPr>
            <w:webHidden/>
          </w:rPr>
          <w:tab/>
        </w:r>
        <w:r>
          <w:rPr>
            <w:webHidden/>
          </w:rPr>
          <w:fldChar w:fldCharType="begin"/>
        </w:r>
        <w:r>
          <w:rPr>
            <w:webHidden/>
          </w:rPr>
          <w:instrText xml:space="preserve"> PAGEREF _Toc75869965 \h </w:instrText>
        </w:r>
        <w:r>
          <w:rPr>
            <w:webHidden/>
          </w:rPr>
        </w:r>
        <w:r>
          <w:rPr>
            <w:webHidden/>
          </w:rPr>
          <w:fldChar w:fldCharType="separate"/>
        </w:r>
        <w:r>
          <w:rPr>
            <w:webHidden/>
          </w:rPr>
          <w:t>105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6" w:history="1">
        <w:r w:rsidRPr="0028164A">
          <w:rPr>
            <w:rStyle w:val="ab"/>
            <w:rFonts w:asciiTheme="minorEastAsia" w:hAnsiTheme="minorEastAsia" w:hint="eastAsia"/>
          </w:rPr>
          <w:t>（十三）实施侧袋机制期间本基金的申购与赎回</w:t>
        </w:r>
        <w:r>
          <w:rPr>
            <w:webHidden/>
          </w:rPr>
          <w:tab/>
        </w:r>
        <w:r>
          <w:rPr>
            <w:webHidden/>
          </w:rPr>
          <w:fldChar w:fldCharType="begin"/>
        </w:r>
        <w:r>
          <w:rPr>
            <w:webHidden/>
          </w:rPr>
          <w:instrText xml:space="preserve"> PAGEREF _Toc75869966 \h </w:instrText>
        </w:r>
        <w:r>
          <w:rPr>
            <w:webHidden/>
          </w:rPr>
        </w:r>
        <w:r>
          <w:rPr>
            <w:webHidden/>
          </w:rPr>
          <w:fldChar w:fldCharType="separate"/>
        </w:r>
        <w:r>
          <w:rPr>
            <w:webHidden/>
          </w:rPr>
          <w:t>106</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67" w:history="1">
        <w:r w:rsidRPr="0028164A">
          <w:rPr>
            <w:rStyle w:val="ab"/>
            <w:rFonts w:asciiTheme="minorEastAsia" w:hAnsiTheme="minorEastAsia" w:hint="eastAsia"/>
          </w:rPr>
          <w:t>八</w:t>
        </w:r>
        <w:r w:rsidRPr="0028164A">
          <w:rPr>
            <w:rStyle w:val="ab"/>
            <w:rFonts w:asciiTheme="minorEastAsia" w:hAnsiTheme="minorEastAsia" w:hint="eastAsia"/>
            <w:b/>
          </w:rPr>
          <w:t>、基金转换</w:t>
        </w:r>
        <w:r>
          <w:rPr>
            <w:webHidden/>
          </w:rPr>
          <w:tab/>
        </w:r>
        <w:r>
          <w:rPr>
            <w:webHidden/>
          </w:rPr>
          <w:fldChar w:fldCharType="begin"/>
        </w:r>
        <w:r>
          <w:rPr>
            <w:webHidden/>
          </w:rPr>
          <w:instrText xml:space="preserve"> PAGEREF _Toc75869967 \h </w:instrText>
        </w:r>
        <w:r>
          <w:rPr>
            <w:webHidden/>
          </w:rPr>
        </w:r>
        <w:r>
          <w:rPr>
            <w:webHidden/>
          </w:rPr>
          <w:fldChar w:fldCharType="separate"/>
        </w:r>
        <w:r>
          <w:rPr>
            <w:webHidden/>
          </w:rPr>
          <w:t>107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8" w:history="1">
        <w:r w:rsidRPr="0028164A">
          <w:rPr>
            <w:rStyle w:val="ab"/>
            <w:rFonts w:asciiTheme="minorEastAsia" w:hAnsiTheme="minorEastAsia" w:hint="eastAsia"/>
          </w:rPr>
          <w:t>（一）基金转换开始日及时间</w:t>
        </w:r>
        <w:r>
          <w:rPr>
            <w:webHidden/>
          </w:rPr>
          <w:tab/>
        </w:r>
        <w:r>
          <w:rPr>
            <w:webHidden/>
          </w:rPr>
          <w:fldChar w:fldCharType="begin"/>
        </w:r>
        <w:r>
          <w:rPr>
            <w:webHidden/>
          </w:rPr>
          <w:instrText xml:space="preserve"> PAGEREF _Toc75869968 \h </w:instrText>
        </w:r>
        <w:r>
          <w:rPr>
            <w:webHidden/>
          </w:rPr>
        </w:r>
        <w:r>
          <w:rPr>
            <w:webHidden/>
          </w:rPr>
          <w:fldChar w:fldCharType="separate"/>
        </w:r>
        <w:r>
          <w:rPr>
            <w:webHidden/>
          </w:rPr>
          <w:t>107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69" w:history="1">
        <w:r w:rsidRPr="0028164A">
          <w:rPr>
            <w:rStyle w:val="ab"/>
            <w:rFonts w:asciiTheme="minorEastAsia" w:hAnsiTheme="minorEastAsia" w:hint="eastAsia"/>
          </w:rPr>
          <w:t>（二）基金转换的原则</w:t>
        </w:r>
        <w:r>
          <w:rPr>
            <w:webHidden/>
          </w:rPr>
          <w:tab/>
        </w:r>
        <w:r>
          <w:rPr>
            <w:webHidden/>
          </w:rPr>
          <w:fldChar w:fldCharType="begin"/>
        </w:r>
        <w:r>
          <w:rPr>
            <w:webHidden/>
          </w:rPr>
          <w:instrText xml:space="preserve"> PAGEREF _Toc75869969 \h </w:instrText>
        </w:r>
        <w:r>
          <w:rPr>
            <w:webHidden/>
          </w:rPr>
        </w:r>
        <w:r>
          <w:rPr>
            <w:webHidden/>
          </w:rPr>
          <w:fldChar w:fldCharType="separate"/>
        </w:r>
        <w:r>
          <w:rPr>
            <w:webHidden/>
          </w:rPr>
          <w:t>107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0" w:history="1">
        <w:r w:rsidRPr="0028164A">
          <w:rPr>
            <w:rStyle w:val="ab"/>
            <w:rFonts w:asciiTheme="minorEastAsia" w:hAnsiTheme="minorEastAsia" w:hint="eastAsia"/>
          </w:rPr>
          <w:t>（三）基金转换的程序</w:t>
        </w:r>
        <w:r>
          <w:rPr>
            <w:webHidden/>
          </w:rPr>
          <w:tab/>
        </w:r>
        <w:r>
          <w:rPr>
            <w:webHidden/>
          </w:rPr>
          <w:fldChar w:fldCharType="begin"/>
        </w:r>
        <w:r>
          <w:rPr>
            <w:webHidden/>
          </w:rPr>
          <w:instrText xml:space="preserve"> PAGEREF _Toc75869970 \h </w:instrText>
        </w:r>
        <w:r>
          <w:rPr>
            <w:webHidden/>
          </w:rPr>
        </w:r>
        <w:r>
          <w:rPr>
            <w:webHidden/>
          </w:rPr>
          <w:fldChar w:fldCharType="separate"/>
        </w:r>
        <w:r>
          <w:rPr>
            <w:webHidden/>
          </w:rPr>
          <w:t>107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1" w:history="1">
        <w:r w:rsidRPr="0028164A">
          <w:rPr>
            <w:rStyle w:val="ab"/>
            <w:rFonts w:asciiTheme="minorEastAsia" w:hAnsiTheme="minorEastAsia" w:hint="eastAsia"/>
          </w:rPr>
          <w:t>（四）基金转换的数额限制</w:t>
        </w:r>
        <w:r>
          <w:rPr>
            <w:webHidden/>
          </w:rPr>
          <w:tab/>
        </w:r>
        <w:r>
          <w:rPr>
            <w:webHidden/>
          </w:rPr>
          <w:fldChar w:fldCharType="begin"/>
        </w:r>
        <w:r>
          <w:rPr>
            <w:webHidden/>
          </w:rPr>
          <w:instrText xml:space="preserve"> PAGEREF _Toc75869971 \h </w:instrText>
        </w:r>
        <w:r>
          <w:rPr>
            <w:webHidden/>
          </w:rPr>
        </w:r>
        <w:r>
          <w:rPr>
            <w:webHidden/>
          </w:rPr>
          <w:fldChar w:fldCharType="separate"/>
        </w:r>
        <w:r>
          <w:rPr>
            <w:webHidden/>
          </w:rPr>
          <w:t>108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2" w:history="1">
        <w:r w:rsidRPr="0028164A">
          <w:rPr>
            <w:rStyle w:val="ab"/>
            <w:rFonts w:asciiTheme="minorEastAsia" w:hAnsiTheme="minorEastAsia" w:hint="eastAsia"/>
          </w:rPr>
          <w:t>（五）基金转换费率</w:t>
        </w:r>
        <w:r>
          <w:rPr>
            <w:webHidden/>
          </w:rPr>
          <w:tab/>
        </w:r>
        <w:r>
          <w:rPr>
            <w:webHidden/>
          </w:rPr>
          <w:fldChar w:fldCharType="begin"/>
        </w:r>
        <w:r>
          <w:rPr>
            <w:webHidden/>
          </w:rPr>
          <w:instrText xml:space="preserve"> PAGEREF _Toc75869972 \h </w:instrText>
        </w:r>
        <w:r>
          <w:rPr>
            <w:webHidden/>
          </w:rPr>
        </w:r>
        <w:r>
          <w:rPr>
            <w:webHidden/>
          </w:rPr>
          <w:fldChar w:fldCharType="separate"/>
        </w:r>
        <w:r>
          <w:rPr>
            <w:webHidden/>
          </w:rPr>
          <w:t>108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3" w:history="1">
        <w:r w:rsidRPr="0028164A">
          <w:rPr>
            <w:rStyle w:val="ab"/>
            <w:rFonts w:asciiTheme="minorEastAsia" w:hAnsiTheme="minorEastAsia" w:hint="eastAsia"/>
          </w:rPr>
          <w:t>（六）基金转换份额的计算方式</w:t>
        </w:r>
        <w:r>
          <w:rPr>
            <w:webHidden/>
          </w:rPr>
          <w:tab/>
        </w:r>
        <w:r>
          <w:rPr>
            <w:webHidden/>
          </w:rPr>
          <w:fldChar w:fldCharType="begin"/>
        </w:r>
        <w:r>
          <w:rPr>
            <w:webHidden/>
          </w:rPr>
          <w:instrText xml:space="preserve"> PAGEREF _Toc75869973 \h </w:instrText>
        </w:r>
        <w:r>
          <w:rPr>
            <w:webHidden/>
          </w:rPr>
        </w:r>
        <w:r>
          <w:rPr>
            <w:webHidden/>
          </w:rPr>
          <w:fldChar w:fldCharType="separate"/>
        </w:r>
        <w:r>
          <w:rPr>
            <w:webHidden/>
          </w:rPr>
          <w:t>108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4" w:history="1">
        <w:r w:rsidRPr="0028164A">
          <w:rPr>
            <w:rStyle w:val="ab"/>
            <w:rFonts w:asciiTheme="minorEastAsia" w:hAnsiTheme="minorEastAsia" w:hint="eastAsia"/>
          </w:rPr>
          <w:t>（七）基金转换的注册登记</w:t>
        </w:r>
        <w:r>
          <w:rPr>
            <w:webHidden/>
          </w:rPr>
          <w:tab/>
        </w:r>
        <w:r>
          <w:rPr>
            <w:webHidden/>
          </w:rPr>
          <w:fldChar w:fldCharType="begin"/>
        </w:r>
        <w:r>
          <w:rPr>
            <w:webHidden/>
          </w:rPr>
          <w:instrText xml:space="preserve"> PAGEREF _Toc75869974 \h </w:instrText>
        </w:r>
        <w:r>
          <w:rPr>
            <w:webHidden/>
          </w:rPr>
        </w:r>
        <w:r>
          <w:rPr>
            <w:webHidden/>
          </w:rPr>
          <w:fldChar w:fldCharType="separate"/>
        </w:r>
        <w:r>
          <w:rPr>
            <w:webHidden/>
          </w:rPr>
          <w:t>110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5" w:history="1">
        <w:r w:rsidRPr="0028164A">
          <w:rPr>
            <w:rStyle w:val="ab"/>
            <w:rFonts w:asciiTheme="minorEastAsia" w:hAnsiTheme="minorEastAsia" w:hint="eastAsia"/>
          </w:rPr>
          <w:t>（八）基金转换与巨额赎回</w:t>
        </w:r>
        <w:r>
          <w:rPr>
            <w:webHidden/>
          </w:rPr>
          <w:tab/>
        </w:r>
        <w:r>
          <w:rPr>
            <w:webHidden/>
          </w:rPr>
          <w:fldChar w:fldCharType="begin"/>
        </w:r>
        <w:r>
          <w:rPr>
            <w:webHidden/>
          </w:rPr>
          <w:instrText xml:space="preserve"> PAGEREF _Toc75869975 \h </w:instrText>
        </w:r>
        <w:r>
          <w:rPr>
            <w:webHidden/>
          </w:rPr>
        </w:r>
        <w:r>
          <w:rPr>
            <w:webHidden/>
          </w:rPr>
          <w:fldChar w:fldCharType="separate"/>
        </w:r>
        <w:r>
          <w:rPr>
            <w:webHidden/>
          </w:rPr>
          <w:t>110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6" w:history="1">
        <w:r w:rsidRPr="0028164A">
          <w:rPr>
            <w:rStyle w:val="ab"/>
            <w:rFonts w:asciiTheme="minorEastAsia" w:hAnsiTheme="minorEastAsia" w:hint="eastAsia"/>
          </w:rPr>
          <w:t>（九）拒绝或暂停基金转换的情形</w:t>
        </w:r>
        <w:r>
          <w:rPr>
            <w:webHidden/>
          </w:rPr>
          <w:tab/>
        </w:r>
        <w:r>
          <w:rPr>
            <w:webHidden/>
          </w:rPr>
          <w:fldChar w:fldCharType="begin"/>
        </w:r>
        <w:r>
          <w:rPr>
            <w:webHidden/>
          </w:rPr>
          <w:instrText xml:space="preserve"> PAGEREF _Toc75869976 \h </w:instrText>
        </w:r>
        <w:r>
          <w:rPr>
            <w:webHidden/>
          </w:rPr>
        </w:r>
        <w:r>
          <w:rPr>
            <w:webHidden/>
          </w:rPr>
          <w:fldChar w:fldCharType="separate"/>
        </w:r>
        <w:r>
          <w:rPr>
            <w:webHidden/>
          </w:rPr>
          <w:t>110</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77" w:history="1">
        <w:r w:rsidRPr="0028164A">
          <w:rPr>
            <w:rStyle w:val="ab"/>
            <w:rFonts w:asciiTheme="minorEastAsia" w:hAnsiTheme="minorEastAsia" w:hint="eastAsia"/>
            <w:b/>
          </w:rPr>
          <w:t>九、基金的非交易过户、转托管、冻结与质押</w:t>
        </w:r>
        <w:r>
          <w:rPr>
            <w:webHidden/>
          </w:rPr>
          <w:tab/>
        </w:r>
        <w:r>
          <w:rPr>
            <w:webHidden/>
          </w:rPr>
          <w:fldChar w:fldCharType="begin"/>
        </w:r>
        <w:r>
          <w:rPr>
            <w:webHidden/>
          </w:rPr>
          <w:instrText xml:space="preserve"> PAGEREF _Toc75869977 \h </w:instrText>
        </w:r>
        <w:r>
          <w:rPr>
            <w:webHidden/>
          </w:rPr>
        </w:r>
        <w:r>
          <w:rPr>
            <w:webHidden/>
          </w:rPr>
          <w:fldChar w:fldCharType="separate"/>
        </w:r>
        <w:r>
          <w:rPr>
            <w:webHidden/>
          </w:rPr>
          <w:t>112</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78" w:history="1">
        <w:r w:rsidRPr="0028164A">
          <w:rPr>
            <w:rStyle w:val="ab"/>
            <w:rFonts w:asciiTheme="minorEastAsia" w:hAnsiTheme="minorEastAsia" w:hint="eastAsia"/>
            <w:b/>
          </w:rPr>
          <w:t>十、基金的投资</w:t>
        </w:r>
        <w:r>
          <w:rPr>
            <w:webHidden/>
          </w:rPr>
          <w:tab/>
        </w:r>
        <w:r>
          <w:rPr>
            <w:webHidden/>
          </w:rPr>
          <w:fldChar w:fldCharType="begin"/>
        </w:r>
        <w:r>
          <w:rPr>
            <w:webHidden/>
          </w:rPr>
          <w:instrText xml:space="preserve"> PAGEREF _Toc75869978 \h </w:instrText>
        </w:r>
        <w:r>
          <w:rPr>
            <w:webHidden/>
          </w:rPr>
        </w:r>
        <w:r>
          <w:rPr>
            <w:webHidden/>
          </w:rPr>
          <w:fldChar w:fldCharType="separate"/>
        </w:r>
        <w:r>
          <w:rPr>
            <w:webHidden/>
          </w:rPr>
          <w:t>113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79" w:history="1">
        <w:r w:rsidRPr="0028164A">
          <w:rPr>
            <w:rStyle w:val="ab"/>
            <w:rFonts w:asciiTheme="minorEastAsia" w:hAnsiTheme="minorEastAsia" w:hint="eastAsia"/>
          </w:rPr>
          <w:t>（一）投资目标</w:t>
        </w:r>
        <w:r>
          <w:rPr>
            <w:webHidden/>
          </w:rPr>
          <w:tab/>
        </w:r>
        <w:r>
          <w:rPr>
            <w:webHidden/>
          </w:rPr>
          <w:fldChar w:fldCharType="begin"/>
        </w:r>
        <w:r>
          <w:rPr>
            <w:webHidden/>
          </w:rPr>
          <w:instrText xml:space="preserve"> PAGEREF _Toc75869979 \h </w:instrText>
        </w:r>
        <w:r>
          <w:rPr>
            <w:webHidden/>
          </w:rPr>
        </w:r>
        <w:r>
          <w:rPr>
            <w:webHidden/>
          </w:rPr>
          <w:fldChar w:fldCharType="separate"/>
        </w:r>
        <w:r>
          <w:rPr>
            <w:webHidden/>
          </w:rPr>
          <w:t>113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0" w:history="1">
        <w:r w:rsidRPr="0028164A">
          <w:rPr>
            <w:rStyle w:val="ab"/>
            <w:rFonts w:asciiTheme="minorEastAsia" w:hAnsiTheme="minorEastAsia" w:hint="eastAsia"/>
          </w:rPr>
          <w:t>（二）投资范围</w:t>
        </w:r>
        <w:r>
          <w:rPr>
            <w:webHidden/>
          </w:rPr>
          <w:tab/>
        </w:r>
        <w:r>
          <w:rPr>
            <w:webHidden/>
          </w:rPr>
          <w:fldChar w:fldCharType="begin"/>
        </w:r>
        <w:r>
          <w:rPr>
            <w:webHidden/>
          </w:rPr>
          <w:instrText xml:space="preserve"> PAGEREF _Toc75869980 \h </w:instrText>
        </w:r>
        <w:r>
          <w:rPr>
            <w:webHidden/>
          </w:rPr>
        </w:r>
        <w:r>
          <w:rPr>
            <w:webHidden/>
          </w:rPr>
          <w:fldChar w:fldCharType="separate"/>
        </w:r>
        <w:r>
          <w:rPr>
            <w:webHidden/>
          </w:rPr>
          <w:t>113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1" w:history="1">
        <w:r w:rsidRPr="0028164A">
          <w:rPr>
            <w:rStyle w:val="ab"/>
            <w:rFonts w:asciiTheme="minorEastAsia" w:hAnsiTheme="minorEastAsia" w:hint="eastAsia"/>
          </w:rPr>
          <w:t>（三）投资理念</w:t>
        </w:r>
        <w:r>
          <w:rPr>
            <w:webHidden/>
          </w:rPr>
          <w:tab/>
        </w:r>
        <w:r>
          <w:rPr>
            <w:webHidden/>
          </w:rPr>
          <w:fldChar w:fldCharType="begin"/>
        </w:r>
        <w:r>
          <w:rPr>
            <w:webHidden/>
          </w:rPr>
          <w:instrText xml:space="preserve"> PAGEREF _Toc75869981 \h </w:instrText>
        </w:r>
        <w:r>
          <w:rPr>
            <w:webHidden/>
          </w:rPr>
        </w:r>
        <w:r>
          <w:rPr>
            <w:webHidden/>
          </w:rPr>
          <w:fldChar w:fldCharType="separate"/>
        </w:r>
        <w:r>
          <w:rPr>
            <w:webHidden/>
          </w:rPr>
          <w:t>113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2" w:history="1">
        <w:r w:rsidRPr="0028164A">
          <w:rPr>
            <w:rStyle w:val="ab"/>
            <w:rFonts w:asciiTheme="minorEastAsia" w:hAnsiTheme="minorEastAsia" w:hint="eastAsia"/>
          </w:rPr>
          <w:t>（四）投资策略</w:t>
        </w:r>
        <w:r>
          <w:rPr>
            <w:webHidden/>
          </w:rPr>
          <w:tab/>
        </w:r>
        <w:r>
          <w:rPr>
            <w:webHidden/>
          </w:rPr>
          <w:fldChar w:fldCharType="begin"/>
        </w:r>
        <w:r>
          <w:rPr>
            <w:webHidden/>
          </w:rPr>
          <w:instrText xml:space="preserve"> PAGEREF _Toc75869982 \h </w:instrText>
        </w:r>
        <w:r>
          <w:rPr>
            <w:webHidden/>
          </w:rPr>
        </w:r>
        <w:r>
          <w:rPr>
            <w:webHidden/>
          </w:rPr>
          <w:fldChar w:fldCharType="separate"/>
        </w:r>
        <w:r>
          <w:rPr>
            <w:webHidden/>
          </w:rPr>
          <w:t>113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3" w:history="1">
        <w:r w:rsidRPr="0028164A">
          <w:rPr>
            <w:rStyle w:val="ab"/>
            <w:rFonts w:asciiTheme="minorEastAsia" w:hAnsiTheme="minorEastAsia" w:hint="eastAsia"/>
          </w:rPr>
          <w:t>（五）业绩比较基准</w:t>
        </w:r>
        <w:r>
          <w:rPr>
            <w:webHidden/>
          </w:rPr>
          <w:tab/>
        </w:r>
        <w:r>
          <w:rPr>
            <w:webHidden/>
          </w:rPr>
          <w:fldChar w:fldCharType="begin"/>
        </w:r>
        <w:r>
          <w:rPr>
            <w:webHidden/>
          </w:rPr>
          <w:instrText xml:space="preserve"> PAGEREF _Toc75869983 \h </w:instrText>
        </w:r>
        <w:r>
          <w:rPr>
            <w:webHidden/>
          </w:rPr>
        </w:r>
        <w:r>
          <w:rPr>
            <w:webHidden/>
          </w:rPr>
          <w:fldChar w:fldCharType="separate"/>
        </w:r>
        <w:r>
          <w:rPr>
            <w:webHidden/>
          </w:rPr>
          <w:t>115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4" w:history="1">
        <w:r w:rsidRPr="0028164A">
          <w:rPr>
            <w:rStyle w:val="ab"/>
            <w:rFonts w:asciiTheme="minorEastAsia" w:hAnsiTheme="minorEastAsia" w:hint="eastAsia"/>
          </w:rPr>
          <w:t>（六）风险收益特征</w:t>
        </w:r>
        <w:r>
          <w:rPr>
            <w:webHidden/>
          </w:rPr>
          <w:tab/>
        </w:r>
        <w:r>
          <w:rPr>
            <w:webHidden/>
          </w:rPr>
          <w:fldChar w:fldCharType="begin"/>
        </w:r>
        <w:r>
          <w:rPr>
            <w:webHidden/>
          </w:rPr>
          <w:instrText xml:space="preserve"> PAGEREF _Toc75869984 \h </w:instrText>
        </w:r>
        <w:r>
          <w:rPr>
            <w:webHidden/>
          </w:rPr>
        </w:r>
        <w:r>
          <w:rPr>
            <w:webHidden/>
          </w:rPr>
          <w:fldChar w:fldCharType="separate"/>
        </w:r>
        <w:r>
          <w:rPr>
            <w:webHidden/>
          </w:rPr>
          <w:t>115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5" w:history="1">
        <w:r w:rsidRPr="0028164A">
          <w:rPr>
            <w:rStyle w:val="ab"/>
            <w:rFonts w:asciiTheme="minorEastAsia" w:hAnsiTheme="minorEastAsia" w:hint="eastAsia"/>
          </w:rPr>
          <w:t>（七）投资决策</w:t>
        </w:r>
        <w:r>
          <w:rPr>
            <w:webHidden/>
          </w:rPr>
          <w:tab/>
        </w:r>
        <w:r>
          <w:rPr>
            <w:webHidden/>
          </w:rPr>
          <w:fldChar w:fldCharType="begin"/>
        </w:r>
        <w:r>
          <w:rPr>
            <w:webHidden/>
          </w:rPr>
          <w:instrText xml:space="preserve"> PAGEREF _Toc75869985 \h </w:instrText>
        </w:r>
        <w:r>
          <w:rPr>
            <w:webHidden/>
          </w:rPr>
        </w:r>
        <w:r>
          <w:rPr>
            <w:webHidden/>
          </w:rPr>
          <w:fldChar w:fldCharType="separate"/>
        </w:r>
        <w:r>
          <w:rPr>
            <w:webHidden/>
          </w:rPr>
          <w:t>115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6" w:history="1">
        <w:r w:rsidRPr="0028164A">
          <w:rPr>
            <w:rStyle w:val="ab"/>
            <w:rFonts w:asciiTheme="minorEastAsia" w:hAnsiTheme="minorEastAsia" w:hint="eastAsia"/>
          </w:rPr>
          <w:t>（八）投资组合限制</w:t>
        </w:r>
        <w:r>
          <w:rPr>
            <w:webHidden/>
          </w:rPr>
          <w:tab/>
        </w:r>
        <w:r>
          <w:rPr>
            <w:webHidden/>
          </w:rPr>
          <w:fldChar w:fldCharType="begin"/>
        </w:r>
        <w:r>
          <w:rPr>
            <w:webHidden/>
          </w:rPr>
          <w:instrText xml:space="preserve"> PAGEREF _Toc75869986 \h </w:instrText>
        </w:r>
        <w:r>
          <w:rPr>
            <w:webHidden/>
          </w:rPr>
        </w:r>
        <w:r>
          <w:rPr>
            <w:webHidden/>
          </w:rPr>
          <w:fldChar w:fldCharType="separate"/>
        </w:r>
        <w:r>
          <w:rPr>
            <w:webHidden/>
          </w:rPr>
          <w:t>116</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7" w:history="1">
        <w:r w:rsidRPr="0028164A">
          <w:rPr>
            <w:rStyle w:val="ab"/>
            <w:rFonts w:asciiTheme="minorEastAsia" w:hAnsiTheme="minorEastAsia" w:hint="eastAsia"/>
          </w:rPr>
          <w:t>（九）禁止行为</w:t>
        </w:r>
        <w:r>
          <w:rPr>
            <w:webHidden/>
          </w:rPr>
          <w:tab/>
        </w:r>
        <w:r>
          <w:rPr>
            <w:webHidden/>
          </w:rPr>
          <w:fldChar w:fldCharType="begin"/>
        </w:r>
        <w:r>
          <w:rPr>
            <w:webHidden/>
          </w:rPr>
          <w:instrText xml:space="preserve"> PAGEREF _Toc75869987 \h </w:instrText>
        </w:r>
        <w:r>
          <w:rPr>
            <w:webHidden/>
          </w:rPr>
        </w:r>
        <w:r>
          <w:rPr>
            <w:webHidden/>
          </w:rPr>
          <w:fldChar w:fldCharType="separate"/>
        </w:r>
        <w:r>
          <w:rPr>
            <w:webHidden/>
          </w:rPr>
          <w:t>117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8" w:history="1">
        <w:r w:rsidRPr="0028164A">
          <w:rPr>
            <w:rStyle w:val="ab"/>
            <w:rFonts w:asciiTheme="minorEastAsia" w:hAnsiTheme="minorEastAsia" w:hint="eastAsia"/>
          </w:rPr>
          <w:t>（十）基金管理人代表基金行使所投资证券产生权利的处理原则及方法</w:t>
        </w:r>
        <w:r>
          <w:rPr>
            <w:webHidden/>
          </w:rPr>
          <w:tab/>
        </w:r>
        <w:r>
          <w:rPr>
            <w:webHidden/>
          </w:rPr>
          <w:fldChar w:fldCharType="begin"/>
        </w:r>
        <w:r>
          <w:rPr>
            <w:webHidden/>
          </w:rPr>
          <w:instrText xml:space="preserve"> PAGEREF _Toc75869988 \h </w:instrText>
        </w:r>
        <w:r>
          <w:rPr>
            <w:webHidden/>
          </w:rPr>
        </w:r>
        <w:r>
          <w:rPr>
            <w:webHidden/>
          </w:rPr>
          <w:fldChar w:fldCharType="separate"/>
        </w:r>
        <w:r>
          <w:rPr>
            <w:webHidden/>
          </w:rPr>
          <w:t>117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89" w:history="1">
        <w:r w:rsidRPr="0028164A">
          <w:rPr>
            <w:rStyle w:val="ab"/>
            <w:rFonts w:asciiTheme="minorEastAsia" w:hAnsiTheme="minorEastAsia" w:hint="eastAsia"/>
          </w:rPr>
          <w:t>（十一）基金的融资、融券</w:t>
        </w:r>
        <w:r>
          <w:rPr>
            <w:webHidden/>
          </w:rPr>
          <w:tab/>
        </w:r>
        <w:r>
          <w:rPr>
            <w:webHidden/>
          </w:rPr>
          <w:fldChar w:fldCharType="begin"/>
        </w:r>
        <w:r>
          <w:rPr>
            <w:webHidden/>
          </w:rPr>
          <w:instrText xml:space="preserve"> PAGEREF _Toc75869989 \h </w:instrText>
        </w:r>
        <w:r>
          <w:rPr>
            <w:webHidden/>
          </w:rPr>
        </w:r>
        <w:r>
          <w:rPr>
            <w:webHidden/>
          </w:rPr>
          <w:fldChar w:fldCharType="separate"/>
        </w:r>
        <w:r>
          <w:rPr>
            <w:webHidden/>
          </w:rPr>
          <w:t>117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0" w:history="1">
        <w:r w:rsidRPr="0028164A">
          <w:rPr>
            <w:rStyle w:val="ab"/>
            <w:rFonts w:hint="eastAsia"/>
          </w:rPr>
          <w:t>（十二）侧袋机制的实施和</w:t>
        </w:r>
        <w:r w:rsidRPr="0028164A">
          <w:rPr>
            <w:rStyle w:val="ab"/>
            <w:rFonts w:asciiTheme="minorEastAsia" w:hAnsiTheme="minorEastAsia" w:hint="eastAsia"/>
          </w:rPr>
          <w:t>投资</w:t>
        </w:r>
        <w:r w:rsidRPr="0028164A">
          <w:rPr>
            <w:rStyle w:val="ab"/>
            <w:rFonts w:hint="eastAsia"/>
          </w:rPr>
          <w:t>运作安排</w:t>
        </w:r>
        <w:r>
          <w:rPr>
            <w:webHidden/>
          </w:rPr>
          <w:tab/>
        </w:r>
        <w:r>
          <w:rPr>
            <w:webHidden/>
          </w:rPr>
          <w:fldChar w:fldCharType="begin"/>
        </w:r>
        <w:r>
          <w:rPr>
            <w:webHidden/>
          </w:rPr>
          <w:instrText xml:space="preserve"> PAGEREF _Toc75869990 \h </w:instrText>
        </w:r>
        <w:r>
          <w:rPr>
            <w:webHidden/>
          </w:rPr>
        </w:r>
        <w:r>
          <w:rPr>
            <w:webHidden/>
          </w:rPr>
          <w:fldChar w:fldCharType="separate"/>
        </w:r>
        <w:r>
          <w:rPr>
            <w:webHidden/>
          </w:rPr>
          <w:t>117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1" w:history="1">
        <w:r w:rsidRPr="0028164A">
          <w:rPr>
            <w:rStyle w:val="ab"/>
            <w:rFonts w:asciiTheme="minorEastAsia" w:hAnsiTheme="minorEastAsia" w:hint="eastAsia"/>
          </w:rPr>
          <w:t>（十三）基金投资组合报告</w:t>
        </w:r>
        <w:r w:rsidRPr="0028164A">
          <w:rPr>
            <w:rStyle w:val="ab"/>
            <w:rFonts w:asciiTheme="minorEastAsia" w:hAnsiTheme="minorEastAsia"/>
          </w:rPr>
          <w:t>(</w:t>
        </w:r>
        <w:r w:rsidRPr="0028164A">
          <w:rPr>
            <w:rStyle w:val="ab"/>
            <w:rFonts w:asciiTheme="minorEastAsia" w:hAnsiTheme="minorEastAsia" w:hint="eastAsia"/>
          </w:rPr>
          <w:t>未经审计</w:t>
        </w:r>
        <w:r w:rsidRPr="0028164A">
          <w:rPr>
            <w:rStyle w:val="ab"/>
            <w:rFonts w:asciiTheme="minorEastAsia" w:hAnsiTheme="minorEastAsia"/>
          </w:rPr>
          <w:t>)</w:t>
        </w:r>
        <w:r>
          <w:rPr>
            <w:webHidden/>
          </w:rPr>
          <w:tab/>
        </w:r>
        <w:r>
          <w:rPr>
            <w:webHidden/>
          </w:rPr>
          <w:fldChar w:fldCharType="begin"/>
        </w:r>
        <w:r>
          <w:rPr>
            <w:webHidden/>
          </w:rPr>
          <w:instrText xml:space="preserve"> PAGEREF _Toc75869991 \h </w:instrText>
        </w:r>
        <w:r>
          <w:rPr>
            <w:webHidden/>
          </w:rPr>
        </w:r>
        <w:r>
          <w:rPr>
            <w:webHidden/>
          </w:rPr>
          <w:fldChar w:fldCharType="separate"/>
        </w:r>
        <w:r>
          <w:rPr>
            <w:webHidden/>
          </w:rPr>
          <w:t>118</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92" w:history="1">
        <w:r w:rsidRPr="0028164A">
          <w:rPr>
            <w:rStyle w:val="ab"/>
            <w:rFonts w:asciiTheme="minorEastAsia" w:hAnsiTheme="minorEastAsia" w:hint="eastAsia"/>
            <w:b/>
          </w:rPr>
          <w:t>十一、基金的业绩</w:t>
        </w:r>
        <w:r>
          <w:rPr>
            <w:webHidden/>
          </w:rPr>
          <w:tab/>
        </w:r>
        <w:r>
          <w:rPr>
            <w:webHidden/>
          </w:rPr>
          <w:fldChar w:fldCharType="begin"/>
        </w:r>
        <w:r>
          <w:rPr>
            <w:webHidden/>
          </w:rPr>
          <w:instrText xml:space="preserve"> PAGEREF _Toc75869992 \h </w:instrText>
        </w:r>
        <w:r>
          <w:rPr>
            <w:webHidden/>
          </w:rPr>
        </w:r>
        <w:r>
          <w:rPr>
            <w:webHidden/>
          </w:rPr>
          <w:fldChar w:fldCharType="separate"/>
        </w:r>
        <w:r>
          <w:rPr>
            <w:webHidden/>
          </w:rPr>
          <w:t>126</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93" w:history="1">
        <w:r w:rsidRPr="0028164A">
          <w:rPr>
            <w:rStyle w:val="ab"/>
            <w:rFonts w:asciiTheme="minorEastAsia" w:hAnsiTheme="minorEastAsia" w:hint="eastAsia"/>
            <w:b/>
          </w:rPr>
          <w:t>十二、基金的财产</w:t>
        </w:r>
        <w:r>
          <w:rPr>
            <w:webHidden/>
          </w:rPr>
          <w:tab/>
        </w:r>
        <w:r>
          <w:rPr>
            <w:webHidden/>
          </w:rPr>
          <w:fldChar w:fldCharType="begin"/>
        </w:r>
        <w:r>
          <w:rPr>
            <w:webHidden/>
          </w:rPr>
          <w:instrText xml:space="preserve"> PAGEREF _Toc75869993 \h </w:instrText>
        </w:r>
        <w:r>
          <w:rPr>
            <w:webHidden/>
          </w:rPr>
        </w:r>
        <w:r>
          <w:rPr>
            <w:webHidden/>
          </w:rPr>
          <w:fldChar w:fldCharType="separate"/>
        </w:r>
        <w:r>
          <w:rPr>
            <w:webHidden/>
          </w:rPr>
          <w:t>130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4" w:history="1">
        <w:r w:rsidRPr="0028164A">
          <w:rPr>
            <w:rStyle w:val="ab"/>
            <w:rFonts w:asciiTheme="minorEastAsia" w:hAnsiTheme="minorEastAsia" w:hint="eastAsia"/>
          </w:rPr>
          <w:t>（一）基金财产构成</w:t>
        </w:r>
        <w:r>
          <w:rPr>
            <w:webHidden/>
          </w:rPr>
          <w:tab/>
        </w:r>
        <w:r>
          <w:rPr>
            <w:webHidden/>
          </w:rPr>
          <w:fldChar w:fldCharType="begin"/>
        </w:r>
        <w:r>
          <w:rPr>
            <w:webHidden/>
          </w:rPr>
          <w:instrText xml:space="preserve"> PAGEREF _Toc75869994 \h </w:instrText>
        </w:r>
        <w:r>
          <w:rPr>
            <w:webHidden/>
          </w:rPr>
        </w:r>
        <w:r>
          <w:rPr>
            <w:webHidden/>
          </w:rPr>
          <w:fldChar w:fldCharType="separate"/>
        </w:r>
        <w:r>
          <w:rPr>
            <w:webHidden/>
          </w:rPr>
          <w:t>130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5" w:history="1">
        <w:r w:rsidRPr="0028164A">
          <w:rPr>
            <w:rStyle w:val="ab"/>
            <w:rFonts w:asciiTheme="minorEastAsia" w:hAnsiTheme="minorEastAsia" w:hint="eastAsia"/>
          </w:rPr>
          <w:t>（二）基金财产的账户</w:t>
        </w:r>
        <w:r>
          <w:rPr>
            <w:webHidden/>
          </w:rPr>
          <w:tab/>
        </w:r>
        <w:r>
          <w:rPr>
            <w:webHidden/>
          </w:rPr>
          <w:fldChar w:fldCharType="begin"/>
        </w:r>
        <w:r>
          <w:rPr>
            <w:webHidden/>
          </w:rPr>
          <w:instrText xml:space="preserve"> PAGEREF _Toc75869995 \h </w:instrText>
        </w:r>
        <w:r>
          <w:rPr>
            <w:webHidden/>
          </w:rPr>
        </w:r>
        <w:r>
          <w:rPr>
            <w:webHidden/>
          </w:rPr>
          <w:fldChar w:fldCharType="separate"/>
        </w:r>
        <w:r>
          <w:rPr>
            <w:webHidden/>
          </w:rPr>
          <w:t>130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6" w:history="1">
        <w:r w:rsidRPr="0028164A">
          <w:rPr>
            <w:rStyle w:val="ab"/>
            <w:rFonts w:asciiTheme="minorEastAsia" w:hAnsiTheme="minorEastAsia" w:hint="eastAsia"/>
          </w:rPr>
          <w:t>（三）基金财产的保管与处分</w:t>
        </w:r>
        <w:r>
          <w:rPr>
            <w:webHidden/>
          </w:rPr>
          <w:tab/>
        </w:r>
        <w:r>
          <w:rPr>
            <w:webHidden/>
          </w:rPr>
          <w:fldChar w:fldCharType="begin"/>
        </w:r>
        <w:r>
          <w:rPr>
            <w:webHidden/>
          </w:rPr>
          <w:instrText xml:space="preserve"> PAGEREF _Toc75869996 \h </w:instrText>
        </w:r>
        <w:r>
          <w:rPr>
            <w:webHidden/>
          </w:rPr>
        </w:r>
        <w:r>
          <w:rPr>
            <w:webHidden/>
          </w:rPr>
          <w:fldChar w:fldCharType="separate"/>
        </w:r>
        <w:r>
          <w:rPr>
            <w:webHidden/>
          </w:rPr>
          <w:t>130</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69997" w:history="1">
        <w:r w:rsidRPr="0028164A">
          <w:rPr>
            <w:rStyle w:val="ab"/>
            <w:rFonts w:asciiTheme="minorEastAsia" w:hAnsiTheme="minorEastAsia" w:hint="eastAsia"/>
            <w:b/>
          </w:rPr>
          <w:t>十三、基金资产估值</w:t>
        </w:r>
        <w:r>
          <w:rPr>
            <w:webHidden/>
          </w:rPr>
          <w:tab/>
        </w:r>
        <w:r>
          <w:rPr>
            <w:webHidden/>
          </w:rPr>
          <w:fldChar w:fldCharType="begin"/>
        </w:r>
        <w:r>
          <w:rPr>
            <w:webHidden/>
          </w:rPr>
          <w:instrText xml:space="preserve"> PAGEREF _Toc75869997 \h </w:instrText>
        </w:r>
        <w:r>
          <w:rPr>
            <w:webHidden/>
          </w:rPr>
        </w:r>
        <w:r>
          <w:rPr>
            <w:webHidden/>
          </w:rPr>
          <w:fldChar w:fldCharType="separate"/>
        </w:r>
        <w:r>
          <w:rPr>
            <w:webHidden/>
          </w:rPr>
          <w:t>131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8" w:history="1">
        <w:r w:rsidRPr="0028164A">
          <w:rPr>
            <w:rStyle w:val="ab"/>
            <w:rFonts w:asciiTheme="minorEastAsia" w:hAnsiTheme="minorEastAsia" w:hint="eastAsia"/>
          </w:rPr>
          <w:t>（一）估值目的</w:t>
        </w:r>
        <w:r>
          <w:rPr>
            <w:webHidden/>
          </w:rPr>
          <w:tab/>
        </w:r>
        <w:r>
          <w:rPr>
            <w:webHidden/>
          </w:rPr>
          <w:fldChar w:fldCharType="begin"/>
        </w:r>
        <w:r>
          <w:rPr>
            <w:webHidden/>
          </w:rPr>
          <w:instrText xml:space="preserve"> PAGEREF _Toc75869998 \h </w:instrText>
        </w:r>
        <w:r>
          <w:rPr>
            <w:webHidden/>
          </w:rPr>
        </w:r>
        <w:r>
          <w:rPr>
            <w:webHidden/>
          </w:rPr>
          <w:fldChar w:fldCharType="separate"/>
        </w:r>
        <w:r>
          <w:rPr>
            <w:webHidden/>
          </w:rPr>
          <w:t>131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69999" w:history="1">
        <w:r w:rsidRPr="0028164A">
          <w:rPr>
            <w:rStyle w:val="ab"/>
            <w:rFonts w:asciiTheme="minorEastAsia" w:hAnsiTheme="minorEastAsia" w:hint="eastAsia"/>
          </w:rPr>
          <w:t>（二）估值日</w:t>
        </w:r>
        <w:r>
          <w:rPr>
            <w:webHidden/>
          </w:rPr>
          <w:tab/>
        </w:r>
        <w:r>
          <w:rPr>
            <w:webHidden/>
          </w:rPr>
          <w:fldChar w:fldCharType="begin"/>
        </w:r>
        <w:r>
          <w:rPr>
            <w:webHidden/>
          </w:rPr>
          <w:instrText xml:space="preserve"> PAGEREF _Toc75869999 \h </w:instrText>
        </w:r>
        <w:r>
          <w:rPr>
            <w:webHidden/>
          </w:rPr>
        </w:r>
        <w:r>
          <w:rPr>
            <w:webHidden/>
          </w:rPr>
          <w:fldChar w:fldCharType="separate"/>
        </w:r>
        <w:r>
          <w:rPr>
            <w:webHidden/>
          </w:rPr>
          <w:t>131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0" w:history="1">
        <w:r w:rsidRPr="0028164A">
          <w:rPr>
            <w:rStyle w:val="ab"/>
            <w:rFonts w:asciiTheme="minorEastAsia" w:hAnsiTheme="minorEastAsia" w:hint="eastAsia"/>
          </w:rPr>
          <w:t>（三）估值对象</w:t>
        </w:r>
        <w:r>
          <w:rPr>
            <w:webHidden/>
          </w:rPr>
          <w:tab/>
        </w:r>
        <w:r>
          <w:rPr>
            <w:webHidden/>
          </w:rPr>
          <w:fldChar w:fldCharType="begin"/>
        </w:r>
        <w:r>
          <w:rPr>
            <w:webHidden/>
          </w:rPr>
          <w:instrText xml:space="preserve"> PAGEREF _Toc75870000 \h </w:instrText>
        </w:r>
        <w:r>
          <w:rPr>
            <w:webHidden/>
          </w:rPr>
        </w:r>
        <w:r>
          <w:rPr>
            <w:webHidden/>
          </w:rPr>
          <w:fldChar w:fldCharType="separate"/>
        </w:r>
        <w:r>
          <w:rPr>
            <w:webHidden/>
          </w:rPr>
          <w:t>131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1" w:history="1">
        <w:r w:rsidRPr="0028164A">
          <w:rPr>
            <w:rStyle w:val="ab"/>
            <w:rFonts w:asciiTheme="minorEastAsia" w:hAnsiTheme="minorEastAsia" w:hint="eastAsia"/>
          </w:rPr>
          <w:t>（四）估值方法</w:t>
        </w:r>
        <w:r>
          <w:rPr>
            <w:webHidden/>
          </w:rPr>
          <w:tab/>
        </w:r>
        <w:r>
          <w:rPr>
            <w:webHidden/>
          </w:rPr>
          <w:fldChar w:fldCharType="begin"/>
        </w:r>
        <w:r>
          <w:rPr>
            <w:webHidden/>
          </w:rPr>
          <w:instrText xml:space="preserve"> PAGEREF _Toc75870001 \h </w:instrText>
        </w:r>
        <w:r>
          <w:rPr>
            <w:webHidden/>
          </w:rPr>
        </w:r>
        <w:r>
          <w:rPr>
            <w:webHidden/>
          </w:rPr>
          <w:fldChar w:fldCharType="separate"/>
        </w:r>
        <w:r>
          <w:rPr>
            <w:webHidden/>
          </w:rPr>
          <w:t>131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2" w:history="1">
        <w:r w:rsidRPr="0028164A">
          <w:rPr>
            <w:rStyle w:val="ab"/>
            <w:rFonts w:asciiTheme="minorEastAsia" w:hAnsiTheme="minorEastAsia" w:hint="eastAsia"/>
          </w:rPr>
          <w:t>（五）估值程序</w:t>
        </w:r>
        <w:r>
          <w:rPr>
            <w:webHidden/>
          </w:rPr>
          <w:tab/>
        </w:r>
        <w:r>
          <w:rPr>
            <w:webHidden/>
          </w:rPr>
          <w:fldChar w:fldCharType="begin"/>
        </w:r>
        <w:r>
          <w:rPr>
            <w:webHidden/>
          </w:rPr>
          <w:instrText xml:space="preserve"> PAGEREF _Toc75870002 \h </w:instrText>
        </w:r>
        <w:r>
          <w:rPr>
            <w:webHidden/>
          </w:rPr>
        </w:r>
        <w:r>
          <w:rPr>
            <w:webHidden/>
          </w:rPr>
          <w:fldChar w:fldCharType="separate"/>
        </w:r>
        <w:r>
          <w:rPr>
            <w:webHidden/>
          </w:rPr>
          <w:t>132</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3" w:history="1">
        <w:r w:rsidRPr="0028164A">
          <w:rPr>
            <w:rStyle w:val="ab"/>
            <w:rFonts w:asciiTheme="minorEastAsia" w:hAnsiTheme="minorEastAsia" w:hint="eastAsia"/>
          </w:rPr>
          <w:t>（六）暂停估值的情形</w:t>
        </w:r>
        <w:r>
          <w:rPr>
            <w:webHidden/>
          </w:rPr>
          <w:tab/>
        </w:r>
        <w:r>
          <w:rPr>
            <w:webHidden/>
          </w:rPr>
          <w:fldChar w:fldCharType="begin"/>
        </w:r>
        <w:r>
          <w:rPr>
            <w:webHidden/>
          </w:rPr>
          <w:instrText xml:space="preserve"> PAGEREF _Toc75870003 \h </w:instrText>
        </w:r>
        <w:r>
          <w:rPr>
            <w:webHidden/>
          </w:rPr>
        </w:r>
        <w:r>
          <w:rPr>
            <w:webHidden/>
          </w:rPr>
          <w:fldChar w:fldCharType="separate"/>
        </w:r>
        <w:r>
          <w:rPr>
            <w:webHidden/>
          </w:rPr>
          <w:t>132</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4" w:history="1">
        <w:r w:rsidRPr="0028164A">
          <w:rPr>
            <w:rStyle w:val="ab"/>
            <w:rFonts w:asciiTheme="minorEastAsia" w:hAnsiTheme="minorEastAsia" w:hint="eastAsia"/>
          </w:rPr>
          <w:t>（七）基金份额净值的确认</w:t>
        </w:r>
        <w:r>
          <w:rPr>
            <w:webHidden/>
          </w:rPr>
          <w:tab/>
        </w:r>
        <w:r>
          <w:rPr>
            <w:webHidden/>
          </w:rPr>
          <w:fldChar w:fldCharType="begin"/>
        </w:r>
        <w:r>
          <w:rPr>
            <w:webHidden/>
          </w:rPr>
          <w:instrText xml:space="preserve"> PAGEREF _Toc75870004 \h </w:instrText>
        </w:r>
        <w:r>
          <w:rPr>
            <w:webHidden/>
          </w:rPr>
        </w:r>
        <w:r>
          <w:rPr>
            <w:webHidden/>
          </w:rPr>
          <w:fldChar w:fldCharType="separate"/>
        </w:r>
        <w:r>
          <w:rPr>
            <w:webHidden/>
          </w:rPr>
          <w:t>132</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5" w:history="1">
        <w:r w:rsidRPr="0028164A">
          <w:rPr>
            <w:rStyle w:val="ab"/>
            <w:rFonts w:asciiTheme="minorEastAsia" w:hAnsiTheme="minorEastAsia" w:hint="eastAsia"/>
          </w:rPr>
          <w:t>（八）估值错误的处理</w:t>
        </w:r>
        <w:r>
          <w:rPr>
            <w:webHidden/>
          </w:rPr>
          <w:tab/>
        </w:r>
        <w:r>
          <w:rPr>
            <w:webHidden/>
          </w:rPr>
          <w:fldChar w:fldCharType="begin"/>
        </w:r>
        <w:r>
          <w:rPr>
            <w:webHidden/>
          </w:rPr>
          <w:instrText xml:space="preserve"> PAGEREF _Toc75870005 \h </w:instrText>
        </w:r>
        <w:r>
          <w:rPr>
            <w:webHidden/>
          </w:rPr>
        </w:r>
        <w:r>
          <w:rPr>
            <w:webHidden/>
          </w:rPr>
          <w:fldChar w:fldCharType="separate"/>
        </w:r>
        <w:r>
          <w:rPr>
            <w:webHidden/>
          </w:rPr>
          <w:t>133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6" w:history="1">
        <w:r w:rsidRPr="0028164A">
          <w:rPr>
            <w:rStyle w:val="ab"/>
            <w:rFonts w:asciiTheme="minorEastAsia" w:hAnsiTheme="minorEastAsia" w:hint="eastAsia"/>
          </w:rPr>
          <w:t>（九）特殊情形的处理</w:t>
        </w:r>
        <w:r>
          <w:rPr>
            <w:webHidden/>
          </w:rPr>
          <w:tab/>
        </w:r>
        <w:r>
          <w:rPr>
            <w:webHidden/>
          </w:rPr>
          <w:fldChar w:fldCharType="begin"/>
        </w:r>
        <w:r>
          <w:rPr>
            <w:webHidden/>
          </w:rPr>
          <w:instrText xml:space="preserve"> PAGEREF _Toc75870006 \h </w:instrText>
        </w:r>
        <w:r>
          <w:rPr>
            <w:webHidden/>
          </w:rPr>
        </w:r>
        <w:r>
          <w:rPr>
            <w:webHidden/>
          </w:rPr>
          <w:fldChar w:fldCharType="separate"/>
        </w:r>
        <w:r>
          <w:rPr>
            <w:webHidden/>
          </w:rPr>
          <w:t>133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7" w:history="1">
        <w:r w:rsidRPr="0028164A">
          <w:rPr>
            <w:rStyle w:val="ab"/>
            <w:rFonts w:asciiTheme="minorEastAsia" w:hAnsiTheme="minorEastAsia" w:hint="eastAsia"/>
          </w:rPr>
          <w:t>（十）实施侧袋机制期间的基金资产估值</w:t>
        </w:r>
        <w:r>
          <w:rPr>
            <w:webHidden/>
          </w:rPr>
          <w:tab/>
        </w:r>
        <w:r>
          <w:rPr>
            <w:webHidden/>
          </w:rPr>
          <w:fldChar w:fldCharType="begin"/>
        </w:r>
        <w:r>
          <w:rPr>
            <w:webHidden/>
          </w:rPr>
          <w:instrText xml:space="preserve"> PAGEREF _Toc75870007 \h </w:instrText>
        </w:r>
        <w:r>
          <w:rPr>
            <w:webHidden/>
          </w:rPr>
        </w:r>
        <w:r>
          <w:rPr>
            <w:webHidden/>
          </w:rPr>
          <w:fldChar w:fldCharType="separate"/>
        </w:r>
        <w:r>
          <w:rPr>
            <w:webHidden/>
          </w:rPr>
          <w:t>133</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08" w:history="1">
        <w:r w:rsidRPr="0028164A">
          <w:rPr>
            <w:rStyle w:val="ab"/>
            <w:rFonts w:asciiTheme="minorEastAsia" w:hAnsiTheme="minorEastAsia" w:hint="eastAsia"/>
            <w:b/>
          </w:rPr>
          <w:t>十四、基金的收益与分配</w:t>
        </w:r>
        <w:r>
          <w:rPr>
            <w:webHidden/>
          </w:rPr>
          <w:tab/>
        </w:r>
        <w:r>
          <w:rPr>
            <w:webHidden/>
          </w:rPr>
          <w:fldChar w:fldCharType="begin"/>
        </w:r>
        <w:r>
          <w:rPr>
            <w:webHidden/>
          </w:rPr>
          <w:instrText xml:space="preserve"> PAGEREF _Toc75870008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09" w:history="1">
        <w:r w:rsidRPr="0028164A">
          <w:rPr>
            <w:rStyle w:val="ab"/>
            <w:rFonts w:asciiTheme="minorEastAsia" w:hAnsiTheme="minorEastAsia" w:hint="eastAsia"/>
          </w:rPr>
          <w:t>（一）收益的构成</w:t>
        </w:r>
        <w:r>
          <w:rPr>
            <w:webHidden/>
          </w:rPr>
          <w:tab/>
        </w:r>
        <w:r>
          <w:rPr>
            <w:webHidden/>
          </w:rPr>
          <w:fldChar w:fldCharType="begin"/>
        </w:r>
        <w:r>
          <w:rPr>
            <w:webHidden/>
          </w:rPr>
          <w:instrText xml:space="preserve"> PAGEREF _Toc75870009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0" w:history="1">
        <w:r w:rsidRPr="0028164A">
          <w:rPr>
            <w:rStyle w:val="ab"/>
            <w:rFonts w:asciiTheme="minorEastAsia" w:hAnsiTheme="minorEastAsia" w:hint="eastAsia"/>
          </w:rPr>
          <w:t>（二）收益分配原则</w:t>
        </w:r>
        <w:r>
          <w:rPr>
            <w:webHidden/>
          </w:rPr>
          <w:tab/>
        </w:r>
        <w:r>
          <w:rPr>
            <w:webHidden/>
          </w:rPr>
          <w:fldChar w:fldCharType="begin"/>
        </w:r>
        <w:r>
          <w:rPr>
            <w:webHidden/>
          </w:rPr>
          <w:instrText xml:space="preserve"> PAGEREF _Toc75870010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1" w:history="1">
        <w:r w:rsidRPr="0028164A">
          <w:rPr>
            <w:rStyle w:val="ab"/>
            <w:rFonts w:asciiTheme="minorEastAsia" w:hAnsiTheme="minorEastAsia" w:hint="eastAsia"/>
          </w:rPr>
          <w:t>（三）收益分配方案</w:t>
        </w:r>
        <w:r>
          <w:rPr>
            <w:webHidden/>
          </w:rPr>
          <w:tab/>
        </w:r>
        <w:r>
          <w:rPr>
            <w:webHidden/>
          </w:rPr>
          <w:fldChar w:fldCharType="begin"/>
        </w:r>
        <w:r>
          <w:rPr>
            <w:webHidden/>
          </w:rPr>
          <w:instrText xml:space="preserve"> PAGEREF _Toc75870011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2" w:history="1">
        <w:r w:rsidRPr="0028164A">
          <w:rPr>
            <w:rStyle w:val="ab"/>
            <w:rFonts w:asciiTheme="minorEastAsia" w:hAnsiTheme="minorEastAsia" w:hint="eastAsia"/>
          </w:rPr>
          <w:t>（四）收益分配的确定与公告</w:t>
        </w:r>
        <w:r>
          <w:rPr>
            <w:webHidden/>
          </w:rPr>
          <w:tab/>
        </w:r>
        <w:r>
          <w:rPr>
            <w:webHidden/>
          </w:rPr>
          <w:fldChar w:fldCharType="begin"/>
        </w:r>
        <w:r>
          <w:rPr>
            <w:webHidden/>
          </w:rPr>
          <w:instrText xml:space="preserve"> PAGEREF _Toc75870012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3" w:history="1">
        <w:r w:rsidRPr="0028164A">
          <w:rPr>
            <w:rStyle w:val="ab"/>
            <w:rFonts w:asciiTheme="minorEastAsia" w:hAnsiTheme="minorEastAsia" w:hint="eastAsia"/>
          </w:rPr>
          <w:t>（五）收益分配中发生的费用</w:t>
        </w:r>
        <w:r>
          <w:rPr>
            <w:webHidden/>
          </w:rPr>
          <w:tab/>
        </w:r>
        <w:r>
          <w:rPr>
            <w:webHidden/>
          </w:rPr>
          <w:fldChar w:fldCharType="begin"/>
        </w:r>
        <w:r>
          <w:rPr>
            <w:webHidden/>
          </w:rPr>
          <w:instrText xml:space="preserve"> PAGEREF _Toc75870013 \h </w:instrText>
        </w:r>
        <w:r>
          <w:rPr>
            <w:webHidden/>
          </w:rPr>
        </w:r>
        <w:r>
          <w:rPr>
            <w:webHidden/>
          </w:rPr>
          <w:fldChar w:fldCharType="separate"/>
        </w:r>
        <w:r>
          <w:rPr>
            <w:webHidden/>
          </w:rPr>
          <w:t>134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4" w:history="1">
        <w:r w:rsidRPr="0028164A">
          <w:rPr>
            <w:rStyle w:val="ab"/>
            <w:rFonts w:asciiTheme="minorEastAsia" w:hAnsiTheme="minorEastAsia" w:hint="eastAsia"/>
          </w:rPr>
          <w:t>（六）实施侧袋机制期间的收益分配</w:t>
        </w:r>
        <w:r>
          <w:rPr>
            <w:webHidden/>
          </w:rPr>
          <w:tab/>
        </w:r>
        <w:r>
          <w:rPr>
            <w:webHidden/>
          </w:rPr>
          <w:fldChar w:fldCharType="begin"/>
        </w:r>
        <w:r>
          <w:rPr>
            <w:webHidden/>
          </w:rPr>
          <w:instrText xml:space="preserve"> PAGEREF _Toc75870014 \h </w:instrText>
        </w:r>
        <w:r>
          <w:rPr>
            <w:webHidden/>
          </w:rPr>
        </w:r>
        <w:r>
          <w:rPr>
            <w:webHidden/>
          </w:rPr>
          <w:fldChar w:fldCharType="separate"/>
        </w:r>
        <w:r>
          <w:rPr>
            <w:webHidden/>
          </w:rPr>
          <w:t>135</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15" w:history="1">
        <w:r w:rsidRPr="0028164A">
          <w:rPr>
            <w:rStyle w:val="ab"/>
            <w:rFonts w:asciiTheme="minorEastAsia" w:hAnsiTheme="minorEastAsia" w:hint="eastAsia"/>
            <w:b/>
          </w:rPr>
          <w:t>十五、基金的费用与税收</w:t>
        </w:r>
        <w:r>
          <w:rPr>
            <w:webHidden/>
          </w:rPr>
          <w:tab/>
        </w:r>
        <w:r>
          <w:rPr>
            <w:webHidden/>
          </w:rPr>
          <w:fldChar w:fldCharType="begin"/>
        </w:r>
        <w:r>
          <w:rPr>
            <w:webHidden/>
          </w:rPr>
          <w:instrText xml:space="preserve"> PAGEREF _Toc75870015 \h </w:instrText>
        </w:r>
        <w:r>
          <w:rPr>
            <w:webHidden/>
          </w:rPr>
        </w:r>
        <w:r>
          <w:rPr>
            <w:webHidden/>
          </w:rPr>
          <w:fldChar w:fldCharType="separate"/>
        </w:r>
        <w:r>
          <w:rPr>
            <w:webHidden/>
          </w:rPr>
          <w:t>136</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6" w:history="1">
        <w:r w:rsidRPr="0028164A">
          <w:rPr>
            <w:rStyle w:val="ab"/>
            <w:rFonts w:asciiTheme="minorEastAsia" w:hAnsiTheme="minorEastAsia" w:hint="eastAsia"/>
          </w:rPr>
          <w:t>（一）与基金运作有关的费用</w:t>
        </w:r>
        <w:r>
          <w:rPr>
            <w:webHidden/>
          </w:rPr>
          <w:tab/>
        </w:r>
        <w:r>
          <w:rPr>
            <w:webHidden/>
          </w:rPr>
          <w:fldChar w:fldCharType="begin"/>
        </w:r>
        <w:r>
          <w:rPr>
            <w:webHidden/>
          </w:rPr>
          <w:instrText xml:space="preserve"> PAGEREF _Toc75870016 \h </w:instrText>
        </w:r>
        <w:r>
          <w:rPr>
            <w:webHidden/>
          </w:rPr>
        </w:r>
        <w:r>
          <w:rPr>
            <w:webHidden/>
          </w:rPr>
          <w:fldChar w:fldCharType="separate"/>
        </w:r>
        <w:r>
          <w:rPr>
            <w:webHidden/>
          </w:rPr>
          <w:t>136</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7" w:history="1">
        <w:r w:rsidRPr="0028164A">
          <w:rPr>
            <w:rStyle w:val="ab"/>
            <w:rFonts w:asciiTheme="minorEastAsia" w:hAnsiTheme="minorEastAsia" w:hint="eastAsia"/>
          </w:rPr>
          <w:t>（二）与基金销售有关的费用</w:t>
        </w:r>
        <w:r>
          <w:rPr>
            <w:webHidden/>
          </w:rPr>
          <w:tab/>
        </w:r>
        <w:r>
          <w:rPr>
            <w:webHidden/>
          </w:rPr>
          <w:fldChar w:fldCharType="begin"/>
        </w:r>
        <w:r>
          <w:rPr>
            <w:webHidden/>
          </w:rPr>
          <w:instrText xml:space="preserve"> PAGEREF _Toc75870017 \h </w:instrText>
        </w:r>
        <w:r>
          <w:rPr>
            <w:webHidden/>
          </w:rPr>
        </w:r>
        <w:r>
          <w:rPr>
            <w:webHidden/>
          </w:rPr>
          <w:fldChar w:fldCharType="separate"/>
        </w:r>
        <w:r>
          <w:rPr>
            <w:webHidden/>
          </w:rPr>
          <w:t>137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8" w:history="1">
        <w:r w:rsidRPr="0028164A">
          <w:rPr>
            <w:rStyle w:val="ab"/>
            <w:rFonts w:asciiTheme="minorEastAsia" w:hAnsiTheme="minorEastAsia" w:hint="eastAsia"/>
          </w:rPr>
          <w:t>（三）实施侧袋机制期间的基金费用</w:t>
        </w:r>
        <w:r>
          <w:rPr>
            <w:webHidden/>
          </w:rPr>
          <w:tab/>
        </w:r>
        <w:r>
          <w:rPr>
            <w:webHidden/>
          </w:rPr>
          <w:fldChar w:fldCharType="begin"/>
        </w:r>
        <w:r>
          <w:rPr>
            <w:webHidden/>
          </w:rPr>
          <w:instrText xml:space="preserve"> PAGEREF _Toc75870018 \h </w:instrText>
        </w:r>
        <w:r>
          <w:rPr>
            <w:webHidden/>
          </w:rPr>
        </w:r>
        <w:r>
          <w:rPr>
            <w:webHidden/>
          </w:rPr>
          <w:fldChar w:fldCharType="separate"/>
        </w:r>
        <w:r>
          <w:rPr>
            <w:webHidden/>
          </w:rPr>
          <w:t>138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19" w:history="1">
        <w:r w:rsidRPr="0028164A">
          <w:rPr>
            <w:rStyle w:val="ab"/>
            <w:rFonts w:asciiTheme="minorEastAsia" w:hAnsiTheme="minorEastAsia" w:hint="eastAsia"/>
          </w:rPr>
          <w:t>（四）基金税收</w:t>
        </w:r>
        <w:r>
          <w:rPr>
            <w:webHidden/>
          </w:rPr>
          <w:tab/>
        </w:r>
        <w:r>
          <w:rPr>
            <w:webHidden/>
          </w:rPr>
          <w:fldChar w:fldCharType="begin"/>
        </w:r>
        <w:r>
          <w:rPr>
            <w:webHidden/>
          </w:rPr>
          <w:instrText xml:space="preserve"> PAGEREF _Toc75870019 \h </w:instrText>
        </w:r>
        <w:r>
          <w:rPr>
            <w:webHidden/>
          </w:rPr>
        </w:r>
        <w:r>
          <w:rPr>
            <w:webHidden/>
          </w:rPr>
          <w:fldChar w:fldCharType="separate"/>
        </w:r>
        <w:r>
          <w:rPr>
            <w:webHidden/>
          </w:rPr>
          <w:t>138</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20" w:history="1">
        <w:r w:rsidRPr="0028164A">
          <w:rPr>
            <w:rStyle w:val="ab"/>
            <w:rFonts w:asciiTheme="minorEastAsia" w:hAnsiTheme="minorEastAsia" w:hint="eastAsia"/>
            <w:b/>
          </w:rPr>
          <w:t>十六、基金的会计与审计</w:t>
        </w:r>
        <w:r>
          <w:rPr>
            <w:webHidden/>
          </w:rPr>
          <w:tab/>
        </w:r>
        <w:r>
          <w:rPr>
            <w:webHidden/>
          </w:rPr>
          <w:fldChar w:fldCharType="begin"/>
        </w:r>
        <w:r>
          <w:rPr>
            <w:webHidden/>
          </w:rPr>
          <w:instrText xml:space="preserve"> PAGEREF _Toc75870020 \h </w:instrText>
        </w:r>
        <w:r>
          <w:rPr>
            <w:webHidden/>
          </w:rPr>
        </w:r>
        <w:r>
          <w:rPr>
            <w:webHidden/>
          </w:rPr>
          <w:fldChar w:fldCharType="separate"/>
        </w:r>
        <w:r>
          <w:rPr>
            <w:webHidden/>
          </w:rPr>
          <w:t>139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1" w:history="1">
        <w:r w:rsidRPr="0028164A">
          <w:rPr>
            <w:rStyle w:val="ab"/>
            <w:rFonts w:asciiTheme="minorEastAsia" w:hAnsiTheme="minorEastAsia" w:hint="eastAsia"/>
          </w:rPr>
          <w:t>（一）基金会计政策</w:t>
        </w:r>
        <w:r>
          <w:rPr>
            <w:webHidden/>
          </w:rPr>
          <w:tab/>
        </w:r>
        <w:r>
          <w:rPr>
            <w:webHidden/>
          </w:rPr>
          <w:fldChar w:fldCharType="begin"/>
        </w:r>
        <w:r>
          <w:rPr>
            <w:webHidden/>
          </w:rPr>
          <w:instrText xml:space="preserve"> PAGEREF _Toc75870021 \h </w:instrText>
        </w:r>
        <w:r>
          <w:rPr>
            <w:webHidden/>
          </w:rPr>
        </w:r>
        <w:r>
          <w:rPr>
            <w:webHidden/>
          </w:rPr>
          <w:fldChar w:fldCharType="separate"/>
        </w:r>
        <w:r>
          <w:rPr>
            <w:webHidden/>
          </w:rPr>
          <w:t>139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2" w:history="1">
        <w:r w:rsidRPr="0028164A">
          <w:rPr>
            <w:rStyle w:val="ab"/>
            <w:rFonts w:asciiTheme="minorEastAsia" w:hAnsiTheme="minorEastAsia" w:hint="eastAsia"/>
          </w:rPr>
          <w:t>（二）基金审计</w:t>
        </w:r>
        <w:r>
          <w:rPr>
            <w:webHidden/>
          </w:rPr>
          <w:tab/>
        </w:r>
        <w:r>
          <w:rPr>
            <w:webHidden/>
          </w:rPr>
          <w:fldChar w:fldCharType="begin"/>
        </w:r>
        <w:r>
          <w:rPr>
            <w:webHidden/>
          </w:rPr>
          <w:instrText xml:space="preserve"> PAGEREF _Toc75870022 \h </w:instrText>
        </w:r>
        <w:r>
          <w:rPr>
            <w:webHidden/>
          </w:rPr>
        </w:r>
        <w:r>
          <w:rPr>
            <w:webHidden/>
          </w:rPr>
          <w:fldChar w:fldCharType="separate"/>
        </w:r>
        <w:r>
          <w:rPr>
            <w:webHidden/>
          </w:rPr>
          <w:t>139</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23" w:history="1">
        <w:r w:rsidRPr="0028164A">
          <w:rPr>
            <w:rStyle w:val="ab"/>
            <w:rFonts w:asciiTheme="minorEastAsia" w:hAnsiTheme="minorEastAsia" w:hint="eastAsia"/>
            <w:b/>
          </w:rPr>
          <w:t>十七、基金的信息披露</w:t>
        </w:r>
        <w:r>
          <w:rPr>
            <w:webHidden/>
          </w:rPr>
          <w:tab/>
        </w:r>
        <w:r>
          <w:rPr>
            <w:webHidden/>
          </w:rPr>
          <w:fldChar w:fldCharType="begin"/>
        </w:r>
        <w:r>
          <w:rPr>
            <w:webHidden/>
          </w:rPr>
          <w:instrText xml:space="preserve"> PAGEREF _Toc75870023 \h </w:instrText>
        </w:r>
        <w:r>
          <w:rPr>
            <w:webHidden/>
          </w:rPr>
        </w:r>
        <w:r>
          <w:rPr>
            <w:webHidden/>
          </w:rPr>
          <w:fldChar w:fldCharType="separate"/>
        </w:r>
        <w:r>
          <w:rPr>
            <w:webHidden/>
          </w:rPr>
          <w:t>140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4" w:history="1">
        <w:r w:rsidRPr="0028164A">
          <w:rPr>
            <w:rStyle w:val="ab"/>
            <w:rFonts w:asciiTheme="minorEastAsia" w:hAnsiTheme="minorEastAsia" w:hint="eastAsia"/>
          </w:rPr>
          <w:t>（一）招募说明书、基金产品资料概要</w:t>
        </w:r>
        <w:r>
          <w:rPr>
            <w:webHidden/>
          </w:rPr>
          <w:tab/>
        </w:r>
        <w:r>
          <w:rPr>
            <w:webHidden/>
          </w:rPr>
          <w:fldChar w:fldCharType="begin"/>
        </w:r>
        <w:r>
          <w:rPr>
            <w:webHidden/>
          </w:rPr>
          <w:instrText xml:space="preserve"> PAGEREF _Toc75870024 \h </w:instrText>
        </w:r>
        <w:r>
          <w:rPr>
            <w:webHidden/>
          </w:rPr>
        </w:r>
        <w:r>
          <w:rPr>
            <w:webHidden/>
          </w:rPr>
          <w:fldChar w:fldCharType="separate"/>
        </w:r>
        <w:r>
          <w:rPr>
            <w:webHidden/>
          </w:rPr>
          <w:t>140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5" w:history="1">
        <w:r w:rsidRPr="0028164A">
          <w:rPr>
            <w:rStyle w:val="ab"/>
            <w:rFonts w:asciiTheme="minorEastAsia" w:hAnsiTheme="minorEastAsia" w:hint="eastAsia"/>
          </w:rPr>
          <w:t>（二）份额发售公告</w:t>
        </w:r>
        <w:r>
          <w:rPr>
            <w:webHidden/>
          </w:rPr>
          <w:tab/>
        </w:r>
        <w:r>
          <w:rPr>
            <w:webHidden/>
          </w:rPr>
          <w:fldChar w:fldCharType="begin"/>
        </w:r>
        <w:r>
          <w:rPr>
            <w:webHidden/>
          </w:rPr>
          <w:instrText xml:space="preserve"> PAGEREF _Toc75870025 \h </w:instrText>
        </w:r>
        <w:r>
          <w:rPr>
            <w:webHidden/>
          </w:rPr>
        </w:r>
        <w:r>
          <w:rPr>
            <w:webHidden/>
          </w:rPr>
          <w:fldChar w:fldCharType="separate"/>
        </w:r>
        <w:r>
          <w:rPr>
            <w:webHidden/>
          </w:rPr>
          <w:t>140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6" w:history="1">
        <w:r w:rsidRPr="0028164A">
          <w:rPr>
            <w:rStyle w:val="ab"/>
            <w:rFonts w:asciiTheme="minorEastAsia" w:hAnsiTheme="minorEastAsia" w:hint="eastAsia"/>
          </w:rPr>
          <w:t>（三）定期报告</w:t>
        </w:r>
        <w:r>
          <w:rPr>
            <w:webHidden/>
          </w:rPr>
          <w:tab/>
        </w:r>
        <w:r>
          <w:rPr>
            <w:webHidden/>
          </w:rPr>
          <w:fldChar w:fldCharType="begin"/>
        </w:r>
        <w:r>
          <w:rPr>
            <w:webHidden/>
          </w:rPr>
          <w:instrText xml:space="preserve"> PAGEREF _Toc75870026 \h </w:instrText>
        </w:r>
        <w:r>
          <w:rPr>
            <w:webHidden/>
          </w:rPr>
        </w:r>
        <w:r>
          <w:rPr>
            <w:webHidden/>
          </w:rPr>
          <w:fldChar w:fldCharType="separate"/>
        </w:r>
        <w:r>
          <w:rPr>
            <w:webHidden/>
          </w:rPr>
          <w:t>140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7" w:history="1">
        <w:r w:rsidRPr="0028164A">
          <w:rPr>
            <w:rStyle w:val="ab"/>
            <w:rFonts w:asciiTheme="minorEastAsia" w:hAnsiTheme="minorEastAsia" w:hint="eastAsia"/>
          </w:rPr>
          <w:t>（四）临时报告</w:t>
        </w:r>
        <w:r>
          <w:rPr>
            <w:webHidden/>
          </w:rPr>
          <w:tab/>
        </w:r>
        <w:r>
          <w:rPr>
            <w:webHidden/>
          </w:rPr>
          <w:fldChar w:fldCharType="begin"/>
        </w:r>
        <w:r>
          <w:rPr>
            <w:webHidden/>
          </w:rPr>
          <w:instrText xml:space="preserve"> PAGEREF _Toc75870027 \h </w:instrText>
        </w:r>
        <w:r>
          <w:rPr>
            <w:webHidden/>
          </w:rPr>
        </w:r>
        <w:r>
          <w:rPr>
            <w:webHidden/>
          </w:rPr>
          <w:fldChar w:fldCharType="separate"/>
        </w:r>
        <w:r>
          <w:rPr>
            <w:webHidden/>
          </w:rPr>
          <w:t>141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28" w:history="1">
        <w:r w:rsidRPr="0028164A">
          <w:rPr>
            <w:rStyle w:val="ab"/>
            <w:rFonts w:asciiTheme="minorEastAsia" w:hAnsiTheme="minorEastAsia" w:hint="eastAsia"/>
          </w:rPr>
          <w:t>（五）信息披露文件的存放与查阅</w:t>
        </w:r>
        <w:r>
          <w:rPr>
            <w:webHidden/>
          </w:rPr>
          <w:tab/>
        </w:r>
        <w:r>
          <w:rPr>
            <w:webHidden/>
          </w:rPr>
          <w:fldChar w:fldCharType="begin"/>
        </w:r>
        <w:r>
          <w:rPr>
            <w:webHidden/>
          </w:rPr>
          <w:instrText xml:space="preserve"> PAGEREF _Toc75870028 \h </w:instrText>
        </w:r>
        <w:r>
          <w:rPr>
            <w:webHidden/>
          </w:rPr>
        </w:r>
        <w:r>
          <w:rPr>
            <w:webHidden/>
          </w:rPr>
          <w:fldChar w:fldCharType="separate"/>
        </w:r>
        <w:r>
          <w:rPr>
            <w:webHidden/>
          </w:rPr>
          <w:t>142</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29" w:history="1">
        <w:r w:rsidRPr="0028164A">
          <w:rPr>
            <w:rStyle w:val="ab"/>
            <w:rFonts w:asciiTheme="minorEastAsia" w:hAnsiTheme="minorEastAsia" w:hint="eastAsia"/>
          </w:rPr>
          <w:t>十八、侧袋机制</w:t>
        </w:r>
        <w:r>
          <w:rPr>
            <w:webHidden/>
          </w:rPr>
          <w:tab/>
        </w:r>
        <w:r>
          <w:rPr>
            <w:webHidden/>
          </w:rPr>
          <w:fldChar w:fldCharType="begin"/>
        </w:r>
        <w:r>
          <w:rPr>
            <w:webHidden/>
          </w:rPr>
          <w:instrText xml:space="preserve"> PAGEREF _Toc75870029 \h </w:instrText>
        </w:r>
        <w:r>
          <w:rPr>
            <w:webHidden/>
          </w:rPr>
        </w:r>
        <w:r>
          <w:rPr>
            <w:webHidden/>
          </w:rPr>
          <w:fldChar w:fldCharType="separate"/>
        </w:r>
        <w:r>
          <w:rPr>
            <w:webHidden/>
          </w:rPr>
          <w:t>143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0" w:history="1">
        <w:r w:rsidRPr="0028164A">
          <w:rPr>
            <w:rStyle w:val="ab"/>
            <w:rFonts w:asciiTheme="minorEastAsia" w:hAnsiTheme="minorEastAsia" w:hint="eastAsia"/>
            <w:bCs/>
          </w:rPr>
          <w:t>（一）侧袋机制的实施</w:t>
        </w:r>
        <w:r w:rsidRPr="0028164A">
          <w:rPr>
            <w:rStyle w:val="ab"/>
            <w:rFonts w:asciiTheme="minorEastAsia" w:hAnsiTheme="minorEastAsia" w:hint="eastAsia"/>
          </w:rPr>
          <w:t>条件</w:t>
        </w:r>
        <w:r w:rsidRPr="0028164A">
          <w:rPr>
            <w:rStyle w:val="ab"/>
            <w:rFonts w:asciiTheme="minorEastAsia" w:hAnsiTheme="minorEastAsia" w:hint="eastAsia"/>
            <w:bCs/>
          </w:rPr>
          <w:t>和程序</w:t>
        </w:r>
        <w:r>
          <w:rPr>
            <w:webHidden/>
          </w:rPr>
          <w:tab/>
        </w:r>
        <w:r>
          <w:rPr>
            <w:webHidden/>
          </w:rPr>
          <w:fldChar w:fldCharType="begin"/>
        </w:r>
        <w:r>
          <w:rPr>
            <w:webHidden/>
          </w:rPr>
          <w:instrText xml:space="preserve"> PAGEREF _Toc75870030 \h </w:instrText>
        </w:r>
        <w:r>
          <w:rPr>
            <w:webHidden/>
          </w:rPr>
        </w:r>
        <w:r>
          <w:rPr>
            <w:webHidden/>
          </w:rPr>
          <w:fldChar w:fldCharType="separate"/>
        </w:r>
        <w:r>
          <w:rPr>
            <w:webHidden/>
          </w:rPr>
          <w:t>143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1" w:history="1">
        <w:r w:rsidRPr="0028164A">
          <w:rPr>
            <w:rStyle w:val="ab"/>
            <w:rFonts w:asciiTheme="minorEastAsia" w:hAnsiTheme="minorEastAsia" w:hint="eastAsia"/>
            <w:bCs/>
          </w:rPr>
          <w:t>（二）实施侧袋机制期间基金份额的申购与赎回</w:t>
        </w:r>
        <w:r>
          <w:rPr>
            <w:webHidden/>
          </w:rPr>
          <w:tab/>
        </w:r>
        <w:r>
          <w:rPr>
            <w:webHidden/>
          </w:rPr>
          <w:fldChar w:fldCharType="begin"/>
        </w:r>
        <w:r>
          <w:rPr>
            <w:webHidden/>
          </w:rPr>
          <w:instrText xml:space="preserve"> PAGEREF _Toc75870031 \h </w:instrText>
        </w:r>
        <w:r>
          <w:rPr>
            <w:webHidden/>
          </w:rPr>
        </w:r>
        <w:r>
          <w:rPr>
            <w:webHidden/>
          </w:rPr>
          <w:fldChar w:fldCharType="separate"/>
        </w:r>
        <w:r>
          <w:rPr>
            <w:webHidden/>
          </w:rPr>
          <w:t>143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2" w:history="1">
        <w:r w:rsidRPr="0028164A">
          <w:rPr>
            <w:rStyle w:val="ab"/>
            <w:rFonts w:asciiTheme="minorEastAsia" w:hAnsiTheme="minorEastAsia" w:hint="eastAsia"/>
            <w:bCs/>
          </w:rPr>
          <w:t>（三）实施侧袋机制期间的基金投资</w:t>
        </w:r>
        <w:r>
          <w:rPr>
            <w:webHidden/>
          </w:rPr>
          <w:tab/>
        </w:r>
        <w:r>
          <w:rPr>
            <w:webHidden/>
          </w:rPr>
          <w:fldChar w:fldCharType="begin"/>
        </w:r>
        <w:r>
          <w:rPr>
            <w:webHidden/>
          </w:rPr>
          <w:instrText xml:space="preserve"> PAGEREF _Toc75870032 \h </w:instrText>
        </w:r>
        <w:r>
          <w:rPr>
            <w:webHidden/>
          </w:rPr>
        </w:r>
        <w:r>
          <w:rPr>
            <w:webHidden/>
          </w:rPr>
          <w:fldChar w:fldCharType="separate"/>
        </w:r>
        <w:r>
          <w:rPr>
            <w:webHidden/>
          </w:rPr>
          <w:t>143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3" w:history="1">
        <w:r w:rsidRPr="0028164A">
          <w:rPr>
            <w:rStyle w:val="ab"/>
            <w:rFonts w:asciiTheme="minorEastAsia" w:hAnsiTheme="minorEastAsia" w:hint="eastAsia"/>
            <w:bCs/>
          </w:rPr>
          <w:t>（四）侧袋账户中特定资产的处置变现和支付</w:t>
        </w:r>
        <w:r>
          <w:rPr>
            <w:webHidden/>
          </w:rPr>
          <w:tab/>
        </w:r>
        <w:r>
          <w:rPr>
            <w:webHidden/>
          </w:rPr>
          <w:fldChar w:fldCharType="begin"/>
        </w:r>
        <w:r>
          <w:rPr>
            <w:webHidden/>
          </w:rPr>
          <w:instrText xml:space="preserve"> PAGEREF _Toc75870033 \h </w:instrText>
        </w:r>
        <w:r>
          <w:rPr>
            <w:webHidden/>
          </w:rPr>
        </w:r>
        <w:r>
          <w:rPr>
            <w:webHidden/>
          </w:rPr>
          <w:fldChar w:fldCharType="separate"/>
        </w:r>
        <w:r>
          <w:rPr>
            <w:webHidden/>
          </w:rPr>
          <w:t>143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4" w:history="1">
        <w:r w:rsidRPr="0028164A">
          <w:rPr>
            <w:rStyle w:val="ab"/>
            <w:rFonts w:asciiTheme="minorEastAsia" w:hAnsiTheme="minorEastAsia" w:hint="eastAsia"/>
            <w:bCs/>
          </w:rPr>
          <w:t>（五）侧袋机制的信息披露</w:t>
        </w:r>
        <w:r>
          <w:rPr>
            <w:webHidden/>
          </w:rPr>
          <w:tab/>
        </w:r>
        <w:r>
          <w:rPr>
            <w:webHidden/>
          </w:rPr>
          <w:fldChar w:fldCharType="begin"/>
        </w:r>
        <w:r>
          <w:rPr>
            <w:webHidden/>
          </w:rPr>
          <w:instrText xml:space="preserve"> PAGEREF _Toc75870034 \h </w:instrText>
        </w:r>
        <w:r>
          <w:rPr>
            <w:webHidden/>
          </w:rPr>
        </w:r>
        <w:r>
          <w:rPr>
            <w:webHidden/>
          </w:rPr>
          <w:fldChar w:fldCharType="separate"/>
        </w:r>
        <w:r>
          <w:rPr>
            <w:webHidden/>
          </w:rPr>
          <w:t>144</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35" w:history="1">
        <w:r w:rsidRPr="0028164A">
          <w:rPr>
            <w:rStyle w:val="ab"/>
            <w:rFonts w:asciiTheme="minorEastAsia" w:hAnsiTheme="minorEastAsia" w:hint="eastAsia"/>
            <w:b/>
          </w:rPr>
          <w:t>十九、风险揭示</w:t>
        </w:r>
        <w:r>
          <w:rPr>
            <w:webHidden/>
          </w:rPr>
          <w:tab/>
        </w:r>
        <w:r>
          <w:rPr>
            <w:webHidden/>
          </w:rPr>
          <w:fldChar w:fldCharType="begin"/>
        </w:r>
        <w:r>
          <w:rPr>
            <w:webHidden/>
          </w:rPr>
          <w:instrText xml:space="preserve"> PAGEREF _Toc75870035 \h </w:instrText>
        </w:r>
        <w:r>
          <w:rPr>
            <w:webHidden/>
          </w:rPr>
        </w:r>
        <w:r>
          <w:rPr>
            <w:webHidden/>
          </w:rPr>
          <w:fldChar w:fldCharType="separate"/>
        </w:r>
        <w:r>
          <w:rPr>
            <w:webHidden/>
          </w:rPr>
          <w:t>145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6" w:history="1">
        <w:r w:rsidRPr="0028164A">
          <w:rPr>
            <w:rStyle w:val="ab"/>
            <w:rFonts w:asciiTheme="minorEastAsia" w:hAnsiTheme="minorEastAsia" w:hint="eastAsia"/>
          </w:rPr>
          <w:t>（一）市场风险</w:t>
        </w:r>
        <w:r>
          <w:rPr>
            <w:webHidden/>
          </w:rPr>
          <w:tab/>
        </w:r>
        <w:r>
          <w:rPr>
            <w:webHidden/>
          </w:rPr>
          <w:fldChar w:fldCharType="begin"/>
        </w:r>
        <w:r>
          <w:rPr>
            <w:webHidden/>
          </w:rPr>
          <w:instrText xml:space="preserve"> PAGEREF _Toc75870036 \h </w:instrText>
        </w:r>
        <w:r>
          <w:rPr>
            <w:webHidden/>
          </w:rPr>
        </w:r>
        <w:r>
          <w:rPr>
            <w:webHidden/>
          </w:rPr>
          <w:fldChar w:fldCharType="separate"/>
        </w:r>
        <w:r>
          <w:rPr>
            <w:webHidden/>
          </w:rPr>
          <w:t>145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7" w:history="1">
        <w:r w:rsidRPr="0028164A">
          <w:rPr>
            <w:rStyle w:val="ab"/>
            <w:rFonts w:asciiTheme="minorEastAsia" w:hAnsiTheme="minorEastAsia" w:hint="eastAsia"/>
          </w:rPr>
          <w:t>（二）管理风险</w:t>
        </w:r>
        <w:r>
          <w:rPr>
            <w:webHidden/>
          </w:rPr>
          <w:tab/>
        </w:r>
        <w:r>
          <w:rPr>
            <w:webHidden/>
          </w:rPr>
          <w:fldChar w:fldCharType="begin"/>
        </w:r>
        <w:r>
          <w:rPr>
            <w:webHidden/>
          </w:rPr>
          <w:instrText xml:space="preserve"> PAGEREF _Toc75870037 \h </w:instrText>
        </w:r>
        <w:r>
          <w:rPr>
            <w:webHidden/>
          </w:rPr>
        </w:r>
        <w:r>
          <w:rPr>
            <w:webHidden/>
          </w:rPr>
          <w:fldChar w:fldCharType="separate"/>
        </w:r>
        <w:r>
          <w:rPr>
            <w:webHidden/>
          </w:rPr>
          <w:t>145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8" w:history="1">
        <w:r w:rsidRPr="0028164A">
          <w:rPr>
            <w:rStyle w:val="ab"/>
            <w:rFonts w:asciiTheme="minorEastAsia" w:hAnsiTheme="minorEastAsia" w:hint="eastAsia"/>
          </w:rPr>
          <w:t>（三）流动性风险</w:t>
        </w:r>
        <w:r>
          <w:rPr>
            <w:webHidden/>
          </w:rPr>
          <w:tab/>
        </w:r>
        <w:r>
          <w:rPr>
            <w:webHidden/>
          </w:rPr>
          <w:fldChar w:fldCharType="begin"/>
        </w:r>
        <w:r>
          <w:rPr>
            <w:webHidden/>
          </w:rPr>
          <w:instrText xml:space="preserve"> PAGEREF _Toc75870038 \h </w:instrText>
        </w:r>
        <w:r>
          <w:rPr>
            <w:webHidden/>
          </w:rPr>
        </w:r>
        <w:r>
          <w:rPr>
            <w:webHidden/>
          </w:rPr>
          <w:fldChar w:fldCharType="separate"/>
        </w:r>
        <w:r>
          <w:rPr>
            <w:webHidden/>
          </w:rPr>
          <w:t>146</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39" w:history="1">
        <w:r w:rsidRPr="0028164A">
          <w:rPr>
            <w:rStyle w:val="ab"/>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_Toc75870039 \h </w:instrText>
        </w:r>
        <w:r>
          <w:rPr>
            <w:webHidden/>
          </w:rPr>
        </w:r>
        <w:r>
          <w:rPr>
            <w:webHidden/>
          </w:rPr>
          <w:fldChar w:fldCharType="separate"/>
        </w:r>
        <w:r>
          <w:rPr>
            <w:webHidden/>
          </w:rPr>
          <w:t>147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0" w:history="1">
        <w:r w:rsidRPr="0028164A">
          <w:rPr>
            <w:rStyle w:val="ab"/>
            <w:rFonts w:asciiTheme="minorEastAsia" w:hAnsiTheme="minorEastAsia" w:hint="eastAsia"/>
          </w:rPr>
          <w:t>（五）</w:t>
        </w:r>
        <w:r w:rsidRPr="0028164A">
          <w:rPr>
            <w:rStyle w:val="ab"/>
            <w:rFonts w:asciiTheme="minorEastAsia" w:hAnsiTheme="minorEastAsia" w:hint="eastAsia"/>
            <w:kern w:val="0"/>
          </w:rPr>
          <w:t>本基金的特有风险</w:t>
        </w:r>
        <w:r>
          <w:rPr>
            <w:webHidden/>
          </w:rPr>
          <w:tab/>
        </w:r>
        <w:r>
          <w:rPr>
            <w:webHidden/>
          </w:rPr>
          <w:fldChar w:fldCharType="begin"/>
        </w:r>
        <w:r>
          <w:rPr>
            <w:webHidden/>
          </w:rPr>
          <w:instrText xml:space="preserve"> PAGEREF _Toc75870040 \h </w:instrText>
        </w:r>
        <w:r>
          <w:rPr>
            <w:webHidden/>
          </w:rPr>
        </w:r>
        <w:r>
          <w:rPr>
            <w:webHidden/>
          </w:rPr>
          <w:fldChar w:fldCharType="separate"/>
        </w:r>
        <w:r>
          <w:rPr>
            <w:webHidden/>
          </w:rPr>
          <w:t>148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1" w:history="1">
        <w:r w:rsidRPr="0028164A">
          <w:rPr>
            <w:rStyle w:val="ab"/>
            <w:rFonts w:asciiTheme="minorEastAsia" w:hAnsiTheme="minorEastAsia" w:hint="eastAsia"/>
          </w:rPr>
          <w:t>（六）其他风险</w:t>
        </w:r>
        <w:r>
          <w:rPr>
            <w:webHidden/>
          </w:rPr>
          <w:tab/>
        </w:r>
        <w:r>
          <w:rPr>
            <w:webHidden/>
          </w:rPr>
          <w:fldChar w:fldCharType="begin"/>
        </w:r>
        <w:r>
          <w:rPr>
            <w:webHidden/>
          </w:rPr>
          <w:instrText xml:space="preserve"> PAGEREF _Toc75870041 \h </w:instrText>
        </w:r>
        <w:r>
          <w:rPr>
            <w:webHidden/>
          </w:rPr>
        </w:r>
        <w:r>
          <w:rPr>
            <w:webHidden/>
          </w:rPr>
          <w:fldChar w:fldCharType="separate"/>
        </w:r>
        <w:r>
          <w:rPr>
            <w:webHidden/>
          </w:rPr>
          <w:t>148</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42" w:history="1">
        <w:r w:rsidRPr="0028164A">
          <w:rPr>
            <w:rStyle w:val="ab"/>
            <w:rFonts w:asciiTheme="minorEastAsia" w:hAnsiTheme="minorEastAsia" w:hint="eastAsia"/>
            <w:b/>
          </w:rPr>
          <w:t>二十、差错处理</w:t>
        </w:r>
        <w:r>
          <w:rPr>
            <w:webHidden/>
          </w:rPr>
          <w:tab/>
        </w:r>
        <w:r>
          <w:rPr>
            <w:webHidden/>
          </w:rPr>
          <w:fldChar w:fldCharType="begin"/>
        </w:r>
        <w:r>
          <w:rPr>
            <w:webHidden/>
          </w:rPr>
          <w:instrText xml:space="preserve"> PAGEREF _Toc75870042 \h </w:instrText>
        </w:r>
        <w:r>
          <w:rPr>
            <w:webHidden/>
          </w:rPr>
        </w:r>
        <w:r>
          <w:rPr>
            <w:webHidden/>
          </w:rPr>
          <w:fldChar w:fldCharType="separate"/>
        </w:r>
        <w:r>
          <w:rPr>
            <w:webHidden/>
          </w:rPr>
          <w:t>149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3" w:history="1">
        <w:r w:rsidRPr="0028164A">
          <w:rPr>
            <w:rStyle w:val="ab"/>
            <w:rFonts w:asciiTheme="minorEastAsia" w:hAnsiTheme="minorEastAsia" w:hint="eastAsia"/>
          </w:rPr>
          <w:t>（一）差错类型</w:t>
        </w:r>
        <w:r>
          <w:rPr>
            <w:webHidden/>
          </w:rPr>
          <w:tab/>
        </w:r>
        <w:r>
          <w:rPr>
            <w:webHidden/>
          </w:rPr>
          <w:fldChar w:fldCharType="begin"/>
        </w:r>
        <w:r>
          <w:rPr>
            <w:webHidden/>
          </w:rPr>
          <w:instrText xml:space="preserve"> PAGEREF _Toc75870043 \h </w:instrText>
        </w:r>
        <w:r>
          <w:rPr>
            <w:webHidden/>
          </w:rPr>
        </w:r>
        <w:r>
          <w:rPr>
            <w:webHidden/>
          </w:rPr>
          <w:fldChar w:fldCharType="separate"/>
        </w:r>
        <w:r>
          <w:rPr>
            <w:webHidden/>
          </w:rPr>
          <w:t>149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4" w:history="1">
        <w:r w:rsidRPr="0028164A">
          <w:rPr>
            <w:rStyle w:val="ab"/>
            <w:rFonts w:asciiTheme="minorEastAsia" w:hAnsiTheme="minorEastAsia" w:hint="eastAsia"/>
          </w:rPr>
          <w:t>（二）差错处理原则</w:t>
        </w:r>
        <w:r>
          <w:rPr>
            <w:webHidden/>
          </w:rPr>
          <w:tab/>
        </w:r>
        <w:r>
          <w:rPr>
            <w:webHidden/>
          </w:rPr>
          <w:fldChar w:fldCharType="begin"/>
        </w:r>
        <w:r>
          <w:rPr>
            <w:webHidden/>
          </w:rPr>
          <w:instrText xml:space="preserve"> PAGEREF _Toc75870044 \h </w:instrText>
        </w:r>
        <w:r>
          <w:rPr>
            <w:webHidden/>
          </w:rPr>
        </w:r>
        <w:r>
          <w:rPr>
            <w:webHidden/>
          </w:rPr>
          <w:fldChar w:fldCharType="separate"/>
        </w:r>
        <w:r>
          <w:rPr>
            <w:webHidden/>
          </w:rPr>
          <w:t>149</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5" w:history="1">
        <w:r w:rsidRPr="0028164A">
          <w:rPr>
            <w:rStyle w:val="ab"/>
            <w:rFonts w:asciiTheme="minorEastAsia" w:hAnsiTheme="minorEastAsia" w:hint="eastAsia"/>
          </w:rPr>
          <w:t>（三）差错处理程序</w:t>
        </w:r>
        <w:r>
          <w:rPr>
            <w:webHidden/>
          </w:rPr>
          <w:tab/>
        </w:r>
        <w:r>
          <w:rPr>
            <w:webHidden/>
          </w:rPr>
          <w:fldChar w:fldCharType="begin"/>
        </w:r>
        <w:r>
          <w:rPr>
            <w:webHidden/>
          </w:rPr>
          <w:instrText xml:space="preserve"> PAGEREF _Toc75870045 \h </w:instrText>
        </w:r>
        <w:r>
          <w:rPr>
            <w:webHidden/>
          </w:rPr>
        </w:r>
        <w:r>
          <w:rPr>
            <w:webHidden/>
          </w:rPr>
          <w:fldChar w:fldCharType="separate"/>
        </w:r>
        <w:r>
          <w:rPr>
            <w:webHidden/>
          </w:rPr>
          <w:t>150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6" w:history="1">
        <w:r w:rsidRPr="0028164A">
          <w:rPr>
            <w:rStyle w:val="ab"/>
            <w:rFonts w:asciiTheme="minorEastAsia" w:hAnsiTheme="minorEastAsia" w:hint="eastAsia"/>
          </w:rPr>
          <w:t>（四）特殊情形的处理</w:t>
        </w:r>
        <w:r>
          <w:rPr>
            <w:webHidden/>
          </w:rPr>
          <w:tab/>
        </w:r>
        <w:r>
          <w:rPr>
            <w:webHidden/>
          </w:rPr>
          <w:fldChar w:fldCharType="begin"/>
        </w:r>
        <w:r>
          <w:rPr>
            <w:webHidden/>
          </w:rPr>
          <w:instrText xml:space="preserve"> PAGEREF _Toc75870046 \h </w:instrText>
        </w:r>
        <w:r>
          <w:rPr>
            <w:webHidden/>
          </w:rPr>
        </w:r>
        <w:r>
          <w:rPr>
            <w:webHidden/>
          </w:rPr>
          <w:fldChar w:fldCharType="separate"/>
        </w:r>
        <w:r>
          <w:rPr>
            <w:webHidden/>
          </w:rPr>
          <w:t>150</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47" w:history="1">
        <w:r w:rsidRPr="0028164A">
          <w:rPr>
            <w:rStyle w:val="ab"/>
            <w:rFonts w:asciiTheme="minorEastAsia" w:hAnsiTheme="minorEastAsia" w:hint="eastAsia"/>
            <w:b/>
          </w:rPr>
          <w:t>二十一、基金合同的终止与基金财产的清算</w:t>
        </w:r>
        <w:r>
          <w:rPr>
            <w:webHidden/>
          </w:rPr>
          <w:tab/>
        </w:r>
        <w:r>
          <w:rPr>
            <w:webHidden/>
          </w:rPr>
          <w:fldChar w:fldCharType="begin"/>
        </w:r>
        <w:r>
          <w:rPr>
            <w:webHidden/>
          </w:rPr>
          <w:instrText xml:space="preserve"> PAGEREF _Toc75870047 \h </w:instrText>
        </w:r>
        <w:r>
          <w:rPr>
            <w:webHidden/>
          </w:rPr>
        </w:r>
        <w:r>
          <w:rPr>
            <w:webHidden/>
          </w:rPr>
          <w:fldChar w:fldCharType="separate"/>
        </w:r>
        <w:r>
          <w:rPr>
            <w:webHidden/>
          </w:rPr>
          <w:t>151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8" w:history="1">
        <w:r w:rsidRPr="0028164A">
          <w:rPr>
            <w:rStyle w:val="ab"/>
            <w:rFonts w:asciiTheme="minorEastAsia" w:hAnsiTheme="minorEastAsia" w:hint="eastAsia"/>
          </w:rPr>
          <w:t>（一）基金合同的终止</w:t>
        </w:r>
        <w:r>
          <w:rPr>
            <w:webHidden/>
          </w:rPr>
          <w:tab/>
        </w:r>
        <w:r>
          <w:rPr>
            <w:webHidden/>
          </w:rPr>
          <w:fldChar w:fldCharType="begin"/>
        </w:r>
        <w:r>
          <w:rPr>
            <w:webHidden/>
          </w:rPr>
          <w:instrText xml:space="preserve"> PAGEREF _Toc75870048 \h </w:instrText>
        </w:r>
        <w:r>
          <w:rPr>
            <w:webHidden/>
          </w:rPr>
        </w:r>
        <w:r>
          <w:rPr>
            <w:webHidden/>
          </w:rPr>
          <w:fldChar w:fldCharType="separate"/>
        </w:r>
        <w:r>
          <w:rPr>
            <w:webHidden/>
          </w:rPr>
          <w:t>151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49" w:history="1">
        <w:r w:rsidRPr="0028164A">
          <w:rPr>
            <w:rStyle w:val="ab"/>
            <w:rFonts w:asciiTheme="minorEastAsia" w:hAnsiTheme="minorEastAsia" w:hint="eastAsia"/>
          </w:rPr>
          <w:t>（二）基金财产的清算</w:t>
        </w:r>
        <w:r>
          <w:rPr>
            <w:webHidden/>
          </w:rPr>
          <w:tab/>
        </w:r>
        <w:r>
          <w:rPr>
            <w:webHidden/>
          </w:rPr>
          <w:fldChar w:fldCharType="begin"/>
        </w:r>
        <w:r>
          <w:rPr>
            <w:webHidden/>
          </w:rPr>
          <w:instrText xml:space="preserve"> PAGEREF _Toc75870049 \h </w:instrText>
        </w:r>
        <w:r>
          <w:rPr>
            <w:webHidden/>
          </w:rPr>
        </w:r>
        <w:r>
          <w:rPr>
            <w:webHidden/>
          </w:rPr>
          <w:fldChar w:fldCharType="separate"/>
        </w:r>
        <w:r>
          <w:rPr>
            <w:webHidden/>
          </w:rPr>
          <w:t>151</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50" w:history="1">
        <w:r w:rsidRPr="0028164A">
          <w:rPr>
            <w:rStyle w:val="ab"/>
            <w:rFonts w:asciiTheme="minorEastAsia" w:hAnsiTheme="minorEastAsia" w:hint="eastAsia"/>
            <w:b/>
          </w:rPr>
          <w:t>二十二、基金合同内容摘要</w:t>
        </w:r>
        <w:r>
          <w:rPr>
            <w:webHidden/>
          </w:rPr>
          <w:tab/>
        </w:r>
        <w:r>
          <w:rPr>
            <w:webHidden/>
          </w:rPr>
          <w:fldChar w:fldCharType="begin"/>
        </w:r>
        <w:r>
          <w:rPr>
            <w:webHidden/>
          </w:rPr>
          <w:instrText xml:space="preserve"> PAGEREF _Toc75870050 \h </w:instrText>
        </w:r>
        <w:r>
          <w:rPr>
            <w:webHidden/>
          </w:rPr>
        </w:r>
        <w:r>
          <w:rPr>
            <w:webHidden/>
          </w:rPr>
          <w:fldChar w:fldCharType="separate"/>
        </w:r>
        <w:r>
          <w:rPr>
            <w:webHidden/>
          </w:rPr>
          <w:t>153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1" w:history="1">
        <w:r w:rsidRPr="0028164A">
          <w:rPr>
            <w:rStyle w:val="ab"/>
            <w:rFonts w:asciiTheme="minorEastAsia" w:hAnsiTheme="minorEastAsia" w:hint="eastAsia"/>
          </w:rPr>
          <w:t>（一）基金管理人的权利与义务</w:t>
        </w:r>
        <w:r>
          <w:rPr>
            <w:webHidden/>
          </w:rPr>
          <w:tab/>
        </w:r>
        <w:r>
          <w:rPr>
            <w:webHidden/>
          </w:rPr>
          <w:fldChar w:fldCharType="begin"/>
        </w:r>
        <w:r>
          <w:rPr>
            <w:webHidden/>
          </w:rPr>
          <w:instrText xml:space="preserve"> PAGEREF _Toc75870051 \h </w:instrText>
        </w:r>
        <w:r>
          <w:rPr>
            <w:webHidden/>
          </w:rPr>
        </w:r>
        <w:r>
          <w:rPr>
            <w:webHidden/>
          </w:rPr>
          <w:fldChar w:fldCharType="separate"/>
        </w:r>
        <w:r>
          <w:rPr>
            <w:webHidden/>
          </w:rPr>
          <w:t>153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2" w:history="1">
        <w:r w:rsidRPr="0028164A">
          <w:rPr>
            <w:rStyle w:val="ab"/>
            <w:rFonts w:asciiTheme="minorEastAsia" w:hAnsiTheme="minorEastAsia" w:hint="eastAsia"/>
          </w:rPr>
          <w:t>（二）基金托管人的权利与义务</w:t>
        </w:r>
        <w:r>
          <w:rPr>
            <w:webHidden/>
          </w:rPr>
          <w:tab/>
        </w:r>
        <w:r>
          <w:rPr>
            <w:webHidden/>
          </w:rPr>
          <w:fldChar w:fldCharType="begin"/>
        </w:r>
        <w:r>
          <w:rPr>
            <w:webHidden/>
          </w:rPr>
          <w:instrText xml:space="preserve"> PAGEREF _Toc75870052 \h </w:instrText>
        </w:r>
        <w:r>
          <w:rPr>
            <w:webHidden/>
          </w:rPr>
        </w:r>
        <w:r>
          <w:rPr>
            <w:webHidden/>
          </w:rPr>
          <w:fldChar w:fldCharType="separate"/>
        </w:r>
        <w:r>
          <w:rPr>
            <w:webHidden/>
          </w:rPr>
          <w:t>155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3" w:history="1">
        <w:r w:rsidRPr="0028164A">
          <w:rPr>
            <w:rStyle w:val="ab"/>
            <w:rFonts w:asciiTheme="minorEastAsia" w:hAnsiTheme="minorEastAsia" w:hint="eastAsia"/>
          </w:rPr>
          <w:t>（三）基金份额持有人的权利与义务</w:t>
        </w:r>
        <w:r>
          <w:rPr>
            <w:webHidden/>
          </w:rPr>
          <w:tab/>
        </w:r>
        <w:r>
          <w:rPr>
            <w:webHidden/>
          </w:rPr>
          <w:fldChar w:fldCharType="begin"/>
        </w:r>
        <w:r>
          <w:rPr>
            <w:webHidden/>
          </w:rPr>
          <w:instrText xml:space="preserve"> PAGEREF _Toc75870053 \h </w:instrText>
        </w:r>
        <w:r>
          <w:rPr>
            <w:webHidden/>
          </w:rPr>
        </w:r>
        <w:r>
          <w:rPr>
            <w:webHidden/>
          </w:rPr>
          <w:fldChar w:fldCharType="separate"/>
        </w:r>
        <w:r>
          <w:rPr>
            <w:webHidden/>
          </w:rPr>
          <w:t>157</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4" w:history="1">
        <w:r w:rsidRPr="0028164A">
          <w:rPr>
            <w:rStyle w:val="ab"/>
            <w:rFonts w:asciiTheme="minorEastAsia" w:hAnsiTheme="minorEastAsia" w:hint="eastAsia"/>
          </w:rPr>
          <w:t>（四）基金份额持有人大会</w:t>
        </w:r>
        <w:r>
          <w:rPr>
            <w:webHidden/>
          </w:rPr>
          <w:tab/>
        </w:r>
        <w:r>
          <w:rPr>
            <w:webHidden/>
          </w:rPr>
          <w:fldChar w:fldCharType="begin"/>
        </w:r>
        <w:r>
          <w:rPr>
            <w:webHidden/>
          </w:rPr>
          <w:instrText xml:space="preserve"> PAGEREF _Toc75870054 \h </w:instrText>
        </w:r>
        <w:r>
          <w:rPr>
            <w:webHidden/>
          </w:rPr>
        </w:r>
        <w:r>
          <w:rPr>
            <w:webHidden/>
          </w:rPr>
          <w:fldChar w:fldCharType="separate"/>
        </w:r>
        <w:r>
          <w:rPr>
            <w:webHidden/>
          </w:rPr>
          <w:t>158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5" w:history="1">
        <w:r w:rsidRPr="0028164A">
          <w:rPr>
            <w:rStyle w:val="ab"/>
            <w:rFonts w:asciiTheme="minorEastAsia" w:hAnsiTheme="minorEastAsia" w:hint="eastAsia"/>
          </w:rPr>
          <w:t>（五）基金合同的变更和终止</w:t>
        </w:r>
        <w:r>
          <w:rPr>
            <w:webHidden/>
          </w:rPr>
          <w:tab/>
        </w:r>
        <w:r>
          <w:rPr>
            <w:webHidden/>
          </w:rPr>
          <w:fldChar w:fldCharType="begin"/>
        </w:r>
        <w:r>
          <w:rPr>
            <w:webHidden/>
          </w:rPr>
          <w:instrText xml:space="preserve"> PAGEREF _Toc75870055 \h </w:instrText>
        </w:r>
        <w:r>
          <w:rPr>
            <w:webHidden/>
          </w:rPr>
        </w:r>
        <w:r>
          <w:rPr>
            <w:webHidden/>
          </w:rPr>
          <w:fldChar w:fldCharType="separate"/>
        </w:r>
        <w:r>
          <w:rPr>
            <w:webHidden/>
          </w:rPr>
          <w:t>163</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6" w:history="1">
        <w:r w:rsidRPr="0028164A">
          <w:rPr>
            <w:rStyle w:val="ab"/>
            <w:rFonts w:asciiTheme="minorEastAsia" w:hAnsiTheme="minorEastAsia" w:hint="eastAsia"/>
          </w:rPr>
          <w:t>（六）争议的处理</w:t>
        </w:r>
        <w:r>
          <w:rPr>
            <w:webHidden/>
          </w:rPr>
          <w:tab/>
        </w:r>
        <w:r>
          <w:rPr>
            <w:webHidden/>
          </w:rPr>
          <w:fldChar w:fldCharType="begin"/>
        </w:r>
        <w:r>
          <w:rPr>
            <w:webHidden/>
          </w:rPr>
          <w:instrText xml:space="preserve"> PAGEREF _Toc75870056 \h </w:instrText>
        </w:r>
        <w:r>
          <w:rPr>
            <w:webHidden/>
          </w:rPr>
        </w:r>
        <w:r>
          <w:rPr>
            <w:webHidden/>
          </w:rPr>
          <w:fldChar w:fldCharType="separate"/>
        </w:r>
        <w:r>
          <w:rPr>
            <w:webHidden/>
          </w:rPr>
          <w:t>164</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7" w:history="1">
        <w:r w:rsidRPr="0028164A">
          <w:rPr>
            <w:rStyle w:val="ab"/>
            <w:rFonts w:asciiTheme="minorEastAsia" w:hAnsiTheme="minorEastAsia" w:hint="eastAsia"/>
          </w:rPr>
          <w:t>（七）基金合同的存放及查阅方式</w:t>
        </w:r>
        <w:r>
          <w:rPr>
            <w:webHidden/>
          </w:rPr>
          <w:tab/>
        </w:r>
        <w:r>
          <w:rPr>
            <w:webHidden/>
          </w:rPr>
          <w:fldChar w:fldCharType="begin"/>
        </w:r>
        <w:r>
          <w:rPr>
            <w:webHidden/>
          </w:rPr>
          <w:instrText xml:space="preserve"> PAGEREF _Toc75870057 \h </w:instrText>
        </w:r>
        <w:r>
          <w:rPr>
            <w:webHidden/>
          </w:rPr>
        </w:r>
        <w:r>
          <w:rPr>
            <w:webHidden/>
          </w:rPr>
          <w:fldChar w:fldCharType="separate"/>
        </w:r>
        <w:r>
          <w:rPr>
            <w:webHidden/>
          </w:rPr>
          <w:t>164</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58" w:history="1">
        <w:r w:rsidRPr="0028164A">
          <w:rPr>
            <w:rStyle w:val="ab"/>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_Toc75870058 \h </w:instrText>
        </w:r>
        <w:r>
          <w:rPr>
            <w:webHidden/>
          </w:rPr>
        </w:r>
        <w:r>
          <w:rPr>
            <w:webHidden/>
          </w:rPr>
          <w:fldChar w:fldCharType="separate"/>
        </w:r>
        <w:r>
          <w:rPr>
            <w:webHidden/>
          </w:rPr>
          <w:t>165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59" w:history="1">
        <w:r w:rsidRPr="0028164A">
          <w:rPr>
            <w:rStyle w:val="ab"/>
            <w:rFonts w:asciiTheme="minorEastAsia" w:hAnsiTheme="minorEastAsia" w:hint="eastAsia"/>
          </w:rPr>
          <w:t>（一）托管协议当事人</w:t>
        </w:r>
        <w:r>
          <w:rPr>
            <w:webHidden/>
          </w:rPr>
          <w:tab/>
        </w:r>
        <w:r>
          <w:rPr>
            <w:webHidden/>
          </w:rPr>
          <w:fldChar w:fldCharType="begin"/>
        </w:r>
        <w:r>
          <w:rPr>
            <w:webHidden/>
          </w:rPr>
          <w:instrText xml:space="preserve"> PAGEREF _Toc75870059 \h </w:instrText>
        </w:r>
        <w:r>
          <w:rPr>
            <w:webHidden/>
          </w:rPr>
        </w:r>
        <w:r>
          <w:rPr>
            <w:webHidden/>
          </w:rPr>
          <w:fldChar w:fldCharType="separate"/>
        </w:r>
        <w:r>
          <w:rPr>
            <w:webHidden/>
          </w:rPr>
          <w:t>165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0" w:history="1">
        <w:r w:rsidRPr="0028164A">
          <w:rPr>
            <w:rStyle w:val="ab"/>
            <w:rFonts w:asciiTheme="minorEastAsia" w:hAnsiTheme="minorEastAsia" w:hint="eastAsia"/>
          </w:rPr>
          <w:t>（二）基金托管人和基金管理人之间的业务监督、核查</w:t>
        </w:r>
        <w:r>
          <w:rPr>
            <w:webHidden/>
          </w:rPr>
          <w:tab/>
        </w:r>
        <w:r>
          <w:rPr>
            <w:webHidden/>
          </w:rPr>
          <w:fldChar w:fldCharType="begin"/>
        </w:r>
        <w:r>
          <w:rPr>
            <w:webHidden/>
          </w:rPr>
          <w:instrText xml:space="preserve"> PAGEREF _Toc75870060 \h </w:instrText>
        </w:r>
        <w:r>
          <w:rPr>
            <w:webHidden/>
          </w:rPr>
        </w:r>
        <w:r>
          <w:rPr>
            <w:webHidden/>
          </w:rPr>
          <w:fldChar w:fldCharType="separate"/>
        </w:r>
        <w:r>
          <w:rPr>
            <w:webHidden/>
          </w:rPr>
          <w:t>165</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1" w:history="1">
        <w:r w:rsidRPr="0028164A">
          <w:rPr>
            <w:rStyle w:val="ab"/>
            <w:rFonts w:asciiTheme="minorEastAsia" w:hAnsiTheme="minorEastAsia" w:hint="eastAsia"/>
          </w:rPr>
          <w:t>（三）基金财产保管</w:t>
        </w:r>
        <w:r>
          <w:rPr>
            <w:webHidden/>
          </w:rPr>
          <w:tab/>
        </w:r>
        <w:r>
          <w:rPr>
            <w:webHidden/>
          </w:rPr>
          <w:fldChar w:fldCharType="begin"/>
        </w:r>
        <w:r>
          <w:rPr>
            <w:webHidden/>
          </w:rPr>
          <w:instrText xml:space="preserve"> PAGEREF _Toc75870061 \h </w:instrText>
        </w:r>
        <w:r>
          <w:rPr>
            <w:webHidden/>
          </w:rPr>
        </w:r>
        <w:r>
          <w:rPr>
            <w:webHidden/>
          </w:rPr>
          <w:fldChar w:fldCharType="separate"/>
        </w:r>
        <w:r>
          <w:rPr>
            <w:webHidden/>
          </w:rPr>
          <w:t>168</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2" w:history="1">
        <w:r w:rsidRPr="0028164A">
          <w:rPr>
            <w:rStyle w:val="ab"/>
            <w:rFonts w:asciiTheme="minorEastAsia" w:hAnsiTheme="minorEastAsia" w:hint="eastAsia"/>
          </w:rPr>
          <w:t>（四）基金资产的财务处理</w:t>
        </w:r>
        <w:r>
          <w:rPr>
            <w:webHidden/>
          </w:rPr>
          <w:tab/>
        </w:r>
        <w:r>
          <w:rPr>
            <w:webHidden/>
          </w:rPr>
          <w:fldChar w:fldCharType="begin"/>
        </w:r>
        <w:r>
          <w:rPr>
            <w:webHidden/>
          </w:rPr>
          <w:instrText xml:space="preserve"> PAGEREF _Toc75870062 \h </w:instrText>
        </w:r>
        <w:r>
          <w:rPr>
            <w:webHidden/>
          </w:rPr>
        </w:r>
        <w:r>
          <w:rPr>
            <w:webHidden/>
          </w:rPr>
          <w:fldChar w:fldCharType="separate"/>
        </w:r>
        <w:r>
          <w:rPr>
            <w:webHidden/>
          </w:rPr>
          <w:t>170</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3" w:history="1">
        <w:r w:rsidRPr="0028164A">
          <w:rPr>
            <w:rStyle w:val="ab"/>
            <w:rFonts w:asciiTheme="minorEastAsia" w:hAnsiTheme="minorEastAsia" w:hint="eastAsia"/>
          </w:rPr>
          <w:t>（五）基金份额持有人名册的登记与保管</w:t>
        </w:r>
        <w:r>
          <w:rPr>
            <w:webHidden/>
          </w:rPr>
          <w:tab/>
        </w:r>
        <w:r>
          <w:rPr>
            <w:webHidden/>
          </w:rPr>
          <w:fldChar w:fldCharType="begin"/>
        </w:r>
        <w:r>
          <w:rPr>
            <w:webHidden/>
          </w:rPr>
          <w:instrText xml:space="preserve"> PAGEREF _Toc75870063 \h </w:instrText>
        </w:r>
        <w:r>
          <w:rPr>
            <w:webHidden/>
          </w:rPr>
        </w:r>
        <w:r>
          <w:rPr>
            <w:webHidden/>
          </w:rPr>
          <w:fldChar w:fldCharType="separate"/>
        </w:r>
        <w:r>
          <w:rPr>
            <w:webHidden/>
          </w:rPr>
          <w:t>171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4" w:history="1">
        <w:r w:rsidRPr="0028164A">
          <w:rPr>
            <w:rStyle w:val="ab"/>
            <w:rFonts w:asciiTheme="minorEastAsia" w:hAnsiTheme="minorEastAsia" w:hint="eastAsia"/>
          </w:rPr>
          <w:t>（六）适用法律与争议解决</w:t>
        </w:r>
        <w:r>
          <w:rPr>
            <w:webHidden/>
          </w:rPr>
          <w:tab/>
        </w:r>
        <w:r>
          <w:rPr>
            <w:webHidden/>
          </w:rPr>
          <w:fldChar w:fldCharType="begin"/>
        </w:r>
        <w:r>
          <w:rPr>
            <w:webHidden/>
          </w:rPr>
          <w:instrText xml:space="preserve"> PAGEREF _Toc75870064 \h </w:instrText>
        </w:r>
        <w:r>
          <w:rPr>
            <w:webHidden/>
          </w:rPr>
        </w:r>
        <w:r>
          <w:rPr>
            <w:webHidden/>
          </w:rPr>
          <w:fldChar w:fldCharType="separate"/>
        </w:r>
        <w:r>
          <w:rPr>
            <w:webHidden/>
          </w:rPr>
          <w:t>171</w:t>
        </w:r>
        <w:r>
          <w:rPr>
            <w:webHidden/>
          </w:rPr>
          <w:fldChar w:fldCharType="end"/>
        </w:r>
      </w:hyperlink>
    </w:p>
    <w:p w:rsidR="00306598" w:rsidRDefault="00306598">
      <w:pPr>
        <w:pStyle w:val="22"/>
        <w:rPr>
          <w:rFonts w:asciiTheme="minorHAnsi" w:eastAsiaTheme="minorEastAsia" w:hAnsiTheme="minorHAnsi" w:cstheme="minorBidi"/>
          <w:smallCaps w:val="0"/>
          <w:szCs w:val="22"/>
        </w:rPr>
      </w:pPr>
      <w:hyperlink w:anchor="_Toc75870065" w:history="1">
        <w:r w:rsidRPr="0028164A">
          <w:rPr>
            <w:rStyle w:val="ab"/>
            <w:rFonts w:asciiTheme="minorEastAsia" w:hAnsiTheme="minorEastAsia" w:hint="eastAsia"/>
          </w:rPr>
          <w:t>（七）托管协议的修改与终止</w:t>
        </w:r>
        <w:r>
          <w:rPr>
            <w:webHidden/>
          </w:rPr>
          <w:tab/>
        </w:r>
        <w:r>
          <w:rPr>
            <w:webHidden/>
          </w:rPr>
          <w:fldChar w:fldCharType="begin"/>
        </w:r>
        <w:r>
          <w:rPr>
            <w:webHidden/>
          </w:rPr>
          <w:instrText xml:space="preserve"> PAGEREF _Toc75870065 \h </w:instrText>
        </w:r>
        <w:r>
          <w:rPr>
            <w:webHidden/>
          </w:rPr>
        </w:r>
        <w:r>
          <w:rPr>
            <w:webHidden/>
          </w:rPr>
          <w:fldChar w:fldCharType="separate"/>
        </w:r>
        <w:r>
          <w:rPr>
            <w:webHidden/>
          </w:rPr>
          <w:t>171</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66" w:history="1">
        <w:r w:rsidRPr="0028164A">
          <w:rPr>
            <w:rStyle w:val="ab"/>
            <w:rFonts w:asciiTheme="minorEastAsia" w:hAnsiTheme="minorEastAsia" w:hint="eastAsia"/>
            <w:b/>
          </w:rPr>
          <w:t>二十四、对基金份额持有人的服务</w:t>
        </w:r>
        <w:r>
          <w:rPr>
            <w:webHidden/>
          </w:rPr>
          <w:tab/>
        </w:r>
        <w:r>
          <w:rPr>
            <w:webHidden/>
          </w:rPr>
          <w:fldChar w:fldCharType="begin"/>
        </w:r>
        <w:r>
          <w:rPr>
            <w:webHidden/>
          </w:rPr>
          <w:instrText xml:space="preserve"> PAGEREF _Toc75870066 \h </w:instrText>
        </w:r>
        <w:r>
          <w:rPr>
            <w:webHidden/>
          </w:rPr>
        </w:r>
        <w:r>
          <w:rPr>
            <w:webHidden/>
          </w:rPr>
          <w:fldChar w:fldCharType="separate"/>
        </w:r>
        <w:r>
          <w:rPr>
            <w:webHidden/>
          </w:rPr>
          <w:t>173</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67" w:history="1">
        <w:r w:rsidRPr="0028164A">
          <w:rPr>
            <w:rStyle w:val="ab"/>
            <w:rFonts w:asciiTheme="minorEastAsia" w:hAnsiTheme="minorEastAsia" w:hint="eastAsia"/>
            <w:b/>
          </w:rPr>
          <w:t>二十五、其他应披露事项</w:t>
        </w:r>
        <w:r>
          <w:rPr>
            <w:webHidden/>
          </w:rPr>
          <w:tab/>
        </w:r>
        <w:r>
          <w:rPr>
            <w:webHidden/>
          </w:rPr>
          <w:fldChar w:fldCharType="begin"/>
        </w:r>
        <w:r>
          <w:rPr>
            <w:webHidden/>
          </w:rPr>
          <w:instrText xml:space="preserve"> PAGEREF _Toc75870067 \h </w:instrText>
        </w:r>
        <w:r>
          <w:rPr>
            <w:webHidden/>
          </w:rPr>
        </w:r>
        <w:r>
          <w:rPr>
            <w:webHidden/>
          </w:rPr>
          <w:fldChar w:fldCharType="separate"/>
        </w:r>
        <w:r>
          <w:rPr>
            <w:webHidden/>
          </w:rPr>
          <w:t>174</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68" w:history="1">
        <w:r w:rsidRPr="0028164A">
          <w:rPr>
            <w:rStyle w:val="ab"/>
            <w:rFonts w:asciiTheme="minorEastAsia" w:hAnsiTheme="minorEastAsia" w:hint="eastAsia"/>
            <w:b/>
          </w:rPr>
          <w:t>二十六、招募说明书存放及查阅方式</w:t>
        </w:r>
        <w:r>
          <w:rPr>
            <w:webHidden/>
          </w:rPr>
          <w:tab/>
        </w:r>
        <w:r>
          <w:rPr>
            <w:webHidden/>
          </w:rPr>
          <w:fldChar w:fldCharType="begin"/>
        </w:r>
        <w:r>
          <w:rPr>
            <w:webHidden/>
          </w:rPr>
          <w:instrText xml:space="preserve"> PAGEREF _Toc75870068 \h </w:instrText>
        </w:r>
        <w:r>
          <w:rPr>
            <w:webHidden/>
          </w:rPr>
        </w:r>
        <w:r>
          <w:rPr>
            <w:webHidden/>
          </w:rPr>
          <w:fldChar w:fldCharType="separate"/>
        </w:r>
        <w:r>
          <w:rPr>
            <w:webHidden/>
          </w:rPr>
          <w:t>176</w:t>
        </w:r>
        <w:r>
          <w:rPr>
            <w:webHidden/>
          </w:rPr>
          <w:fldChar w:fldCharType="end"/>
        </w:r>
      </w:hyperlink>
    </w:p>
    <w:p w:rsidR="00306598" w:rsidRDefault="00306598">
      <w:pPr>
        <w:pStyle w:val="10"/>
        <w:rPr>
          <w:rFonts w:asciiTheme="minorHAnsi" w:eastAsiaTheme="minorEastAsia" w:hAnsiTheme="minorHAnsi" w:cstheme="minorBidi"/>
          <w:caps w:val="0"/>
          <w:sz w:val="21"/>
          <w:szCs w:val="22"/>
        </w:rPr>
      </w:pPr>
      <w:hyperlink w:anchor="_Toc75870069" w:history="1">
        <w:r w:rsidRPr="0028164A">
          <w:rPr>
            <w:rStyle w:val="ab"/>
            <w:rFonts w:asciiTheme="minorEastAsia" w:hAnsiTheme="minorEastAsia" w:hint="eastAsia"/>
            <w:b/>
          </w:rPr>
          <w:t>二十七、备</w:t>
        </w:r>
        <w:r w:rsidRPr="0028164A">
          <w:rPr>
            <w:rStyle w:val="ab"/>
            <w:rFonts w:asciiTheme="minorEastAsia" w:hAnsiTheme="minorEastAsia" w:hint="eastAsia"/>
            <w:b/>
          </w:rPr>
          <w:t>查</w:t>
        </w:r>
        <w:r w:rsidRPr="0028164A">
          <w:rPr>
            <w:rStyle w:val="ab"/>
            <w:rFonts w:asciiTheme="minorEastAsia" w:hAnsiTheme="minorEastAsia" w:hint="eastAsia"/>
            <w:b/>
          </w:rPr>
          <w:t>文件</w:t>
        </w:r>
        <w:r>
          <w:rPr>
            <w:webHidden/>
          </w:rPr>
          <w:tab/>
        </w:r>
        <w:r>
          <w:rPr>
            <w:webHidden/>
          </w:rPr>
          <w:fldChar w:fldCharType="begin"/>
        </w:r>
        <w:r>
          <w:rPr>
            <w:webHidden/>
          </w:rPr>
          <w:instrText xml:space="preserve"> PAGEREF _Toc75870069 \h </w:instrText>
        </w:r>
        <w:r>
          <w:rPr>
            <w:webHidden/>
          </w:rPr>
        </w:r>
        <w:r>
          <w:rPr>
            <w:webHidden/>
          </w:rPr>
          <w:fldChar w:fldCharType="separate"/>
        </w:r>
        <w:r>
          <w:rPr>
            <w:webHidden/>
          </w:rPr>
          <w:t>177</w:t>
        </w:r>
        <w:r>
          <w:rPr>
            <w:webHidden/>
          </w:rPr>
          <w:fldChar w:fldCharType="end"/>
        </w:r>
      </w:hyperlink>
    </w:p>
    <w:p w:rsidR="00D21CF5" w:rsidRPr="00FA7BE2" w:rsidRDefault="00D21CF5" w:rsidP="00D21CF5">
      <w:pPr>
        <w:snapToGrid w:val="0"/>
        <w:spacing w:line="360" w:lineRule="auto"/>
        <w:ind w:firstLine="560"/>
        <w:jc w:val="center"/>
        <w:rPr>
          <w:rFonts w:asciiTheme="minorEastAsia" w:eastAsiaTheme="minorEastAsia" w:hAnsiTheme="minorEastAsia"/>
        </w:rPr>
        <w:sectPr w:rsidR="00D21CF5" w:rsidRPr="00FA7BE2">
          <w:footerReference w:type="default" r:id="rId14"/>
          <w:pgSz w:w="11906" w:h="16838" w:code="9"/>
          <w:pgMar w:top="1701" w:right="1814" w:bottom="1701" w:left="1814" w:header="1134" w:footer="1247" w:gutter="0"/>
          <w:pgNumType w:fmt="upperRoman" w:start="1"/>
          <w:cols w:space="425"/>
          <w:docGrid w:type="lines" w:linePitch="447"/>
        </w:sectPr>
      </w:pPr>
      <w:r w:rsidRPr="00FA7BE2">
        <w:rPr>
          <w:rFonts w:asciiTheme="minorEastAsia" w:eastAsiaTheme="minorEastAsia" w:hAnsiTheme="minorEastAsia"/>
          <w:b/>
          <w:noProof/>
          <w:sz w:val="24"/>
          <w:szCs w:val="28"/>
        </w:rPr>
        <w:fldChar w:fldCharType="end"/>
      </w:r>
    </w:p>
    <w:p w:rsidR="00D21CF5" w:rsidRPr="00FA7BE2" w:rsidRDefault="00D21CF5" w:rsidP="00BD2EEF">
      <w:pPr>
        <w:pStyle w:val="1"/>
        <w:snapToGrid w:val="0"/>
        <w:spacing w:beforeLines="0" w:afterLines="0" w:line="360" w:lineRule="auto"/>
        <w:ind w:firstLine="643"/>
        <w:rPr>
          <w:rFonts w:asciiTheme="minorEastAsia" w:eastAsiaTheme="minorEastAsia" w:hAnsiTheme="minorEastAsia"/>
          <w:b/>
        </w:rPr>
      </w:pPr>
      <w:bookmarkStart w:id="0" w:name="_Toc38432421"/>
      <w:bookmarkStart w:id="1" w:name="_Toc75869936"/>
      <w:r w:rsidRPr="00FA7BE2">
        <w:rPr>
          <w:rFonts w:asciiTheme="minorEastAsia" w:eastAsiaTheme="minorEastAsia" w:hAnsiTheme="minorEastAsia" w:hint="eastAsia"/>
          <w:b/>
        </w:rPr>
        <w:lastRenderedPageBreak/>
        <w:t>一、绪言</w:t>
      </w:r>
      <w:bookmarkEnd w:id="0"/>
      <w:bookmarkEnd w:id="1"/>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w:t>
      </w:r>
      <w:r w:rsidR="00B87BA8" w:rsidRPr="00FA7BE2">
        <w:rPr>
          <w:rFonts w:asciiTheme="minorEastAsia" w:eastAsiaTheme="minorEastAsia" w:hAnsiTheme="minorEastAsia" w:hint="eastAsia"/>
        </w:rPr>
        <w:t>公开募集</w:t>
      </w:r>
      <w:r w:rsidRPr="00FA7BE2">
        <w:rPr>
          <w:rFonts w:asciiTheme="minorEastAsia" w:eastAsiaTheme="minorEastAsia" w:hAnsiTheme="minorEastAsia" w:hint="eastAsia"/>
        </w:rPr>
        <w:t>证券投资基金信息披露管理办法》（以下简称《信息披露办法》）、《证券投资基金信息披露内容与格式准则第</w:t>
      </w:r>
      <w:r w:rsidRPr="00FA7BE2">
        <w:rPr>
          <w:rFonts w:asciiTheme="minorEastAsia" w:eastAsiaTheme="minorEastAsia" w:hAnsiTheme="minorEastAsia"/>
        </w:rPr>
        <w:t>5</w:t>
      </w:r>
      <w:r w:rsidRPr="00FA7BE2">
        <w:rPr>
          <w:rFonts w:asciiTheme="minorEastAsia" w:eastAsiaTheme="minorEastAsia" w:hAnsiTheme="minorEastAsia" w:hint="eastAsia"/>
        </w:rPr>
        <w:t>号</w:t>
      </w:r>
      <w:r w:rsidRPr="00FA7BE2">
        <w:rPr>
          <w:rFonts w:asciiTheme="minorEastAsia" w:eastAsiaTheme="minorEastAsia" w:hAnsiTheme="minorEastAsia"/>
        </w:rPr>
        <w:t>&lt;</w:t>
      </w:r>
      <w:r w:rsidRPr="00FA7BE2">
        <w:rPr>
          <w:rFonts w:asciiTheme="minorEastAsia" w:eastAsiaTheme="minorEastAsia" w:hAnsiTheme="minorEastAsia" w:hint="eastAsia"/>
        </w:rPr>
        <w:t>招募说明书的内容与格式</w:t>
      </w:r>
      <w:r w:rsidRPr="00FA7BE2">
        <w:rPr>
          <w:rFonts w:asciiTheme="minorEastAsia" w:eastAsiaTheme="minorEastAsia" w:hAnsiTheme="minorEastAsia"/>
        </w:rPr>
        <w:t>&gt;</w:t>
      </w:r>
      <w:r w:rsidRPr="00FA7BE2">
        <w:rPr>
          <w:rFonts w:asciiTheme="minorEastAsia" w:eastAsiaTheme="minorEastAsia" w:hAnsiTheme="minorEastAsia" w:hint="eastAsia"/>
        </w:rPr>
        <w:t>》、《公开募集开放式证券投资基金流动性风险管理规定》（以下简称“《管理规定》”）等有关法律法规以及《易方达稳健收益债券型证券投资基金基金合同》编写。</w:t>
      </w:r>
    </w:p>
    <w:p w:rsidR="00D21CF5" w:rsidRPr="00FA7BE2" w:rsidRDefault="00D21CF5" w:rsidP="00D21CF5">
      <w:pPr>
        <w:snapToGrid w:val="0"/>
        <w:spacing w:line="360" w:lineRule="auto"/>
        <w:ind w:firstLine="482"/>
        <w:rPr>
          <w:rStyle w:val="da"/>
          <w:rFonts w:asciiTheme="minorEastAsia" w:eastAsiaTheme="minorEastAsia" w:hAnsiTheme="minorEastAsia"/>
        </w:rPr>
      </w:pPr>
      <w:r w:rsidRPr="00FA7BE2">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或对本招募说明书作任何解释或者说明。</w:t>
      </w:r>
    </w:p>
    <w:p w:rsidR="00D21CF5" w:rsidRPr="00FA7BE2" w:rsidRDefault="00D21CF5" w:rsidP="00D21CF5">
      <w:pPr>
        <w:snapToGrid w:val="0"/>
        <w:spacing w:line="360" w:lineRule="auto"/>
        <w:ind w:firstLine="482"/>
        <w:rPr>
          <w:rStyle w:val="da"/>
          <w:rFonts w:asciiTheme="minorEastAsia" w:eastAsiaTheme="minorEastAsia" w:hAnsiTheme="minorEastAsia"/>
        </w:rPr>
      </w:pPr>
      <w:r w:rsidRPr="00FA7BE2">
        <w:rPr>
          <w:rStyle w:val="da"/>
          <w:rFonts w:asciiTheme="minorEastAsia" w:eastAsiaTheme="minorEastAsia" w:hAnsiTheme="minorEastAsia"/>
        </w:rPr>
        <w:t>本招募说明书根据本基金的基金合同编写</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即成为基金份额持有人和本基金合同的当事人</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其持有基金份额的行为本身即表明其对基金合同的承认和接受</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并按照《基金法》、基金合同及其他有关规定享有权利、承担义务。基金投资人欲了解基金份额持有人的权利和义务</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应详细查阅基金合同</w:t>
      </w:r>
      <w:r w:rsidRPr="00FA7BE2">
        <w:rPr>
          <w:rStyle w:val="da"/>
          <w:rFonts w:asciiTheme="minorEastAsia" w:eastAsiaTheme="minorEastAsia" w:hAnsiTheme="minorEastAsia" w:hint="eastAsia"/>
        </w:rPr>
        <w:t>。</w:t>
      </w:r>
    </w:p>
    <w:p w:rsidR="00D21CF5" w:rsidRPr="00FA7BE2" w:rsidRDefault="00D21CF5" w:rsidP="00D21CF5">
      <w:pPr>
        <w:snapToGrid w:val="0"/>
        <w:spacing w:line="360" w:lineRule="auto"/>
        <w:ind w:firstLine="482"/>
        <w:rPr>
          <w:rFonts w:asciiTheme="minorEastAsia" w:eastAsiaTheme="minorEastAsia" w:hAnsiTheme="minorEastAsia"/>
        </w:rPr>
      </w:pPr>
    </w:p>
    <w:p w:rsidR="00D21CF5" w:rsidRPr="00FA7BE2" w:rsidRDefault="00D21CF5" w:rsidP="00D21CF5">
      <w:pPr>
        <w:snapToGrid w:val="0"/>
        <w:spacing w:line="360" w:lineRule="auto"/>
        <w:ind w:firstLine="482"/>
        <w:rPr>
          <w:rFonts w:asciiTheme="minorEastAsia" w:eastAsiaTheme="minorEastAsia" w:hAnsiTheme="minorEastAsia"/>
        </w:rPr>
      </w:pPr>
    </w:p>
    <w:p w:rsidR="00D21CF5" w:rsidRPr="00FA7BE2" w:rsidRDefault="00D21CF5" w:rsidP="00D21CF5">
      <w:pPr>
        <w:snapToGrid w:val="0"/>
        <w:spacing w:line="360" w:lineRule="auto"/>
        <w:ind w:firstLine="482"/>
        <w:rPr>
          <w:rFonts w:asciiTheme="minorEastAsia" w:eastAsiaTheme="minorEastAsia" w:hAnsiTheme="minorEastAsia"/>
        </w:rPr>
      </w:pPr>
    </w:p>
    <w:p w:rsidR="00D21CF5" w:rsidRPr="00FA7BE2" w:rsidRDefault="00D21CF5" w:rsidP="00D21CF5">
      <w:pPr>
        <w:snapToGrid w:val="0"/>
        <w:spacing w:line="360" w:lineRule="auto"/>
        <w:ind w:firstLine="482"/>
        <w:rPr>
          <w:rFonts w:asciiTheme="minorEastAsia" w:eastAsiaTheme="minorEastAsia" w:hAnsiTheme="minorEastAsia"/>
        </w:rPr>
      </w:pPr>
    </w:p>
    <w:p w:rsidR="00BD2EEF" w:rsidRPr="00FA7BE2" w:rsidRDefault="00BD2EEF" w:rsidP="00D21CF5">
      <w:pPr>
        <w:snapToGrid w:val="0"/>
        <w:spacing w:line="360" w:lineRule="auto"/>
        <w:ind w:firstLine="482"/>
        <w:rPr>
          <w:rFonts w:asciiTheme="minorEastAsia" w:eastAsiaTheme="minorEastAsia" w:hAnsiTheme="minorEastAsia"/>
        </w:rPr>
        <w:sectPr w:rsidR="00BD2EEF" w:rsidRPr="00FA7BE2" w:rsidSect="004F61AF">
          <w:footerReference w:type="default" r:id="rId15"/>
          <w:footerReference w:type="first" r:id="rId16"/>
          <w:pgSz w:w="11906" w:h="16838" w:code="9"/>
          <w:pgMar w:top="1440" w:right="1800" w:bottom="1440" w:left="1800" w:header="851" w:footer="992" w:gutter="0"/>
          <w:pgNumType w:start="1"/>
          <w:cols w:space="425"/>
          <w:docGrid w:type="lines" w:linePitch="312"/>
        </w:sectPr>
      </w:pPr>
    </w:p>
    <w:p w:rsidR="00D21CF5" w:rsidRPr="00FA7BE2" w:rsidRDefault="00D21CF5" w:rsidP="00BD2EEF">
      <w:pPr>
        <w:pStyle w:val="1"/>
        <w:snapToGrid w:val="0"/>
        <w:spacing w:beforeLines="0" w:afterLines="0" w:line="360" w:lineRule="auto"/>
        <w:ind w:firstLine="643"/>
        <w:rPr>
          <w:rFonts w:asciiTheme="minorEastAsia" w:eastAsiaTheme="minorEastAsia" w:hAnsiTheme="minorEastAsia"/>
          <w:b/>
        </w:rPr>
      </w:pPr>
      <w:bookmarkStart w:id="2" w:name="_Toc38432422"/>
      <w:bookmarkStart w:id="3" w:name="_Toc75869937"/>
      <w:r w:rsidRPr="00FA7BE2">
        <w:rPr>
          <w:rFonts w:asciiTheme="minorEastAsia" w:eastAsiaTheme="minorEastAsia" w:hAnsiTheme="minorEastAsia" w:hint="eastAsia"/>
          <w:b/>
        </w:rPr>
        <w:lastRenderedPageBreak/>
        <w:t>二、释义</w:t>
      </w:r>
      <w:bookmarkEnd w:id="2"/>
      <w:bookmarkEnd w:id="3"/>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本《招募说明书》中除非文意另有所指</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720"/>
      </w:tblGrid>
      <w:tr w:rsidR="005C6736" w:rsidRPr="00FA7BE2" w:rsidTr="004F61AF">
        <w:trPr>
          <w:trHeight w:val="762"/>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基金合同：</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指《易方达稳健收益债券型证券投资基金基金合同》及对该合同的任何修订和补充，《基金合同》由《易方达月月收益中短期债券投资基金基金合同》修订而成</w:t>
            </w:r>
          </w:p>
        </w:tc>
      </w:tr>
      <w:tr w:rsidR="005C6736" w:rsidRPr="00FA7BE2" w:rsidTr="004F61AF">
        <w:trPr>
          <w:trHeight w:val="77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《托管协议》:</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指《易方达稳健收益债券型证券投资基金托管协议》及对该协议的任何修订和补充，《托管协议》由《易方达月月收益中短期债券投资基金托管协议》修订而成</w:t>
            </w:r>
          </w:p>
        </w:tc>
      </w:tr>
      <w:tr w:rsidR="005C6736" w:rsidRPr="00FA7BE2" w:rsidTr="004F61AF">
        <w:trPr>
          <w:trHeight w:val="266"/>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《基金法》：</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指《中华人民共和国证券投资基金法》</w:t>
            </w:r>
          </w:p>
        </w:tc>
      </w:tr>
      <w:tr w:rsidR="005C6736" w:rsidRPr="00FA7BE2" w:rsidTr="004F61AF">
        <w:trPr>
          <w:trHeight w:val="782"/>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《运作办法》：</w:t>
            </w:r>
          </w:p>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《管理规定》：</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指《证券投资基金运作管理办法》</w:t>
            </w:r>
          </w:p>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5C6736" w:rsidRPr="00FA7BE2" w:rsidTr="00AF36DE">
        <w:trPr>
          <w:trHeight w:val="419"/>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《销售办法》：</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指《证券投资基金销售管理办法》</w:t>
            </w:r>
          </w:p>
        </w:tc>
      </w:tr>
      <w:tr w:rsidR="005C6736" w:rsidRPr="00FA7BE2" w:rsidTr="004F61AF">
        <w:trPr>
          <w:trHeight w:val="885"/>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《信息披露办法》：</w:t>
            </w:r>
          </w:p>
        </w:tc>
        <w:tc>
          <w:tcPr>
            <w:tcW w:w="5720" w:type="dxa"/>
          </w:tcPr>
          <w:p w:rsidR="00D21CF5" w:rsidRPr="00FA7BE2" w:rsidRDefault="00B87BA8"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元：</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指人民币元</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本基金、基金：</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指易方达稳健收益债券型证券投资基金，本基金由易方达月月收益中短期债券投资基金转型而成</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中国证监会：</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指中国证券监督管理委员会</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基金管理人：</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指易方达基金管理有限公司</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基金托管人：</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指中国银行股份有限公司</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Style w:val="da"/>
                <w:rFonts w:asciiTheme="minorEastAsia" w:eastAsiaTheme="minorEastAsia" w:hAnsiTheme="minorEastAsia" w:hint="eastAsia"/>
              </w:rPr>
              <w:t>非直销销售</w:t>
            </w:r>
            <w:r w:rsidRPr="00FA7BE2">
              <w:rPr>
                <w:rFonts w:asciiTheme="minorEastAsia" w:eastAsiaTheme="minorEastAsia" w:hAnsiTheme="minorEastAsia" w:hint="eastAsia"/>
                <w:szCs w:val="21"/>
              </w:rPr>
              <w:t>机构：</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符合《销售办法》和中国证监会规定的其他条件，取得基金销售业务资格</w:t>
            </w:r>
            <w:r w:rsidRPr="00FA7BE2">
              <w:rPr>
                <w:rStyle w:val="da"/>
                <w:rFonts w:asciiTheme="minorEastAsia" w:eastAsiaTheme="minorEastAsia" w:hAnsiTheme="minorEastAsia" w:hint="eastAsia"/>
              </w:rPr>
              <w:t>并与基金管理人签订了基金销售服务协议，办理基金销售业务的机构</w:t>
            </w:r>
          </w:p>
        </w:tc>
      </w:tr>
      <w:tr w:rsidR="005C6736" w:rsidRPr="00FA7BE2" w:rsidTr="004F61AF">
        <w:trPr>
          <w:trHeight w:val="76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基金注册登记机构：</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指基金管理人或接受基金管理人委托代为办理本基金注册与过户登记业务的机构</w:t>
            </w:r>
          </w:p>
        </w:tc>
      </w:tr>
      <w:tr w:rsidR="005C6736" w:rsidRPr="00FA7BE2" w:rsidTr="004F61AF">
        <w:trPr>
          <w:trHeight w:val="45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销售机构：</w:t>
            </w:r>
          </w:p>
          <w:p w:rsidR="00D21CF5" w:rsidRPr="00FA7BE2" w:rsidRDefault="00D21CF5" w:rsidP="004F61AF">
            <w:pPr>
              <w:snapToGrid w:val="0"/>
              <w:spacing w:line="360" w:lineRule="auto"/>
              <w:rPr>
                <w:rFonts w:asciiTheme="minorEastAsia" w:eastAsiaTheme="minorEastAsia" w:hAnsiTheme="minorEastAsia"/>
                <w:szCs w:val="21"/>
              </w:rPr>
            </w:pP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指依据有关规定办理本基金申购、赎回和其他业务的机构，包括基金管理人和非直销销售机构</w:t>
            </w:r>
          </w:p>
        </w:tc>
      </w:tr>
      <w:tr w:rsidR="005C6736" w:rsidRPr="00FA7BE2" w:rsidTr="004F61AF">
        <w:trPr>
          <w:trHeight w:val="45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基金销售网点：</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指基金管理人的直销网点及基金</w:t>
            </w:r>
            <w:r w:rsidRPr="00FA7BE2">
              <w:rPr>
                <w:rStyle w:val="da"/>
                <w:rFonts w:asciiTheme="minorEastAsia" w:eastAsiaTheme="minorEastAsia" w:hAnsiTheme="minorEastAsia" w:hint="eastAsia"/>
              </w:rPr>
              <w:t>非直销销售机构</w:t>
            </w:r>
            <w:r w:rsidRPr="00FA7BE2">
              <w:rPr>
                <w:rFonts w:asciiTheme="minorEastAsia" w:eastAsiaTheme="minorEastAsia" w:hAnsiTheme="minorEastAsia" w:hint="eastAsia"/>
                <w:szCs w:val="21"/>
              </w:rPr>
              <w:t>的销售网点</w:t>
            </w:r>
          </w:p>
        </w:tc>
      </w:tr>
      <w:tr w:rsidR="005C6736" w:rsidRPr="00FA7BE2" w:rsidTr="004F61AF">
        <w:trPr>
          <w:trHeight w:val="435"/>
        </w:trPr>
        <w:tc>
          <w:tcPr>
            <w:tcW w:w="2552" w:type="dxa"/>
          </w:tcPr>
          <w:p w:rsidR="00D21CF5" w:rsidRPr="00FA7BE2" w:rsidRDefault="00B87BA8"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指定媒介</w:t>
            </w:r>
            <w:r w:rsidR="00D21CF5" w:rsidRPr="00FA7BE2">
              <w:rPr>
                <w:rFonts w:asciiTheme="minorEastAsia" w:eastAsiaTheme="minorEastAsia" w:hAnsiTheme="minorEastAsia" w:hint="eastAsia"/>
                <w:szCs w:val="21"/>
              </w:rPr>
              <w:t>：</w:t>
            </w:r>
          </w:p>
        </w:tc>
        <w:tc>
          <w:tcPr>
            <w:tcW w:w="5720" w:type="dxa"/>
          </w:tcPr>
          <w:p w:rsidR="00D21CF5" w:rsidRPr="00FA7BE2" w:rsidRDefault="0092110D"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指中国证监会指定的用以进行信息披露的全国性报刊及指定互联网网站（包括基金管理人网站、基金托管人网站、中国证</w:t>
            </w:r>
            <w:r w:rsidRPr="00FA7BE2">
              <w:rPr>
                <w:rFonts w:asciiTheme="minorEastAsia" w:eastAsiaTheme="minorEastAsia" w:hAnsiTheme="minorEastAsia" w:hint="eastAsia"/>
                <w:szCs w:val="21"/>
              </w:rPr>
              <w:lastRenderedPageBreak/>
              <w:t>监会基金电子披露网站）等媒介</w:t>
            </w:r>
          </w:p>
        </w:tc>
      </w:tr>
      <w:tr w:rsidR="005C6736" w:rsidRPr="00FA7BE2" w:rsidTr="004F61AF">
        <w:trPr>
          <w:trHeight w:val="48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lastRenderedPageBreak/>
              <w:t>《更新的招募说明书》</w:t>
            </w:r>
          </w:p>
          <w:p w:rsidR="00B87BA8" w:rsidRPr="00FA7BE2" w:rsidRDefault="00B87BA8" w:rsidP="004F61AF">
            <w:pPr>
              <w:snapToGrid w:val="0"/>
              <w:spacing w:line="360" w:lineRule="auto"/>
              <w:rPr>
                <w:rFonts w:asciiTheme="minorEastAsia" w:eastAsiaTheme="minorEastAsia" w:hAnsiTheme="minorEastAsia"/>
                <w:szCs w:val="21"/>
              </w:rPr>
            </w:pPr>
          </w:p>
          <w:p w:rsidR="00B87BA8" w:rsidRPr="00FA7BE2" w:rsidRDefault="00B87BA8" w:rsidP="004F61AF">
            <w:pPr>
              <w:snapToGrid w:val="0"/>
              <w:spacing w:line="360" w:lineRule="auto"/>
              <w:rPr>
                <w:rFonts w:asciiTheme="minorEastAsia" w:eastAsiaTheme="minorEastAsia" w:hAnsiTheme="minorEastAsia"/>
                <w:szCs w:val="21"/>
              </w:rPr>
            </w:pPr>
          </w:p>
          <w:p w:rsidR="00B87BA8" w:rsidRPr="00FA7BE2" w:rsidRDefault="00B87BA8" w:rsidP="004F61AF">
            <w:pPr>
              <w:snapToGrid w:val="0"/>
              <w:spacing w:line="360" w:lineRule="auto"/>
              <w:rPr>
                <w:rFonts w:asciiTheme="minorEastAsia" w:eastAsiaTheme="minorEastAsia" w:hAnsiTheme="minorEastAsia"/>
                <w:szCs w:val="21"/>
              </w:rPr>
            </w:pPr>
          </w:p>
          <w:p w:rsidR="00B87BA8" w:rsidRPr="00FA7BE2" w:rsidRDefault="00B87BA8"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基金产品资料概要</w:t>
            </w:r>
          </w:p>
        </w:tc>
        <w:tc>
          <w:tcPr>
            <w:tcW w:w="5720" w:type="dxa"/>
          </w:tcPr>
          <w:p w:rsidR="00D21CF5" w:rsidRPr="00FA7BE2" w:rsidRDefault="00B87BA8"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w:t>
            </w:r>
          </w:p>
          <w:p w:rsidR="00B87BA8" w:rsidRPr="00FA7BE2" w:rsidRDefault="00B87BA8"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w:t>
            </w:r>
            <w:r w:rsidR="006B7120" w:rsidRPr="00FA7BE2">
              <w:rPr>
                <w:rFonts w:asciiTheme="minorEastAsia" w:eastAsiaTheme="minorEastAsia" w:hAnsiTheme="minorEastAsia" w:hint="eastAsia"/>
                <w:szCs w:val="21"/>
              </w:rPr>
              <w:t>易方达稳健收益债券型证券投资基金基金产品资料概要</w:t>
            </w:r>
            <w:r w:rsidRPr="00FA7BE2">
              <w:rPr>
                <w:rFonts w:asciiTheme="minorEastAsia" w:eastAsiaTheme="minorEastAsia" w:hAnsiTheme="minorEastAsia" w:hint="eastAsia"/>
                <w:szCs w:val="21"/>
              </w:rPr>
              <w:t>》及其更新</w:t>
            </w:r>
          </w:p>
        </w:tc>
      </w:tr>
      <w:tr w:rsidR="005C6736" w:rsidRPr="00FA7BE2" w:rsidTr="004F61AF">
        <w:trPr>
          <w:trHeight w:val="615"/>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基金合同当事人：</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指受基金合同约束，根据基金合同享受权利并承担义务的法律主体，包括基金管理人、基金托管人、基金份额持有人</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个人投资者：</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指依据中华人民共和国有关法律法规及其他有关规定可以投资于证券投资基金的自然人投资者</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机构投资者：</w:t>
            </w:r>
          </w:p>
          <w:p w:rsidR="00D21CF5" w:rsidRPr="00FA7BE2" w:rsidRDefault="00D21CF5" w:rsidP="004F61AF">
            <w:pPr>
              <w:snapToGrid w:val="0"/>
              <w:spacing w:line="360" w:lineRule="auto"/>
              <w:rPr>
                <w:rFonts w:asciiTheme="minorEastAsia" w:eastAsiaTheme="minorEastAsia" w:hAnsiTheme="minorEastAsia"/>
                <w:szCs w:val="21"/>
              </w:rPr>
            </w:pP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指在中国境内合法注册登记或经有权政府部门批准设立和有效存续并依法可以投资于证券投资基金的企业法人、事业法人、社会团体或其他组织</w:t>
            </w:r>
          </w:p>
        </w:tc>
      </w:tr>
      <w:tr w:rsidR="005C6736" w:rsidRPr="00FA7BE2" w:rsidTr="004F61AF">
        <w:trPr>
          <w:trHeight w:val="779"/>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募集期：</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指自基金份额开始发售之日起到基金份额发售结束之日止的时间段，最长不超过3个月</w:t>
            </w:r>
          </w:p>
        </w:tc>
      </w:tr>
      <w:tr w:rsidR="005C6736" w:rsidRPr="00FA7BE2" w:rsidTr="004F61AF">
        <w:trPr>
          <w:trHeight w:val="1050"/>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本基金合同生效日：</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指本基金达到规定的条件后，并按规定办理了验资和备案手续、得到中国证监会书面确认之日</w:t>
            </w:r>
          </w:p>
        </w:tc>
      </w:tr>
      <w:tr w:rsidR="005C6736" w:rsidRPr="00FA7BE2" w:rsidTr="004F61AF">
        <w:trPr>
          <w:trHeight w:val="581"/>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存续期限：</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指基金合同生效并存续的不定期之期限</w:t>
            </w:r>
          </w:p>
        </w:tc>
      </w:tr>
      <w:tr w:rsidR="005C6736" w:rsidRPr="00FA7BE2" w:rsidTr="004F61AF">
        <w:trPr>
          <w:trHeight w:val="586"/>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工作日：</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指上海证券交易所和深圳证券交易所的正常交易日</w:t>
            </w:r>
          </w:p>
        </w:tc>
      </w:tr>
      <w:tr w:rsidR="005C6736" w:rsidRPr="00FA7BE2" w:rsidTr="004F61AF">
        <w:trPr>
          <w:trHeight w:val="578"/>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开放日：</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指为投资者办理基金申购、赎回等业务的工作日</w:t>
            </w:r>
          </w:p>
        </w:tc>
      </w:tr>
      <w:tr w:rsidR="005C6736" w:rsidRPr="00FA7BE2" w:rsidTr="004F61AF">
        <w:trPr>
          <w:trHeight w:val="584"/>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T日：</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指申购、赎回或其他交易的申请日</w:t>
            </w:r>
          </w:p>
        </w:tc>
      </w:tr>
      <w:tr w:rsidR="005C6736" w:rsidRPr="00FA7BE2" w:rsidTr="004F61AF">
        <w:trPr>
          <w:trHeight w:val="576"/>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认购：</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指在募集期内，购买基金份额的行为</w:t>
            </w:r>
          </w:p>
        </w:tc>
      </w:tr>
      <w:tr w:rsidR="005C6736" w:rsidRPr="00FA7BE2" w:rsidTr="004F61AF">
        <w:trPr>
          <w:trHeight w:val="569"/>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申购：</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指基金合同生效后，基金投资者购买基金份额的行为</w:t>
            </w:r>
          </w:p>
        </w:tc>
      </w:tr>
      <w:tr w:rsidR="005C6736" w:rsidRPr="00FA7BE2" w:rsidTr="004F61AF">
        <w:trPr>
          <w:trHeight w:val="731"/>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赎回：</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指基金合同生效后，基金投资者卖出基金份额的行为</w:t>
            </w:r>
          </w:p>
        </w:tc>
      </w:tr>
      <w:tr w:rsidR="005C6736" w:rsidRPr="00FA7BE2" w:rsidTr="004F61AF">
        <w:trPr>
          <w:trHeight w:val="627"/>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转换：</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基金转换是指基金份额持有人按基金管理人规定的条件将其持有的某一只基金的基金份额转换为同一基金管理人管理的另一只基金的基金份额的行为</w:t>
            </w:r>
          </w:p>
        </w:tc>
      </w:tr>
      <w:tr w:rsidR="005C6736" w:rsidRPr="00FA7BE2" w:rsidTr="004F61AF">
        <w:trPr>
          <w:trHeight w:val="1565"/>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lastRenderedPageBreak/>
              <w:t>基金份额</w:t>
            </w:r>
            <w:r w:rsidR="00CD39BB" w:rsidRPr="00FA7BE2">
              <w:rPr>
                <w:rFonts w:asciiTheme="minorEastAsia" w:eastAsiaTheme="minorEastAsia" w:hAnsiTheme="minorEastAsia" w:hint="eastAsia"/>
                <w:szCs w:val="21"/>
              </w:rPr>
              <w:t>类别</w:t>
            </w:r>
            <w:r w:rsidRPr="00FA7BE2">
              <w:rPr>
                <w:rFonts w:asciiTheme="minorEastAsia" w:eastAsiaTheme="minorEastAsia" w:hAnsiTheme="minorEastAsia" w:hint="eastAsia"/>
                <w:szCs w:val="21"/>
              </w:rPr>
              <w:t>：</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本基金根据申购费</w:t>
            </w:r>
            <w:r w:rsidR="00CD39BB" w:rsidRPr="00FA7BE2">
              <w:rPr>
                <w:rFonts w:asciiTheme="minorEastAsia" w:eastAsiaTheme="minorEastAsia" w:hAnsiTheme="minorEastAsia" w:hint="eastAsia"/>
                <w:szCs w:val="21"/>
              </w:rPr>
              <w:t>、赎回费</w:t>
            </w:r>
            <w:r w:rsidRPr="00FA7BE2">
              <w:rPr>
                <w:rFonts w:asciiTheme="minorEastAsia" w:eastAsiaTheme="minorEastAsia" w:hAnsiTheme="minorEastAsia" w:hint="eastAsia"/>
                <w:szCs w:val="21"/>
              </w:rPr>
              <w:t>和销售服务费收取的方式不同，将基金份额分为不同</w:t>
            </w:r>
            <w:r w:rsidR="00CD39BB" w:rsidRPr="00FA7BE2">
              <w:rPr>
                <w:rFonts w:asciiTheme="minorEastAsia" w:eastAsiaTheme="minorEastAsia" w:hAnsiTheme="minorEastAsia" w:hint="eastAsia"/>
                <w:szCs w:val="21"/>
              </w:rPr>
              <w:t>类别</w:t>
            </w:r>
            <w:r w:rsidRPr="00FA7BE2">
              <w:rPr>
                <w:rFonts w:asciiTheme="minorEastAsia" w:eastAsiaTheme="minorEastAsia" w:hAnsiTheme="minorEastAsia" w:hint="eastAsia"/>
                <w:szCs w:val="21"/>
              </w:rPr>
              <w:t>。</w:t>
            </w:r>
            <w:r w:rsidR="00CD39BB" w:rsidRPr="00FA7BE2">
              <w:rPr>
                <w:rFonts w:asciiTheme="minorEastAsia" w:eastAsiaTheme="minorEastAsia" w:hAnsiTheme="minorEastAsia" w:hint="eastAsia"/>
                <w:szCs w:val="21"/>
              </w:rPr>
              <w:t>各类</w:t>
            </w:r>
            <w:r w:rsidRPr="00FA7BE2">
              <w:rPr>
                <w:rFonts w:asciiTheme="minorEastAsia" w:eastAsiaTheme="minorEastAsia" w:hAnsiTheme="minorEastAsia" w:hint="eastAsia"/>
                <w:szCs w:val="21"/>
              </w:rPr>
              <w:t>基金份额将分别设置最低认（申）购金额限制，分设不同的基金代码，并分别公布基金份额净值。</w:t>
            </w:r>
          </w:p>
        </w:tc>
      </w:tr>
      <w:tr w:rsidR="005C6736" w:rsidRPr="00FA7BE2" w:rsidTr="001D1F29">
        <w:trPr>
          <w:trHeight w:val="1135"/>
        </w:trPr>
        <w:tc>
          <w:tcPr>
            <w:tcW w:w="2552"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A类基金份额</w:t>
            </w:r>
          </w:p>
        </w:tc>
        <w:tc>
          <w:tcPr>
            <w:tcW w:w="5720"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不收取申购费用、按照年费率0.3%收取销售服务费、并可对持有期限少于30日的本类基金份额的赎回收取赎回费的基金份额类别称为A类基金份额</w:t>
            </w:r>
          </w:p>
        </w:tc>
      </w:tr>
      <w:tr w:rsidR="005C6736" w:rsidRPr="00FA7BE2" w:rsidTr="001D1F29">
        <w:trPr>
          <w:trHeight w:val="1128"/>
        </w:trPr>
        <w:tc>
          <w:tcPr>
            <w:tcW w:w="2552"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B类基金份额</w:t>
            </w:r>
          </w:p>
        </w:tc>
        <w:tc>
          <w:tcPr>
            <w:tcW w:w="5720"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收取申购费用、不收取销售服务费、并可对持有期限少于30日的本类基金份额的赎回收取赎回费的基金份额类别称为B类基金份额</w:t>
            </w:r>
          </w:p>
        </w:tc>
      </w:tr>
      <w:tr w:rsidR="005C6736" w:rsidRPr="00FA7BE2" w:rsidTr="001D1F29">
        <w:trPr>
          <w:trHeight w:val="979"/>
        </w:trPr>
        <w:tc>
          <w:tcPr>
            <w:tcW w:w="2552"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C类基金份额</w:t>
            </w:r>
          </w:p>
        </w:tc>
        <w:tc>
          <w:tcPr>
            <w:tcW w:w="5720" w:type="dxa"/>
          </w:tcPr>
          <w:p w:rsidR="00CD39BB" w:rsidRPr="00FA7BE2" w:rsidRDefault="00CD39BB"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不收取申购费用、按照年费率0.28%收取销售服务费、并可对持有期限少于365日的本类别基金份额的赎回收取赎回费的基金份额类别称为C类基金份额</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基金资产总值：</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szCs w:val="21"/>
              </w:rPr>
              <w:t>指基金</w:t>
            </w:r>
            <w:r w:rsidRPr="00FA7BE2">
              <w:rPr>
                <w:rFonts w:asciiTheme="minorEastAsia" w:eastAsiaTheme="minorEastAsia" w:hAnsiTheme="minorEastAsia" w:hint="eastAsia"/>
                <w:szCs w:val="21"/>
              </w:rPr>
              <w:t>所购买的各类证券价值、银行存款本息和基金应收的款项以及其他投资所形成的价值总和</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基金资产净值：</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指基金资产总值减去负债后的价值</w:t>
            </w:r>
          </w:p>
        </w:tc>
      </w:tr>
      <w:tr w:rsidR="005C6736" w:rsidRPr="00FA7BE2" w:rsidTr="004F61AF">
        <w:trPr>
          <w:trHeight w:val="765"/>
        </w:trPr>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基金资产估值：</w:t>
            </w:r>
          </w:p>
          <w:p w:rsidR="00D21CF5" w:rsidRPr="00FA7BE2" w:rsidRDefault="00D21CF5" w:rsidP="004F61AF">
            <w:pPr>
              <w:snapToGrid w:val="0"/>
              <w:spacing w:line="360" w:lineRule="auto"/>
              <w:rPr>
                <w:rFonts w:asciiTheme="minorEastAsia" w:eastAsiaTheme="minorEastAsia" w:hAnsiTheme="minorEastAsia"/>
                <w:szCs w:val="21"/>
              </w:rPr>
            </w:pP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指计算评估基金资产和负债的价值，以确定基金资产净值的过程</w:t>
            </w:r>
          </w:p>
        </w:tc>
      </w:tr>
      <w:tr w:rsidR="005C6736" w:rsidRPr="00FA7BE2" w:rsidTr="004F61AF">
        <w:tc>
          <w:tcPr>
            <w:tcW w:w="2552"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基金份额持有人服务：</w:t>
            </w:r>
          </w:p>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流动性受限资产：</w:t>
            </w:r>
          </w:p>
        </w:tc>
        <w:tc>
          <w:tcPr>
            <w:tcW w:w="5720"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指基金管理人承诺为基金份额持有人提供的一系列服务</w:t>
            </w:r>
          </w:p>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r w:rsidR="003349D9" w:rsidRPr="00FA7BE2" w:rsidTr="004F61AF">
        <w:tc>
          <w:tcPr>
            <w:tcW w:w="2552" w:type="dxa"/>
          </w:tcPr>
          <w:p w:rsidR="003349D9" w:rsidRPr="00FA7BE2" w:rsidRDefault="003349D9" w:rsidP="004F61AF">
            <w:pPr>
              <w:snapToGrid w:val="0"/>
              <w:spacing w:line="360" w:lineRule="auto"/>
              <w:rPr>
                <w:rFonts w:asciiTheme="minorEastAsia" w:eastAsiaTheme="minorEastAsia" w:hAnsiTheme="minorEastAsia"/>
                <w:szCs w:val="21"/>
              </w:rPr>
            </w:pPr>
            <w:r w:rsidRPr="00FA7BE2">
              <w:rPr>
                <w:rStyle w:val="da"/>
                <w:rFonts w:asciiTheme="minorEastAsia" w:eastAsiaTheme="minorEastAsia" w:hAnsiTheme="minorEastAsia" w:hint="eastAsia"/>
              </w:rPr>
              <w:t>侧袋机制</w:t>
            </w:r>
          </w:p>
        </w:tc>
        <w:tc>
          <w:tcPr>
            <w:tcW w:w="5720" w:type="dxa"/>
          </w:tcPr>
          <w:p w:rsidR="003349D9" w:rsidRPr="00FA7BE2" w:rsidRDefault="003349D9" w:rsidP="004F61AF">
            <w:pPr>
              <w:snapToGrid w:val="0"/>
              <w:spacing w:line="360" w:lineRule="auto"/>
              <w:rPr>
                <w:rFonts w:asciiTheme="minorEastAsia" w:eastAsiaTheme="minorEastAsia" w:hAnsiTheme="minorEastAsia"/>
                <w:szCs w:val="21"/>
              </w:rPr>
            </w:pPr>
            <w:r w:rsidRPr="00FA7BE2">
              <w:rPr>
                <w:rStyle w:val="da"/>
                <w:rFonts w:asciiTheme="minorEastAsia" w:eastAsiaTheme="minorEastAsia" w:hAnsiTheme="minorEastAsia" w:hint="eastAsia"/>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3349D9" w:rsidRPr="00FA7BE2" w:rsidTr="004F61AF">
        <w:tc>
          <w:tcPr>
            <w:tcW w:w="2552" w:type="dxa"/>
          </w:tcPr>
          <w:p w:rsidR="003349D9" w:rsidRPr="00FA7BE2" w:rsidRDefault="003349D9" w:rsidP="004F61AF">
            <w:pPr>
              <w:snapToGrid w:val="0"/>
              <w:spacing w:line="360" w:lineRule="auto"/>
              <w:rPr>
                <w:rStyle w:val="da"/>
                <w:rFonts w:asciiTheme="minorEastAsia" w:eastAsiaTheme="minorEastAsia" w:hAnsiTheme="minorEastAsia"/>
              </w:rPr>
            </w:pPr>
            <w:r w:rsidRPr="00FA7BE2">
              <w:rPr>
                <w:rStyle w:val="da"/>
                <w:rFonts w:asciiTheme="minorEastAsia" w:eastAsiaTheme="minorEastAsia" w:hAnsiTheme="minorEastAsia" w:hint="eastAsia"/>
              </w:rPr>
              <w:t>特定资产</w:t>
            </w:r>
          </w:p>
        </w:tc>
        <w:tc>
          <w:tcPr>
            <w:tcW w:w="5720" w:type="dxa"/>
          </w:tcPr>
          <w:p w:rsidR="003349D9" w:rsidRPr="00FA7BE2" w:rsidRDefault="003349D9" w:rsidP="004F61AF">
            <w:pPr>
              <w:snapToGrid w:val="0"/>
              <w:spacing w:line="360" w:lineRule="auto"/>
              <w:rPr>
                <w:rStyle w:val="da"/>
                <w:rFonts w:asciiTheme="minorEastAsia" w:eastAsiaTheme="minorEastAsia" w:hAnsiTheme="minorEastAsia"/>
              </w:rPr>
            </w:pPr>
            <w:r w:rsidRPr="00FA7BE2">
              <w:rPr>
                <w:rStyle w:val="da"/>
                <w:rFonts w:asciiTheme="minorEastAsia" w:eastAsiaTheme="minorEastAsia" w:hAnsiTheme="minorEastAsia" w:hint="eastAsia"/>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bl>
    <w:p w:rsidR="00BD2EEF" w:rsidRPr="00FA7BE2" w:rsidRDefault="00BD2EEF" w:rsidP="00D21CF5">
      <w:pPr>
        <w:snapToGrid w:val="0"/>
        <w:spacing w:line="360" w:lineRule="auto"/>
        <w:rPr>
          <w:rFonts w:asciiTheme="minorEastAsia" w:eastAsiaTheme="minorEastAsia" w:hAnsiTheme="minorEastAsia"/>
        </w:rPr>
        <w:sectPr w:rsidR="00BD2EEF" w:rsidRPr="00FA7BE2" w:rsidSect="00BD2EEF">
          <w:pgSz w:w="11906" w:h="16838" w:code="9"/>
          <w:pgMar w:top="1440" w:right="1800" w:bottom="1440" w:left="1800" w:header="851" w:footer="992" w:gutter="0"/>
          <w:cols w:space="425"/>
          <w:docGrid w:type="lines" w:linePitch="312"/>
        </w:sectPr>
      </w:pPr>
    </w:p>
    <w:p w:rsidR="00D21CF5" w:rsidRPr="00FA7BE2" w:rsidRDefault="00D21CF5" w:rsidP="00BD2EEF">
      <w:pPr>
        <w:pStyle w:val="1"/>
        <w:snapToGrid w:val="0"/>
        <w:spacing w:beforeLines="0" w:afterLines="0" w:line="360" w:lineRule="auto"/>
        <w:ind w:firstLine="643"/>
        <w:rPr>
          <w:rFonts w:asciiTheme="minorEastAsia" w:eastAsiaTheme="minorEastAsia" w:hAnsiTheme="minorEastAsia"/>
          <w:b/>
        </w:rPr>
      </w:pPr>
      <w:bookmarkStart w:id="4" w:name="_Toc75869938"/>
      <w:r w:rsidRPr="00FA7BE2">
        <w:rPr>
          <w:rFonts w:asciiTheme="minorEastAsia" w:eastAsiaTheme="minorEastAsia" w:hAnsiTheme="minorEastAsia" w:hint="eastAsia"/>
          <w:b/>
        </w:rPr>
        <w:lastRenderedPageBreak/>
        <w:t>三、基金管理人</w:t>
      </w:r>
      <w:bookmarkEnd w:id="4"/>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1"/>
        </w:rPr>
      </w:pPr>
      <w:bookmarkStart w:id="5" w:name="_Toc75869939"/>
      <w:r w:rsidRPr="00FA7BE2">
        <w:rPr>
          <w:rFonts w:asciiTheme="minorEastAsia" w:eastAsiaTheme="minorEastAsia" w:hAnsiTheme="minorEastAsia" w:hint="eastAsia"/>
          <w:kern w:val="0"/>
        </w:rPr>
        <w:t>（一）</w:t>
      </w:r>
      <w:r w:rsidRPr="00FA7BE2">
        <w:rPr>
          <w:rFonts w:asciiTheme="minorEastAsia" w:eastAsiaTheme="minorEastAsia" w:hAnsiTheme="minorEastAsia"/>
          <w:kern w:val="0"/>
        </w:rPr>
        <w:t>基金管理人</w:t>
      </w:r>
      <w:r w:rsidRPr="00FA7BE2">
        <w:rPr>
          <w:rFonts w:asciiTheme="minorEastAsia" w:eastAsiaTheme="minorEastAsia" w:hAnsiTheme="minorEastAsia" w:hint="eastAsia"/>
          <w:kern w:val="0"/>
        </w:rPr>
        <w:t>基本情况</w:t>
      </w:r>
      <w:bookmarkEnd w:id="5"/>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1、基金管理人：易方达基金管理有限公司</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注册地址：广东省珠海市横琴新区宝华路6号105室-42891（集中办公区）</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办公地址：广州市天河区珠江新城珠江东路30号广州银行大厦40-43楼</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设立日期：</w:t>
      </w:r>
      <w:smartTag w:uri="urn:schemas-microsoft-com:office:smarttags" w:element="chsdate">
        <w:smartTagPr>
          <w:attr w:name="IsROCDate" w:val="False"/>
          <w:attr w:name="IsLunarDate" w:val="False"/>
          <w:attr w:name="Day" w:val="17"/>
          <w:attr w:name="Month" w:val="4"/>
          <w:attr w:name="Year" w:val="2001"/>
        </w:smartTagPr>
        <w:r w:rsidRPr="00FA7BE2">
          <w:rPr>
            <w:rFonts w:asciiTheme="minorEastAsia" w:eastAsiaTheme="minorEastAsia" w:hAnsiTheme="minorEastAsia" w:hint="eastAsia"/>
            <w:kern w:val="0"/>
          </w:rPr>
          <w:t>2001年4月17日</w:t>
        </w:r>
      </w:smartTag>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法定代表人：刘晓艳</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联系电话：4008818088</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联系人：李红枫</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rPr>
        <w:t>注册资本：</w:t>
      </w:r>
      <w:r w:rsidR="003F015B" w:rsidRPr="00FA7BE2">
        <w:rPr>
          <w:rFonts w:asciiTheme="minorEastAsia" w:eastAsiaTheme="minorEastAsia" w:hAnsiTheme="minorEastAsia" w:hint="eastAsia"/>
          <w:kern w:val="0"/>
        </w:rPr>
        <w:t>13,244.2万元人民币</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2、股权结构：</w:t>
      </w:r>
    </w:p>
    <w:tbl>
      <w:tblPr>
        <w:tblW w:w="6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5"/>
        <w:gridCol w:w="1837"/>
      </w:tblGrid>
      <w:tr w:rsidR="005C6736" w:rsidRPr="00FA7BE2" w:rsidTr="005C6736">
        <w:trPr>
          <w:jc w:val="center"/>
        </w:trPr>
        <w:tc>
          <w:tcPr>
            <w:tcW w:w="4525" w:type="dxa"/>
            <w:vAlign w:val="center"/>
          </w:tcPr>
          <w:p w:rsidR="00D21CF5" w:rsidRPr="00FA7BE2" w:rsidRDefault="00D21CF5" w:rsidP="004F61AF">
            <w:pPr>
              <w:snapToGrid w:val="0"/>
              <w:spacing w:line="360" w:lineRule="auto"/>
              <w:ind w:firstLine="420"/>
              <w:jc w:val="center"/>
              <w:rPr>
                <w:rFonts w:asciiTheme="minorEastAsia" w:eastAsiaTheme="minorEastAsia" w:hAnsiTheme="minorEastAsia"/>
              </w:rPr>
            </w:pPr>
            <w:r w:rsidRPr="00FA7BE2">
              <w:rPr>
                <w:rFonts w:asciiTheme="minorEastAsia" w:eastAsiaTheme="minorEastAsia" w:hAnsiTheme="minorEastAsia" w:hint="eastAsia"/>
              </w:rPr>
              <w:t>股东名称</w:t>
            </w:r>
          </w:p>
        </w:tc>
        <w:tc>
          <w:tcPr>
            <w:tcW w:w="1837" w:type="dxa"/>
            <w:vAlign w:val="center"/>
          </w:tcPr>
          <w:p w:rsidR="00D21CF5" w:rsidRPr="00FA7BE2" w:rsidRDefault="00D21CF5" w:rsidP="004F61AF">
            <w:pPr>
              <w:snapToGrid w:val="0"/>
              <w:spacing w:line="360" w:lineRule="auto"/>
              <w:ind w:firstLine="420"/>
              <w:jc w:val="center"/>
              <w:rPr>
                <w:rFonts w:asciiTheme="minorEastAsia" w:eastAsiaTheme="minorEastAsia" w:hAnsiTheme="minorEastAsia"/>
              </w:rPr>
            </w:pPr>
            <w:r w:rsidRPr="00FA7BE2">
              <w:rPr>
                <w:rFonts w:asciiTheme="minorEastAsia" w:eastAsiaTheme="minorEastAsia" w:hAnsiTheme="minorEastAsia" w:hint="eastAsia"/>
              </w:rPr>
              <w:t>出资比例</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广东粤财信托有限公司</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22.6514%</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广发证券股份有限公司</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22.6514%</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盈峰控股集团有限公司</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22.6514%</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广东省广晟控股集团有限公司</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15.1010%</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广州市广永国有资产经营有限公司</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7.5505%</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珠海祺荣宝股权投资合伙企业（有限合伙）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1.5087%</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珠海祺泰宝股权投资合伙企业（有限合伙）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1.6205%</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珠海祺丰宝股权投资合伙企业（有限合伙）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1.5309%</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珠海聚莱康股权投资合伙企业（有限合伙）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1.7558%</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珠海聚宁康股权投资合伙企业（有限合伙）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1.4396%</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珠海聚弘康股权投资合伙企业（有限合伙）</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1.5388%</w:t>
            </w:r>
          </w:p>
        </w:tc>
      </w:tr>
      <w:tr w:rsidR="00AA03DA" w:rsidRPr="00FA7BE2">
        <w:trPr>
          <w:jc w:val="center"/>
        </w:trPr>
        <w:tc>
          <w:tcPr>
            <w:tcW w:w="4525"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总   计</w:t>
            </w:r>
          </w:p>
        </w:tc>
        <w:tc>
          <w:tcPr>
            <w:tcW w:w="183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100%</w:t>
            </w:r>
          </w:p>
        </w:tc>
      </w:tr>
    </w:tbl>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kern w:val="0"/>
        </w:rPr>
      </w:pPr>
      <w:bookmarkStart w:id="6" w:name="_Toc75869940"/>
      <w:r w:rsidRPr="00FA7BE2">
        <w:rPr>
          <w:rFonts w:asciiTheme="minorEastAsia" w:eastAsiaTheme="minorEastAsia" w:hAnsiTheme="minorEastAsia" w:hint="eastAsia"/>
        </w:rPr>
        <w:t>（二）</w:t>
      </w:r>
      <w:r w:rsidRPr="00FA7BE2">
        <w:rPr>
          <w:rFonts w:asciiTheme="minorEastAsia" w:eastAsiaTheme="minorEastAsia" w:hAnsiTheme="minorEastAsia"/>
        </w:rPr>
        <w:t>主要人员情况</w:t>
      </w:r>
      <w:bookmarkEnd w:id="6"/>
    </w:p>
    <w:p w:rsidR="00D21CF5" w:rsidRPr="00FA7BE2" w:rsidRDefault="00D21CF5" w:rsidP="00D21CF5">
      <w:pPr>
        <w:pStyle w:val="a9"/>
        <w:adjustRightInd w:val="0"/>
        <w:snapToGrid w:val="0"/>
        <w:spacing w:line="360" w:lineRule="auto"/>
        <w:ind w:firstLine="422"/>
        <w:textAlignment w:val="baseline"/>
        <w:rPr>
          <w:rFonts w:asciiTheme="minorEastAsia" w:eastAsiaTheme="minorEastAsia" w:hAnsiTheme="minorEastAsia"/>
          <w:b/>
          <w:kern w:val="0"/>
          <w:sz w:val="21"/>
        </w:rPr>
      </w:pPr>
      <w:r w:rsidRPr="00FA7BE2">
        <w:rPr>
          <w:rFonts w:asciiTheme="minorEastAsia" w:eastAsiaTheme="minorEastAsia" w:hAnsiTheme="minorEastAsia" w:hint="eastAsia"/>
          <w:b/>
          <w:kern w:val="0"/>
          <w:sz w:val="21"/>
        </w:rPr>
        <w:t>1、董事、监事及高级管理人员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刘晓艳女士，经济学博士，副董事长、总裁。曾任广发证券有限责任公司投资理财部副经理、基金经理、基金投资理财部副总经理，易方达基金管理有限公司督察员、监察部总经</w:t>
      </w:r>
      <w:r w:rsidRPr="00FA7BE2">
        <w:rPr>
          <w:rFonts w:asciiTheme="minorEastAsia" w:eastAsiaTheme="minorEastAsia" w:hAnsiTheme="minorEastAsia"/>
        </w:rPr>
        <w:lastRenderedPageBreak/>
        <w:t>理、市场部总经理、总裁助理、副总裁、常务副总裁，易方达资产管理有限公司董事，易方达资产管理（香港）有限公司董事长。现任易方达基金管理有限公司副董事长、总裁，易方达国际控股有限公司董事。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南京柯勒复合材料有限责任公司总经理，北京华录百纳影视股份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谭劲松先生，管理学博士（会计学），独立董事。曾任邵阳市财会学校教师，中山大学管理学院助教、讲师、副教授。现任易方达基金管理有限公司独立董事，中山大学管理学院</w:t>
      </w:r>
      <w:r w:rsidRPr="00FA7BE2">
        <w:rPr>
          <w:rFonts w:asciiTheme="minorEastAsia" w:eastAsiaTheme="minorEastAsia" w:hAnsiTheme="minorEastAsia"/>
        </w:rPr>
        <w:lastRenderedPageBreak/>
        <w:t>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现任易方达基金管理有限公司监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邓志盛先生，经济学研究生，监事。曾任广东证监会信息部部长，中国证监会广州证管</w:t>
      </w:r>
      <w:r w:rsidRPr="00FA7BE2">
        <w:rPr>
          <w:rFonts w:asciiTheme="minorEastAsia" w:eastAsiaTheme="minorEastAsia" w:hAnsiTheme="minorEastAsia"/>
        </w:rPr>
        <w:lastRenderedPageBreak/>
        <w:t>办机构二处处长，金鹰基金管理有限公司副总经理，易方达基金管理有限公司综合管理部总经理、董事会秘书。现任易方达基金管理有限公司监事、行政总监、党群工作部总经理。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刘炜先生，工商管理硕士（EMBA）、法学硕士，监事。曾任易方达基金管理有限公司监察部监察员、上海分公司销售经理、市场部总经理助理、人力资源部副总经理、综合管理部总经理。现任易方达基金管理有限公司监事、人力资源部总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马骏先生，工商管理硕士（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业务负责人、证券交易负责人员（RO）、就证券提供意见负责人员（RO）、提供资产管理负责人员（RO）、产品审批委员会委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张南女士，经济学博士，督察长。曾任广东省经济贸易委员会主任科员、副处长，易方达基金管理有限公司市场拓展部副总经理、监察部总经理。现任易方达基金管理有限公司督察长。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高松凡先生，工商管理硕士（EMBA），副总经理级高级管理人员。曾任招商银行总行人</w:t>
      </w:r>
      <w:r w:rsidRPr="00FA7BE2">
        <w:rPr>
          <w:rFonts w:asciiTheme="minorEastAsia" w:eastAsiaTheme="minorEastAsia" w:hAnsiTheme="minorEastAsia"/>
        </w:rPr>
        <w:lastRenderedPageBreak/>
        <w:t>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冯波先生，经济学硕士，副总经理级高级管理人员。曾任广东发展银行行员，易方达基</w:t>
      </w:r>
      <w:r w:rsidRPr="00FA7BE2">
        <w:rPr>
          <w:rFonts w:asciiTheme="minorEastAsia" w:eastAsiaTheme="minorEastAsia" w:hAnsiTheme="minorEastAsia"/>
        </w:rPr>
        <w:lastRenderedPageBreak/>
        <w:t>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娄利舟女士，工商管理硕士（EMBA）、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FOF投资决策委员会委员，易方达资产管理有限公司董事长，易方达资产管理（香港）有限公司董事。</w:t>
      </w:r>
    </w:p>
    <w:p w:rsidR="00AE6900" w:rsidRPr="00FA7BE2" w:rsidRDefault="00AE6900" w:rsidP="00D21CF5">
      <w:pPr>
        <w:snapToGrid w:val="0"/>
        <w:spacing w:line="360" w:lineRule="auto"/>
        <w:ind w:firstLineChars="186" w:firstLine="391"/>
        <w:rPr>
          <w:rFonts w:asciiTheme="minorEastAsia" w:eastAsiaTheme="minorEastAsia" w:hAnsiTheme="minorEastAsia"/>
        </w:rPr>
      </w:pPr>
      <w:r w:rsidRPr="00FA7BE2">
        <w:rPr>
          <w:rFonts w:asciiTheme="minorEastAsia" w:eastAsiaTheme="minorEastAsia" w:hAnsiTheme="minorEastAsia"/>
        </w:rPr>
        <w:t>2、基金经理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胡剑先生，经济学硕士，本基金的基金经理。曾任易方达基金管理有限公司债券研究员、基金经理助理、固定收益研究部负责人、固定收益总部总经理助理、固定收益研究部总经理、固定收益投资部总经理、易方达中债新综合债券指数发起式证券投资基金（LOF）基金经理（自2012年11月8日至2014年3月28日）、易方达纯债债券型证券投资基金基金经理（自2013年4月22日至2015年3月13日）、易方达永旭添利定期开放债券型证券投资基金基金经理（自2013年4月22日至2015年3月13日）、易方达纯债1年定期开放债券型证券投资基金基金经理（自2013年7月30日至2015年3月13日）、易方达裕惠回报债券型证券投资基金基金经理（自2013年12月17日至2014年8月17日）、易方达裕景添利6个月定期开放债券型证券投资基金基金经理（自2016年4月12日至2018年2月9日）、易方达瑞智灵活配置混合型证券投资基金基金经理（自2017年6月21日至2019年7月2日）、易方达瑞兴灵活配置混合型证券投资基金基金经理（自2017年6月23日至2019年7月2日）、易方达瑞祥灵活配置混合型证券投资基金基金经理（自2018年1月19日至2019年7月2日）、易方达高等级信用债债券型证券投资基金基金经理（自2017年3月7日至2019年9月17日）、易方达瑞祺灵活配置混合型证券投资基金基金经理（自2018年1月29日至2019年10月16日）、易方达瑞财灵活配置混合型证券投资基金基金经理（自2016年</w:t>
      </w:r>
      <w:r w:rsidRPr="00FA7BE2">
        <w:rPr>
          <w:rFonts w:asciiTheme="minorEastAsia" w:eastAsiaTheme="minorEastAsia" w:hAnsiTheme="minorEastAsia"/>
        </w:rPr>
        <w:lastRenderedPageBreak/>
        <w:t>2月4日至2019年11月7日）、易方达丰惠混合型证券投资基金基金经理（自2017年3月24日至2020年6月8日）、易方达瑞富灵活配置混合型证券投资基金基金经理（自2017年5月12日至2021年6月8日）。现任易方达基金管理有限公司副总经理级高级管理人员、固定收益投资业务总部总经理、固定收益投资决策委员会委员、易方达稳健收益债券型证券投资基金基金经理（自2012年2月29日起任职）、易方达信用债债券型证券投资基金基金经理（自2013年4月24日起任职）、易方达裕惠回报定期开放式混合型发起式证券投资基金基金经理（自2014年8月18日起任职）、易方达3年封闭运作战略配售灵活配置混合型证券投资基金（LOF）基金经理（自2018年7月5日起任职）、易方达岁丰添利债券型证券投资基金基金经理（自2019年1月4日起任职）、易方达恒利3个月定期开放债券型发起式证券投资基金基金经理（自2019年4月4日起任职）、易方达恒益定期开放债券型发起式证券投资基金基金经理（自2019年7月12日起任职）、易方达恒盛3个月定期开放混合型发起式证券投资基金基金经理（自2019年9月6日起任职）、易方达富惠纯债债券型证券投资基金基金经理（自2019年11月2日起任职）、易方达中债3-5年期国债指数证券投资基金基金经理（自2020年3月10日起任职）、易方达中债7-10年期国开行债券指数证券投资基金基金经理（自2020年3月10日起任职）、易方达恒惠定期开放债券型发起式证券投资基金基金经理（自2020年7月9日起任职）。</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纪玲云女士，经济学硕士，本基金的基金经理助理。曾任易方达基金管理有限公司固定收益研究员、投资经理助理、固定收益研究部总经理助理、投资经理、易方达丰惠混合型证券投资基金基金经理助理。现任易方达基金管理有限公司固定收益分类资产研究管理部负责人、易方达信用债债券型证券投资基金基金经理（自2013年9月14日起任职）、易方达3年封闭运作战略配售灵活配置混合型证券投资基金（LOF）基金经理（自2018年7月5日起任职）、易方达瑞财灵活配置混合型证券投资基金基金经理（自2019年1月11日起任职）、易方达恒利3个月定期开放债券型发起式证券投资基金基金经理（自2019年4月4日起任职）、易方达恒盛3个月定期开放混合型发起式证券投资基金基金经理（自2019年9月6日起任职）、易方达恒裕一年定期开放债券型发起式证券投资基金基金经理（自2020年3月12日起任职）、易方达稳健收益债券型证券投资基金基金经理助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李一硕先生，经济学硕士，本基金的基金经理助理。曾任瑞银证券有限公司研究员，中国国际金融有限公司研究员，易方达基金管理有限公司固定收益研究员、固定收益投资部总经理助理、易方达瑞景灵活配置混合型证券投资基金基金经理（自2016年8月6日至2019年7月2日）、易方达新利灵活配置混合型证券投资基金基金经理（自2017年3月7日至</w:t>
      </w:r>
      <w:r w:rsidRPr="00FA7BE2">
        <w:rPr>
          <w:rFonts w:asciiTheme="minorEastAsia" w:eastAsiaTheme="minorEastAsia" w:hAnsiTheme="minorEastAsia"/>
        </w:rPr>
        <w:lastRenderedPageBreak/>
        <w:t>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现任易方达基金管理有限公司固定收益特定策略投资部负责人、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恒信定期开放债券型发起式证券投资基金基金经理（自2018年3月27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胡文伯先生，金融数学硕士，本基金的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刘柱先生，法学硕士，本基金的基金经理助理。曾任中债资信评估有限责任公司公用事业二部信用评级分析师，易方达基金管理有限公司固定收益研究员。现任易方达基金管理有</w:t>
      </w:r>
      <w:r w:rsidRPr="00FA7BE2">
        <w:rPr>
          <w:rFonts w:asciiTheme="minorEastAsia" w:eastAsiaTheme="minorEastAsia" w:hAnsiTheme="minorEastAsia"/>
        </w:rPr>
        <w:lastRenderedPageBreak/>
        <w:t>限公司易方达稳健收益债券型证券投资基金基金经理助理、易方达年年恒夏纯债一年定期开放债券型发起式证券投资基金基金经理助理。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本基金历任基金经理情况：林海，管理时间为2008年1月29日至2008年6月30日；马喜德，管理时间为2008年7月1日至2012年2月28日。</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3、固定收益投资决策委员会成员</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本公司固定收益投资决策委员会成员包括：马骏先生、胡剑先生、张清华先生、王晓晨女士、袁方女士、刘朝阳女士、祁广东先生。</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马骏先生，同上。</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胡剑先生，同上。</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张清华先生，同上。</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王晓晨女士，易方达基金管理有限公司固定收益全策略投资部总经理、基金经理，易方达资产管理（香港）有限公司基金经理、就证券提供意见负责人员（RO）、提供资产管理负责人员（RO）。</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袁方女士，易方达基金管理有限公司多资产养老金投资部总经理、投资经理。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刘朝阳女士，易方达基金管理有限公司现金管理部总经理、基金经理。</w:t>
      </w:r>
    </w:p>
    <w:p w:rsidR="00D666F2" w:rsidRPr="00FA7BE2" w:rsidRDefault="007D049F">
      <w:pPr>
        <w:spacing w:line="360" w:lineRule="auto"/>
        <w:ind w:firstLine="420"/>
        <w:rPr>
          <w:rFonts w:asciiTheme="minorEastAsia" w:eastAsiaTheme="minorEastAsia" w:hAnsiTheme="minorEastAsia"/>
        </w:rPr>
      </w:pPr>
      <w:r w:rsidRPr="00FA7BE2">
        <w:rPr>
          <w:rFonts w:asciiTheme="minorEastAsia" w:eastAsiaTheme="minorEastAsia" w:hAnsiTheme="minorEastAsia"/>
        </w:rPr>
        <w:t>祁广东先生，易方达基金管理有限公司国际投资部总经理、基金经理、投资经理，易方达资产管理（香港）有限公司首席投资官（国际固定收益）、就证券提供意见负责人员（RO）、提供资产管理负责人员（RO）、投资决策委员会委员。</w:t>
      </w:r>
    </w:p>
    <w:p w:rsidR="00D21CF5" w:rsidRPr="00FA7BE2" w:rsidRDefault="00D21CF5" w:rsidP="00D21CF5">
      <w:pPr>
        <w:snapToGrid w:val="0"/>
        <w:spacing w:line="360" w:lineRule="auto"/>
        <w:ind w:firstLineChars="186" w:firstLine="391"/>
        <w:rPr>
          <w:rFonts w:asciiTheme="minorEastAsia" w:eastAsiaTheme="minorEastAsia" w:hAnsiTheme="minorEastAsia"/>
          <w:kern w:val="0"/>
        </w:rPr>
      </w:pPr>
      <w:r w:rsidRPr="00FA7BE2">
        <w:rPr>
          <w:rFonts w:asciiTheme="minorEastAsia" w:eastAsiaTheme="minorEastAsia" w:hAnsiTheme="minorEastAsia" w:hint="eastAsia"/>
          <w:kern w:val="0"/>
          <w:szCs w:val="21"/>
        </w:rPr>
        <w:t>4、上述人员之间均不存在近亲属关系。</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kern w:val="0"/>
        </w:rPr>
      </w:pPr>
      <w:bookmarkStart w:id="7" w:name="_Toc75869941"/>
      <w:r w:rsidRPr="00FA7BE2">
        <w:rPr>
          <w:rFonts w:asciiTheme="minorEastAsia" w:eastAsiaTheme="minorEastAsia" w:hAnsiTheme="minorEastAsia" w:hint="eastAsia"/>
          <w:kern w:val="0"/>
        </w:rPr>
        <w:t>（三）</w:t>
      </w:r>
      <w:r w:rsidRPr="00FA7BE2">
        <w:rPr>
          <w:rFonts w:asciiTheme="minorEastAsia" w:eastAsiaTheme="minorEastAsia" w:hAnsiTheme="minorEastAsia"/>
          <w:kern w:val="0"/>
        </w:rPr>
        <w:t>基金管理人的职责</w:t>
      </w:r>
      <w:bookmarkEnd w:id="7"/>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1、依法募集资金，办理基金份额的发售和登记事宜</w:t>
      </w:r>
      <w:r w:rsidRPr="00FA7BE2">
        <w:rPr>
          <w:rFonts w:asciiTheme="minorEastAsia" w:eastAsiaTheme="minorEastAsia" w:hAnsiTheme="minorEastAsia"/>
          <w:szCs w:val="21"/>
        </w:rPr>
        <w:t>；</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w:t>
      </w:r>
      <w:r w:rsidRPr="00FA7BE2">
        <w:rPr>
          <w:rFonts w:asciiTheme="minorEastAsia" w:eastAsiaTheme="minorEastAsia" w:hAnsiTheme="minorEastAsia"/>
          <w:szCs w:val="21"/>
        </w:rPr>
        <w:t>办理基金备案手续；</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w:t>
      </w:r>
      <w:r w:rsidRPr="00FA7BE2">
        <w:rPr>
          <w:rFonts w:asciiTheme="minorEastAsia" w:eastAsiaTheme="minorEastAsia" w:hAnsiTheme="minorEastAsia"/>
          <w:szCs w:val="21"/>
        </w:rPr>
        <w:t>对所管理的不同基金财产分别管理、分别记账，进行证券投资；</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w:t>
      </w:r>
      <w:r w:rsidRPr="00FA7BE2">
        <w:rPr>
          <w:rFonts w:asciiTheme="minorEastAsia" w:eastAsiaTheme="minorEastAsia" w:hAnsiTheme="minorEastAsia"/>
          <w:szCs w:val="21"/>
        </w:rPr>
        <w:t>按照基金合同的约定确定基金收益分配方案，及时向基金份额持有人分配收益；</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5、</w:t>
      </w:r>
      <w:r w:rsidRPr="00FA7BE2">
        <w:rPr>
          <w:rFonts w:asciiTheme="minorEastAsia" w:eastAsiaTheme="minorEastAsia" w:hAnsiTheme="minorEastAsia"/>
          <w:szCs w:val="21"/>
        </w:rPr>
        <w:t>进行基金会计核算并编制基金财务会计报告；</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w:t>
      </w:r>
      <w:r w:rsidRPr="00FA7BE2">
        <w:rPr>
          <w:rFonts w:asciiTheme="minorEastAsia" w:eastAsiaTheme="minorEastAsia" w:hAnsiTheme="minorEastAsia"/>
          <w:szCs w:val="21"/>
        </w:rPr>
        <w:t>编制</w:t>
      </w:r>
      <w:r w:rsidR="0092110D" w:rsidRPr="00FA7BE2">
        <w:rPr>
          <w:rFonts w:asciiTheme="minorEastAsia" w:eastAsiaTheme="minorEastAsia" w:hAnsiTheme="minorEastAsia"/>
          <w:szCs w:val="21"/>
        </w:rPr>
        <w:t>季度报告、中期报告</w:t>
      </w:r>
      <w:r w:rsidRPr="00FA7BE2">
        <w:rPr>
          <w:rFonts w:asciiTheme="minorEastAsia" w:eastAsiaTheme="minorEastAsia" w:hAnsiTheme="minorEastAsia"/>
          <w:szCs w:val="21"/>
        </w:rPr>
        <w:t>和年度报告；</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7、</w:t>
      </w:r>
      <w:r w:rsidRPr="00FA7BE2">
        <w:rPr>
          <w:rFonts w:asciiTheme="minorEastAsia" w:eastAsiaTheme="minorEastAsia" w:hAnsiTheme="minorEastAsia"/>
          <w:szCs w:val="21"/>
        </w:rPr>
        <w:t>计算并公告</w:t>
      </w:r>
      <w:r w:rsidRPr="00FA7BE2">
        <w:rPr>
          <w:rFonts w:asciiTheme="minorEastAsia" w:eastAsiaTheme="minorEastAsia" w:hAnsiTheme="minorEastAsia" w:hint="eastAsia"/>
          <w:szCs w:val="21"/>
        </w:rPr>
        <w:t>基金净值</w:t>
      </w:r>
      <w:r w:rsidR="0092110D" w:rsidRPr="00FA7BE2">
        <w:rPr>
          <w:rFonts w:asciiTheme="minorEastAsia" w:eastAsiaTheme="minorEastAsia" w:hAnsiTheme="minorEastAsia" w:hint="eastAsia"/>
          <w:szCs w:val="21"/>
        </w:rPr>
        <w:t>信息</w:t>
      </w:r>
      <w:r w:rsidRPr="00FA7BE2">
        <w:rPr>
          <w:rFonts w:asciiTheme="minorEastAsia" w:eastAsiaTheme="minorEastAsia" w:hAnsiTheme="minorEastAsia" w:hint="eastAsia"/>
          <w:szCs w:val="21"/>
        </w:rPr>
        <w:t>和基金份额累计净值</w:t>
      </w:r>
      <w:r w:rsidRPr="00FA7BE2">
        <w:rPr>
          <w:rFonts w:asciiTheme="minorEastAsia" w:eastAsiaTheme="minorEastAsia" w:hAnsiTheme="minorEastAsia"/>
          <w:szCs w:val="21"/>
        </w:rPr>
        <w:t>；</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8、</w:t>
      </w:r>
      <w:r w:rsidRPr="00FA7BE2">
        <w:rPr>
          <w:rFonts w:asciiTheme="minorEastAsia" w:eastAsiaTheme="minorEastAsia" w:hAnsiTheme="minorEastAsia"/>
          <w:szCs w:val="21"/>
        </w:rPr>
        <w:t>办理与基金财产管理业务活动有关的信息披露事项；</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9、按照规定</w:t>
      </w:r>
      <w:r w:rsidRPr="00FA7BE2">
        <w:rPr>
          <w:rFonts w:asciiTheme="minorEastAsia" w:eastAsiaTheme="minorEastAsia" w:hAnsiTheme="minorEastAsia"/>
          <w:szCs w:val="21"/>
        </w:rPr>
        <w:t>召集基金份额持有人大会；</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10、保存基</w:t>
      </w:r>
      <w:r w:rsidRPr="00FA7BE2">
        <w:rPr>
          <w:rFonts w:asciiTheme="minorEastAsia" w:eastAsiaTheme="minorEastAsia" w:hAnsiTheme="minorEastAsia"/>
          <w:szCs w:val="21"/>
        </w:rPr>
        <w:t>金财产管理业务活动的记录、账册、报表和其他相关资料；</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11、</w:t>
      </w:r>
      <w:r w:rsidRPr="00FA7BE2">
        <w:rPr>
          <w:rFonts w:asciiTheme="minorEastAsia" w:eastAsiaTheme="minorEastAsia" w:hAnsiTheme="minorEastAsia"/>
          <w:szCs w:val="21"/>
        </w:rPr>
        <w:t>以基金管理人名义，代表基金份额持有人利益行使诉讼权利或者实施其他法律行为；</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lastRenderedPageBreak/>
        <w:t>12、</w:t>
      </w:r>
      <w:r w:rsidRPr="00FA7BE2">
        <w:rPr>
          <w:rFonts w:asciiTheme="minorEastAsia" w:eastAsiaTheme="minorEastAsia" w:hAnsiTheme="minorEastAsia"/>
          <w:szCs w:val="21"/>
        </w:rPr>
        <w:t>国务院证券监督管理机构规定的其他职责。</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1"/>
        </w:rPr>
      </w:pPr>
      <w:bookmarkStart w:id="8" w:name="_Toc75869942"/>
      <w:r w:rsidRPr="00FA7BE2">
        <w:rPr>
          <w:rFonts w:asciiTheme="minorEastAsia" w:eastAsiaTheme="minorEastAsia" w:hAnsiTheme="minorEastAsia" w:hint="eastAsia"/>
        </w:rPr>
        <w:t>（四）</w:t>
      </w:r>
      <w:r w:rsidRPr="00FA7BE2">
        <w:rPr>
          <w:rFonts w:asciiTheme="minorEastAsia" w:eastAsiaTheme="minorEastAsia" w:hAnsiTheme="minorEastAsia"/>
        </w:rPr>
        <w:t>基金管理人的承诺</w:t>
      </w:r>
      <w:bookmarkEnd w:id="8"/>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2、本基金管理人承诺严格遵守《中华人民共和国证券法》、《基金法》及有关法律法规，建立健全的内部控制制度，采取有效措施，防止下列行为发生：</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（1）将其固有财产或者他人财产混同于基金财产从事证券投资；</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（2）不公平地对待其管理的不同基金财产；</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（3）利用基金财产或者职务之便为基金份额持有人以外的第三人谋取利益；</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（4）向基金份额持有人违规承诺收益或者承担损失；</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（5）侵占、挪用基金财产；</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（6）泄露因职务便利获取的未公开信息、利用该信息从事或者明示、暗示他人从事相关的交易活动；</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（7）玩忽职守，不按照规定履行职责；</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rPr>
        <w:t>（8）法律、行政法规和中国证监会规定禁止的其他行为。</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3、本基金管理人承诺加强人员管理，强化职业操守，督促和约束员工遵守国家有关法律、法规及行业规范，诚实信用、勤勉尽责，不从事以下活动：</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（1）承销证券；</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（2）向他人贷款或者提供担保；</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（3）从事承担无限责任的投资；</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（4）买卖其他基金份额，但是国务院另有规定的除外；</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（5）向其基金管理人、基金托管人出资或者买卖其基金管理人、基金托管人发行的股票或者债券；</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（6）买卖与其基金管理人、基金托管人有控股关系的股东或者与其基金管理人、基金托管人有其他重大利害关系的公司发行的证券或者承销期内承销的证券；</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（7）从事内幕交易、操纵证券交易价格及其他不正当的证券交易活动；</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（8）依照法律、行政法规有关规定，由国务院证券监督管理机构规定禁止的其他活动。</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4、基金经理承诺</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1</w:t>
      </w:r>
      <w:r w:rsidRPr="00FA7BE2">
        <w:rPr>
          <w:rFonts w:asciiTheme="minorEastAsia" w:eastAsiaTheme="minorEastAsia" w:hAnsiTheme="minorEastAsia" w:hint="eastAsia"/>
          <w:kern w:val="0"/>
        </w:rPr>
        <w:t>）依照有关法律、法规和基金合同的规定，本着谨慎的原则为基金份额持有人谋取最大利益；</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2</w:t>
      </w:r>
      <w:r w:rsidRPr="00FA7BE2">
        <w:rPr>
          <w:rFonts w:asciiTheme="minorEastAsia" w:eastAsiaTheme="minorEastAsia" w:hAnsiTheme="minorEastAsia" w:hint="eastAsia"/>
          <w:kern w:val="0"/>
        </w:rPr>
        <w:t>）不利用职务之便为自己及其代理人、受雇人或任何第三人谋取利益；</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3</w:t>
      </w:r>
      <w:r w:rsidRPr="00FA7BE2">
        <w:rPr>
          <w:rFonts w:asciiTheme="minorEastAsia" w:eastAsiaTheme="minorEastAsia" w:hAnsiTheme="minorEastAsia" w:hint="eastAsia"/>
          <w:kern w:val="0"/>
        </w:rPr>
        <w:t>）不违反现行有效的有关法律、法规、规章、基金合同和中国证监会的有关规定，泄漏在任职期间知悉的有关证券、基金的商业秘密、尚未依法公开的基金投资内容、基金投</w:t>
      </w:r>
      <w:r w:rsidRPr="00FA7BE2">
        <w:rPr>
          <w:rFonts w:asciiTheme="minorEastAsia" w:eastAsiaTheme="minorEastAsia" w:hAnsiTheme="minorEastAsia" w:hint="eastAsia"/>
          <w:kern w:val="0"/>
        </w:rPr>
        <w:lastRenderedPageBreak/>
        <w:t>资计划等信息；</w:t>
      </w:r>
    </w:p>
    <w:p w:rsidR="00D21CF5" w:rsidRPr="00FA7BE2" w:rsidRDefault="00D21CF5" w:rsidP="00D21CF5">
      <w:pPr>
        <w:autoSpaceDE w:val="0"/>
        <w:autoSpaceDN w:val="0"/>
        <w:adjustRightInd w:val="0"/>
        <w:snapToGrid w:val="0"/>
        <w:spacing w:line="360" w:lineRule="auto"/>
        <w:ind w:firstLine="210"/>
        <w:jc w:val="left"/>
        <w:rPr>
          <w:rFonts w:asciiTheme="minorEastAsia" w:eastAsiaTheme="minorEastAsia" w:hAnsiTheme="minorEastAsia"/>
        </w:rPr>
      </w:pPr>
      <w:r w:rsidRPr="00FA7BE2">
        <w:rPr>
          <w:rFonts w:asciiTheme="minorEastAsia" w:eastAsiaTheme="minorEastAsia" w:hAnsiTheme="minorEastAsia" w:hint="eastAsia"/>
          <w:kern w:val="0"/>
        </w:rPr>
        <w:t>（4）不</w:t>
      </w:r>
      <w:r w:rsidRPr="00FA7BE2">
        <w:rPr>
          <w:rFonts w:asciiTheme="minorEastAsia" w:eastAsiaTheme="minorEastAsia" w:hAnsiTheme="minorEastAsia"/>
        </w:rPr>
        <w:t>从事损害基金财产和基金份额持有人利益的证券交易及其他活动。</w:t>
      </w:r>
    </w:p>
    <w:p w:rsidR="00D21CF5" w:rsidRPr="00FA7BE2" w:rsidRDefault="00D21CF5" w:rsidP="00D21CF5">
      <w:pPr>
        <w:pStyle w:val="21"/>
        <w:snapToGrid w:val="0"/>
        <w:spacing w:beforeLines="0" w:afterLines="0" w:line="360" w:lineRule="auto"/>
        <w:ind w:firstLine="562"/>
        <w:rPr>
          <w:rStyle w:val="da"/>
          <w:rFonts w:asciiTheme="minorEastAsia" w:eastAsiaTheme="minorEastAsia" w:hAnsiTheme="minorEastAsia"/>
          <w:b w:val="0"/>
          <w:sz w:val="21"/>
          <w:szCs w:val="24"/>
        </w:rPr>
      </w:pPr>
      <w:bookmarkStart w:id="9" w:name="_Toc75869943"/>
      <w:r w:rsidRPr="00FA7BE2">
        <w:rPr>
          <w:rFonts w:asciiTheme="minorEastAsia" w:eastAsiaTheme="minorEastAsia" w:hAnsiTheme="minorEastAsia" w:hint="eastAsia"/>
        </w:rPr>
        <w:t>（五）</w:t>
      </w:r>
      <w:r w:rsidRPr="00FA7BE2">
        <w:rPr>
          <w:rFonts w:asciiTheme="minorEastAsia" w:eastAsiaTheme="minorEastAsia" w:hAnsiTheme="minorEastAsia"/>
        </w:rPr>
        <w:t>基金管理人的内部控制制度</w:t>
      </w:r>
      <w:bookmarkEnd w:id="9"/>
    </w:p>
    <w:p w:rsidR="00D21CF5" w:rsidRPr="00FA7BE2" w:rsidRDefault="00D21CF5" w:rsidP="00D21CF5">
      <w:pPr>
        <w:pStyle w:val="affc"/>
        <w:autoSpaceDE w:val="0"/>
        <w:autoSpaceDN w:val="0"/>
        <w:adjustRightInd w:val="0"/>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1、公司内部控制的总体目标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（1）保证公司经营管理活动的合法合规性；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（2）保证各类基金份额持有人及委托人的合法权益不受侵犯；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（3）防范和化解经营风险，提高经营管理效率，确保业务稳健经营运行和受托资产安全完整，实现公司的持续、健康发展，促进公司实现发展战略；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（4）督促公司全体员工恪守职业操守，正直诚信，廉洁自律，勤勉尽责；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（5）维护公司的声誉，保持公司的良好形象。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2、公司内部控制遵循的原则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（1）健全性原则。内部控制应当包括公司的各项业务、各个部门或机构和各级人员,并涵盖到决策、执行、监督、反馈等各个环节。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（2）有效性原则。通过科学的内控手段和方法，建立合理的内控程序，维护内控制度的有效执行。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（3）独立性原则。公司机构、部门和岗位职责应当保持相对独立，除非法律法规另有规定，公司基金资产、自有资产、其他资产的运作应当分离。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（4）相互制约原则。公司内部部门和岗位的设置应当体现权责分明、相互制衡。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（5）成本效益原则。公司运用科学化的经营管理方法降低运作成本，提高经济效益，力争以合理的控制成本达到最佳的内部控制效果。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3、内部控制的制度体系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w:t>
      </w:r>
      <w:r w:rsidRPr="00FA7BE2">
        <w:rPr>
          <w:rFonts w:asciiTheme="minorEastAsia" w:eastAsiaTheme="minorEastAsia" w:hAnsiTheme="minorEastAsia"/>
        </w:rPr>
        <w:lastRenderedPageBreak/>
        <w:t>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4、关于授权、研究、投资、交易等方面的控制点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（1）授权制度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（2）公司研究业务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（3）基金投资业务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（4）交易业务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（5）基金会计核算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（6）信息披露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公司建立了完备的信息披露制度，指定了信息披露负责人，并建立了相应的制度流程规范相关信息的收集、组织、审核和发布，努力确保公开披露的信息真实、准确、完整、及时。</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（7）监察与合规管理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公司设立监察合规管理部门，并保障其独立性。监察合规管理部门按照公司规定和督察长的安排履行监察与合规管理职责。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监察合规管理部门通过定期或不定期检查内部控制制度的执行情况，督促公司和旗下基金的管理运作规范进行。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公司董事会和管理层充分重视和支持监察与合规管理工作，对违反法律、法规和公司内部控制制度的，追究有关部门和人员的责任。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5、基金管理人关于内部控制制度声明书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（1）本公司承诺以上关于内部控制制度的披露真实、准确；</w:t>
      </w:r>
    </w:p>
    <w:p w:rsidR="00D21CF5" w:rsidRPr="00FA7BE2" w:rsidRDefault="00D21CF5" w:rsidP="00D21CF5">
      <w:pPr>
        <w:pStyle w:val="affc"/>
        <w:autoSpaceDE w:val="0"/>
        <w:autoSpaceDN w:val="0"/>
        <w:adjustRightInd w:val="0"/>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（2）本公司承诺根据市场变化和公司业务发展不断完善内部控制制度。</w:t>
      </w:r>
    </w:p>
    <w:p w:rsidR="00D21CF5" w:rsidRPr="00FA7BE2" w:rsidRDefault="00D21CF5" w:rsidP="00D21CF5">
      <w:pPr>
        <w:pStyle w:val="a9"/>
        <w:snapToGrid w:val="0"/>
        <w:spacing w:line="360" w:lineRule="auto"/>
        <w:ind w:firstLine="480"/>
        <w:rPr>
          <w:rFonts w:asciiTheme="minorEastAsia" w:eastAsiaTheme="minorEastAsia" w:hAnsiTheme="minorEastAsia"/>
        </w:rPr>
      </w:pPr>
    </w:p>
    <w:p w:rsidR="00D21CF5" w:rsidRPr="00FA7BE2" w:rsidRDefault="00D21CF5" w:rsidP="00D21CF5">
      <w:pPr>
        <w:pStyle w:val="a9"/>
        <w:snapToGrid w:val="0"/>
        <w:spacing w:line="360" w:lineRule="auto"/>
        <w:ind w:firstLine="480"/>
        <w:rPr>
          <w:rFonts w:asciiTheme="minorEastAsia" w:eastAsiaTheme="minorEastAsia" w:hAnsiTheme="minorEastAsia"/>
        </w:rPr>
      </w:pPr>
    </w:p>
    <w:p w:rsidR="00D21CF5" w:rsidRPr="00FA7BE2" w:rsidRDefault="00D21CF5" w:rsidP="00D21CF5">
      <w:pPr>
        <w:pStyle w:val="a9"/>
        <w:snapToGrid w:val="0"/>
        <w:spacing w:line="360" w:lineRule="auto"/>
        <w:ind w:firstLine="480"/>
        <w:rPr>
          <w:rFonts w:asciiTheme="minorEastAsia" w:eastAsiaTheme="minorEastAsia" w:hAnsiTheme="minorEastAsia"/>
        </w:rPr>
      </w:pPr>
    </w:p>
    <w:p w:rsidR="00D21CF5" w:rsidRPr="00FA7BE2" w:rsidRDefault="00D21CF5" w:rsidP="00D21CF5">
      <w:pPr>
        <w:pStyle w:val="a9"/>
        <w:snapToGrid w:val="0"/>
        <w:spacing w:line="360" w:lineRule="auto"/>
        <w:ind w:firstLine="480"/>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sectPr w:rsidR="00D21CF5" w:rsidRPr="00FA7BE2" w:rsidSect="00BD2EEF">
          <w:pgSz w:w="11906" w:h="16838" w:code="9"/>
          <w:pgMar w:top="1440" w:right="1800" w:bottom="1440" w:left="1800" w:header="851" w:footer="992" w:gutter="0"/>
          <w:cols w:space="425"/>
          <w:docGrid w:type="lines" w:linePitch="312"/>
        </w:sect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0" w:name="_Toc75869944"/>
      <w:r w:rsidRPr="00FA7BE2">
        <w:rPr>
          <w:rFonts w:asciiTheme="minorEastAsia" w:eastAsiaTheme="minorEastAsia" w:hAnsiTheme="minorEastAsia" w:hint="eastAsia"/>
          <w:b/>
        </w:rPr>
        <w:lastRenderedPageBreak/>
        <w:t>四、基金托管人</w:t>
      </w:r>
      <w:bookmarkEnd w:id="10"/>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（一）基本情况</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名称：中国银行股份有限公司（简称</w:t>
      </w:r>
      <w:r w:rsidRPr="00FA7BE2">
        <w:rPr>
          <w:rStyle w:val="da"/>
          <w:rFonts w:asciiTheme="minorEastAsia" w:eastAsiaTheme="minorEastAsia" w:hAnsiTheme="minorEastAsia"/>
        </w:rPr>
        <w:t>“</w:t>
      </w:r>
      <w:r w:rsidRPr="00FA7BE2">
        <w:rPr>
          <w:rStyle w:val="da"/>
          <w:rFonts w:asciiTheme="minorEastAsia" w:eastAsiaTheme="minorEastAsia" w:hAnsiTheme="minorEastAsia" w:hint="eastAsia"/>
        </w:rPr>
        <w:t>中国银行</w:t>
      </w:r>
      <w:r w:rsidRPr="00FA7BE2">
        <w:rPr>
          <w:rStyle w:val="da"/>
          <w:rFonts w:asciiTheme="minorEastAsia" w:eastAsiaTheme="minorEastAsia" w:hAnsiTheme="minorEastAsia"/>
        </w:rPr>
        <w:t>”</w:t>
      </w:r>
      <w:r w:rsidRPr="00FA7BE2">
        <w:rPr>
          <w:rStyle w:val="da"/>
          <w:rFonts w:asciiTheme="minorEastAsia" w:eastAsiaTheme="minorEastAsia" w:hAnsiTheme="minorEastAsia" w:hint="eastAsia"/>
        </w:rPr>
        <w:t>）</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住所及办公地址：北京市西城区复兴门内大街</w:t>
      </w:r>
      <w:r w:rsidRPr="00FA7BE2">
        <w:rPr>
          <w:rStyle w:val="da"/>
          <w:rFonts w:asciiTheme="minorEastAsia" w:eastAsiaTheme="minorEastAsia" w:hAnsiTheme="minorEastAsia"/>
        </w:rPr>
        <w:t>1</w:t>
      </w:r>
      <w:r w:rsidRPr="00FA7BE2">
        <w:rPr>
          <w:rStyle w:val="da"/>
          <w:rFonts w:asciiTheme="minorEastAsia" w:eastAsiaTheme="minorEastAsia" w:hAnsiTheme="minorEastAsia" w:hint="eastAsia"/>
        </w:rPr>
        <w:t>号</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首次注册登记日期：</w:t>
      </w:r>
      <w:smartTag w:uri="urn:schemas-microsoft-com:office:smarttags" w:element="chsdate">
        <w:smartTagPr>
          <w:attr w:name="Year" w:val="1983"/>
          <w:attr w:name="Month" w:val="10"/>
          <w:attr w:name="Day" w:val="31"/>
          <w:attr w:name="IsLunarDate" w:val="False"/>
          <w:attr w:name="IsROCDate" w:val="False"/>
        </w:smartTagPr>
        <w:r w:rsidRPr="00FA7BE2">
          <w:rPr>
            <w:rStyle w:val="da"/>
            <w:rFonts w:asciiTheme="minorEastAsia" w:eastAsiaTheme="minorEastAsia" w:hAnsiTheme="minorEastAsia" w:hint="eastAsia"/>
          </w:rPr>
          <w:t>1983年10月31日</w:t>
        </w:r>
      </w:smartTag>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注册资本：人民币贰仟玖佰肆拾叁亿捌仟柒佰柒拾玖万壹仟贰佰肆拾壹元整</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法定代表人：刘连舸</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基金托管业务批准文号：中国证监会证监基字【</w:t>
      </w:r>
      <w:r w:rsidRPr="00FA7BE2">
        <w:rPr>
          <w:rStyle w:val="da"/>
          <w:rFonts w:asciiTheme="minorEastAsia" w:eastAsiaTheme="minorEastAsia" w:hAnsiTheme="minorEastAsia"/>
        </w:rPr>
        <w:t>1998</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 xml:space="preserve">24 </w:t>
      </w:r>
      <w:r w:rsidRPr="00FA7BE2">
        <w:rPr>
          <w:rStyle w:val="da"/>
          <w:rFonts w:asciiTheme="minorEastAsia" w:eastAsiaTheme="minorEastAsia" w:hAnsiTheme="minorEastAsia" w:hint="eastAsia"/>
        </w:rPr>
        <w:t>号</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托管部门信息披露联系人：</w:t>
      </w:r>
      <w:r w:rsidRPr="00FA7BE2">
        <w:rPr>
          <w:rFonts w:asciiTheme="minorEastAsia" w:eastAsiaTheme="minorEastAsia" w:hAnsiTheme="minorEastAsia" w:hint="eastAsia"/>
          <w:szCs w:val="21"/>
        </w:rPr>
        <w:t>许俊</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传真：（</w:t>
      </w:r>
      <w:r w:rsidRPr="00FA7BE2">
        <w:rPr>
          <w:rStyle w:val="da"/>
          <w:rFonts w:asciiTheme="minorEastAsia" w:eastAsiaTheme="minorEastAsia" w:hAnsiTheme="minorEastAsia"/>
        </w:rPr>
        <w:t>010</w:t>
      </w:r>
      <w:r w:rsidRPr="00FA7BE2">
        <w:rPr>
          <w:rStyle w:val="da"/>
          <w:rFonts w:asciiTheme="minorEastAsia" w:eastAsiaTheme="minorEastAsia" w:hAnsiTheme="minorEastAsia" w:hint="eastAsia"/>
        </w:rPr>
        <w:t>）</w:t>
      </w:r>
      <w:r w:rsidRPr="00FA7BE2">
        <w:rPr>
          <w:rStyle w:val="da"/>
          <w:rFonts w:asciiTheme="minorEastAsia" w:eastAsiaTheme="minorEastAsia" w:hAnsiTheme="minorEastAsia"/>
        </w:rPr>
        <w:t>66594942</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中国银行客服电话：95566</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（二）基金托管部门及主要人员情况</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中国银行托管业务部设立于</w:t>
      </w:r>
      <w:r w:rsidRPr="00FA7BE2">
        <w:rPr>
          <w:rStyle w:val="da"/>
          <w:rFonts w:asciiTheme="minorEastAsia" w:eastAsiaTheme="minorEastAsia" w:hAnsiTheme="minorEastAsia"/>
        </w:rPr>
        <w:t>1998</w:t>
      </w:r>
      <w:r w:rsidRPr="00FA7BE2">
        <w:rPr>
          <w:rStyle w:val="da"/>
          <w:rFonts w:asciiTheme="minorEastAsia" w:eastAsiaTheme="minorEastAsia" w:hAnsiTheme="minorEastAsia" w:hint="eastAsia"/>
        </w:rPr>
        <w:t>年，现有员工110余人，大部分员工具有丰富的银行、证券、基金、信托从业经验，且具有海外工作、学习或培训经历，</w:t>
      </w:r>
      <w:bookmarkStart w:id="11" w:name="OLE_LINK1"/>
      <w:r w:rsidRPr="00FA7BE2">
        <w:rPr>
          <w:rStyle w:val="da"/>
          <w:rFonts w:asciiTheme="minorEastAsia" w:eastAsiaTheme="minorEastAsia" w:hAnsiTheme="minorEastAsia" w:hint="eastAsia"/>
        </w:rPr>
        <w:t>60％以上的员工具有硕士以上学位或高级职称</w:t>
      </w:r>
      <w:bookmarkEnd w:id="11"/>
      <w:r w:rsidRPr="00FA7BE2">
        <w:rPr>
          <w:rStyle w:val="da"/>
          <w:rFonts w:asciiTheme="minorEastAsia" w:eastAsiaTheme="minorEastAsia" w:hAnsiTheme="minorEastAsia" w:hint="eastAsia"/>
        </w:rPr>
        <w:t>。为给客户提供专业化的托管服务，中国银行已在境内、外分行开展托管业务。</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FA7BE2">
        <w:rPr>
          <w:rStyle w:val="da"/>
          <w:rFonts w:asciiTheme="minorEastAsia" w:eastAsiaTheme="minorEastAsia" w:hAnsiTheme="minorEastAsia"/>
        </w:rPr>
        <w:t>QFII</w:t>
      </w:r>
      <w:r w:rsidRPr="00FA7BE2">
        <w:rPr>
          <w:rStyle w:val="da"/>
          <w:rFonts w:asciiTheme="minorEastAsia" w:eastAsiaTheme="minorEastAsia" w:hAnsiTheme="minorEastAsia" w:hint="eastAsia"/>
        </w:rPr>
        <w:t>、RQFII、</w:t>
      </w:r>
      <w:r w:rsidRPr="00FA7BE2">
        <w:rPr>
          <w:rStyle w:val="da"/>
          <w:rFonts w:asciiTheme="minorEastAsia" w:eastAsiaTheme="minorEastAsia" w:hAnsiTheme="minorEastAsia"/>
        </w:rPr>
        <w:t>QDII</w:t>
      </w:r>
      <w:r w:rsidRPr="00FA7BE2">
        <w:rPr>
          <w:rStyle w:val="da"/>
          <w:rFonts w:asciiTheme="minorEastAsia" w:eastAsiaTheme="minorEastAsia" w:hAnsiTheme="minorEastAsia" w:hint="eastAsia"/>
        </w:rPr>
        <w:t>、境外三类机构、券商资产管理计划、信托计划、企业年金、银行理财产品、股权基金、私募基金、资金托管等</w:t>
      </w:r>
      <w:r w:rsidRPr="00FA7BE2">
        <w:rPr>
          <w:rStyle w:val="da"/>
          <w:rFonts w:asciiTheme="minorEastAsia" w:eastAsiaTheme="minorEastAsia" w:hAnsiTheme="minorEastAsia"/>
        </w:rPr>
        <w:t>门类齐全</w:t>
      </w:r>
      <w:r w:rsidRPr="00FA7BE2">
        <w:rPr>
          <w:rStyle w:val="da"/>
          <w:rFonts w:asciiTheme="minorEastAsia" w:eastAsiaTheme="minorEastAsia" w:hAnsiTheme="minorEastAsia" w:hint="eastAsia"/>
        </w:rPr>
        <w:t>、产品丰富</w:t>
      </w:r>
      <w:r w:rsidRPr="00FA7BE2">
        <w:rPr>
          <w:rStyle w:val="da"/>
          <w:rFonts w:asciiTheme="minorEastAsia" w:eastAsiaTheme="minorEastAsia" w:hAnsiTheme="minorEastAsia"/>
        </w:rPr>
        <w:t>的托管</w:t>
      </w:r>
      <w:r w:rsidRPr="00FA7BE2">
        <w:rPr>
          <w:rStyle w:val="da"/>
          <w:rFonts w:asciiTheme="minorEastAsia" w:eastAsiaTheme="minorEastAsia" w:hAnsiTheme="minorEastAsia" w:hint="eastAsia"/>
        </w:rPr>
        <w:t>业务</w:t>
      </w:r>
      <w:r w:rsidRPr="00FA7BE2">
        <w:rPr>
          <w:rStyle w:val="da"/>
          <w:rFonts w:asciiTheme="minorEastAsia" w:eastAsiaTheme="minorEastAsia" w:hAnsiTheme="minorEastAsia"/>
        </w:rPr>
        <w:t>体系</w:t>
      </w:r>
      <w:r w:rsidRPr="00FA7BE2">
        <w:rPr>
          <w:rStyle w:val="da"/>
          <w:rFonts w:asciiTheme="minorEastAsia" w:eastAsiaTheme="minorEastAsia" w:hAnsiTheme="minorEastAsia" w:hint="eastAsia"/>
        </w:rPr>
        <w:t>。在国</w:t>
      </w:r>
      <w:r w:rsidRPr="00FA7BE2">
        <w:rPr>
          <w:rStyle w:val="da"/>
          <w:rFonts w:asciiTheme="minorEastAsia" w:eastAsiaTheme="minorEastAsia" w:hAnsiTheme="minorEastAsia"/>
        </w:rPr>
        <w:t>内</w:t>
      </w:r>
      <w:r w:rsidRPr="00FA7BE2">
        <w:rPr>
          <w:rStyle w:val="da"/>
          <w:rFonts w:asciiTheme="minorEastAsia" w:eastAsiaTheme="minorEastAsia" w:hAnsiTheme="minorEastAsia" w:hint="eastAsia"/>
        </w:rPr>
        <w:t>，中国银行首家</w:t>
      </w:r>
      <w:r w:rsidRPr="00FA7BE2">
        <w:rPr>
          <w:rStyle w:val="da"/>
          <w:rFonts w:asciiTheme="minorEastAsia" w:eastAsiaTheme="minorEastAsia" w:hAnsiTheme="minorEastAsia"/>
        </w:rPr>
        <w:t>开展绩效评估、风险</w:t>
      </w:r>
      <w:r w:rsidRPr="00FA7BE2">
        <w:rPr>
          <w:rStyle w:val="da"/>
          <w:rFonts w:asciiTheme="minorEastAsia" w:eastAsiaTheme="minorEastAsia" w:hAnsiTheme="minorEastAsia" w:hint="eastAsia"/>
        </w:rPr>
        <w:t>分析</w:t>
      </w:r>
      <w:r w:rsidRPr="00FA7BE2">
        <w:rPr>
          <w:rStyle w:val="da"/>
          <w:rFonts w:asciiTheme="minorEastAsia" w:eastAsiaTheme="minorEastAsia" w:hAnsiTheme="minorEastAsia"/>
        </w:rPr>
        <w:t>等增值服务，为各类客户提供个性化的托管</w:t>
      </w:r>
      <w:r w:rsidRPr="00FA7BE2">
        <w:rPr>
          <w:rStyle w:val="da"/>
          <w:rFonts w:asciiTheme="minorEastAsia" w:eastAsiaTheme="minorEastAsia" w:hAnsiTheme="minorEastAsia" w:hint="eastAsia"/>
        </w:rPr>
        <w:t>增值</w:t>
      </w:r>
      <w:r w:rsidRPr="00FA7BE2">
        <w:rPr>
          <w:rStyle w:val="da"/>
          <w:rFonts w:asciiTheme="minorEastAsia" w:eastAsiaTheme="minorEastAsia" w:hAnsiTheme="minorEastAsia"/>
        </w:rPr>
        <w:t>服务</w:t>
      </w:r>
      <w:r w:rsidRPr="00FA7BE2">
        <w:rPr>
          <w:rStyle w:val="da"/>
          <w:rFonts w:asciiTheme="minorEastAsia" w:eastAsiaTheme="minorEastAsia" w:hAnsiTheme="minorEastAsia" w:hint="eastAsia"/>
        </w:rPr>
        <w:t>，是国内领先的大型中资托管银行。</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（三）证券投资基金托管情况</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截至2021年3月31日，中国银行已托管932只证券投资基金，其中境内基金888只，QDII基金44只，覆盖了股票型、债券型、混合型、货币型、指数型、FOF等多种类型的基金，满足了不同客户多元化的投资理财需求，基金托管规模位居同业前列。</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（四）托管业务的内部控制制度</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sidRPr="00FA7BE2">
        <w:rPr>
          <w:rStyle w:val="da"/>
          <w:rFonts w:asciiTheme="minorEastAsia" w:eastAsiaTheme="minorEastAsia" w:hAnsiTheme="minorEastAsia" w:hint="eastAsia"/>
        </w:rPr>
        <w:lastRenderedPageBreak/>
        <w:t>查及审计等措施强化托管业务全员、全面、全程的风险管控。</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（五）托管人对管理人运作基金进行监督的方法和程序</w:t>
      </w:r>
    </w:p>
    <w:p w:rsidR="007D049F" w:rsidRPr="00FA7BE2" w:rsidRDefault="00906C0E" w:rsidP="007D049F">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FA7BE2">
        <w:rPr>
          <w:rStyle w:val="da"/>
          <w:rFonts w:asciiTheme="minorEastAsia" w:eastAsiaTheme="minorEastAsia" w:hAnsiTheme="minorEastAsia"/>
        </w:rPr>
        <w:t>,</w:t>
      </w:r>
      <w:r w:rsidRPr="00FA7BE2">
        <w:rPr>
          <w:rStyle w:val="da"/>
          <w:rFonts w:asciiTheme="minorEastAsia" w:eastAsiaTheme="minorEastAsia" w:hAnsiTheme="minorEastAsia" w:hint="eastAsia"/>
        </w:rPr>
        <w:t>应当及时通知基金管理人，并及时向国务院证券监督管理机构报告。</w:t>
      </w:r>
    </w:p>
    <w:p w:rsidR="007D049F" w:rsidRPr="00FA7BE2" w:rsidRDefault="00906C0E" w:rsidP="007D049F">
      <w:pPr>
        <w:rPr>
          <w:rFonts w:asciiTheme="minorEastAsia" w:eastAsiaTheme="minorEastAsia" w:hAnsiTheme="minorEastAsia"/>
        </w:rPr>
      </w:pPr>
      <w:r w:rsidRPr="00FA7BE2">
        <w:rPr>
          <w:rFonts w:asciiTheme="minorEastAsia" w:eastAsiaTheme="minorEastAsia" w:hAnsiTheme="minorEastAsia"/>
        </w:rPr>
        <w:t xml:space="preserve"> </w:t>
      </w:r>
      <w:r w:rsidRPr="00FA7BE2">
        <w:rPr>
          <w:rFonts w:asciiTheme="minorEastAsia" w:eastAsiaTheme="minorEastAsia" w:hAnsiTheme="minorEastAsia"/>
        </w:rPr>
        <w:br w:type="page"/>
      </w:r>
    </w:p>
    <w:p w:rsidR="00D21CF5" w:rsidRPr="00FA7BE2" w:rsidRDefault="00D21CF5" w:rsidP="00D21CF5">
      <w:pPr>
        <w:pStyle w:val="111"/>
        <w:snapToGrid w:val="0"/>
        <w:spacing w:beforeLines="0" w:afterLines="0" w:line="360" w:lineRule="auto"/>
        <w:ind w:firstLine="643"/>
        <w:rPr>
          <w:rFonts w:asciiTheme="minorEastAsia" w:eastAsiaTheme="minorEastAsia" w:hAnsiTheme="minorEastAsia"/>
          <w:b/>
          <w:bCs/>
        </w:rPr>
      </w:pPr>
      <w:bookmarkStart w:id="12" w:name="_Toc75869945"/>
      <w:r w:rsidRPr="00FA7BE2">
        <w:rPr>
          <w:rFonts w:asciiTheme="minorEastAsia" w:eastAsiaTheme="minorEastAsia" w:hAnsiTheme="minorEastAsia" w:hint="eastAsia"/>
          <w:b/>
          <w:bCs/>
        </w:rPr>
        <w:lastRenderedPageBreak/>
        <w:t>五、相关服务机构</w:t>
      </w:r>
      <w:bookmarkEnd w:id="12"/>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3" w:name="_Toc75869946"/>
      <w:r w:rsidRPr="00FA7BE2">
        <w:rPr>
          <w:rFonts w:asciiTheme="minorEastAsia" w:eastAsiaTheme="minorEastAsia" w:hAnsiTheme="minorEastAsia" w:hint="eastAsia"/>
        </w:rPr>
        <w:t>（一）基金份额销售机构</w:t>
      </w:r>
      <w:bookmarkEnd w:id="13"/>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1、直销机构</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易方达基金管理有限公司</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注册地址：</w:t>
      </w:r>
      <w:r w:rsidRPr="00FA7BE2">
        <w:rPr>
          <w:rFonts w:asciiTheme="minorEastAsia" w:eastAsiaTheme="minorEastAsia" w:hAnsiTheme="minorEastAsia" w:hint="eastAsia"/>
        </w:rPr>
        <w:t>广东省珠海市横琴新区宝华路</w:t>
      </w:r>
      <w:r w:rsidRPr="00FA7BE2">
        <w:rPr>
          <w:rFonts w:asciiTheme="minorEastAsia" w:eastAsiaTheme="minorEastAsia" w:hAnsiTheme="minorEastAsia"/>
        </w:rPr>
        <w:t>6</w:t>
      </w:r>
      <w:r w:rsidRPr="00FA7BE2">
        <w:rPr>
          <w:rFonts w:asciiTheme="minorEastAsia" w:eastAsiaTheme="minorEastAsia" w:hAnsiTheme="minorEastAsia" w:hint="eastAsia"/>
        </w:rPr>
        <w:t>号</w:t>
      </w:r>
      <w:r w:rsidRPr="00FA7BE2">
        <w:rPr>
          <w:rFonts w:asciiTheme="minorEastAsia" w:eastAsiaTheme="minorEastAsia" w:hAnsiTheme="minorEastAsia"/>
        </w:rPr>
        <w:t>105</w:t>
      </w:r>
      <w:r w:rsidRPr="00FA7BE2">
        <w:rPr>
          <w:rFonts w:asciiTheme="minorEastAsia" w:eastAsiaTheme="minorEastAsia" w:hAnsiTheme="minorEastAsia" w:hint="eastAsia"/>
        </w:rPr>
        <w:t>室</w:t>
      </w:r>
      <w:r w:rsidRPr="00FA7BE2">
        <w:rPr>
          <w:rFonts w:asciiTheme="minorEastAsia" w:eastAsiaTheme="minorEastAsia" w:hAnsiTheme="minorEastAsia"/>
        </w:rPr>
        <w:t>-42891</w:t>
      </w:r>
      <w:r w:rsidRPr="00FA7BE2">
        <w:rPr>
          <w:rFonts w:asciiTheme="minorEastAsia" w:eastAsiaTheme="minorEastAsia" w:hAnsiTheme="minorEastAsia" w:hint="eastAsia"/>
        </w:rPr>
        <w:t>（集中办公区）</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办公地址：广州市天河区珠江新城珠江东路30号广州银行大厦40-43楼</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法定代表人：刘晓艳</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电话：020-85102506</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传真：4008818099</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rPr>
        <w:t>联系人：梁美</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网址：www.efunds.com.cn</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直销机构网点信息：</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（1）易方达基金管理有限公司广州直销中心</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办公地址：广州市天河区珠江新城珠江东路30号广州银行大厦40楼</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电话：020-85102506</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传真：4008818099</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rPr>
        <w:t>联系人：梁美</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（2）易方达基金管理有限公司北京直销中心</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办公地址：北京市西城区武定侯街2号泰康国际大厦18层</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电话：010-63213377</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传真：4008818099</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联系人：刘蕾</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（3）易方达基金管理有限公司上海直销中心</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办公地址：上海市浦东新区世纪大道88号金茂大厦</w:t>
      </w:r>
      <w:r w:rsidRPr="00FA7BE2">
        <w:rPr>
          <w:rFonts w:asciiTheme="minorEastAsia" w:eastAsiaTheme="minorEastAsia" w:hAnsiTheme="minorEastAsia"/>
          <w:szCs w:val="21"/>
        </w:rPr>
        <w:t>46楼</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电话：021-50476668</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传真：4008818099</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联系人：</w:t>
      </w:r>
      <w:r w:rsidR="00B11652" w:rsidRPr="00FA7BE2">
        <w:rPr>
          <w:rFonts w:asciiTheme="minorEastAsia" w:eastAsiaTheme="minorEastAsia" w:hAnsiTheme="minorEastAsia" w:hint="eastAsia"/>
          <w:szCs w:val="21"/>
        </w:rPr>
        <w:t>王程</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（4）易方达基金管理有限公司网上交易系统</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网址：www.efunds.com.cn</w:t>
      </w:r>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2、非直销销售机构（以下排序不分先后）</w:t>
      </w:r>
    </w:p>
    <w:p w:rsidR="00F45915" w:rsidRPr="00FA7BE2" w:rsidRDefault="00F45915" w:rsidP="00F4591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一、A类基金份额、B类基金份额：</w:t>
      </w:r>
    </w:p>
    <w:p w:rsidR="00F45915" w:rsidRPr="00FA7BE2" w:rsidRDefault="00F45915" w:rsidP="00F4591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(1)中国银行</w:t>
      </w:r>
    </w:p>
    <w:p w:rsidR="00F45915" w:rsidRPr="00FA7BE2" w:rsidRDefault="00F45915" w:rsidP="00F4591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注册地址:北京市西城区复兴门内大街1号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办公地址:北京市西城区复兴门内大街1号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法定代表人:刘连舸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网址:www.boc.cn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(2)渤海银行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注册地址:天津市河东区海河东路218号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办公地址:天津市河东区海河东路218号渤海银行大厦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法定代表人:李伏安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联系电话:022-58316666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客户服务电话:95541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传真:022-58316569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网址:www.cbhb.com.cn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(3)广发银行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注册地址:广东省广州市越秀区东风东路713号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办公地址:广东省广州市越秀区东风东路713号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客户服务电话:400-830-8003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网址:www.cgbchina.com.cn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(4)华夏银行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注册地址:北京市东城区建国门内大街22号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办公地址:北京市东城区建国门内大街22号华夏银行大厦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法定代表人:李民吉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联系人:刘湘波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网址:www.hxb.com.cn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(5)交通银行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注册地址:中国（上海）自由贸易试验区银城中路188号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办公地址:中国（上海）自由贸易试验区银城中路188号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法定代表人:任德奇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联系人:高天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联系电话:021-58781234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客户服务电话:95559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网址:www.bankcomm.com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(6)平安银行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注册地址:广东省深圳市罗湖区深南东路5047号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办公地址:广东省深圳市罗湖区深南东路5047号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法定代表人:谢永林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联系人:赵杨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联系电话:0755-22166574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客户服务电话:95511-3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传真:021-50979507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网址:bank.pingan.com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(7)浦发银行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注册地址:上海市中山东一路12号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办公地址:上海市中山东一路12号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法定代表人:郑杨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联系人:赵守良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联系电话:021-61618888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传真:021-63604196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网址:www.spdb.com.cn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(8)兴业银行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注册地址:福州市湖东路154号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办公地址:上海市银城路167号兴业银行大厦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法定代表人:陶以平（代为履行法定代表人职权）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联系人:孙琪虹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网址:www.cib.com.cn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(9)招商银行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注册地址:深圳市福田区深南大道7088号招商银行大厦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办公地址:深圳市福田区深南大道7088号招商银行大厦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法定代表人:缪建民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联系人:季平伟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网址:www.cmbchina.com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(10)浙商银行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注册地址:浙江省杭州市萧山区鸿宁路1788号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办公地址:浙江杭州市庆春路288号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法定代表人:沈仁康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联系人:沈崟杰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联系电话:0571- 88261822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传真:0571-87659954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网址:www.czbank.com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(11)中国工商银行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注册地址:北京西城区复兴门内大街55号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办公地址:北京西城区复兴门内大街55号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法定代表人:陈四清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网址:www.icbc.com.cn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(12)中国光大银行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注册地址:北京市西城区太平桥大街25号、甲25号中国光大中心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办公地址:北京市西城区太平桥大街25号金融街F3大厦（中国光大中心）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法定代表人:李晓鹏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联系人:朱红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联系电话:010-63636153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传真:010-63639709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网址:www.cebbank.com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(13)中国建设银行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注册地址:北京市西城区金融大街25号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办公地址:北京市西城区闹市口大街1号院1号楼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法定代表人:田国立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联系人:王未雨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(14)中国民生银行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注册地址:北京市西城区复兴门内大街2号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办公地址:北京市西城区复兴门内大街2号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法定代表人:高迎欣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联系人:徐野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网址:www.cmbc.com.cn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(15)中国农业银行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注册地址:北京市东城区建国门内大街69号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办公地址:北京市东城区建国门内大街69号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法定代表人:谷澍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联系人:李紫钰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传真:010-85109219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网址:www.abchina.com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(16)中国邮政储蓄银行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法定代表人:张金良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联系人:王硕</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传真:010-68858057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网址:www.psbc.com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(17)中信银行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注册地址:北京市朝阳区光华路10号院1号楼6-30层、32-42层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办公地址:北京市朝阳区光华路10号院1号楼6-30层、32-42层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法定代表人:李庆萍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联系人:王晓琳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客户服务电话:95558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传真:010-85230049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网址:bank.ecitic.com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(18)北京银行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注册地址:北京市西城区金融大街甲17号首层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办公地址:北京市西城区金融大街丙17号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法定代表人:张东宁</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联系人:周黎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网址:www.bankofbeijing.com.cn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(19)长安银行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注册地址:西安市高新技术产业开发区高新四路13号1幢1单元10101室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办公地址:西安市高新技术产业开发区高新四路13号朗臣大厦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法定代表人:张全明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联系人:闫石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客户服务电话:400-05-96669；（029）96669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传真:029-88609566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网址:http://www.ccabchina.com/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(20)长城华西银行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注册地址:德阳市旌阳区蒙山街14号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办公地址:四川省德阳市旌阳区蒙山街14号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法定代表人:谭运财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联系人:王丽鹃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联系电话:028-61963271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客户服务电话:028-96836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传真:0838-2371812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网址:www.gwbank.com.cn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(21)大连银行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注册地址:大连市中山区中山路88号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办公地址:大连市中山区中山路88号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法定代表人:彭寿斌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联系人:卜书慧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联系电话:0411-82311936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客户服务电话:400-664-0099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网址:www.bankofdl.com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(22)德州银行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注册地址:山东省德州市三八东路1266号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办公地址:山东省德州市三八东路1266号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法定代表人:董合平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联系人:王方震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联系电话:0534-2297326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客户服务电话:400-01-96588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网址:www.dzbchina.com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(23)东莞银行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注册地址:东莞市莞城区体育路21号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办公地址:东莞市莞城区体育路21号东莞银行大厦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法定代表人:卢国锋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联系人:朱杰霞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联系电话:0769-27239605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网址:www.dongguanbank.cn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(24)福建海峡银行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注册地址:福建省福州市台江区江滨中大道358号海峡银行大厦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办公地址:福建省福州市台江区江滨中大道358号福建海峡银行8楼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法定代表人:俞敏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联系人:黄晶</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联系电话:0591-87385069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客户服务电话:400-893-9999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传真:0591-87330926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网址:www.fjhxbank.com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(25)广东华兴银行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注册地址:广东省汕头市龙湖区黄山路28号四层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办公地址:广州市天河区天河路533号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法定代表人:周泽荣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联系人:许悦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联系电话:020-38173552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客户服务电话:95091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传真:020-38173857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网址:www.ghbank.com.cn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(26)广东南粤银行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注册地址:湛江经济技术开发区乐山路27号财富汇金融中心1层01、02号商铺、2层01号商铺、3层01号商铺、39-45层办公室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办公地址:湛江经济技术开发区乐山路27号财富汇金融中心1层01、02号商铺、2层01号商铺、3层01号商铺、39-45层办公室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法定代表人:蒋丹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联系电话:020-28308757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客户服务电话:4000-961818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网址:www.gdnybank.com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(27)广州银行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注册地址:广州市天河区珠江东路30号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办公地址:广州市天河区珠江东路30号广州银行大厦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法定代表人:丘斌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联系人:唐荟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客户服务电话:96699（广东）400-83-96699（全国）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网址:www.gzcb.com.cn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(28)哈尔滨银行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注册地址:哈尔滨市道里区尚志大街160号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办公地址:哈尔滨市道里区上江街888号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法定代表人:邓新权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联系人:贾琳娜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联系电话:0451-86779669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传真:0451-87792682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网址:www.hrbb.com.cn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(29)海南银行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注册地址:海南省海口市龙华区海秀东路31号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办公地址:海南省海口市龙华区海秀东路31号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法定代表人:朱德镭</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客户服务电话:0898-96566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网址:www.hnbankchina.com.cn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(30)杭州银行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注册地址:浙江省杭州市下城区庆春路46号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办公地址:杭州市下城区庆春路46号杭州银行大厦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法定代表人:陈震山</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联系人:蒋梦君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联系电话:0571-85120718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客户服务电话:95398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传真:0571-85106576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网址:www.hzbank.com.cn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(31)河北银行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注册地址:石家庄市平安北大街28号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办公地址:石家庄市平安北大街28号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法定代表人:梅爱斌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联系人:李博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联系电话:0311-88627587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客户服务电话:400-612-9999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传真:0311-67806407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网址:www.hebbank.com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(32)华融湘江银行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注册地址:长沙市天心区芙蓉南路一段828号杰座大厦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办公地址:湖南省长沙市湘府东路二段208号万境财智中心南栋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法定代表人:黄卫忠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联系人:闾娇蓉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联系电话:0731-89828182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客户服务电话:0731-96599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传真:0731-89828806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网址:www.hrxjbank.com.cn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(33)吉林银行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注册地址:吉林省长春市经济技术开发区东南湖大路1817号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办公地址:吉林省长春市经济技术开发区东南湖大路1817号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法定代表人:陈宇龙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联系电话:0431-84999627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传真:0431-84992649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网址:www.jlbank.com.cn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(34)嘉兴银行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注册地址:浙江省嘉兴市昌盛南路1001号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办公地址:浙江省嘉兴市昌盛南路1001号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法定代表人:夏林生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联系人:朱李平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联系电话:0573-82080289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客户服务电话:0573-96528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网址:http://www.bojx.com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(35)江苏银行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注册地址:南京市中华路26号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办公地址:南京市中华路26号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法定代表人:夏平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联系人:展海军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联系电话:025-58587039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传真:025-58587820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网址:www.jsbchina.cn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(36)江西银行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注册地址:江西省南昌市红谷滩新区金融大街699号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办公地址:江西省南昌市红谷滩新区金融大街699号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法定代表人:陈晓明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联系人:陈云波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联系电话:0791-86796029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传真:0791-86790795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网址:www.jx-bank.com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(37)金华银行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注册地址:浙江省金华市丹溪路1388号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办公地址:浙江省金华市金东区光南路668号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法定代表人:徐雅清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联系人:何赛丽、陈霞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联系电话:0579-82178270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客户服务电话:400-711-6668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传真:0579-82178321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网址:www.jhccb.com.cn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(38)锦州银行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注册地址:辽宁省锦州市科技路68号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办公地址:辽宁省锦州市科技路68号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法定代表人:魏学坤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联系人:庞璐璐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客户服务电话:400-66-96178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网址:www.jinzhoubank.com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(39)晋商银行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注册地址:山西省太原市小店区长风街59号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办公地址:山西省太原市小店区长风街59号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法定代表人:阎俊生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联系人:董嘉文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联系电话:0351-6819579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客户服务电话:9510-5588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传真:0351-6819926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网址:www.jshbank.com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(40)九江银行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注册地址:江西省九江市濂溪区长虹大道619号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办公地址:江西省九江市濂溪区长虹大道619号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法定代表人:刘羡庭</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联系人:胡浩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联系电话:0792-2171968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网址:www.jjccb.com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(41)昆仑银行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注册地址:新疆克拉玛依市世纪大道7号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办公地址:北京市西城区金融大街1号B座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法定代表人:蒋尚军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联系人:张碧华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联系电话:010-89026813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客户服务电话:95379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传真:010-89025421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网址:www.klb.cn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(42)兰州银行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注册地址:甘肃省兰州市城关区酒泉路211号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办公地址:甘肃省兰州市城关区酒泉路211号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法定代表人:许建平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联系人:杜珊珊、景亚楠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联系电话:0931-4600528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客户服务电话:400-88-96799（全国）、96799（甘肃省内）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网址:https://www.lzbank.com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(43)龙江银行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注册地址:黑龙江省哈尔滨市道里区友谊路436号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办公地址:黑龙江省哈尔滨市道里区友谊路436号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法定代表人:张建辉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联系人:闫勇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联系电话:0451-85706107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客户服务电话:400-645-8888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传真:0451-85706036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网址:http://www.lj-bank.com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(44)洛阳银行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注册地址:洛阳市洛阳新区开元大道与通济街交叉口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办公地址:河南省洛阳市开元大道256号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法定代表人:王建甫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联系人:郭文博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联系电话:0379-65921977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客户服务电话:0379-96699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传真:0379-65938595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网址:www.bankofluoyang.com.cn/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(45)宁波银行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注册地址:浙江省宁波市鄞州区宁东路345号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办公地址:浙江省宁波市鄞州区宁东路345号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法定代表人:陆华裕</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联系人:陈佳瑜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网址:www.nbcb.com.cn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(46)宁夏银行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注册地址:银川市金凤区北京中路157号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办公地址:银川市金凤区北京中路157号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法定代表人:居光华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联系人:蒋阳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联系电话:0951-5165256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客户服务电话:4008096558、0951-96558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网址:http://www.bankofnx.com.cn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(47)齐商银行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注册地址:淄博市张店区中心路105号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办公地址:山东省淄博市张店区金晶大道105号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法定代表人:李大鹏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联系人:焦浦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联系电话:0533-2178888-9907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客户服务电话:400-86-96588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传真:0533-2180303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网址:www.qsbank.cc</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(48)青岛银行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注册地址:山东省青岛市崂山区秦岭路6号3号楼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办公地址:山东省青岛市崂山区秦岭路6号3号楼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法定代表人:郭少泉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联系人:陈界交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联系电话:0532-68629956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客户服务电话:96588（青岛）400-66-96588（全国）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网址:http://www.qdccb.com/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(49)泉州银行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注册地址:泉州市丰泽区泉泰路266号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办公地址:泉州市丰泽区泉泰路266号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法定代表人:傅子能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联系人:董培姗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联系电话:0595-22551071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客户服务电话:400-88-96312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传真:0595-22578871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网址:http://www.qzccbank.com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(50)日照银行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注册地址:山东省日照市烟台路197号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办公地址:山东省日照市烟台路197号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联系人:邱丽萍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联系电话:0633-8081619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客户服务电话:400-68-96588（全国） 、0633-96588（日照）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传真:0633-8081276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网址:http://www.bankofrizhao.com.cn/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(51)四川天府银行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注册地址:四川省南充市涪江路1号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办公地址:四川省成都市锦江区东大街下东大街258号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法定代表人:邢敏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联系人:周乃雍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联系电话:028-67676038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客户服务电话:400-16-96869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网址:www.tf.cn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(52)苏州银行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注册地址:江苏省苏州市工业园区钟园路728号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办公地址:江苏省苏州市工业园区钟园路728号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法定代表人:王兰凤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联系人:吴骏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联系电话:0512-69868373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客户服务电话:96067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传真:0512-69868373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网址:www.suzhoubank.com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(53)天津银行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注册地址:天津市河西区友谊路15号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办公地址:天津市河西区友谊路15号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法定代表人:李宗唐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联系电话:022-28405684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传真:022-28405631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网址:www.bank-of-tianjin.com.cn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(54)威海市商业银行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注册地址:威海市宝泉路9号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办公地址:威海市宝泉路9号财政大厦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法定代表人:谭先国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联系人:冯十卉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联系电话:0531-68978175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客户服务电话:山东省内96636、中国境内40000-96636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传真:0531-68978176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网址:www.whccb.com，www.whccb.com.cn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(55)微众银行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注册地址:深圳市前海深港合作区前湾一路1号A栋201室（入驻深圳市前海商务秘书有限公司）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办公地址:广东省深圳市南山区沙河西路1819号深圳湾科技生态园7栋A座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法定代表人:顾敏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网址:http://www.webank.com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(56)潍坊银行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注册地址:山东省潍坊市奎文区胜利东街5139号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办公地址:山东省潍坊市奎文区胜利东街5139号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法定代表人:郭虎英</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联系人:井靖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联系电话:0536-8051904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客户服务电话:400-61-96588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传真:0536-8056061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网址:www.wfccb.com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(57)西安银行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注册地址:西安市高新路60号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办公地址:西安市高新路60号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法定代表人:郭军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联系人:白智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联系电话:029-88992881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客户服务电话:40086-96779（全国）、96779（陕西）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网址:www.xacbank.com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(58)厦门国际银行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注册地址:厦门市思明区鹭江道8-10号国际银行大厦1-6层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办公地址:厦门市思明区鹭江道8-10号国际银行大厦1-6层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法定代表人:王晓健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联系人:王文彦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联系电话:0592-2078888-6878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客户服务电话:4001623623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网址:https://www.xib.com.cn/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(59)厦门银行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注册地址:厦门市思明区湖滨北路101号商业银行大厦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办公地址:厦门市思明区湖滨北路101号商业银行大厦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法定代表人:吴世群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联系电话:0592-5310251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客户服务电话:400-858-8888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传真:0592-5373973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网址:www.xmbankonline.com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(60)烟台银行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注册地址:山东省烟台市芝罘区海港路25号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办公地址:山东省烟台市芝罘区海港路25号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法定代表人:吴明理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联系人:张卓智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联系电话:0535-6699671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客户服务电话:4008-311-777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传真:0535-6699884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网址:www.yantaibank.net</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(61)云南红塔银行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注册地址:云南省玉溪市东风南路2号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办公地址:云南省昆明市盘龙区世博路低碳中心A座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法定代表人:李光林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联系人:马杰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联系电话:0871-65236624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客户服务电话:0877-96522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网址:www.ynhtbank.com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(62)浙江稠州商业银行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注册地址:浙江省义乌市江滨路义乌乐园东侧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办公地址:杭州市上城区望潮路158号稠银大厦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法定代表人:金子军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联系人:谢圆圆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联系电话:0571-87117661/13777805250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客户服务电话:0571-96527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传真:0571—87117607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网址:http://www.czcb.com.cn/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(63)浙江泰隆商业银行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注册地址:浙江省台州市路桥区南官大道188号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办公地址:浙江省台州市路桥区南官大道188号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联系人:陈妍宇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联系电话:0571-87219677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客户服务电话:95347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网址:www.zjtlcb.com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(64)郑州银行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注册地址:河南省郑州市郑东新区商务外环路22号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办公地址:河南省郑州市郑东新区商务外环路22号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法定代表人:王天宇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联系人:庞骏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联系电话:0371-67009917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客户服务电话:95097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传真:0371-67009097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网址:http://www.zzbank.cn/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(65)中原银行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注册地址:河南省郑州市郑东新区CBD商务外环路23号中科金座大厦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办公地址:河南省郑州市郑东新区CBD商务外环路23号中科金座大厦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法定代表人:窦荣兴</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联系电话:0371-61910217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网址:www.zybank.com.cn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(66)重庆银行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注册地址:重庆市江北区永平门街6号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办公地址:重庆市江北区永平门街6号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法定代表人:林军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联系人:李俊锋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联系电话:023-63367180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客户服务电话:96899，4007096899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网址:www.cqcbank.com.cn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(67)珠海华润银行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注册地址:广东省珠海市吉大九洲大道东1346号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办公地址:广东省珠海市吉大九洲大道东1346号珠海华润银行大厦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法定代表人:李福利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联系电话:4008800338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客户服务电话:96588（广东省外请加拨0756），400-8800-338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网址:www.crbank.com.cn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(68)成都农商银行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注册地址:成都市武侯区科华中路88号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办公地址:成都市武侯区科华中路88号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联系人:杨琪</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联系电话:028-85315412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客户服务电话:95392   4006-028-666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传真:028-85390961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网址:http://www.cdrcb.com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(69)东莞农村商业银行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注册地址:广东省东莞市东城区鸿福东路2号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办公地址:广东省东莞市东城区鸿福东路2号东莞农商银行大厦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法定代表人:王耀球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联系人:钟燕珊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客户服务电话:0769-961122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网址:www.drcbank.com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(70)佛山农商银行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注册地址:佛山市禅城区华远东路5号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办公地址:佛山市禅城区华远东路5号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法定代表人:李川</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联系人:陈棠熙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客户服务电话:96138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网址:www.foshanbank.cn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(71)富阳农商银行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注册地址:杭州市富阳区鹿山街道依江路501号第1幢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办公地址:杭州市富阳区鹿山街道依江路501号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法定代表人:丁松茂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联系人:陈硕</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联系电话:0571-63280253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客户服务电话:96596、4008896596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网址:www.fyrcbk.com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(72)广州农商银行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注册地址:广州市黄埔区映日路9号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办公地址:广州市天河区珠江新城华夏路1号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法定代表人:王继康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联系电话:020-22389067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传真:020-22389031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网址:www.grcbank.com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(73)杭州联合银行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注册地址:浙江省杭州市上城区建国中路99号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办公地址:杭州市建国中路99号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法定代表人:张海林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联系人:吴徐立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联系电话:0571-87923324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传真:0571-87923214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网址:www.urcb.com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(74)江南农村商业银行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注册地址:常州市武进区延政中路9号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办公地址:常州市武进区延政中路9号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法定代表人:陆向阳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联系电话:0519-80585939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客户服务电话:0519-96005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传真:0519-89995170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网址:http://www.jnbank.com.cn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(75)昆山农村商业银行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注册地址:江苏省昆山市前进东路828号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办公地址:江苏省昆山市前进东路828号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法定代表人:谢铁军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联系人:黄怡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客户服务电话:0512-96079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网址:www.ksrcb.com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(76)乐清农商银行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注册地址:浙江省乐清市城南街道伯乐西路99号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办公地址:浙江省乐清市城南街道伯乐西路99号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法定代表人:黄定表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联系人:金晓娇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联系电话:0577-61566028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传真:0577-61566063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(77)临海农商银行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注册地址:浙江省临海市古城街道巾山中路2号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办公地址:浙江省临海市古城街道巾山中路2号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法定代表人:郭丽娅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联系电话:0576-85317606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传真:0576-85317599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网址:http://www.lhrcb.com/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(78)龙湾农商银行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注册地址:浙江省温州市龙湾区永中街道永宁西路555号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办公地址:浙江省温州市龙湾区永中街道永宁西路555号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法定代表人:朱朋远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联系人:胡俊杰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联系电话:0577-86923223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传真:0577-86921250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网址:www.lwrcb.com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(79)鹿城农商银行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注册地址:浙江省温州市鹿城区会展路1500号富银大厦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办公地址:温州市车站大道547号信合大厦A幢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法定代表人:陈宏强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联系人:董雷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联系电话:0577-88077675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网址:http://www.lcrcbank.com/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(80)南海农商银行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注册地址:广东省佛山市南海区桂城街道南海大道北26号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办公地址:广东省佛山市南海区桂城街道南海大道北26号农商银行大厦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法定代表人:李宜心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联系人:廖雪</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联系电话:0757-86266566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客户服务电话:96138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传真:0757-86250627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网址:www.nanhaibank.com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(81)青岛农商银行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注册地址:山东省青岛市崂山区秦岭路6号1号楼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办公地址:山东省青岛市崂山区秦岭路6号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法定代表人:刘仲生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联系人:严菲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联系电话:0532-66957360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客户服务电话:0532-96668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传真:0532-66957229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网址:www.qrcb.com.cn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(82)瑞安农商银行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注册地址:瑞安市安阳街道万松东路148号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办公地址:瑞安市安阳街道万松东路148号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法定代表人:王光领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联系人:吴小娜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联系电话:0577-66681245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客户服务电话:4008057702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(83)瑞丰银行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注册地址:浙江省绍兴市柯桥区笛扬路1363号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办公地址:浙江省绍兴市柯桥区笛扬路1363号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法定代表人:章伟东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联系人:孟建潮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联系电话:0575-81105323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传真:0575-84788134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网址:www.borf.cn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(84)上海农村商业银行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注册地址:上海市黄浦区中山东二路70号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办公地址:上海市黄浦区中山东二路70号上海农商银行大厦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法定代表人:徐力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联系人:施传荣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联系电话:021-61899999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客户服务电话:021-962999、 4006962999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网址:www.srcb.com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(85)深圳农村商业银行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注册地址:深圳市宝安区新安街道海旺社区海秀路2028号农商银行大厦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办公地址:深圳市罗湖区深南东路3038号合作金融大厦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法定代表人:李光安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联系人:陈泽鑫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联系电话:0755-25188271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客户服务电话:4001961200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网址:http://www.4001961200.com/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(86)顺德农村商业银行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注册地址:广东佛山市顺德区大良德和居委会拥翠路2号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办公地址:广东佛山市顺德区大良德和居委会拥翠路2号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法定代表人:姚真勇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联系人:杨素苗、区敏欣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联系电话:0757-22382524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客户服务电话:0757-22223388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传真:0757-22388777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网址:www.sdebank.com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(87)苏州农村商业银行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注册地址:江苏省苏州市吴江区中山南路1777号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办公地址:江苏省苏州市吴江区中山南路1777号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法定代表人:徐晓军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联系人:葛晓亮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联系电话:0512-63969209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客户服务电话:956111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传真:0512-63969209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网址:www.szrcb.com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(88)天津农商银行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注册地址:天津市河西区马场道59号国际经济贸易中心A座1-6层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办公地址:天津市河西区马场道59号国际经济贸易中心A座1-6层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法定代表人:徐庆宏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联系人:满与谦、梁冯雷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联系电话:022-83872155，022-83872800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客户服务电话:022-96155，400-80-96155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传真:022-83872156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网址:www.trcbank.com.cn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(89)萧山农商银行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注册地址:浙江省人民路258号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办公地址:浙江省杭州市萧山区人民路258号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法定代表人:王云龙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联系人:朱光锋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联系电话:0571-82739513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网址:http://www.zjxsbank.com/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(90)新昌农商银行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注册地址:浙江省绍兴市新昌县七星街道七星路18号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办公地址:浙江省绍兴市新昌县七星街道七星路18号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法定代表人:陆斌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联系人:陈春华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联系电话:0575-86266991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客户服务电话:4008896596、0575-86266928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传真:0575-86383121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网址:http://xcbank.com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(91)余杭农村商业银行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注册地址:杭州市余杭区南苑街道南大街72号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办公地址:杭州市余杭区南苑街道南大街72号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法定代表人:来煜标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联系人:蔡亮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联系电话:0571-86209980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客户服务电话:96596，4008896596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网址:www.yhrcb.com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(92)重庆农村商业银行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注册地址:重庆市江北区金沙门路36号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办公地址:重庆市江北区金沙门路36号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法定代表人:刘建忠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联系电话:13880285822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客户服务电话:95389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传真:023-61110146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网址:www.cqrcb.com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(93)鄞州银行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注册地址:宁波市鄞州区民惠西路88号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办公地址:宁波市鄞州区民惠西路88号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法定代表人:周建斌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联系人:朱霓虹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联系电话:0574-87412569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客户服务电话:956058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网址:www.beeb.com.cn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(94)汇丰银行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世纪大道8号上海国金中心汇丰银行大楼20楼01-05、07-09室，22楼01-03室，23楼，25楼01-04、12-16室、26楼01-12、15、16室，27楼01-11室、28楼01-09，12-16室，29楼、30楼04-08室、31楼01、03-16室、32楼、33楼01-03、15、16室、35楼、36楼01-02、04-16室、37楼、38楼01-08、10-16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办公地址:上海市浦东新区世纪大道8号上海国金中心汇丰银行大楼22楼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法定代表人:王云峰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联系人:周海平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联系电话:021-38883888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客户服务电话:95366（限中国内地固话拨打） / +86 400-820-8828（适用于移动电话拨打）/ +86 21-3888-8828（适用于境外电话拨打）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传真:021-23208550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网址:www.hsbc.com.cn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(95)安信证券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注册地址:深圳市福田区金田路4018号安联大厦35层、28层A02单元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办公地址:深圳市福田区金田路4018号安联大厦35层、28层A02单元      深圳市福田区深南大道2008号中国凤凰大厦1栋9层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法定代表人:黄炎勋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联系人:陈剑虹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联系电话:0755-82825551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传真:0755-82558355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网址:www.essence.com.cn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(96)渤海证券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注册地址:天津市经济技术开发区第二大街42号写字楼101室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办公地址:天津市南开区宾水西道8号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法定代表人:安志勇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联系电话:022-28451922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客户服务电话:400-651-5988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传真:022-28451892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网址:www.ewww.com.cn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(97)财达证券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注册地址:河北省石家庄市桥西区自强路35号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办公地址:河北省石家庄市桥西区自强路35号庄家金融大厦23-26层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法定代表人:翟建强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联系人:李卓颖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联系电话:0311-66008561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客户服务电话:95363（河北省内）；0311-95363（河北省外）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传真:0311-66006414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网址:www.s10000.com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(98)财通证券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注册地址:浙江省杭州市西湖区天目山路198号财通双冠大厦西楼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办公地址:浙江省杭州市西湖区天目山路198号财通双冠大厦西楼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法定代表人:陆建强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联系人:蔡驰宙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联系电话:0571-87821867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网址:www.ctsec.com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(99)财信证券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注册地址:湖南省长沙市岳麓区茶子山东路112号滨江金融中心T3、T4及裙房718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办公地址:长沙市芙蓉中路二段80号顺天国际财富中心26-28层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法定代表人:刘宛晨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联系人:郭静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联系电话:0731-84403347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传真:0731-84403439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网址:www.cfzq.com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(100)长城国瑞证券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注册地址:厦门市思明区莲前西路2号莲富大厦17楼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办公地址:厦门市思明区深田路46号深田国际大厦20楼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联系人:布前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联系电话:010-68085771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客户服务电话:400-0099-886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传真:0592-2079602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网址:www.gwgsc.com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(101)长城证券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注册地址:深圳市福田区福田街道金田路2026号能源大厦南塔楼10-19层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办公地址:深圳市福田区福田街道金田路2026号能源大厦南塔楼10-19层长城证券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联系人:梁浩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联系电话:0755-83530715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客户服务电话:400-6666-888或95514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传真:0755-83515567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网址:www.cgws.com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(102)长江证券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注册地址:湖北省武汉市新华路特8号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办公地址:湖北省武汉市新华路特8号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法定代表人:李新华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联系人:奚博宇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联系电话:027-65799999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客户服务电话:95579或4008-888-999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传真:027-85481900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网址:www.95579.com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(103)川财证券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注册地址:中国（四川）自由贸易试验区成都高新区交子大道177号中海国际中心B座17楼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办公地址:四川省成都高新区交子大道177号中海国际中心B座17楼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法定代表人:金树成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联系人:匡婷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联系电话:028-86583053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客户服务电话:028-962708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网址:www.cczq.com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(104)大通证券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注册地址:辽宁省大连市沙河口区会展路129号大连国际金融中心A座-大连期货大厦38、39层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办公地址:辽宁省大连市沙河口区会展路129号大连国际金融中心A座-大连期货大厦38、39层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法定代表人:赵玺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联系人:谢立军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联系电话:0411-39991807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客户服务电话:4008-169-169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传真:0411-39673214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网址:www.daton.com.cn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(105)大同证券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注册地址:山西省大同市城区迎宾街15号桐城中央21层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办公地址:山西省太原市小店区长治路111号山西世贸中心A座F12、F13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法定代表人:董祥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联系人:薛津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联系电话:0351-4130322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客户服务电话:4007121212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传真:0351-7219891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网址:www.dtsbc.com.cn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(106)德邦证券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注册地址:上海市普陀区曹杨路510号南半幢9楼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办公地址:上海市福山路500号城建国际中心29楼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法定代表人:武晓春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联系电话:021-68761616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客户服务电话:400-8888-128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传真:021-68767880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网址:http://www.tebon.com.cn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(107)第一创业证券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注册地址:深圳市福田区福华一路115号投行大厦20楼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办公地址:深圳市福田区福华一路115号投行大厦20楼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法定代表人:刘学民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联系人:单晶</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联系电话:0755-23838750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客户服务电话:95358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网址:www.firstcapital.com.cn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(108)东北证券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注册地址:长春市生态大街6666号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办公地址:长春市生态大街6666号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法定代表人:李福春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联系人:安岩岩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联系电话:0431-85096517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客户服务电话:95360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传真:0431-85096795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网址:www.nesc.cn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(109)东方财富证券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注册地址:西藏自治区拉萨市柳梧新区国际总部城10栋楼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办公地址:上海市徐汇区宛平南路88号金座东方财富大厦16楼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法定代表人:戴彦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联系人:付佳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联系电话:021-23586603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网址:http://www.18.cn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(110)东方证券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注册地址:上海市黄浦区中山南路119号东方证券大厦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办公地址:上海市中山南路318号2号楼22层、23层、25层-29层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法定代表人:金文忠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联系人:龚玉君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联系电话:021-63325888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传真:021-63326729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网址:http://www.dfzq.com.cn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(111)东海证券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注册地址:江苏省常州市延陵西路23号投资广场18层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办公地址:上海市浦东新区东方路1928号东海证券大厦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法定代表人:钱俊文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联系人:王一彦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联系电话:021-20333333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客户服务电话:95531、400-8888-588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传真:021-50498825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网址:www.longone.com.cn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(112)东吴证券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注册地址:苏州工业园区星阳街5号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办公地址:苏州工业园区星阳街5号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法定代表人:范力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联系人:陆晓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联系电话:0512-62938521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传真:0512-65588021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网址:www.dwzq.com.cn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(113)东兴证券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注册地址:北京市西城区金融大街5号（新盛大厦）12、15层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办公地址:北京市西城区金融大街5号新盛大厦B座10层、12层、15层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法定代表人:魏庆华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联系人:郑旷怡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联系电话:010-66559039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客户服务电话:95309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传真:010-66555133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网址:www.dxzq.net</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(114)东莞证券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注册地址:东莞市莞城区可园南路一号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办公地址:东莞市莞城区可园南路1号金源中心30楼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法定代表人:陈照星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联系人:陈士锐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联系电话:0769-22112151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传真:0769-22115712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网址:www.dgzq.com.cn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(115)方正证券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注册地址:湖南省长沙市天心区湘江中路二段36号华远华中心4、5号楼3701-3717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办公地址:北京市朝阳区朝阳门南大街10号兆泰国际中心A座16-19层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法定代表人:施华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联系人:丁敏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联系电话:010-59355997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传真:010-56437030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网址:www.foundersc.com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(116)光大证券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注册地址:上海市静安区新闸路1508号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办公地址:上海市静安区新闸路1508号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法定代表人:刘秋明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联系人:郁疆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联系电话:021-22169999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网址:www.ebscn.com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(117)广发证券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注册地址:广东省广州市黄埔区中新广州知识城腾飞一街2号618室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办公地址:广州市天河区马场路26号广发证券大厦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法定代表人:孙树明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联系人:黄岚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客户服务电话:95575或02095575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网址:www.gf.com.cn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(118)国都证券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注册地址:北京市东城区东直门南大街3号国华投资大厦9层10层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办公地址:北京市东城区东直门南大街3号国华投资大厦9层10层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法定代表人:翁振杰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联系人:黄静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联系电话:010-84183333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客户服务电话:400-818-8118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传真:010-84183311-3122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网址:www.guodu.com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(119)国海证券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注册地址:广西壮族自治区桂林市七星区辅星路13号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办公地址:广西壮族自治区南宁市青秀区滨湖路46号国海大厦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法定代表人:何春梅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联系电话:0755-88313842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客户服务电话:95563或0771-95563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网址:www.ghzq.com.cn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(120)国金证券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注册地址:成都市青羊区东城根上街95号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办公地址:成都市青羊区东城根上街95号成证大厦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法定代表人:冉云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联系人:杜晶、黎建平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联系电话:028-86690057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传真:028-86690126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网址:www.gjzq.com.cn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(121)国联证券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注册地址:江苏省无锡市太湖新城金融一街8号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办公地址:江苏省无锡市太湖新城金融一街8号国联金融大厦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法定代表人:姚志勇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联系人:祁昊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联系电话:0510-82831662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传真:0510-82830162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网址:www.glsc.com.cn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(122)国融证券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注册地址:内蒙古自治区呼和浩特市武川县腾飞大道1号4楼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办公地址:北京市西城区宣武门西大街甲129号金隅大厦16层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法定代表人:张智河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联系人:刘云龙、张泽浩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联系电话:010-83991889、010-83991862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客户服务电话:95385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传真:010-66412537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网址:www.grzq.com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(123)国盛证券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注册地址:江西省南昌市新建区子实路1589号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办公地址:江西省南昌市红谷滩新区凤凰中大道1115号北京银行大厦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联系人:占文驰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联系电话:0791-88250812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传真:0791-86281305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网址:www.gszq.com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(124)国泰君安证券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注册地址:中国（上海）自由贸易试验区商城路618号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办公地址:上海市静安区南京西路768号国泰君安大厦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法定代表人:贺青</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联系人:芮敏祺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传真:021-38670666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网址:www.gtja.com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(125)国信证券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注册地址:深圳市罗湖区红岭中路1012号国信证券大厦十六层至二十六层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办公地址:深圳市罗湖区红岭中路1012号国信证券大厦十六层至二十六层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法定代表人:张纳沙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联系人:李颖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联系电话:0755-82130833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传真:0755-82133952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网址:www.guosen.com.cn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(126)国元证券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注册地址:安徽省合肥市梅山路18号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办公地址:安徽省合肥市梅山路18号安徽国际金融中心A座国元证券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法定代表人:俞仕新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联系人:汪先哲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联系电话:0551-62207400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传真:0551-2272100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网址:www.gyzq.com.cn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(127)海通证券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注册地址:上海市广东路689号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办公地址:上海市广东路689号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联系人:金芸、李笑鸣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联系电话:021-23219000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传真:021-23219100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网址:www.htsec.com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(128)恒泰证券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注册地址:内蒙古自治区呼和浩特市新城区海拉尔东街满世尚都办公商业综合楼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办公地址:内蒙古自治区呼和浩特市新城区海拉尔东街满世尚都办公商业综合楼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法定代表人:庞介民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联系人:熊丽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联系电话:0471-4972675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网址:www.cnht.com.cn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(129)红塔证券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注册地址:云南省昆明市北京路155号附1号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办公地址:云南省昆明市北京路155号附1号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法定代表人:李素明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联系人:杨敏珺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联系电话:0871-63353652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客户服务电话:956060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传真:0871-63578827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网址:http://www.hongtastock.com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(130)华安证券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注册地址:安徽省合肥市政务文化新区天鹅湖路198号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办公地址:安徽省合肥市政务文化新区天鹅湖路198号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法定代表人:章宏韬</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联系人:范超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联系电话:0551-65161821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传真:0551-65161825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网址:www.hazq.com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(131)华宝证券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注册地址:中国（上海）自由贸易试验区世纪大道100号57层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办公地址:中国（上海）自由贸易试验区世纪大道100号57层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法定代表人:刘加海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联系人:刘闻川</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联系电话:021-20515385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客户服务电话:400-820-9898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传真:021-20515593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网址:www.cnhbstock.com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(132)华福证券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注册地址:福建省福州市鼓楼区鼓屏路27号1#楼3层、4层、5层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办公地址:上海市浦东新区滨江大道5129号N1座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法定代表人:黄金琳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联系电话:021-20655183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客户服务电话:95547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传真:021-20655196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网址:www.hfzq.com.cn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(133)华金证券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注册地址:上海市静安区天目西路128号19层1902室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办公地址:中国（上海）自由贸易试验区杨高南路759号30层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法定代表人:宋卫东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联系人:党敏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联系电话:021-20655630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客户服务电话:956011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传真:021-20655577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网址:www.huajinsc.cn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(134)华林证券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注册地址:西藏自治区拉萨市柳梧新区国际总部城3幢1单元5-5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办公地址:深圳市南山区深南大道9668号华润置地大厦C座31-33层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法定代表人:林立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联系人:郑琢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联系电话:0755-82707766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客户服务电话:400-188-3888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传真:0755-82707993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网址:www.chinalin.com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(135)华龙证券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注册地址:兰州市城关区东岗西路638号兰州财富中心21楼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办公地址:兰州市城关区东岗西路638号兰州财富中心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法定代表人:陈牧原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联系人:范坤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联系电话:0931-4890208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客户服务电话:95368、400-689-8888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传真:0931-4890628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网址:www.hlzq.com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(136)华融证券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办公地址:北京市朝阳区朝阳门北大街18号中国人保寿险大厦12至18层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法定代表人:张海文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联系人:孙燕波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联系电话:010-85556048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客户服务电话:95390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传真:010-85556088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网址:www.hrsec.com.cn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(137)华泰证券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注册地址:南京市江东中路228号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办公地址:南京市建邺区江东中路228号华泰证券广场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联系人:庞晓芸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联系电话:0755-82492193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客户服务电话:95597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传真:025-83387523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网址:www.htsc.com.cn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(138)华西证券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注册地址:四川省成都市高新区天府二街198号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办公地址:四川省成都市高新区天府二街198号华西证券大厦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法定代表人:杨炯洋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联系人:赵静静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联系电话:010-58124967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传真:028-86150040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网址:www.hx168.com.cn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(139)华鑫证券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注册地址:深圳市福田区莲花街道福中社区深南大道2008号中国凤凰大厦1栋20C-1房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办公地址:上海市徐汇区宛平南路8号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法定代表人:俞洋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联系电话:021-54967387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客户服务电话:95323（全国）、400-109-9918（全国）、029-68918888（西安）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传真:021- 54967293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网址:www.cfsc.com.cn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(140)江海证券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注册地址:黑龙江省哈尔滨市香坊区赣水路56号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办公地址:黑龙江省哈尔滨市松北区创新三路833号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法定代表人:赵洪波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联系人:王金娇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联系电话:0451-87765732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客户服务电话:956007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传真:0451-82337279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网址:www.jhzq.com.cn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(141)金元证券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注册地址:海口市南宝路36号证券大厦4楼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办公地址:深圳市深南大道4001号时代金融中心大厦17楼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法定代表人:王作义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联系电话:0755-83025693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客户服务电话:95372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传真:0755-83025625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网址:www.jyzq.cn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(142)九州证券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注册地址:青海省西宁市南川工业园区创业路108号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办公地址:北京市朝阳区安立路30号仰山公园东一门2号楼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法定代表人:魏先锋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联系人:张晓黎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联系电话:010-57672186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网址:www.jzsec.com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(143)开源证券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注册地址:陕西省西安市高新区锦业路1号都市之门B座5层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办公地址:陕西省西安市高新区锦业路1号都市之门B座5层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联系电话:029-88365809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网址:www.kysec.cn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(144)联储证券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注册地址:山东省青岛市崂山区苗岭路15号金融中心大厦15层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办公地址:上海市浦东新区陆家嘴环路1366号富士康大厦9、10层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法定代表人:吕春卫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联系人:尹铮铮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联系电话:010-86499807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客户服务电话:400-620-6868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网址:www.lczq.com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(145)民生证券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注册地址:中国(上海)自由贸易试验区世纪大道1168号B座2101、2104A室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办公地址:北京市东城区建国门内大街28号民生金融中心A座16-20层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法定代表人:冯鹤年</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联系人:胡梦雅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联系电话:010-85127627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客户服务电话:95376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网址:www.mszq.com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(146)南京证券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注册地址:南京市江东中路389号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办公地址:南京市江东中路389号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法定代表人:李剑锋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联系人:王万君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联系电话:025-58519523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传真:025-83369725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网址:www.njzq.com.cn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(147)平安证券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注册地址:深圳市福田区福田街道益田路5023号平安金融中心B座第22-25层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办公地址:深圳市福田区金田路4036号荣超大厦16-20层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法定代表人:何之江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联系人:周驰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联系电话:021-38643230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客户服务电话:95511-8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传真:021-58991896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网址:stock.pingan.com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(148)瑞银证券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注册地址:北京市西城区金融大街7号英蓝国际金融中心12层、15层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办公地址:北京市西城区金融大街7号英蓝国际金融中心12层、15层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法定代表人:钱于军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联系人:谢丹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联系电话:0755-22158878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客户服务电话:400-887-8827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传真:010-58328170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网址:https://www.ubs.com/ubssecurities</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(149)山西证券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注册地址:太原市府西街69号山西国际贸易中心东塔楼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办公地址:太原市府西街69号山西国际贸易中心东塔楼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法定代表人:王怡里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联系人:谢武兵</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联系电话:0351-8686721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客户服务电话:95573或400-666-1618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传真:0351-8686619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网址:www.i618.com.cn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(150)上海证券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注册地址:上海市黄浦区四川中路213号7楼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办公地址:上海市四川中路213号久事商务大厦7楼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法定代表人:何伟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联系人:邵珍珍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联系电话:021-53686888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客户服务电话:4008-918-918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传真:021-53686100-7008，021-53686200-7008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网址:https://www.shzq.com/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(151)申万宏源西部证券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注册地址:新疆乌鲁木齐市高新区（新市区）北京南路358号大成国际大厦20楼2005室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办公地址:新疆乌鲁木齐市高新区（新市区）北京南路358号大成国际大厦20楼2005室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法定代表人:王献军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联系人:王怀春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联系电话:0991-2307105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客户服务电话:95523、4008895523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传真:010-88085195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网址:www.swhysc.com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(152)申万宏源证券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注册地址:上海市徐汇区长乐路989号45层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办公地址:上海市徐汇区长乐路989号世纪商贸广场45层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法定代表人:杨玉成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联系电话:021-33388252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客户服务电话:95523、4008895523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传真:021-33388224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网址:www.swhysc.com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(153)世纪证券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注册地址:深圳市前海深港合作区南山街道桂湾五路128号前海深港基金小镇对冲基金中心406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办公地址:广东省深圳市福田区福田街道金田路2026号能源大厦北塔23-25楼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联系人:徐玲娟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联系电话:0755-83199599-9135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客户服务电话:4008323000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网址:www.csco.com.cn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(154)首创证券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注册地址:北京市西城区德胜门外大街115号德胜尚城E座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办公地址:北京市西城区德胜门外大街115号德胜尚城E座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法定代表人:毕劲松</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联系电话:010-59366070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客户服务电话:95381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传真:010-59366238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网址:www.sczq.com.cn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(155)天风证券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注册地址:湖北省武汉市东湖新技术开发区关东园路2号高科大厦四楼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办公地址:湖北省武汉市武昌区中南路99号保利广场A座37楼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法定代表人:余磊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联系人:王雅薇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联系电话:027-87617017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客户服务电话:95391/400-800-5000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传真:027-87618863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网址:http://www.tfzq.com/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(156)万和证券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注册地址:海南省海口市南沙路49号通信广场二楼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办公地址:深圳市福田区深南大道7028号时代科技大厦20层西厅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法定代表人:冯周让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联系人:李晟辉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联系电话:0755-82830333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客户服务电话:4008-882-882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传真:0755-25842783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网址:http://www.wanhesec.com.cn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(157)万联证券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注册地址:广州市天河区珠江东路11号18、19楼全层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办公地址:广州市天河区珠江东路13号高德置地广场E栋12层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法定代表人:罗钦城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联系人:甘蕾</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联系电话:020-38286026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传真:020-38286588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网址:www.wlzq.cn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(158)五矿证券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注册地址:深圳市福田区金田路4028号荣超经贸中心办公楼47层01单元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办公地址:深圳市南山区滨海大道与后海滨路交汇处滨海大道3165号五矿金融大厦（18-25层）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法定代表人:黄海洲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联系人:戴佳璐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联系电话:0755-23375492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客户服务电话:40018-40028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传真:0755-82545500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网址:www.wkzq.com.cn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(159)西部证券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注册地址:陕西省西安市新城区东新街319号8幢10000室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办公地址:陕西省西安市新城区东新街319号8幢10000室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法定代表人:徐朝晖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联系人:张吉安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联系电话:029-87211668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传真:029-87211478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网址:www.westsecu.com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(160)西南证券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注册地址:重庆市江北区桥北苑8号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办公地址:重庆市江北区桥北苑8号西南证券大厦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法定代表人:廖庆轩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联系人:魏馨怡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联系电话:023-67663104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客户服务电话:4008096096或95355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传真:023-63786212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网址:www.swsc.com.cn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(161)湘财证券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注册地址:湖南省长沙市天心区湘府中路198号新南城商务中心A栋11楼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办公地址:湖南省长沙市天心区湘府中路198号新南城商务中心A栋11楼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法定代表人:高振营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联系人:江恩前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联系电话:021-38784580-8920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传真:021-68865680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网址:www.xcsc.com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(162)新时代证券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注册地址:北京市海淀区北三环西路99号院1号楼15层1501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办公地址:北京市海淀区北三环西路99号院1号楼15层1501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法定代表人:林雯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联系人:廖晓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联系电话:010-83561321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网址:www.xsdzq.cn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(163)信达证券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注册地址:北京市西城区闹市口大街9号院1号楼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办公地址:北京市西城区闹市口大街9号院1号楼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法定代表人:祝瑞敏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联系人:王薇安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联系电话:010-83252170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传真:010-63080978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网址:www.cindasc.com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(164)兴业证券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注册地址:福州市湖东路268号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办公地址:上海浦东新区长柳路36号兴业证券大厦20楼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法定代表人:杨华辉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联系人:乔琳雪</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联系电话:021-38565547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网址:www.xyzq.com.cn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(165)银河证券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注册地址:北京市西城区金融大街35号2-6层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办公地址:北京市丰台区西营街8号院1号楼青海金融大厦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法定代表人:陈共炎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联系人:辛国政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联系电话:010-80928123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客户服务电话:4008-888-888或95551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网址:www.chinastock.com.cn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(166)英大证券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注册地址:深圳市福田区深南中路华能大厦三十、三十一层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办公地址:深圳市福田区深南中路华能大厦三十、三十一层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法定代表人:郝京春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联系人:林培鑫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联系电话:0755-83637967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客户服务电话:4000188688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传真:0755-83007034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网址:www.ydzq.sgcc.com.cn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(167)粤开证券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注册地址:广州经济技术开发区科学大道60号开发区控股中心21、22、23层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办公地址:广州经济技术开发区科学大道60号开发区控股中心21、22、23层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法定代表人:严亦斌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联系人:彭莲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联系电话:0755-83331195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网址:http://www.ykzq.com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(168)招商证券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注册地址:深圳市福田区福田街道福华一路111号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办公地址:深圳市福田区福田街道福华一路111号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法定代表人:霍达</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联系人:黄婵君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联系电话:0755-82943666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客户服务电话:95565、400-8888-111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传真:0755-82943636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网址:www.newone.com.cn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(169)浙商证券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注册地址:浙江省杭州市江干区五星路201号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办公地址:浙江省杭州市江干区五星路201号浙商证券大楼8楼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法定代表人:吴承根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联系人:高扬</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联系电话:0571-87902974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客户服务电话:95345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传真:0571-87901913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网址:www.stocke.com.cn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(170)中航证券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注册地址:江西省南昌市红谷滩新区红谷中大道1619号南昌国际金融大厦A栋41层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办公地址:江西省南昌市红谷滩新区红谷中大道1619号南昌国际金融大厦A栋41层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法定代表人:丛中</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联系人:王紫雯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联系电话:010-59562468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客户服务电话:95335或400-88-95335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传真:010-59562637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网址:www.avicsec.com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(171)中金财富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注册地址:深圳市福田区益田路与福中路交界处荣超商务中心A栋第18-21层及第04层01.02.03.05.11.12.13.15.16.18.19.20.21.22.23单元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办公地址:深圳福田区益田路6003号荣超商务中心A座4层、18-21层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法定代表人:高涛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联系人:万玉琳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联系电话:0755-82026907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网址:https://www.ciccwm.com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(172)中金公司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注册地址:北京市朝阳区建国门外大街1号国贸大厦2座27层及28层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办公地址:北京市朝阳区建国门外大街甲6号SK大厦38层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法定代表人:沈如军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联系人:杨涵宇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联系电话:010-65051166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客户服务电话:4009101166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网址:www.cicc.com.cn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(173)中山证券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注册地址:深圳市南山区粤海街道蔚蓝海岸社区创业路1777号海信南方大厦21、22层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办公地址:深圳市南山区创业路1777号海信南方大厦21、22层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法定代表人:吴小静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联系人:罗艺琳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联系电话:0755-82943755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传真:0755-82960582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网址:www.zszq.com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(174)中泰证券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注册地址:济南市市中区经七路86号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办公地址:山东省济南市经七路86号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联系人:许曼华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联系电话:021-20315290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传真:0531-68889095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网址:www.zts.com.cn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(175)中天证券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注册地址:辽宁省沈阳市和平区光荣街23甲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办公地址:辽宁省沈阳市和平区光荣街23甲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法定代表人:马功勋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联系人:李泓灏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联系电话:024-23255256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客户服务电话:024-95346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传真:024-23255606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网址:www.iztzq.com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(176)中信建投证券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注册地址:北京市朝阳区安立路66号4号楼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办公地址:北京市朝阳门内大街188号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法定代表人:王常青</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联系电话:010－85130554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客户服务电话:95587或4008-888-108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网址:http://www.csc108.com/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(177)中信证券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注册地址:广东省深圳市福田区中心三路8号卓越时代广场（二期）北座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办公地址:北京市朝阳区亮马桥路48号中信证券大厦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法定代表人:张佑君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联系人:王一通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联系电话:010-60838888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客户服务电话:95548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传真:010-60836029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网址:www.cs.ecitic.com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(178)中信证券（山东）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注册地址:青岛市崂山区深圳路222号1号楼2001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办公地址:青岛市市南区东海西路28号龙翔广场东座5层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法定代表人:冯恩新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联系人:焦刚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联系电话:0531-89606166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客户服务电话:95548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传真:0532-85022605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网址:http://sd.citics.com/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(179)中信证券华南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注册地址:广州市天河区临江大道395号901室(部位:自编01)，1001室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办公地址:广州市天河区临江大道395号合利天德广场T1楼10层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法定代表人:胡伏云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联系人:陈靖</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联系电话:020-88836999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客户服务电话:95548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传真:020-88836984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网址:www.gzs.com.cn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(180)中银证券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注册地址:上海市浦东新区银城中路200号中银大厦39层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办公地址:上海市浦东新区银城中路200号中银大厦39-40层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法定代表人:宁敏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联系人:王炜哲</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客户服务电话:400-620-8888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传真:021-50372474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网址:www.bocichina.com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(181)中邮证券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注册地址:陕西省西安市唐延路5号（陕西邮政信息大厦9-11层）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办公地址:北京市东城区珠市口东大街17号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法定代表人:郭成林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联系人:岳帅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联系电话:010-67017788-6068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客户服务电话:4008-888-005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传真:010-67017788-9696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网址:www.cnpsec.com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(182)中原证券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注册地址:郑州市郑东新区商务外环路10号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办公地址:河南省郑州市郑东新区商务外环路10号中原广发金融大厦19楼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法定代表人:菅明军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联系人:程月艳  李盼盼 党静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联系电话:0371-69099882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客户服务电话:95377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传真:0371--65585899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网址:www.ccnew.com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(183)甬兴证券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注册地址:浙江省宁波市鄞州区海晏北路565、577号8-11层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办公地址:上海市黄浦区南京西路399号明天广场22楼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法定代表人:李抱</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联系人:徐璐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联系电话:021-63898427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客户服务电话:400-916-0666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网址:www.yongxingsec.com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(184)长量基金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注册地址:上海市浦东新区高翔路526号2幢220室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办公地址:上海市浦东新区东方路1267号陆家嘴金融服务广场二期11层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法定代表人:张跃伟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联系人:孙娅雯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联系电话:021-20691819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客户服务电话:400-820-2899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传真:021-20691861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网址:www.erichfund.com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(185)创金启富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注册地址:北京市西城区白纸坊东街2号院6号楼712室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办公地址:北京市西城区白纸坊东街2号院6号楼712室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法定代表人:梁蓉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联系人:魏素清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联系电话:010-66154828-8047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客户服务电话:010-66154828-8005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传真:010-63583991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网址:www.5irich.com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(186)大连网金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注册地址:辽宁省大连市沙河口区体坛路22号诺德大厦2层202室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办公地址:辽宁省大连市沙河口区体坛路22号诺德大厦2层202室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法定代表人:樊怀东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联系人:李鑫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联系电话:0411-39027830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客户服务电话:4000-899-100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网址:www.yibaijin.com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(187)大智慧基金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注册地址:中国（上海）自由贸易试验区杨高南路428号1号楼1102单元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办公地址:中国（上海）自由贸易试验区杨高南路428号1号楼1102单元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法定代表人:申健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联系电话:021-20219988-35374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客户服务电话:021-20292031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传真:021-20219923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网址:https://www.wg.com.cn/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(188)蛋卷基金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注册地址:北京市朝阳区创远路34号院6号楼15层1501室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办公地址:北京市朝阳区创远路 34 号院融新科技中心 C 座 17 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法定代表人:钟斐斐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联系人:侯芳芳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联系电话:010-61840688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客户服务电话:400-159-9288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网址:https://danjuanapp.com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(189)度小满基金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注册地址:北京市海淀区西北旺东路10号院西区4号楼1层103室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办公地址:北京市海淀区西北旺东路10号院西区4号楼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法定代表人:葛新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联系人:孙博超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联系电话:010-59403028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客户服务电话:95055-4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网址:www.baiyingfund.com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(190)泛华普益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注册地址:四川省成都市成华区建设路9号高地中心1101室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办公地址:成都市金牛区花照壁西顺街399号1栋1单元龙湖西宸天街B座1201号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法定代表人:于海锋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联系电话:15114053620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客户服务电话:400-080-3388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网址:www.puyifund.com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(191)富济基金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注册地址:深圳市福田区福田街道岗厦社区金田路3088号中洲大厦3203A单元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办公地址:深圳市福田区福田街道岗厦社区金田路3088号中洲大厦3203A单元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法定代表人:祝中村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联系人:曾瑶敏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联系电话:0755-83999907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客户服务电话:0755-83999907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传真:0755-83999926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网址:www.fujifund.cn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(192)海银基金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注册地址:中国（上海）自由贸易试验区银城中路8号402室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办公地址:上海市浦东新区银城中路8号海银金融中心4楼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法定代表人:巩巧丽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联系人:李卓楠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联系电话:021-80134149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客户服务电话:400-808-1016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传真:021-80133413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网址:www.fundhaiyin.com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(193)好买基金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注册地址:上海市虹口区欧阳路196号26号楼2楼41号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办公地址:上海市浦东南路1118号鄂尔多斯国际大厦903～906室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法定代表人:杨文斌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联系人:高源</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联系电话:021-36696312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客户服务电话:400-700-9665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传真:021-68596919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网址:www.ehowbuy.com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(194)恒天明泽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注册地址:北京市经济技术开发区宏达北路10号五层5122室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办公地址:北京市朝阳区东三环北路甲19号SOHO嘉盛中心30层3001室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联系人:侯艳红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联系电话:010-59313555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客户服务电话:400-8980-618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传真:010-59313586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网址:www.chtwm.com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(195)虹点基金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注册地址:北京市朝阳区东三环北路17号10层1015室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办公地址:北京市朝阳区东三环北路17号10层1015室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法定代表人:何静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联系人:王重阳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联系电话:010-65951887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客户服务电话:400-618-0707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网址:www.hongdianfund.com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(196)华夏财富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注册地址:上海市虹口区东大名路687号1幢2楼268室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办公地址:北京市西城区金融大街33号通泰大厦B座8层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法定代表人:毛淮平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联系人:张静怡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联系电话:010-88066326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客户服务电话:400-817-5666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传真:010-63136184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网址:www.amcfortune.com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(197)汇成基金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注册地址:北京市西城区宣武门外大街甲1号环球财讯中心D座4层401-2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办公地址:北京市西城区宣武门外大街甲1号环球财讯中心D座401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法定代表人:王伟刚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联系人:王骁骁</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联系电话:010-56251471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客户服务电话:400-619-9059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网址:www.hcfunds.com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(198)汇付基金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注册地址:上海市黄浦区九江路769号1807-3室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办公地址:上海市徐汇区宜山路700号普天信息产业园2期C5栋 汇付天下总部大楼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法定代表人:金佶</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联系人:甄宝林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联系电话:021-34013996-3011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客户服务电话:021-34013999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传真:021-33323837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网址:www.hotjijin.com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(199)基煜基金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注册地址:上海市黄浦区广东路500号30层3001单元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办公地址:上海市浦东新区银城中路488号太平金融大厦1503室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法定代表人:王翔</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联系人:张巍婧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联系电话:021-65370077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客户服务电话:400-820-5369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传真:021-55085991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网址:https://www.jiyufund.com.cn/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(200)济安财富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注册地址:北京市朝阳区太阳宫中路16号院1号楼3层307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办公地址:北京市朝阳区太阳宫中路16号院1号楼冠捷大厦3层307单元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法定代表人:杨健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联系人:李海燕</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联系电话:010-65309516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客户服务电话:400-673-7010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传真:010-65330699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网址:www.jianfortune.com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(201)嘉实财富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注册地址:中国（上海）自由贸易试验区世纪大道8号上海国金中心办公楼二期27层2716单元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办公地址:北京市朝阳区建国门外大街21号北京国际俱乐部C座写字楼11层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联系人:闫欢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联系电话:010-85097302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客户服务电话:400-021-8850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传真:010-85712195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网址:www.harvestwm.cn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(202)加和基金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注册地址:北京市西城区德胜门外大街13号院1号楼5层505室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办公地址:北京市西城区德胜门外大街13号院1号楼5层505室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法定代表人:曲阳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联系人:王梓骄</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联系电话:010-80456756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客户服务电话:400-803-1188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传真:010-8045 6278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网址:www.bzfunds.com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(203)金海九州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注册地址:深圳市前海深港合作区前湾一路1号A栋201室（入驻深圳市前海商务秘书有限公司）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办公地址:深圳市福田区富德生命保险大厦1106室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法定代表人:彭维熙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联系人:彭维熙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联系电话:0755-81994266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客户服务电话:4000993333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传真:0755-84333886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网址:www.jhjzfund.com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(204)京东肯特瑞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注册地址:北京市海淀区西三旗建材城中路12号17号平房157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办公地址:北京市通州区亦庄经济技术开发区科创十一街18号院京东集团总部A座17层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联系人:邢锦超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网址:kenterui.jd.com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(205)凯石财富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注册地址:上海市黄浦区西藏南路765号602-115室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办公地址:上海市黄浦区延安东路1号凯石大厦4楼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法定代表人:陈继武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联系人:冯强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联系电话:021-63333389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客户服务电话:4006-433-389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传真:021-63333390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网址:www.vstonewealth.com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(206)利得基金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注册地址:上海市宝山区蕴川路5475号1033室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办公地址:上海市虹口区东大名路1098号浦江国际金融广场53层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法定代表人:李兴春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联系人:陈孜明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联系电话:86-021-50583533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客户服务电话:400 032 5885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传真:86-21-61101630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网址:www.leadfund.com.cn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(207)联泰基金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注册地址:中国（上海）自由贸易试验区富特北路277号3层310室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办公地址:上海市长宁区福泉北路518号8座3楼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法定代表人:尹彬彬</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联系电话:021-52822063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客户服务电话:400-118-1188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传真:021-52975270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网址:www.66zichan.com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(208)陆基金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注册地址:中国（上海）自由贸易试验区陆家嘴环路1333号14楼09单元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办公地址:上海市源深路1088号平安财富大厦7楼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法定代表人:陈祎彬</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联系人:宁博宇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联系电话:021-20665952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客户服务电话:4008219031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传真:021-22066653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网址:www.lufunds.com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(209)蚂蚁基金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注册地址:浙江省杭州市余杭区五常街道文一西路969号3幢5层599室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办公地址:浙江省杭州市西湖区万塘路18号黄龙时代广场B座6F</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法定代表人:祖国明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联系人:韩爱彬</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联系电话:0571-26888888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客户服务电话:4000-766-123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网址:http://www.fund123.cn/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(210)民商基金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注册地址:上海黄浦区北京东路666号H区（东座）6楼A31室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办公地址:上海市浦东新区张杨路707号生命人寿大厦32楼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法定代表人:贲惠琴</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联系人:林志枫</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联系电话:021-50206003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客户服务电话:021-50206003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传真:021-50206001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网址:http://www.msftec.com/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(211)诺亚正行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注册地址:上海市虹口区飞虹路360弄9号3724室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办公地址:上海市杨浦区长阳路1687号长阳谷2号楼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法定代表人:汪静波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联系电话:021-80358523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客户服务电话:400-821-5399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传真:021-80358749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网址:www.noah-fund.com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(212)浦领基金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注册地址:北京市朝阳区望京东园四区2号楼10层1001号04室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办公地址:北京市朝阳区望京浦项中心A座9层04-08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法定代表人:张昱</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联系人:李艳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联系电话:010-59497361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客户服务电话:400-012-5899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传真:010-64788016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网址:www.zscffund.com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(213)钱景基金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注册地址:北京市海淀区中关村东路18号1号楼11层B-1108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办公地址:北京市海淀区中关村东路18号财智国际大厦B-1108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法定代表人:王利刚</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联系人:白皓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联系电话:010-59422766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客户服务电话:400-893-6885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传真:010-62565181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网址:www.qianjing.com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(214)尚善基金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注册地址:浦东新区上丰路977号1幢B座812室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办公地址:上海市浦东新区碧波路690号4幢201-2A室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法定代表人:孙晓慧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联系人:陆纪青</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联系电话:021-80234888-6813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客户服务电话:400-699-1888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网址:www.998fund.com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(215)苏宁基金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注册地址:南京市玄武区苏宁大道1-5号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办公地址:南京市玄武区苏宁大道1-5号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联系人:冯鹏鹏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联系电话:025-66996699-882796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网址:www.snjijin.com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(216)腾安基金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注册地址:深圳市前海深港合作区前湾一路1号A栋201室（入驻深圳市前海商务秘书有限公司）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办公地址:深圳市南山区海天二路33号腾讯滨海大厦15楼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法定代表人:刘明军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联系人:谭广锋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客户服务电话:95017（拨通后转1转8）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网址:https://www.txfund.com/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(217)天天基金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注册地址:上海市徐汇区龙田路190号2号楼2层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办公地址:上海市徐汇区宛平南路88号东方财富大厦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法定代表人:其实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联系人:屠彦洋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联系电话:021-54509977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客户服务电话:95021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传真:021-64385308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网址:www.1234567.com.cn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(218)通华财富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注册地址:上海市虹口区同丰路667弄107号201室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办公地址:上海市浦东新区金沪路55号通华科技大厦2楼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法定代表人:沈丹义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联系人:杨涛、庄洁茹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联系电话:021-60810586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客户服务电话:400-101-9301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传真:021-60810695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网址:www.tonghuafund.com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(219)同花顺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注册地址:浙江省杭州市文二西路1号903室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办公地址:杭州市余杭区五常街道同顺街18号同花顺大楼4层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联系人:吴强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联系电话:0571-88911818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客户服务电话:952555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传真:0571-86800423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网址:www.5ifund.com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(220)途牛基金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注册地址:江苏省南京市玄武区玄武大道699-1号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办公地址:江苏省南京市玄武区玄武大道699-32号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法定代表人:单宏杰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联系人:贺杰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联系电话:025-86853960-66727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客户服务电话:4007-999-999转3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网址:http://jr.tuniu.com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(221)挖财基金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注册地址:中国（上海）自由贸易试验区杨高南路759号18层03单元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办公地址:中国（上海）自由贸易试验区杨高南路759号18层03单元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法定代表人:吕柳霞</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联系人:毛善波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联系电话:021-50810687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客户服务电话:021-50810673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网址:www.wacaijijin.com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(222)万得基金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注册地址:中国（上海）自由贸易试验区福山路33号11楼B座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办公地址:上海市浦东新区浦明路1500号万得大厦11楼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联系人:徐亚丹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联系电话:021-50712782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客户服务电话:400-799-1888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网址:www.520fund.com.cn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(223)万家财富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注册地址:天津自贸区（中心商务区）迎宾大道1988号滨海浙商大厦公寓2-2413室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办公地址:北京市西城区丰盛胡同28号太平洋保险大厦A座5层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法定代表人:戴晓云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联系人:王芳芳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联系电话:010-59013828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客户服务电话:010-59013895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网址:http://www.wanjiawealth.com/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(224)喜鹊基金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注册地址:西藏拉萨市柳梧新区柳梧大厦1513室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办公地址:北京市朝阳区北苑路甲1号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法定代表人:王舰正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联系电话:010-58349088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客户服务电话:4006997719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网址:www.xiquefund.com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(225)新浪仓石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注册地址:北京市海淀区东北旺西路中关村软件园二期（西扩）N-1、N-2地块新浪总部科研楼5层518室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办公地址:北京市海淀区西北旺东路10号院东区3号楼为明大厦C座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法定代表人:赵芯蕊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联系人:赵芯蕊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联系电话:010-62625768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客户服务电话:010-62675369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传真:010-62676582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网址:www.xincai.com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(226)一路财富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注册地址:北京市海淀区宝盛南路1号院20号楼9层101-14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办公地址:北京市海淀区宝盛南路奥北科技园20号楼国泰大厦9层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法定代表人:吴雪秀</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联系人:董宣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联系电话:010-88312877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客户服务电话:400-001-1566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传真:010-88312099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网址:www.yilucaifu.com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(227)宜信普泽</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注册地址:北京市朝阳区光华路7号楼20层20A1、20A2单元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办公地址:北京市朝阳区光华路7号楼20层20A1、20A2单元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法定代表人:才殿阳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联系人:魏晨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联系电话:13260309352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客户服务电话:400-6099-200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传真:010-59644044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网址:www.yixinfund.com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(228)盈米基金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注册地址:珠海市横琴新区宝华路6号105室-3491（集中办公区）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办公地址:广州市海珠区阅江中路688号保利国际广场北塔33层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法定代表人:肖雯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联系人:邱湘湘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联系电话:020-89629099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客户服务电话:020-89629066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传真:020-89629011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网址:www.yingmi.cn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(229)云湾基金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注册地址:中国（上海）自由贸易试验区新金桥路27号、明月路1257号1幢1层103-1、103-2办公区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办公地址:上海市浦东新区新金桥路27号1号楼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法定代表人:冯轶明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联系人:范泽杰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联系电话:021-20530186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客户服务电话:400-820-1515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传真:021-20539999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网址:http://www.zhengtongfunds.com/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(230)增财基金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注册地址:北京市西城区德胜门外大街83号4层407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办公地址:北京市西城区德胜门外大街83号4层407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法定代表人:罗细安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联系人:闫丽敏</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联系电话:010-67000988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客户服务电话:010-67000988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传真:010-67000988-6000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网址:www.zcvc.com.cn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(231)展恒基金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注册地址:北京市朝阳区安苑路11号西楼6层604、607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办公地址:北京市朝阳区北四环中路27号盘古大观3205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法定代表人:闫振杰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联系人:武文佳</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联系电话:010-59601399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客户服务电话:400-818-8000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传真:0351-4110714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网址:www.myfund.com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(232)中欧财富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注册地址:中国（上海）自由贸易试验区陆家嘴环路333号502室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办公地址:上海市虹口区公平路18号8栋嘉昱大厦6层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法定代表人:许欣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联系人:黎静</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联系电话:021-68609600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客户服务电话:400-700-9700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网址:www.qiangungun.com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(233)中期时代基金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注册地址:北京市朝阳区建国门外光华路14号1幢11层1103号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办公地址:北京市朝阳区建国门外光华路14号1幢4层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法定代表人:田宏莉</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联系人:尹庆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联系电话:010-65807865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传真:010-65807864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网址:www.jrtoo.com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(234)中正达广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注册地址:上海市徐汇区龙兰路277号1号楼1203、1204室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办公地址:上海市徐汇区龙兰路277号1号楼1203、1204室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法定代表人:黄欣</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联系人:戴珉微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联系电话:021-33768132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客户服务电话:400-6767-523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传真:021-33768132-802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网址:www.zhongzhengfund.com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(235)众禄基金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注册地址:深圳市罗湖区笋岗街道笋西社区梨园路8号HALO广场一期四层12-13室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办公地址:深圳市罗湖区笋岗街道笋西社区梨园路8号HALO广场一期四层12-13室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法定代表人:薛峰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联系人:龚江江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联系电话:0755-33227950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客户服务电话:4006-788-887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传真:0755-33227951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网址:www.zlfund.cn    www.jjmmw.com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(236)奕丰金融</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注册地址:深圳市前海深港合作区前湾一路1号A栋201室（入驻深圳市前海商务秘书有限公司）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办公地址:深圳市南山区海德三道航天科技广场A座17楼1704室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法定代表人:TEO WEE HOWE</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联系人:叶健</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联系电话:0755-89460507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客户服务电话:400-684-0500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传真:0755-21674453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网址:www.ifastps.com.cn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(237)晟视天下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注册地址:北京市怀柔区九渡河镇黄坎村735号03室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办公地址:北京市朝阳区朝外大街甲六号万通中心D座21层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法定代表人:蒋煜</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联系人:史俊杰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联系电话:010-58170936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客户服务电话:010-58170761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传真:010-58170800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网址:www.shengshiview.com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(238)鼎信汇金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注册地址:北京市朝阳区霄云路40号院1号楼3层306室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办公地址:北京市朝阳区霄云路40号院1号楼3层306室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法定代表人:齐凌峰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联系人:阮志凌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联系电话:010-82050520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客户服务电话:400-158-5050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传真:010-82086110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网址:www.9ifund.com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(239)和讯信息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注册地址:北京市朝阳区朝外大街22号1002室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办公地址:北京市朝阳区朝外大街22号泛利大厦10层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法定代表人:章知方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联系人:陈慧慧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联系电话:010-85657353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客户服务电话:400-920-0022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传真:010-65884788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网址:http://licaike.hexun.com/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(240)金百临</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注册地址:无锡市滨湖区锦溪路99号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办公地址:江苏省无锡市太湖新城锦溪道楝泽路9号楼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法定代表人:费晓燕</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联系人:邹云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联系电话:0510-81188088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客户服务电话:0510-9688988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网址:www.jsjbl.com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(241)深圳新兰德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注册地址:深圳市福田区福田街道民田路178号华融大厦27层2704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办公地址:北京市西城区宣武门外大街28号富卓大厦A座16层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法定代表人:洪弘</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联系人:文雯</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联系电话:010-83363101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客户服务电话:400-166-1188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传真:010-83363010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网址:http://8.jrj.com.cn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(242)中证金牛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注册地址:北京市丰台区东管头1号2号楼2-45室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办公地址:北京市西城区宣武门外大街甲1号环球财讯中心A座5层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法定代表人:钱昊旻</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联系人:沈晨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联系电话:010-59336544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客户服务电话:4008-909-998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网址:www.jnlc.com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(243)鑫鼎盛</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注册地址:厦门市思明区鹭江道2号厦门第一广场西座1501-1502室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办公地址:厦门市思明区鹭江道2号厦门第一广场西座1501-1502室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法定代表人:陈洪生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联系人:梁云波</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联系电话:0592-3122757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客户服务电话:400-6533-789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网址:www.xds.com.cn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(244)阳光人寿保险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注册地址:海南省三亚市迎宾路360-1号三亚阳光金融广场16层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办公地址:北京市朝阳区朝阳门外大街乙12号院1号昆泰国际大厦12层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法定代表人:李科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联系人:王超</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联系电话:010-85632771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客户服务电话:95510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传真:010-85632773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网址:http://fund.sinosig.com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(245)中国人寿</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注册地址:北京市西城区金融大街16号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办公地址:北京市西城区金融大街16号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法定代表人:王滨</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联系人:杨子彤</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联系电话:010-63631752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客户服务电话:95519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网址:www.e-chinalife.com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(246)和谐销售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注册地址:北京市朝阳区建国门外大街6号11层1102内103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办公地址:北京市朝阳区建国门外大街6号安邦金融中心</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法定代表人:左荣林</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联系人:张楠</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联系电话:010-85256214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客户服务电话:4008195569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网址:www.hx-sales.com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(247)华瑞保险销售</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注册地址:上海市嘉定区南翔镇众仁路399号运通星财富广场1号楼B座13、14层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办公地址:上海市浦东新区向城路288号国华人寿金融大厦8层806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法定代表人:路昊</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联系人:茆勇强</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联系电话:021-68595698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客户服务电话:952303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传真:021-68595766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网址:www.huaruisales.com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(248)东海期货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注册地址:江苏省常州市延陵西路23、25、27、29号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办公地址:上海市浦东新区东方路1928号东海证券大厦8楼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法定代表人:陈太康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联系人:陶云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联系电话:021-68751603</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客户服务电话:95531/400-8888588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传真:021-68756991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网址:www.qh168.com.cn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(249)东证期货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注册地址:中国（上海）自由贸易试验区浦电路500号上海期货大厦14层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办公地址:上海市黄浦区中山南路318号2号楼22楼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法定代表人:卢大印</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联系人:张敏圆</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联系电话:021-63325888-4259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客户服务电话:4008859999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传真:021-63326752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网址:www.dzqh.com.cn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(250)弘业期货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注册地址:江苏省南京市秦淮区中华路50号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办公地址:江苏省南京市秦淮区中华路50号弘业大厦9楼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法定代表人:周剑秋</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联系人:张苏怡</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联系电话:025-52278981</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客户服务电话:400-828-1288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网址:www.ftol.com.cn</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(251)徽商期货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注册地址:安徽省合肥市芜湖路258号3号楼6-7层，6号楼1-2层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办公地址:合肥市芜湖路258号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法定代表人:吴国华</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联系人:申倩倩</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联系电话:0551-62865215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客户服务电话:400-887-8707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网址:www.hsqh.net</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(252)中国国际期货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注册地址:北京市朝阳区建国门外光华路14号1幢6层609号、610号</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办公地址:北京市朝阳区建国门外光华路14号1幢1层、2层、9层、11层、12层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法定代表人:王兵</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联系人:霍丽文</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联系电话:010-65807827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客户服务电话:95162</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传真:010-59539806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网址:http://www.cifco.net/</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(253)中信建投期货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注册地址:重庆市渝中区中山三路131号希尔顿商务中心27楼、30楼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办公地址:重庆市渝中区中山三路107号皇冠大厦11楼</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法定代表人:王广学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联系人:刘芸</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联系电话:023-86769637</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客户服务电话:400-8877-780</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传真:023-86769629</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网址:www.cfc108.com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(254)中信期货</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注册地址:广东省深圳市福田区中心三路8号卓越时代广场（二期）北座13层1301-1305室、14层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办公地址:深圳市福田区中心三路8号卓越时代广场（二期）北座13层1301-1305室、14层</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法定代表人:张皓</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联系人:刘宏莹</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联系电话:010-6083 3754</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客户服务电话:400-990-8826</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传真:021-60819988</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网址:www.citicsf.com</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注:微众银行仅销售本基金A类基金份额、汇丰银行仅销售本基金B类基金份额。</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二、C类基金份额：</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(1)招商银行</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注册地址:深圳市福田区深南大道7088号招商银行大厦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办公地址:深圳市福田区深南大道7088号招商银行大厦</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法定代表人:缪建民</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联系人:季平伟</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客户服务电话:95555</w:t>
      </w:r>
    </w:p>
    <w:p w:rsidR="00AA03DA" w:rsidRPr="00FA7BE2" w:rsidRDefault="00906C0E">
      <w:pPr>
        <w:spacing w:line="360" w:lineRule="auto"/>
        <w:ind w:firstLine="420"/>
        <w:rPr>
          <w:rFonts w:asciiTheme="minorEastAsia" w:eastAsiaTheme="minorEastAsia" w:hAnsiTheme="minorEastAsia"/>
        </w:rPr>
      </w:pPr>
      <w:r w:rsidRPr="00FA7BE2">
        <w:rPr>
          <w:rFonts w:asciiTheme="minorEastAsia" w:eastAsiaTheme="minorEastAsia" w:hAnsiTheme="minorEastAsia"/>
        </w:rPr>
        <w:t>网址:www.cmbchina.com</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4" w:name="_Toc38432429"/>
      <w:bookmarkStart w:id="15" w:name="_Toc75869947"/>
      <w:r w:rsidRPr="00FA7BE2">
        <w:rPr>
          <w:rFonts w:asciiTheme="minorEastAsia" w:eastAsiaTheme="minorEastAsia" w:hAnsiTheme="minorEastAsia" w:hint="eastAsia"/>
        </w:rPr>
        <w:t>（二）基金</w:t>
      </w:r>
      <w:bookmarkEnd w:id="14"/>
      <w:r w:rsidRPr="00FA7BE2">
        <w:rPr>
          <w:rFonts w:asciiTheme="minorEastAsia" w:eastAsiaTheme="minorEastAsia" w:hAnsiTheme="minorEastAsia" w:hint="eastAsia"/>
        </w:rPr>
        <w:t>注册登记机构</w:t>
      </w:r>
      <w:bookmarkEnd w:id="15"/>
    </w:p>
    <w:p w:rsidR="00D21CF5" w:rsidRPr="00FA7BE2" w:rsidRDefault="00D21CF5" w:rsidP="00D21CF5">
      <w:pPr>
        <w:tabs>
          <w:tab w:val="num" w:pos="360"/>
        </w:tabs>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易方达基金管理有限公司</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注册地址：</w:t>
      </w:r>
      <w:r w:rsidRPr="00FA7BE2">
        <w:rPr>
          <w:rFonts w:asciiTheme="minorEastAsia" w:eastAsiaTheme="minorEastAsia" w:hAnsiTheme="minorEastAsia" w:hint="eastAsia"/>
        </w:rPr>
        <w:t>广东省珠海市横琴新区宝华路</w:t>
      </w:r>
      <w:r w:rsidRPr="00FA7BE2">
        <w:rPr>
          <w:rFonts w:asciiTheme="minorEastAsia" w:eastAsiaTheme="minorEastAsia" w:hAnsiTheme="minorEastAsia"/>
        </w:rPr>
        <w:t>6</w:t>
      </w:r>
      <w:r w:rsidRPr="00FA7BE2">
        <w:rPr>
          <w:rFonts w:asciiTheme="minorEastAsia" w:eastAsiaTheme="minorEastAsia" w:hAnsiTheme="minorEastAsia" w:hint="eastAsia"/>
        </w:rPr>
        <w:t>号</w:t>
      </w:r>
      <w:r w:rsidRPr="00FA7BE2">
        <w:rPr>
          <w:rFonts w:asciiTheme="minorEastAsia" w:eastAsiaTheme="minorEastAsia" w:hAnsiTheme="minorEastAsia"/>
        </w:rPr>
        <w:t>105</w:t>
      </w:r>
      <w:r w:rsidRPr="00FA7BE2">
        <w:rPr>
          <w:rFonts w:asciiTheme="minorEastAsia" w:eastAsiaTheme="minorEastAsia" w:hAnsiTheme="minorEastAsia" w:hint="eastAsia"/>
        </w:rPr>
        <w:t>室</w:t>
      </w:r>
      <w:r w:rsidRPr="00FA7BE2">
        <w:rPr>
          <w:rFonts w:asciiTheme="minorEastAsia" w:eastAsiaTheme="minorEastAsia" w:hAnsiTheme="minorEastAsia"/>
        </w:rPr>
        <w:t>-42891</w:t>
      </w:r>
      <w:r w:rsidRPr="00FA7BE2">
        <w:rPr>
          <w:rFonts w:asciiTheme="minorEastAsia" w:eastAsiaTheme="minorEastAsia" w:hAnsiTheme="minorEastAsia" w:hint="eastAsia"/>
        </w:rPr>
        <w:t>（集中办公区）</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办公地址：广州市天河区珠江新城珠江东路30号广州银行大厦40-43楼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法定代表人：刘晓艳</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电话：4008818088</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w:t>
      </w:r>
      <w:r w:rsidRPr="00FA7BE2">
        <w:rPr>
          <w:rFonts w:asciiTheme="minorEastAsia" w:eastAsiaTheme="minorEastAsia" w:hAnsiTheme="minorEastAsia"/>
          <w:szCs w:val="21"/>
        </w:rPr>
        <w:t>020</w:t>
      </w:r>
      <w:r w:rsidRPr="00FA7BE2">
        <w:rPr>
          <w:rFonts w:asciiTheme="minorEastAsia" w:eastAsiaTheme="minorEastAsia" w:hAnsiTheme="minorEastAsia" w:hint="eastAsia"/>
          <w:szCs w:val="21"/>
        </w:rPr>
        <w:t>-38799249</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联系人：余贤高</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6" w:name="_Toc38432430"/>
      <w:bookmarkStart w:id="17" w:name="_Toc75869948"/>
      <w:r w:rsidRPr="00FA7BE2">
        <w:rPr>
          <w:rFonts w:asciiTheme="minorEastAsia" w:eastAsiaTheme="minorEastAsia" w:hAnsiTheme="minorEastAsia" w:hint="eastAsia"/>
        </w:rPr>
        <w:t>（三）律师事务所和经办律师</w:t>
      </w:r>
      <w:bookmarkEnd w:id="16"/>
      <w:bookmarkEnd w:id="17"/>
    </w:p>
    <w:p w:rsidR="00D21CF5" w:rsidRPr="00FA7BE2" w:rsidRDefault="00D21CF5" w:rsidP="00D21CF5">
      <w:pPr>
        <w:snapToGrid w:val="0"/>
        <w:spacing w:line="360" w:lineRule="auto"/>
        <w:ind w:firstLine="420"/>
        <w:rPr>
          <w:rFonts w:asciiTheme="minorEastAsia" w:eastAsiaTheme="minorEastAsia" w:hAnsiTheme="minorEastAsia"/>
        </w:rPr>
      </w:pPr>
      <w:bookmarkStart w:id="18" w:name="_Toc38432431"/>
      <w:r w:rsidRPr="00FA7BE2">
        <w:rPr>
          <w:rFonts w:asciiTheme="minorEastAsia" w:eastAsiaTheme="minorEastAsia" w:hAnsiTheme="minorEastAsia" w:hint="eastAsia"/>
        </w:rPr>
        <w:t>律师事务所：北京市天元律师事务所</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地址：北京市西城区丰盛胡同</w:t>
      </w:r>
      <w:r w:rsidRPr="00FA7BE2">
        <w:rPr>
          <w:rFonts w:asciiTheme="minorEastAsia" w:eastAsiaTheme="minorEastAsia" w:hAnsiTheme="minorEastAsia"/>
        </w:rPr>
        <w:t>28</w:t>
      </w:r>
      <w:r w:rsidRPr="00FA7BE2">
        <w:rPr>
          <w:rFonts w:asciiTheme="minorEastAsia" w:eastAsiaTheme="minorEastAsia" w:hAnsiTheme="minorEastAsia" w:hint="eastAsia"/>
        </w:rPr>
        <w:t>号太平洋保险大厦</w:t>
      </w:r>
      <w:r w:rsidRPr="00FA7BE2">
        <w:rPr>
          <w:rFonts w:asciiTheme="minorEastAsia" w:eastAsiaTheme="minorEastAsia" w:hAnsiTheme="minorEastAsia"/>
        </w:rPr>
        <w:t>10</w:t>
      </w:r>
      <w:r w:rsidRPr="00FA7BE2">
        <w:rPr>
          <w:rFonts w:asciiTheme="minorEastAsia" w:eastAsiaTheme="minorEastAsia" w:hAnsiTheme="minorEastAsia" w:hint="eastAsia"/>
        </w:rPr>
        <w:t>层</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负责人：王立华</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电话：010-88092188</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传真：010-88092150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经办律师：朱小辉、陈华</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联系人：王立华</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9" w:name="_Toc75869949"/>
      <w:r w:rsidRPr="00FA7BE2">
        <w:rPr>
          <w:rFonts w:asciiTheme="minorEastAsia" w:eastAsiaTheme="minorEastAsia" w:hAnsiTheme="minorEastAsia" w:hint="eastAsia"/>
        </w:rPr>
        <w:t>（四）会计师事务所和经办注册会计师</w:t>
      </w:r>
      <w:bookmarkEnd w:id="18"/>
      <w:bookmarkEnd w:id="19"/>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会计师事务所：普华永道中天会计师事务所（特殊普通合伙）</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住所：上海市湖滨路202号普华永道中心11楼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办公地址：上海市湖滨路202号普华永道中心11楼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首席合伙人：李丹</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电话：（021）23238888</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传真：（021）23238800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rPr>
        <w:lastRenderedPageBreak/>
        <w:t>经办注册会计师：陈熹、陈轶杰</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联系人：周祎</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sectPr w:rsidR="00D21CF5" w:rsidRPr="00FA7BE2" w:rsidSect="004F61AF">
          <w:pgSz w:w="11906" w:h="16838" w:code="9"/>
          <w:pgMar w:top="1440" w:right="1800" w:bottom="1440" w:left="1800" w:header="851" w:footer="992" w:gutter="0"/>
          <w:cols w:space="425"/>
          <w:docGrid w:type="lines" w:linePitch="312"/>
        </w:sect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pPr>
      <w:bookmarkStart w:id="20" w:name="_Toc75869950"/>
      <w:r w:rsidRPr="00FA7BE2">
        <w:rPr>
          <w:rFonts w:asciiTheme="minorEastAsia" w:eastAsiaTheme="minorEastAsia" w:hAnsiTheme="minorEastAsia" w:hint="eastAsia"/>
          <w:b/>
        </w:rPr>
        <w:lastRenderedPageBreak/>
        <w:t>六、基金的存续</w:t>
      </w:r>
      <w:bookmarkEnd w:id="20"/>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bCs/>
          <w:szCs w:val="21"/>
        </w:rPr>
      </w:pPr>
      <w:bookmarkStart w:id="21" w:name="_Toc75869951"/>
      <w:r w:rsidRPr="00FA7BE2">
        <w:rPr>
          <w:rFonts w:asciiTheme="minorEastAsia" w:eastAsiaTheme="minorEastAsia" w:hAnsiTheme="minorEastAsia" w:hint="eastAsia"/>
          <w:bCs/>
          <w:szCs w:val="21"/>
        </w:rPr>
        <w:t>（一）</w:t>
      </w:r>
      <w:r w:rsidRPr="00FA7BE2">
        <w:rPr>
          <w:rFonts w:asciiTheme="minorEastAsia" w:eastAsiaTheme="minorEastAsia" w:hAnsiTheme="minorEastAsia" w:hint="eastAsia"/>
        </w:rPr>
        <w:t>基金</w:t>
      </w:r>
      <w:r w:rsidRPr="00FA7BE2">
        <w:rPr>
          <w:rFonts w:asciiTheme="minorEastAsia" w:eastAsiaTheme="minorEastAsia" w:hAnsiTheme="minorEastAsia" w:hint="eastAsia"/>
          <w:bCs/>
          <w:szCs w:val="21"/>
        </w:rPr>
        <w:t>合同的生效</w:t>
      </w:r>
      <w:bookmarkEnd w:id="21"/>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易方达月月收益中短期债券投资基金根据</w:t>
      </w:r>
      <w:smartTag w:uri="urn:schemas-microsoft-com:office:smarttags" w:element="chsdate">
        <w:smartTagPr>
          <w:attr w:name="IsROCDate" w:val="False"/>
          <w:attr w:name="IsLunarDate" w:val="False"/>
          <w:attr w:name="Day" w:val="29"/>
          <w:attr w:name="Month" w:val="7"/>
          <w:attr w:name="Year" w:val="2005"/>
        </w:smartTagPr>
        <w:r w:rsidRPr="00FA7BE2">
          <w:rPr>
            <w:rFonts w:asciiTheme="minorEastAsia" w:eastAsiaTheme="minorEastAsia" w:hAnsiTheme="minorEastAsia" w:hint="eastAsia"/>
            <w:szCs w:val="21"/>
          </w:rPr>
          <w:t>2005年7月29日</w:t>
        </w:r>
      </w:smartTag>
      <w:r w:rsidRPr="00FA7BE2">
        <w:rPr>
          <w:rFonts w:asciiTheme="minorEastAsia" w:eastAsiaTheme="minorEastAsia" w:hAnsiTheme="minorEastAsia" w:hint="eastAsia"/>
          <w:szCs w:val="21"/>
        </w:rPr>
        <w:t>中国证券监督管理委员会《关于同意易方达月月收益中短期债券投资基金募集的批复》(证监基金字[2005]130号),于</w:t>
      </w:r>
      <w:smartTag w:uri="urn:schemas-microsoft-com:office:smarttags" w:element="chsdate">
        <w:smartTagPr>
          <w:attr w:name="IsROCDate" w:val="False"/>
          <w:attr w:name="IsLunarDate" w:val="False"/>
          <w:attr w:name="Day" w:val="8"/>
          <w:attr w:name="Month" w:val="8"/>
          <w:attr w:name="Year" w:val="2005"/>
        </w:smartTagPr>
        <w:r w:rsidRPr="00FA7BE2">
          <w:rPr>
            <w:rFonts w:asciiTheme="minorEastAsia" w:eastAsiaTheme="minorEastAsia" w:hAnsiTheme="minorEastAsia" w:hint="eastAsia"/>
            <w:szCs w:val="21"/>
          </w:rPr>
          <w:t>2005年8月8日起</w:t>
        </w:r>
      </w:smartTag>
      <w:r w:rsidRPr="00FA7BE2">
        <w:rPr>
          <w:rFonts w:asciiTheme="minorEastAsia" w:eastAsiaTheme="minorEastAsia" w:hAnsiTheme="minorEastAsia" w:hint="eastAsia"/>
          <w:szCs w:val="21"/>
        </w:rPr>
        <w:t>向全社会公开募集，并于</w:t>
      </w:r>
      <w:smartTag w:uri="urn:schemas-microsoft-com:office:smarttags" w:element="chsdate">
        <w:smartTagPr>
          <w:attr w:name="IsROCDate" w:val="False"/>
          <w:attr w:name="IsLunarDate" w:val="False"/>
          <w:attr w:name="Day" w:val="19"/>
          <w:attr w:name="Month" w:val="9"/>
          <w:attr w:name="Year" w:val="2005"/>
        </w:smartTagPr>
        <w:r w:rsidRPr="00FA7BE2">
          <w:rPr>
            <w:rFonts w:asciiTheme="minorEastAsia" w:eastAsiaTheme="minorEastAsia" w:hAnsiTheme="minorEastAsia" w:hint="eastAsia"/>
            <w:szCs w:val="21"/>
          </w:rPr>
          <w:t>2005年9月19日</w:t>
        </w:r>
      </w:smartTag>
      <w:r w:rsidRPr="00FA7BE2">
        <w:rPr>
          <w:rFonts w:asciiTheme="minorEastAsia" w:eastAsiaTheme="minorEastAsia" w:hAnsiTheme="minorEastAsia" w:hint="eastAsia"/>
          <w:szCs w:val="21"/>
        </w:rPr>
        <w:t>正式成立。易方达月月收益中短期债券投资基金基金份额持有人大会以通讯方式召开，</w:t>
      </w:r>
      <w:r w:rsidRPr="00FA7BE2">
        <w:rPr>
          <w:rFonts w:asciiTheme="minorEastAsia" w:eastAsiaTheme="minorEastAsia" w:hAnsiTheme="minorEastAsia"/>
          <w:szCs w:val="21"/>
        </w:rPr>
        <w:t>大会表决投票于2007年</w:t>
      </w:r>
      <w:r w:rsidRPr="00FA7BE2">
        <w:rPr>
          <w:rFonts w:asciiTheme="minorEastAsia" w:eastAsiaTheme="minorEastAsia" w:hAnsiTheme="minorEastAsia" w:hint="eastAsia"/>
          <w:szCs w:val="21"/>
        </w:rPr>
        <w:t>12</w:t>
      </w:r>
      <w:r w:rsidRPr="00FA7BE2">
        <w:rPr>
          <w:rFonts w:asciiTheme="minorEastAsia" w:eastAsiaTheme="minorEastAsia" w:hAnsiTheme="minorEastAsia"/>
          <w:szCs w:val="21"/>
        </w:rPr>
        <w:t>月</w:t>
      </w:r>
      <w:r w:rsidRPr="00FA7BE2">
        <w:rPr>
          <w:rFonts w:asciiTheme="minorEastAsia" w:eastAsiaTheme="minorEastAsia" w:hAnsiTheme="minorEastAsia" w:hint="eastAsia"/>
          <w:szCs w:val="21"/>
        </w:rPr>
        <w:t>21</w:t>
      </w:r>
      <w:r w:rsidRPr="00FA7BE2">
        <w:rPr>
          <w:rFonts w:asciiTheme="minorEastAsia" w:eastAsiaTheme="minorEastAsia" w:hAnsiTheme="minorEastAsia"/>
          <w:szCs w:val="21"/>
        </w:rPr>
        <w:t>日24：00截止</w:t>
      </w:r>
      <w:r w:rsidRPr="00FA7BE2">
        <w:rPr>
          <w:rFonts w:asciiTheme="minorEastAsia" w:eastAsiaTheme="minorEastAsia" w:hAnsiTheme="minorEastAsia" w:hint="eastAsia"/>
          <w:szCs w:val="21"/>
        </w:rPr>
        <w:t>，会议审议通过了《关于易方达月月收益中短期债券投资基金转型的议案》。经</w:t>
      </w:r>
      <w:r w:rsidRPr="00FA7BE2">
        <w:rPr>
          <w:rFonts w:asciiTheme="minorEastAsia" w:eastAsiaTheme="minorEastAsia" w:hAnsiTheme="minorEastAsia"/>
          <w:szCs w:val="21"/>
        </w:rPr>
        <w:t>中国证监会</w:t>
      </w:r>
      <w:smartTag w:uri="urn:schemas-microsoft-com:office:smarttags" w:element="chsdate">
        <w:smartTagPr>
          <w:attr w:name="IsROCDate" w:val="False"/>
          <w:attr w:name="IsLunarDate" w:val="False"/>
          <w:attr w:name="Day" w:val="25"/>
          <w:attr w:name="Month" w:val="1"/>
          <w:attr w:name="Year" w:val="2008"/>
        </w:smartTagPr>
        <w:r w:rsidRPr="00FA7BE2">
          <w:rPr>
            <w:rFonts w:asciiTheme="minorEastAsia" w:eastAsiaTheme="minorEastAsia" w:hAnsiTheme="minorEastAsia"/>
            <w:szCs w:val="21"/>
          </w:rPr>
          <w:t>200</w:t>
        </w:r>
        <w:r w:rsidRPr="00FA7BE2">
          <w:rPr>
            <w:rFonts w:asciiTheme="minorEastAsia" w:eastAsiaTheme="minorEastAsia" w:hAnsiTheme="minorEastAsia" w:hint="eastAsia"/>
            <w:szCs w:val="21"/>
          </w:rPr>
          <w:t>8</w:t>
        </w:r>
        <w:r w:rsidRPr="00FA7BE2">
          <w:rPr>
            <w:rFonts w:asciiTheme="minorEastAsia" w:eastAsiaTheme="minorEastAsia" w:hAnsiTheme="minorEastAsia"/>
            <w:szCs w:val="21"/>
          </w:rPr>
          <w:t>年</w:t>
        </w:r>
        <w:r w:rsidRPr="00FA7BE2">
          <w:rPr>
            <w:rFonts w:asciiTheme="minorEastAsia" w:eastAsiaTheme="minorEastAsia" w:hAnsiTheme="minorEastAsia" w:hint="eastAsia"/>
            <w:szCs w:val="21"/>
          </w:rPr>
          <w:t>1</w:t>
        </w:r>
        <w:r w:rsidRPr="00FA7BE2">
          <w:rPr>
            <w:rFonts w:asciiTheme="minorEastAsia" w:eastAsiaTheme="minorEastAsia" w:hAnsiTheme="minorEastAsia"/>
            <w:szCs w:val="21"/>
          </w:rPr>
          <w:t>月</w:t>
        </w:r>
        <w:r w:rsidRPr="00FA7BE2">
          <w:rPr>
            <w:rFonts w:asciiTheme="minorEastAsia" w:eastAsiaTheme="minorEastAsia" w:hAnsiTheme="minorEastAsia" w:hint="eastAsia"/>
            <w:szCs w:val="21"/>
          </w:rPr>
          <w:t>25</w:t>
        </w:r>
        <w:r w:rsidRPr="00FA7BE2">
          <w:rPr>
            <w:rFonts w:asciiTheme="minorEastAsia" w:eastAsiaTheme="minorEastAsia" w:hAnsiTheme="minorEastAsia"/>
            <w:szCs w:val="21"/>
          </w:rPr>
          <w:t>日</w:t>
        </w:r>
      </w:smartTag>
      <w:r w:rsidRPr="00FA7BE2">
        <w:rPr>
          <w:rFonts w:asciiTheme="minorEastAsia" w:eastAsiaTheme="minorEastAsia" w:hAnsiTheme="minorEastAsia"/>
          <w:szCs w:val="21"/>
        </w:rPr>
        <w:t>证监</w:t>
      </w:r>
      <w:r w:rsidRPr="00FA7BE2">
        <w:rPr>
          <w:rFonts w:asciiTheme="minorEastAsia" w:eastAsiaTheme="minorEastAsia" w:hAnsiTheme="minorEastAsia" w:hint="eastAsia"/>
          <w:szCs w:val="21"/>
        </w:rPr>
        <w:t>许可</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2008</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101</w:t>
      </w:r>
      <w:r w:rsidRPr="00FA7BE2">
        <w:rPr>
          <w:rFonts w:asciiTheme="minorEastAsia" w:eastAsiaTheme="minorEastAsia" w:hAnsiTheme="minorEastAsia"/>
          <w:szCs w:val="21"/>
        </w:rPr>
        <w:t>号文</w:t>
      </w:r>
      <w:r w:rsidRPr="00FA7BE2">
        <w:rPr>
          <w:rFonts w:asciiTheme="minorEastAsia" w:eastAsiaTheme="minorEastAsia" w:hAnsiTheme="minorEastAsia" w:hint="eastAsia"/>
          <w:szCs w:val="21"/>
        </w:rPr>
        <w:t>核准，易方达月月收益中短期债券投资基金基金份额持有人大会决议生效。自</w:t>
      </w:r>
      <w:smartTag w:uri="urn:schemas-microsoft-com:office:smarttags" w:element="chsdate">
        <w:smartTagPr>
          <w:attr w:name="IsROCDate" w:val="False"/>
          <w:attr w:name="IsLunarDate" w:val="False"/>
          <w:attr w:name="Day" w:val="29"/>
          <w:attr w:name="Month" w:val="1"/>
          <w:attr w:name="Year" w:val="2008"/>
        </w:smartTagPr>
        <w:r w:rsidRPr="00FA7BE2">
          <w:rPr>
            <w:rFonts w:asciiTheme="minorEastAsia" w:eastAsiaTheme="minorEastAsia" w:hAnsiTheme="minorEastAsia" w:hint="eastAsia"/>
            <w:szCs w:val="21"/>
          </w:rPr>
          <w:t>2008年1月29日起</w:t>
        </w:r>
      </w:smartTag>
      <w:r w:rsidRPr="00FA7BE2">
        <w:rPr>
          <w:rFonts w:asciiTheme="minorEastAsia" w:eastAsiaTheme="minorEastAsia" w:hAnsiTheme="minorEastAsia" w:hint="eastAsia"/>
          <w:szCs w:val="21"/>
        </w:rPr>
        <w:t>，由《易方达月月收益中短期债券投资基金基金合同》修订而成的《易方达稳健收益债券型证券投资基金基金合同》生效。</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bCs/>
          <w:szCs w:val="21"/>
        </w:rPr>
      </w:pPr>
      <w:bookmarkStart w:id="22" w:name="_Toc75869952"/>
      <w:r w:rsidRPr="00FA7BE2">
        <w:rPr>
          <w:rFonts w:asciiTheme="minorEastAsia" w:eastAsiaTheme="minorEastAsia" w:hAnsiTheme="minorEastAsia" w:hint="eastAsia"/>
          <w:bCs/>
          <w:szCs w:val="21"/>
        </w:rPr>
        <w:t>（二）基金存续期内的基金份额持有人数量和资产规模</w:t>
      </w:r>
      <w:bookmarkEnd w:id="22"/>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基金存续期内，基金份额持有人数量不满</w:t>
      </w:r>
      <w:r w:rsidRPr="00FA7BE2">
        <w:rPr>
          <w:rFonts w:asciiTheme="minorEastAsia" w:eastAsiaTheme="minorEastAsia" w:hAnsiTheme="minorEastAsia"/>
          <w:szCs w:val="21"/>
        </w:rPr>
        <w:t>200</w:t>
      </w:r>
      <w:r w:rsidRPr="00FA7BE2">
        <w:rPr>
          <w:rFonts w:asciiTheme="minorEastAsia" w:eastAsiaTheme="minorEastAsia" w:hAnsiTheme="minorEastAsia" w:hint="eastAsia"/>
          <w:szCs w:val="21"/>
        </w:rPr>
        <w:t>人或者基金资产净值低于人民币</w:t>
      </w:r>
      <w:r w:rsidRPr="00FA7BE2">
        <w:rPr>
          <w:rFonts w:asciiTheme="minorEastAsia" w:eastAsiaTheme="minorEastAsia" w:hAnsiTheme="minorEastAsia"/>
          <w:szCs w:val="21"/>
        </w:rPr>
        <w:t>5,000</w:t>
      </w:r>
      <w:r w:rsidRPr="00FA7BE2">
        <w:rPr>
          <w:rFonts w:asciiTheme="minorEastAsia" w:eastAsiaTheme="minorEastAsia" w:hAnsiTheme="minorEastAsia" w:hint="eastAsia"/>
          <w:szCs w:val="21"/>
        </w:rPr>
        <w:t>万元，基金管理人应当及时向中国证监会报告，连续20个工作日出现前述情形的，基金管理人应当向中国证监会说明出现上述情况的原因以及解决方案。</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法律法规另有规定时，从其规定。</w:t>
      </w: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b/>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23" w:name="_Toc75869953"/>
      <w:r w:rsidRPr="00FA7BE2">
        <w:rPr>
          <w:rFonts w:asciiTheme="minorEastAsia" w:eastAsiaTheme="minorEastAsia" w:hAnsiTheme="minorEastAsia" w:hint="eastAsia"/>
          <w:b/>
        </w:rPr>
        <w:lastRenderedPageBreak/>
        <w:t>七、基金份额的申购、赎回</w:t>
      </w:r>
      <w:bookmarkEnd w:id="23"/>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4" w:name="_Toc75869954"/>
      <w:r w:rsidRPr="00FA7BE2">
        <w:rPr>
          <w:rFonts w:asciiTheme="minorEastAsia" w:eastAsiaTheme="minorEastAsia" w:hAnsiTheme="minorEastAsia" w:hint="eastAsia"/>
        </w:rPr>
        <w:t>（一）基金投资者范围</w:t>
      </w:r>
      <w:bookmarkEnd w:id="24"/>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个人投资者、机构投资者和合格境外机构投资者</w:t>
      </w:r>
      <w:r w:rsidRPr="00FA7BE2">
        <w:rPr>
          <w:rFonts w:asciiTheme="minorEastAsia" w:eastAsiaTheme="minorEastAsia" w:hAnsiTheme="minorEastAsia"/>
        </w:rPr>
        <w:t>（</w:t>
      </w:r>
      <w:r w:rsidRPr="00FA7BE2">
        <w:rPr>
          <w:rFonts w:asciiTheme="minorEastAsia" w:eastAsiaTheme="minorEastAsia" w:hAnsiTheme="minorEastAsia" w:hint="eastAsia"/>
        </w:rPr>
        <w:t>法律、法规、规章禁止投资证券投资基金的除外</w:t>
      </w:r>
      <w:r w:rsidRPr="00FA7BE2">
        <w:rPr>
          <w:rFonts w:asciiTheme="minorEastAsia" w:eastAsiaTheme="minorEastAsia" w:hAnsiTheme="minorEastAsia"/>
        </w:rPr>
        <w:t>）</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5" w:name="_Toc75869955"/>
      <w:r w:rsidRPr="00FA7BE2">
        <w:rPr>
          <w:rFonts w:asciiTheme="minorEastAsia" w:eastAsiaTheme="minorEastAsia" w:hAnsiTheme="minorEastAsia" w:hint="eastAsia"/>
        </w:rPr>
        <w:t>（二）申购、赎回的场所</w:t>
      </w:r>
      <w:bookmarkEnd w:id="25"/>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w:t>
      </w:r>
      <w:r w:rsidRPr="00FA7BE2">
        <w:rPr>
          <w:rFonts w:asciiTheme="minorEastAsia" w:eastAsiaTheme="minorEastAsia" w:hAnsiTheme="minorEastAsia"/>
        </w:rPr>
        <w:t>基金管理</w:t>
      </w:r>
      <w:r w:rsidRPr="00FA7BE2">
        <w:rPr>
          <w:rFonts w:asciiTheme="minorEastAsia" w:eastAsiaTheme="minorEastAsia" w:hAnsiTheme="minorEastAsia" w:hint="eastAsia"/>
        </w:rPr>
        <w:t>人的直销中心、网上交易系统(www.efunds.com.cn)</w:t>
      </w:r>
      <w:r w:rsidRPr="00FA7BE2">
        <w:rPr>
          <w:rFonts w:asciiTheme="minorEastAsia" w:eastAsiaTheme="minorEastAsia" w:hAnsiTheme="minorEastAsia"/>
        </w:rPr>
        <w:t>；</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rPr>
        <w:t>2</w:t>
      </w:r>
      <w:r w:rsidRPr="00FA7BE2">
        <w:rPr>
          <w:rFonts w:asciiTheme="minorEastAsia" w:eastAsiaTheme="minorEastAsia" w:hAnsiTheme="minorEastAsia" w:hint="eastAsia"/>
        </w:rPr>
        <w:t>、</w:t>
      </w:r>
      <w:r w:rsidRPr="00FA7BE2">
        <w:rPr>
          <w:rFonts w:asciiTheme="minorEastAsia" w:eastAsiaTheme="minorEastAsia" w:hAnsiTheme="minorEastAsia"/>
        </w:rPr>
        <w:t>各</w:t>
      </w:r>
      <w:r w:rsidRPr="00FA7BE2">
        <w:rPr>
          <w:rFonts w:asciiTheme="minorEastAsia" w:eastAsiaTheme="minorEastAsia" w:hAnsiTheme="minorEastAsia" w:hint="eastAsia"/>
          <w:szCs w:val="21"/>
        </w:rPr>
        <w:t>非直销销售</w:t>
      </w:r>
      <w:r w:rsidRPr="00FA7BE2">
        <w:rPr>
          <w:rFonts w:asciiTheme="minorEastAsia" w:eastAsiaTheme="minorEastAsia" w:hAnsiTheme="minorEastAsia" w:hint="eastAsia"/>
        </w:rPr>
        <w:t>机构</w:t>
      </w:r>
      <w:r w:rsidRPr="00FA7BE2">
        <w:rPr>
          <w:rFonts w:asciiTheme="minorEastAsia" w:eastAsiaTheme="minorEastAsia" w:hAnsiTheme="minorEastAsia"/>
        </w:rPr>
        <w:t>开办开放式基金业务的营业网点</w:t>
      </w:r>
      <w:r w:rsidRPr="00FA7BE2">
        <w:rPr>
          <w:rFonts w:asciiTheme="minorEastAsia" w:eastAsiaTheme="minorEastAsia" w:hAnsiTheme="minorEastAsia" w:hint="eastAsia"/>
        </w:rPr>
        <w:t>。</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基金管理人可根据情况变更基金的销售机构，</w:t>
      </w:r>
      <w:r w:rsidR="00FF0572" w:rsidRPr="00FA7BE2">
        <w:rPr>
          <w:rFonts w:asciiTheme="minorEastAsia" w:eastAsiaTheme="minorEastAsia" w:hAnsiTheme="minorEastAsia" w:hint="eastAsia"/>
        </w:rPr>
        <w:t>并在基金管理人网站公示</w:t>
      </w:r>
      <w:r w:rsidRPr="00FA7BE2">
        <w:rPr>
          <w:rFonts w:asciiTheme="minorEastAsia" w:eastAsiaTheme="minorEastAsia" w:hAnsiTheme="minorEastAsia" w:hint="eastAsia"/>
        </w:rPr>
        <w:t>。</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投资者还可通过基金管理人或者指定的基金销售机构以电话或互联网或</w:t>
      </w:r>
      <w:r w:rsidRPr="00FA7BE2">
        <w:rPr>
          <w:rFonts w:asciiTheme="minorEastAsia" w:eastAsiaTheme="minorEastAsia" w:hAnsiTheme="minorEastAsia"/>
        </w:rPr>
        <w:t>其他电子交易方式</w:t>
      </w:r>
      <w:r w:rsidRPr="00FA7BE2">
        <w:rPr>
          <w:rFonts w:asciiTheme="minorEastAsia" w:eastAsiaTheme="minorEastAsia" w:hAnsiTheme="minorEastAsia" w:hint="eastAsia"/>
        </w:rPr>
        <w:t>进行申购、赎回</w:t>
      </w:r>
      <w:r w:rsidRPr="00FA7BE2">
        <w:rPr>
          <w:rFonts w:asciiTheme="minorEastAsia" w:eastAsiaTheme="minorEastAsia" w:hAnsiTheme="minorEastAsia" w:hint="eastAsia"/>
          <w:szCs w:val="24"/>
        </w:rPr>
        <w:t>，具体以各销售机构的规定为准</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6" w:name="_Toc75869956"/>
      <w:r w:rsidRPr="00FA7BE2">
        <w:rPr>
          <w:rFonts w:asciiTheme="minorEastAsia" w:eastAsiaTheme="minorEastAsia" w:hAnsiTheme="minorEastAsia" w:hint="eastAsia"/>
        </w:rPr>
        <w:t>（三）申购、赎回</w:t>
      </w:r>
      <w:r w:rsidRPr="00FA7BE2">
        <w:rPr>
          <w:rFonts w:asciiTheme="minorEastAsia" w:eastAsiaTheme="minorEastAsia" w:hAnsiTheme="minorEastAsia"/>
        </w:rPr>
        <w:t>的开放日及</w:t>
      </w:r>
      <w:r w:rsidRPr="00FA7BE2">
        <w:rPr>
          <w:rFonts w:asciiTheme="minorEastAsia" w:eastAsiaTheme="minorEastAsia" w:hAnsiTheme="minorEastAsia" w:hint="eastAsia"/>
        </w:rPr>
        <w:t>时间</w:t>
      </w:r>
      <w:bookmarkEnd w:id="26"/>
    </w:p>
    <w:p w:rsidR="004D549F"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本基金</w:t>
      </w:r>
      <w:r w:rsidR="004D549F" w:rsidRPr="00FA7BE2">
        <w:rPr>
          <w:rFonts w:asciiTheme="minorEastAsia" w:eastAsiaTheme="minorEastAsia" w:hAnsiTheme="minorEastAsia" w:hint="eastAsia"/>
        </w:rPr>
        <w:t>A类基金</w:t>
      </w:r>
      <w:r w:rsidR="004D549F" w:rsidRPr="00FA7BE2">
        <w:rPr>
          <w:rFonts w:asciiTheme="minorEastAsia" w:eastAsiaTheme="minorEastAsia" w:hAnsiTheme="minorEastAsia"/>
        </w:rPr>
        <w:t>份额</w:t>
      </w:r>
      <w:r w:rsidR="004D549F" w:rsidRPr="00FA7BE2">
        <w:rPr>
          <w:rFonts w:asciiTheme="minorEastAsia" w:eastAsiaTheme="minorEastAsia" w:hAnsiTheme="minorEastAsia" w:hint="eastAsia"/>
        </w:rPr>
        <w:t>、</w:t>
      </w:r>
      <w:r w:rsidR="004D549F" w:rsidRPr="00FA7BE2">
        <w:rPr>
          <w:rFonts w:asciiTheme="minorEastAsia" w:eastAsiaTheme="minorEastAsia" w:hAnsiTheme="minorEastAsia"/>
        </w:rPr>
        <w:t>B</w:t>
      </w:r>
      <w:r w:rsidR="004D549F" w:rsidRPr="00FA7BE2">
        <w:rPr>
          <w:rFonts w:asciiTheme="minorEastAsia" w:eastAsiaTheme="minorEastAsia" w:hAnsiTheme="minorEastAsia" w:hint="eastAsia"/>
        </w:rPr>
        <w:t>类基金</w:t>
      </w:r>
      <w:r w:rsidR="004D549F" w:rsidRPr="00FA7BE2">
        <w:rPr>
          <w:rFonts w:asciiTheme="minorEastAsia" w:eastAsiaTheme="minorEastAsia" w:hAnsiTheme="minorEastAsia"/>
        </w:rPr>
        <w:t>份额</w:t>
      </w:r>
      <w:r w:rsidRPr="00FA7BE2">
        <w:rPr>
          <w:rFonts w:asciiTheme="minorEastAsia" w:eastAsiaTheme="minorEastAsia" w:hAnsiTheme="minorEastAsia" w:hint="eastAsia"/>
        </w:rPr>
        <w:t>已于</w:t>
      </w:r>
      <w:smartTag w:uri="urn:schemas-microsoft-com:office:smarttags" w:element="chsdate">
        <w:smartTagPr>
          <w:attr w:name="IsROCDate" w:val="False"/>
          <w:attr w:name="IsLunarDate" w:val="False"/>
          <w:attr w:name="Day" w:val="22"/>
          <w:attr w:name="Month" w:val="9"/>
          <w:attr w:name="Year" w:val="2005"/>
        </w:smartTagPr>
        <w:r w:rsidRPr="00FA7BE2">
          <w:rPr>
            <w:rFonts w:asciiTheme="minorEastAsia" w:eastAsiaTheme="minorEastAsia" w:hAnsiTheme="minorEastAsia"/>
          </w:rPr>
          <w:t>200</w:t>
        </w:r>
        <w:r w:rsidRPr="00FA7BE2">
          <w:rPr>
            <w:rFonts w:asciiTheme="minorEastAsia" w:eastAsiaTheme="minorEastAsia" w:hAnsiTheme="minorEastAsia" w:hint="eastAsia"/>
          </w:rPr>
          <w:t>5</w:t>
        </w:r>
        <w:r w:rsidRPr="00FA7BE2">
          <w:rPr>
            <w:rFonts w:asciiTheme="minorEastAsia" w:eastAsiaTheme="minorEastAsia" w:hAnsiTheme="minorEastAsia"/>
          </w:rPr>
          <w:t>年</w:t>
        </w:r>
        <w:r w:rsidRPr="00FA7BE2">
          <w:rPr>
            <w:rFonts w:asciiTheme="minorEastAsia" w:eastAsiaTheme="minorEastAsia" w:hAnsiTheme="minorEastAsia" w:hint="eastAsia"/>
          </w:rPr>
          <w:t>9</w:t>
        </w:r>
        <w:r w:rsidRPr="00FA7BE2">
          <w:rPr>
            <w:rFonts w:asciiTheme="minorEastAsia" w:eastAsiaTheme="minorEastAsia" w:hAnsiTheme="minorEastAsia"/>
          </w:rPr>
          <w:t>月</w:t>
        </w:r>
        <w:r w:rsidRPr="00FA7BE2">
          <w:rPr>
            <w:rFonts w:asciiTheme="minorEastAsia" w:eastAsiaTheme="minorEastAsia" w:hAnsiTheme="minorEastAsia" w:hint="eastAsia"/>
          </w:rPr>
          <w:t>22</w:t>
        </w:r>
        <w:r w:rsidRPr="00FA7BE2">
          <w:rPr>
            <w:rFonts w:asciiTheme="minorEastAsia" w:eastAsiaTheme="minorEastAsia" w:hAnsiTheme="minorEastAsia"/>
          </w:rPr>
          <w:t>日</w:t>
        </w:r>
      </w:smartTag>
      <w:r w:rsidRPr="00FA7BE2">
        <w:rPr>
          <w:rFonts w:asciiTheme="minorEastAsia" w:eastAsiaTheme="minorEastAsia" w:hAnsiTheme="minorEastAsia" w:hint="eastAsia"/>
        </w:rPr>
        <w:t>开始办理日常申购、</w:t>
      </w:r>
      <w:r w:rsidRPr="00FA7BE2">
        <w:rPr>
          <w:rFonts w:asciiTheme="minorEastAsia" w:eastAsiaTheme="minorEastAsia" w:hAnsiTheme="minorEastAsia"/>
        </w:rPr>
        <w:t>赎回</w:t>
      </w:r>
      <w:r w:rsidRPr="00FA7BE2">
        <w:rPr>
          <w:rFonts w:asciiTheme="minorEastAsia" w:eastAsiaTheme="minorEastAsia" w:hAnsiTheme="minorEastAsia" w:hint="eastAsia"/>
        </w:rPr>
        <w:t>业务</w:t>
      </w:r>
      <w:r w:rsidR="004D549F" w:rsidRPr="00FA7BE2">
        <w:rPr>
          <w:rFonts w:asciiTheme="minorEastAsia" w:eastAsiaTheme="minorEastAsia" w:hAnsiTheme="minorEastAsia" w:hint="eastAsia"/>
        </w:rPr>
        <w:t>。本基金</w:t>
      </w:r>
      <w:r w:rsidR="004D549F" w:rsidRPr="00FA7BE2">
        <w:rPr>
          <w:rFonts w:asciiTheme="minorEastAsia" w:eastAsiaTheme="minorEastAsia" w:hAnsiTheme="minorEastAsia"/>
        </w:rPr>
        <w:t>C</w:t>
      </w:r>
      <w:r w:rsidR="004D549F" w:rsidRPr="00FA7BE2">
        <w:rPr>
          <w:rFonts w:asciiTheme="minorEastAsia" w:eastAsiaTheme="minorEastAsia" w:hAnsiTheme="minorEastAsia" w:hint="eastAsia"/>
        </w:rPr>
        <w:t>类基金</w:t>
      </w:r>
      <w:r w:rsidR="004D549F" w:rsidRPr="00FA7BE2">
        <w:rPr>
          <w:rFonts w:asciiTheme="minorEastAsia" w:eastAsiaTheme="minorEastAsia" w:hAnsiTheme="minorEastAsia"/>
        </w:rPr>
        <w:t>份额</w:t>
      </w:r>
      <w:r w:rsidR="004D549F" w:rsidRPr="00FA7BE2">
        <w:rPr>
          <w:rFonts w:asciiTheme="minorEastAsia" w:eastAsiaTheme="minorEastAsia" w:hAnsiTheme="minorEastAsia" w:hint="eastAsia"/>
        </w:rPr>
        <w:t>已于</w:t>
      </w:r>
      <w:r w:rsidR="004D549F" w:rsidRPr="00FA7BE2">
        <w:rPr>
          <w:rFonts w:asciiTheme="minorEastAsia" w:eastAsiaTheme="minorEastAsia" w:hAnsiTheme="minorEastAsia"/>
        </w:rPr>
        <w:t>2019年10月23日</w:t>
      </w:r>
      <w:r w:rsidR="004D549F" w:rsidRPr="00FA7BE2">
        <w:rPr>
          <w:rFonts w:asciiTheme="minorEastAsia" w:eastAsiaTheme="minorEastAsia" w:hAnsiTheme="minorEastAsia" w:hint="eastAsia"/>
        </w:rPr>
        <w:t>开始办理日常申购、</w:t>
      </w:r>
      <w:r w:rsidR="004D549F" w:rsidRPr="00FA7BE2">
        <w:rPr>
          <w:rFonts w:asciiTheme="minorEastAsia" w:eastAsiaTheme="minorEastAsia" w:hAnsiTheme="minorEastAsia"/>
        </w:rPr>
        <w:t>赎回</w:t>
      </w:r>
      <w:r w:rsidR="004D549F" w:rsidRPr="00FA7BE2">
        <w:rPr>
          <w:rFonts w:asciiTheme="minorEastAsia" w:eastAsiaTheme="minorEastAsia" w:hAnsiTheme="minorEastAsia" w:hint="eastAsia"/>
        </w:rPr>
        <w:t>业务。</w:t>
      </w:r>
    </w:p>
    <w:p w:rsidR="00D21CF5" w:rsidRPr="00FA7BE2" w:rsidRDefault="00D21CF5" w:rsidP="004D549F">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申购、赎回的开放日为上海证券交易所、深圳证券交易所的交易日。具体业务办理时间为上海证券交易所、深圳证券交易所的交易时间。若出现新的证券交易市场或交易所交易时间更改或其它原因，基金管理人将根据法律法规和基金合同规定的原则视情况进行相应的调整并公告。</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rPr>
        <w:t>投资人在基金合同约定之外的日期和时间提出申购、赎回或者转换申请的，其基金份额申购、赎回价格为下次办理</w:t>
      </w:r>
      <w:r w:rsidR="00DC478D" w:rsidRPr="00FA7BE2">
        <w:rPr>
          <w:rFonts w:asciiTheme="minorEastAsia" w:eastAsiaTheme="minorEastAsia" w:hAnsiTheme="minorEastAsia" w:hint="eastAsia"/>
        </w:rPr>
        <w:t>该类</w:t>
      </w:r>
      <w:r w:rsidRPr="00FA7BE2">
        <w:rPr>
          <w:rFonts w:asciiTheme="minorEastAsia" w:eastAsiaTheme="minorEastAsia" w:hAnsiTheme="minorEastAsia"/>
        </w:rPr>
        <w:t>基金份额申购、赎回时间所在开放日的价格</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7" w:name="_Toc75869957"/>
      <w:r w:rsidRPr="00FA7BE2">
        <w:rPr>
          <w:rFonts w:asciiTheme="minorEastAsia" w:eastAsiaTheme="minorEastAsia" w:hAnsiTheme="minorEastAsia" w:hint="eastAsia"/>
        </w:rPr>
        <w:t>（四）申购、赎回的原则</w:t>
      </w:r>
      <w:bookmarkEnd w:id="27"/>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rPr>
        <w:t>未知价原则</w:t>
      </w:r>
      <w:r w:rsidRPr="00FA7BE2">
        <w:rPr>
          <w:rFonts w:asciiTheme="minorEastAsia" w:eastAsiaTheme="minorEastAsia" w:hAnsiTheme="minorEastAsia" w:hint="eastAsia"/>
        </w:rPr>
        <w:t>”</w:t>
      </w:r>
      <w:r w:rsidRPr="00FA7BE2">
        <w:rPr>
          <w:rFonts w:asciiTheme="minorEastAsia" w:eastAsiaTheme="minorEastAsia" w:hAnsiTheme="minorEastAsia"/>
        </w:rPr>
        <w:t>，</w:t>
      </w:r>
      <w:r w:rsidRPr="00FA7BE2">
        <w:rPr>
          <w:rFonts w:asciiTheme="minorEastAsia" w:eastAsiaTheme="minorEastAsia" w:hAnsiTheme="minorEastAsia" w:hint="eastAsia"/>
        </w:rPr>
        <w:t>即本基金的申购与赎回价格以受理申请当日收市后计算的</w:t>
      </w:r>
      <w:r w:rsidR="00B26047" w:rsidRPr="00FA7BE2">
        <w:rPr>
          <w:rFonts w:asciiTheme="minorEastAsia" w:eastAsiaTheme="minorEastAsia" w:hAnsiTheme="minorEastAsia" w:hint="eastAsia"/>
        </w:rPr>
        <w:t>各类</w:t>
      </w:r>
      <w:r w:rsidRPr="00FA7BE2">
        <w:rPr>
          <w:rFonts w:asciiTheme="minorEastAsia" w:eastAsiaTheme="minorEastAsia" w:hAnsiTheme="minorEastAsia" w:hint="eastAsia"/>
        </w:rPr>
        <w:t>基金份额净值为基准进行计算</w:t>
      </w:r>
      <w:r w:rsidR="00DC478D" w:rsidRPr="00FA7BE2">
        <w:rPr>
          <w:rFonts w:asciiTheme="minorEastAsia" w:eastAsiaTheme="minorEastAsia" w:hAnsiTheme="minorEastAsia" w:hint="eastAsia"/>
        </w:rPr>
        <w:t>，其中C类基金份额首笔申购当日的申购价格为当日A类基金份额的基金份额净值</w:t>
      </w:r>
      <w:r w:rsidRPr="00FA7BE2">
        <w:rPr>
          <w:rFonts w:asciiTheme="minorEastAsia" w:eastAsiaTheme="minorEastAsia" w:hAnsiTheme="minorEastAsia" w:hint="eastAsia"/>
        </w:rPr>
        <w:t>；</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2、本基金采用</w:t>
      </w:r>
      <w:r w:rsidRPr="00FA7BE2">
        <w:rPr>
          <w:rFonts w:asciiTheme="minorEastAsia" w:eastAsiaTheme="minorEastAsia" w:hAnsiTheme="minorEastAsia"/>
        </w:rPr>
        <w:t>金额申购、份额赎回原则</w:t>
      </w:r>
      <w:r w:rsidRPr="00FA7BE2">
        <w:rPr>
          <w:rFonts w:asciiTheme="minorEastAsia" w:eastAsiaTheme="minorEastAsia" w:hAnsiTheme="minorEastAsia" w:hint="eastAsia"/>
        </w:rPr>
        <w:t>，</w:t>
      </w:r>
      <w:r w:rsidRPr="00FA7BE2">
        <w:rPr>
          <w:rFonts w:asciiTheme="minorEastAsia" w:eastAsiaTheme="minorEastAsia" w:hAnsiTheme="minorEastAsia"/>
        </w:rPr>
        <w:t>即申购以金额申请</w:t>
      </w:r>
      <w:r w:rsidRPr="00FA7BE2">
        <w:rPr>
          <w:rFonts w:asciiTheme="minorEastAsia" w:eastAsiaTheme="minorEastAsia" w:hAnsiTheme="minorEastAsia" w:hint="eastAsia"/>
        </w:rPr>
        <w:t>，</w:t>
      </w:r>
      <w:r w:rsidRPr="00FA7BE2">
        <w:rPr>
          <w:rFonts w:asciiTheme="minorEastAsia" w:eastAsiaTheme="minorEastAsia" w:hAnsiTheme="minorEastAsia"/>
        </w:rPr>
        <w:t>赎回以份额申请；</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3、基金份额持有人在赎回基金份额时，除指定赎回外，基金管理人按先进先出的原则，对该持有人账户在该销售机构托管的基金份额进行赎回处理，即注册日期在先的基金份额先赎回，注册日期在后的基金份额后赎回，以确定所适用的赎回费率；</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4、当日的申购、赎回申请可以在当日交易结束时间前撤销，在当日的交易时间结束后不得撤销；</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5、基金管理人在不损害基金份额持有人权益的情况下可更改上述原则，但应最迟在新的原则实施前三个工作日予以公告。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8" w:name="_Toc75869958"/>
      <w:r w:rsidRPr="00FA7BE2">
        <w:rPr>
          <w:rFonts w:asciiTheme="minorEastAsia" w:eastAsiaTheme="minorEastAsia" w:hAnsiTheme="minorEastAsia" w:hint="eastAsia"/>
        </w:rPr>
        <w:lastRenderedPageBreak/>
        <w:t>（五）基金份额</w:t>
      </w:r>
      <w:r w:rsidR="00CD39BB" w:rsidRPr="00FA7BE2">
        <w:rPr>
          <w:rFonts w:asciiTheme="minorEastAsia" w:eastAsiaTheme="minorEastAsia" w:hAnsiTheme="minorEastAsia" w:hint="eastAsia"/>
        </w:rPr>
        <w:t>分类</w:t>
      </w:r>
      <w:bookmarkEnd w:id="28"/>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本基金根据申购费</w:t>
      </w:r>
      <w:r w:rsidR="00CD39BB" w:rsidRPr="00FA7BE2">
        <w:rPr>
          <w:rFonts w:asciiTheme="minorEastAsia" w:eastAsiaTheme="minorEastAsia" w:hAnsiTheme="minorEastAsia" w:hint="eastAsia"/>
        </w:rPr>
        <w:t>、赎回费</w:t>
      </w:r>
      <w:r w:rsidRPr="00FA7BE2">
        <w:rPr>
          <w:rFonts w:asciiTheme="minorEastAsia" w:eastAsiaTheme="minorEastAsia" w:hAnsiTheme="minorEastAsia" w:hint="eastAsia"/>
        </w:rPr>
        <w:t>和销售服务费收取方式的不同，将基金份额分为不同</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。不收取申购费用、</w:t>
      </w:r>
      <w:r w:rsidR="00B26047" w:rsidRPr="00FA7BE2">
        <w:rPr>
          <w:rFonts w:asciiTheme="minorEastAsia" w:eastAsiaTheme="minorEastAsia" w:hAnsiTheme="minorEastAsia" w:hint="eastAsia"/>
        </w:rPr>
        <w:t>按照0.3%年费率</w:t>
      </w:r>
      <w:r w:rsidRPr="00FA7BE2">
        <w:rPr>
          <w:rFonts w:asciiTheme="minorEastAsia" w:eastAsiaTheme="minorEastAsia" w:hAnsiTheme="minorEastAsia" w:hint="eastAsia"/>
        </w:rPr>
        <w:t>收取销售服务费</w:t>
      </w:r>
      <w:r w:rsidR="00B26047" w:rsidRPr="00FA7BE2">
        <w:rPr>
          <w:rFonts w:asciiTheme="minorEastAsia" w:eastAsiaTheme="minorEastAsia" w:hAnsiTheme="minorEastAsia" w:hint="eastAsia"/>
        </w:rPr>
        <w:t>、并可对持有期限少于30日的本类基金份额的赎回收取赎回费</w:t>
      </w:r>
      <w:r w:rsidRPr="00FA7BE2">
        <w:rPr>
          <w:rFonts w:asciiTheme="minorEastAsia" w:eastAsiaTheme="minorEastAsia" w:hAnsiTheme="minorEastAsia" w:hint="eastAsia"/>
        </w:rPr>
        <w:t>的基金份额</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称为</w:t>
      </w:r>
      <w:r w:rsidR="00CD39BB" w:rsidRPr="00FA7BE2">
        <w:rPr>
          <w:rFonts w:asciiTheme="minorEastAsia" w:eastAsiaTheme="minorEastAsia" w:hAnsiTheme="minorEastAsia" w:hint="eastAsia"/>
        </w:rPr>
        <w:t>A类</w:t>
      </w:r>
      <w:r w:rsidRPr="00FA7BE2">
        <w:rPr>
          <w:rFonts w:asciiTheme="minorEastAsia" w:eastAsiaTheme="minorEastAsia" w:hAnsiTheme="minorEastAsia" w:hint="eastAsia"/>
        </w:rPr>
        <w:t>基金份额；收取申购费用、不收取销售服务费</w:t>
      </w:r>
      <w:r w:rsidR="00B26047" w:rsidRPr="00FA7BE2">
        <w:rPr>
          <w:rFonts w:asciiTheme="minorEastAsia" w:eastAsiaTheme="minorEastAsia" w:hAnsiTheme="minorEastAsia" w:hint="eastAsia"/>
        </w:rPr>
        <w:t>、并可对持有期限少于30日的本类基金份额的赎回收取赎回费</w:t>
      </w:r>
      <w:r w:rsidRPr="00FA7BE2">
        <w:rPr>
          <w:rFonts w:asciiTheme="minorEastAsia" w:eastAsiaTheme="minorEastAsia" w:hAnsiTheme="minorEastAsia" w:hint="eastAsia"/>
        </w:rPr>
        <w:t>的基金份额</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称为</w:t>
      </w:r>
      <w:r w:rsidR="00CD39BB"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w:t>
      </w:r>
      <w:r w:rsidR="00B26047" w:rsidRPr="00FA7BE2">
        <w:rPr>
          <w:rFonts w:asciiTheme="minorEastAsia" w:eastAsiaTheme="minorEastAsia" w:hAnsiTheme="minorEastAsia" w:hint="eastAsia"/>
        </w:rPr>
        <w:t>；不收取申购费用、按照0.28%年费率收取销售服务费、并可对持有期限少于365日的本类别基金份额的赎回收取赎回费的基金份额类别称为C类基金份额</w:t>
      </w:r>
      <w:r w:rsidRPr="00FA7BE2">
        <w:rPr>
          <w:rFonts w:asciiTheme="minorEastAsia" w:eastAsiaTheme="minorEastAsia" w:hAnsiTheme="minorEastAsia" w:hint="eastAsia"/>
        </w:rPr>
        <w:t>。</w:t>
      </w:r>
      <w:r w:rsidR="00CD39BB" w:rsidRPr="00FA7BE2">
        <w:rPr>
          <w:rFonts w:asciiTheme="minorEastAsia" w:eastAsiaTheme="minorEastAsia" w:hAnsiTheme="minorEastAsia" w:hint="eastAsia"/>
        </w:rPr>
        <w:t>各类</w:t>
      </w:r>
      <w:r w:rsidRPr="00FA7BE2">
        <w:rPr>
          <w:rFonts w:asciiTheme="minorEastAsia" w:eastAsiaTheme="minorEastAsia" w:hAnsiTheme="minorEastAsia" w:hint="eastAsia"/>
        </w:rPr>
        <w:t>基金份额将分别设定最低认（申）购金额限制，单独设置基金代码，并单独公布基金份额净值。</w:t>
      </w:r>
    </w:p>
    <w:p w:rsidR="00D21CF5" w:rsidRPr="00FA7BE2" w:rsidRDefault="00D21CF5" w:rsidP="00D21CF5">
      <w:pPr>
        <w:autoSpaceDE w:val="0"/>
        <w:autoSpaceDN w:val="0"/>
        <w:adjustRightInd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投资者可自行选择申购的基金份额</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。本基金不同</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基金份额之间不得互相转换，即投资者不可以直接把</w:t>
      </w:r>
      <w:r w:rsidR="00CD39BB" w:rsidRPr="00FA7BE2">
        <w:rPr>
          <w:rFonts w:asciiTheme="minorEastAsia" w:eastAsiaTheme="minorEastAsia" w:hAnsiTheme="minorEastAsia" w:hint="eastAsia"/>
        </w:rPr>
        <w:t>A类</w:t>
      </w:r>
      <w:r w:rsidRPr="00FA7BE2">
        <w:rPr>
          <w:rFonts w:asciiTheme="minorEastAsia" w:eastAsiaTheme="minorEastAsia" w:hAnsiTheme="minorEastAsia" w:hint="eastAsia"/>
        </w:rPr>
        <w:t>基金份额转换为</w:t>
      </w:r>
      <w:r w:rsidR="00CD39BB" w:rsidRPr="00FA7BE2">
        <w:rPr>
          <w:rFonts w:asciiTheme="minorEastAsia" w:eastAsiaTheme="minorEastAsia" w:hAnsiTheme="minorEastAsia" w:hint="eastAsia"/>
        </w:rPr>
        <w:t>B类</w:t>
      </w:r>
      <w:r w:rsidR="00580247" w:rsidRPr="00FA7BE2">
        <w:rPr>
          <w:rFonts w:asciiTheme="minorEastAsia" w:eastAsiaTheme="minorEastAsia" w:hAnsiTheme="minorEastAsia" w:hint="eastAsia"/>
        </w:rPr>
        <w:t>、C类</w:t>
      </w:r>
      <w:r w:rsidRPr="00FA7BE2">
        <w:rPr>
          <w:rFonts w:asciiTheme="minorEastAsia" w:eastAsiaTheme="minorEastAsia" w:hAnsiTheme="minorEastAsia" w:hint="eastAsia"/>
        </w:rPr>
        <w:t>基金份额，</w:t>
      </w:r>
      <w:r w:rsidR="00580247" w:rsidRPr="00FA7BE2">
        <w:rPr>
          <w:rFonts w:asciiTheme="minorEastAsia" w:eastAsiaTheme="minorEastAsia" w:hAnsiTheme="minorEastAsia" w:hint="eastAsia"/>
        </w:rPr>
        <w:t>不可以直接把B类基金份额转换为</w:t>
      </w:r>
      <w:r w:rsidR="00580247" w:rsidRPr="00FA7BE2">
        <w:rPr>
          <w:rFonts w:asciiTheme="minorEastAsia" w:eastAsiaTheme="minorEastAsia" w:hAnsiTheme="minorEastAsia"/>
        </w:rPr>
        <w:t>A</w:t>
      </w:r>
      <w:r w:rsidR="00580247" w:rsidRPr="00FA7BE2">
        <w:rPr>
          <w:rFonts w:asciiTheme="minorEastAsia" w:eastAsiaTheme="minorEastAsia" w:hAnsiTheme="minorEastAsia" w:hint="eastAsia"/>
        </w:rPr>
        <w:t>类、C类基金份额，</w:t>
      </w:r>
      <w:r w:rsidRPr="00FA7BE2">
        <w:rPr>
          <w:rFonts w:asciiTheme="minorEastAsia" w:eastAsiaTheme="minorEastAsia" w:hAnsiTheme="minorEastAsia" w:hint="eastAsia"/>
        </w:rPr>
        <w:t>也不可以直接把</w:t>
      </w:r>
      <w:r w:rsidR="00580247" w:rsidRPr="00FA7BE2">
        <w:rPr>
          <w:rFonts w:asciiTheme="minorEastAsia" w:eastAsiaTheme="minorEastAsia" w:hAnsiTheme="minorEastAsia" w:hint="eastAsia"/>
        </w:rPr>
        <w:t>C</w:t>
      </w:r>
      <w:r w:rsidR="00CD39BB" w:rsidRPr="00FA7BE2">
        <w:rPr>
          <w:rFonts w:asciiTheme="minorEastAsia" w:eastAsiaTheme="minorEastAsia" w:hAnsiTheme="minorEastAsia" w:hint="eastAsia"/>
        </w:rPr>
        <w:t>类</w:t>
      </w:r>
      <w:r w:rsidRPr="00FA7BE2">
        <w:rPr>
          <w:rFonts w:asciiTheme="minorEastAsia" w:eastAsiaTheme="minorEastAsia" w:hAnsiTheme="minorEastAsia" w:hint="eastAsia"/>
        </w:rPr>
        <w:t>基金份额转换为</w:t>
      </w:r>
      <w:r w:rsidR="00CD39BB" w:rsidRPr="00FA7BE2">
        <w:rPr>
          <w:rFonts w:asciiTheme="minorEastAsia" w:eastAsiaTheme="minorEastAsia" w:hAnsiTheme="minorEastAsia" w:hint="eastAsia"/>
        </w:rPr>
        <w:t>A类</w:t>
      </w:r>
      <w:r w:rsidR="00580247"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29" w:name="_Toc75869959"/>
      <w:r w:rsidRPr="00FA7BE2">
        <w:rPr>
          <w:rFonts w:asciiTheme="minorEastAsia" w:eastAsiaTheme="minorEastAsia" w:hAnsiTheme="minorEastAsia" w:hint="eastAsia"/>
        </w:rPr>
        <w:t>（六）申购、赎回的数额限制</w:t>
      </w:r>
      <w:bookmarkEnd w:id="29"/>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1、申购的金额限制</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投资者通过</w:t>
      </w:r>
      <w:r w:rsidRPr="00FA7BE2">
        <w:rPr>
          <w:rFonts w:asciiTheme="minorEastAsia" w:eastAsiaTheme="minorEastAsia" w:hAnsiTheme="minorEastAsia" w:hint="eastAsia"/>
          <w:szCs w:val="21"/>
        </w:rPr>
        <w:t>非直销销售</w:t>
      </w:r>
      <w:r w:rsidRPr="00FA7BE2">
        <w:rPr>
          <w:rFonts w:asciiTheme="minorEastAsia" w:eastAsiaTheme="minorEastAsia" w:hAnsiTheme="minorEastAsia" w:hint="eastAsia"/>
        </w:rPr>
        <w:t>机构或本公司网上交易系统首次申购</w:t>
      </w:r>
      <w:r w:rsidR="004D549F" w:rsidRPr="00FA7BE2">
        <w:rPr>
          <w:rFonts w:asciiTheme="minorEastAsia" w:eastAsiaTheme="minorEastAsia" w:hAnsiTheme="minorEastAsia" w:hint="eastAsia"/>
        </w:rPr>
        <w:t>本</w:t>
      </w:r>
      <w:r w:rsidRPr="00FA7BE2">
        <w:rPr>
          <w:rFonts w:asciiTheme="minorEastAsia" w:eastAsiaTheme="minorEastAsia" w:hAnsiTheme="minorEastAsia" w:hint="eastAsia"/>
        </w:rPr>
        <w:t>基金的单笔最低限额为人民币1元，追加申购单笔最低限额为人民币1元；投资者通过本公司直销中心首次申购</w:t>
      </w:r>
      <w:r w:rsidR="00631E3B" w:rsidRPr="00FA7BE2">
        <w:rPr>
          <w:rFonts w:asciiTheme="minorEastAsia" w:eastAsiaTheme="minorEastAsia" w:hAnsiTheme="minorEastAsia" w:hint="eastAsia"/>
        </w:rPr>
        <w:t>本</w:t>
      </w:r>
      <w:r w:rsidRPr="00FA7BE2">
        <w:rPr>
          <w:rFonts w:asciiTheme="minorEastAsia" w:eastAsiaTheme="minorEastAsia" w:hAnsiTheme="minorEastAsia" w:hint="eastAsia"/>
        </w:rPr>
        <w:t>基金单笔最低限额为人民币50000元，追加申购单笔最低限额均为人民币1000元。在符合法律法规规定的条件下，各销售机构对最低申购限额及交易级差有其他规定的,需同时遵循该销售机构的相关规定。</w:t>
      </w:r>
      <w:r w:rsidRPr="00FA7BE2">
        <w:rPr>
          <w:rFonts w:asciiTheme="minorEastAsia" w:eastAsiaTheme="minorEastAsia" w:hAnsiTheme="minorEastAsia" w:hint="eastAsia"/>
          <w:szCs w:val="21"/>
        </w:rPr>
        <w:t>（以上金额均含申购费）</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投资者将当期分配的基金收益转购基金份额或采用定期定额投资计划时，不受最低申购金额的限制。</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投资者可多次申购，对单个投资者累计持有份额不设上限限制。</w:t>
      </w:r>
      <w:r w:rsidRPr="00FA7BE2">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FA7BE2">
        <w:rPr>
          <w:rFonts w:asciiTheme="minorEastAsia" w:eastAsiaTheme="minorEastAsia" w:hAnsiTheme="minorEastAsia" w:hint="eastAsia"/>
        </w:rPr>
        <w:t>法律法规、中国证监会另有规定的除外。</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2、赎回的数额限制</w:t>
      </w:r>
    </w:p>
    <w:p w:rsidR="00D21CF5" w:rsidRPr="00FA7BE2" w:rsidRDefault="00D21CF5"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投资者可将其全部或部分基金份额赎回。</w:t>
      </w:r>
    </w:p>
    <w:p w:rsidR="00D21CF5" w:rsidRPr="00FA7BE2" w:rsidRDefault="00CD39BB" w:rsidP="00D21CF5">
      <w:pPr>
        <w:pStyle w:val="23"/>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FA7BE2">
        <w:rPr>
          <w:rFonts w:asciiTheme="minorEastAsia" w:eastAsiaTheme="minorEastAsia" w:hAnsiTheme="minorEastAsia" w:hint="eastAsia"/>
        </w:rPr>
        <w:t>每类</w:t>
      </w:r>
      <w:r w:rsidR="00D21CF5" w:rsidRPr="00FA7BE2">
        <w:rPr>
          <w:rFonts w:asciiTheme="minorEastAsia" w:eastAsiaTheme="minorEastAsia" w:hAnsiTheme="minorEastAsia" w:hint="eastAsia"/>
        </w:rPr>
        <w:t>基金份额单笔赎回不得少于1份(如该账户在该销售机构托管的</w:t>
      </w:r>
      <w:r w:rsidRPr="00FA7BE2">
        <w:rPr>
          <w:rFonts w:asciiTheme="minorEastAsia" w:eastAsiaTheme="minorEastAsia" w:hAnsiTheme="minorEastAsia" w:hint="eastAsia"/>
        </w:rPr>
        <w:t>该类</w:t>
      </w:r>
      <w:r w:rsidR="00D21CF5" w:rsidRPr="00FA7BE2">
        <w:rPr>
          <w:rFonts w:asciiTheme="minorEastAsia" w:eastAsiaTheme="minorEastAsia" w:hAnsiTheme="minorEastAsia" w:hint="eastAsia"/>
        </w:rPr>
        <w:t>基金</w:t>
      </w:r>
      <w:r w:rsidR="000F6C14" w:rsidRPr="00FA7BE2">
        <w:rPr>
          <w:rFonts w:asciiTheme="minorEastAsia" w:eastAsiaTheme="minorEastAsia" w:hAnsiTheme="minorEastAsia" w:hint="eastAsia"/>
        </w:rPr>
        <w:t>份额</w:t>
      </w:r>
      <w:r w:rsidR="00D21CF5" w:rsidRPr="00FA7BE2">
        <w:rPr>
          <w:rFonts w:asciiTheme="minorEastAsia" w:eastAsiaTheme="minorEastAsia" w:hAnsiTheme="minorEastAsia" w:hint="eastAsia"/>
        </w:rPr>
        <w:t>余额不足1份，则必须一次性赎回或转出</w:t>
      </w:r>
      <w:r w:rsidRPr="00FA7BE2">
        <w:rPr>
          <w:rFonts w:asciiTheme="minorEastAsia" w:eastAsiaTheme="minorEastAsia" w:hAnsiTheme="minorEastAsia" w:hint="eastAsia"/>
        </w:rPr>
        <w:t>该类</w:t>
      </w:r>
      <w:r w:rsidR="00D21CF5" w:rsidRPr="00FA7BE2">
        <w:rPr>
          <w:rFonts w:asciiTheme="minorEastAsia" w:eastAsiaTheme="minorEastAsia" w:hAnsiTheme="minorEastAsia" w:hint="eastAsia"/>
        </w:rPr>
        <w:t>基金</w:t>
      </w:r>
      <w:r w:rsidR="000F6C14" w:rsidRPr="00FA7BE2">
        <w:rPr>
          <w:rFonts w:asciiTheme="minorEastAsia" w:eastAsiaTheme="minorEastAsia" w:hAnsiTheme="minorEastAsia" w:hint="eastAsia"/>
        </w:rPr>
        <w:t>份额</w:t>
      </w:r>
      <w:r w:rsidR="00D21CF5" w:rsidRPr="00FA7BE2">
        <w:rPr>
          <w:rFonts w:asciiTheme="minorEastAsia" w:eastAsiaTheme="minorEastAsia" w:hAnsiTheme="minorEastAsia" w:hint="eastAsia"/>
        </w:rPr>
        <w:t>全部份额)；若某笔赎回将导致投资者在该销售机构托管的</w:t>
      </w:r>
      <w:r w:rsidRPr="00FA7BE2">
        <w:rPr>
          <w:rFonts w:asciiTheme="minorEastAsia" w:eastAsiaTheme="minorEastAsia" w:hAnsiTheme="minorEastAsia" w:hint="eastAsia"/>
        </w:rPr>
        <w:t>该类</w:t>
      </w:r>
      <w:r w:rsidR="00D21CF5" w:rsidRPr="00FA7BE2">
        <w:rPr>
          <w:rFonts w:asciiTheme="minorEastAsia" w:eastAsiaTheme="minorEastAsia" w:hAnsiTheme="minorEastAsia" w:hint="eastAsia"/>
        </w:rPr>
        <w:t>基金</w:t>
      </w:r>
      <w:r w:rsidR="000F6C14" w:rsidRPr="00FA7BE2">
        <w:rPr>
          <w:rFonts w:asciiTheme="minorEastAsia" w:eastAsiaTheme="minorEastAsia" w:hAnsiTheme="minorEastAsia" w:hint="eastAsia"/>
        </w:rPr>
        <w:t>份额</w:t>
      </w:r>
      <w:r w:rsidR="00D21CF5" w:rsidRPr="00FA7BE2">
        <w:rPr>
          <w:rFonts w:asciiTheme="minorEastAsia" w:eastAsiaTheme="minorEastAsia" w:hAnsiTheme="minorEastAsia" w:hint="eastAsia"/>
        </w:rPr>
        <w:t>余额不足1份时，基金管理人有权将投资者在该销售机构托管的</w:t>
      </w:r>
      <w:r w:rsidRPr="00FA7BE2">
        <w:rPr>
          <w:rFonts w:asciiTheme="minorEastAsia" w:eastAsiaTheme="minorEastAsia" w:hAnsiTheme="minorEastAsia" w:hint="eastAsia"/>
        </w:rPr>
        <w:t>该类</w:t>
      </w:r>
      <w:r w:rsidR="00D21CF5" w:rsidRPr="00FA7BE2">
        <w:rPr>
          <w:rFonts w:asciiTheme="minorEastAsia" w:eastAsiaTheme="minorEastAsia" w:hAnsiTheme="minorEastAsia" w:hint="eastAsia"/>
        </w:rPr>
        <w:t>基金</w:t>
      </w:r>
      <w:r w:rsidR="000F6C14" w:rsidRPr="00FA7BE2">
        <w:rPr>
          <w:rFonts w:asciiTheme="minorEastAsia" w:eastAsiaTheme="minorEastAsia" w:hAnsiTheme="minorEastAsia" w:hint="eastAsia"/>
        </w:rPr>
        <w:t>份额</w:t>
      </w:r>
      <w:r w:rsidR="00D21CF5" w:rsidRPr="00FA7BE2">
        <w:rPr>
          <w:rFonts w:asciiTheme="minorEastAsia" w:eastAsiaTheme="minorEastAsia" w:hAnsiTheme="minorEastAsia" w:hint="eastAsia"/>
        </w:rPr>
        <w:t>剩余份额一次性全部赎回。在符合法律法规规定的条件下，各销售机构对赎回份额限制有其他规定的,需同时遵循该销售机构的相关规定。</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lastRenderedPageBreak/>
        <w:t>3、</w:t>
      </w:r>
      <w:r w:rsidRPr="00FA7BE2">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w:t>
      </w:r>
      <w:r w:rsidRPr="00FA7BE2">
        <w:rPr>
          <w:rFonts w:asciiTheme="minorEastAsia" w:eastAsiaTheme="minorEastAsia" w:hAnsiTheme="minorEastAsia" w:hint="eastAsia"/>
        </w:rPr>
        <w:t>基金管理人可根据市场情况调整有关申购、赎回的程序和数额限制以及在销售机构保留的最低份额限制，</w:t>
      </w:r>
      <w:r w:rsidRPr="00FA7BE2">
        <w:rPr>
          <w:rFonts w:asciiTheme="minorEastAsia" w:eastAsiaTheme="minorEastAsia" w:hAnsiTheme="minorEastAsia" w:hint="eastAsia"/>
          <w:szCs w:val="21"/>
        </w:rPr>
        <w:t>或者新增基金规模控制措施，</w:t>
      </w:r>
      <w:r w:rsidRPr="00FA7BE2">
        <w:rPr>
          <w:rFonts w:asciiTheme="minorEastAsia" w:eastAsiaTheme="minorEastAsia" w:hAnsiTheme="minorEastAsia" w:hint="eastAsia"/>
        </w:rPr>
        <w:t>但应最迟在调整生效前三个工作日在至少一种</w:t>
      </w:r>
      <w:r w:rsidR="00B87BA8"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0" w:name="_Toc75869960"/>
      <w:r w:rsidRPr="00FA7BE2">
        <w:rPr>
          <w:rFonts w:asciiTheme="minorEastAsia" w:eastAsiaTheme="minorEastAsia" w:hAnsiTheme="minorEastAsia" w:hint="eastAsia"/>
        </w:rPr>
        <w:t>（七）申购、赎回的程序</w:t>
      </w:r>
      <w:bookmarkEnd w:id="30"/>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1、申购、赎回的申请方式</w:t>
      </w:r>
    </w:p>
    <w:p w:rsidR="00D21CF5" w:rsidRPr="00FA7BE2"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rPr>
      </w:pPr>
      <w:r w:rsidRPr="00FA7BE2">
        <w:rPr>
          <w:rFonts w:asciiTheme="minorEastAsia" w:eastAsiaTheme="minorEastAsia" w:hAnsiTheme="minorEastAsia" w:hint="eastAsia"/>
        </w:rPr>
        <w:t>基金投资者必须根据基金管理人和基金销售机构规定的手续，在开放日的业务办理时间提出申购、赎回的申请。</w:t>
      </w:r>
    </w:p>
    <w:p w:rsidR="00D21CF5" w:rsidRPr="00FA7BE2" w:rsidRDefault="00D21CF5" w:rsidP="00D21CF5">
      <w:pPr>
        <w:autoSpaceDE w:val="0"/>
        <w:autoSpaceDN w:val="0"/>
        <w:snapToGrid w:val="0"/>
        <w:spacing w:line="360" w:lineRule="auto"/>
        <w:ind w:firstLine="480"/>
        <w:textAlignment w:val="bottom"/>
        <w:rPr>
          <w:rFonts w:asciiTheme="minorEastAsia" w:eastAsiaTheme="minorEastAsia" w:hAnsiTheme="minorEastAsia"/>
        </w:rPr>
      </w:pPr>
      <w:r w:rsidRPr="00FA7BE2">
        <w:rPr>
          <w:rFonts w:asciiTheme="minorEastAsia" w:eastAsiaTheme="minorEastAsia" w:hAnsiTheme="minorEastAsia" w:hint="eastAsia"/>
        </w:rPr>
        <w:t>投资者在提交申购申请时，须按销售机构规定的方式备足申购资金；提交赎回申请时，账户中必须有足够的基金份额余额。</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2、申购、赎回申请的确认</w:t>
      </w:r>
    </w:p>
    <w:p w:rsidR="00D21CF5" w:rsidRPr="00FA7BE2"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rPr>
      </w:pPr>
      <w:r w:rsidRPr="00FA7BE2">
        <w:rPr>
          <w:rFonts w:asciiTheme="minorEastAsia" w:eastAsiaTheme="minorEastAsia" w:hAnsiTheme="minorEastAsia"/>
        </w:rPr>
        <w:t>基金管理人应当于受理基金投资人申购、赎回申请之日起三个工作日内,对申请的有效性进行确认。</w:t>
      </w:r>
      <w:r w:rsidRPr="00FA7BE2">
        <w:rPr>
          <w:rFonts w:asciiTheme="minorEastAsia" w:eastAsiaTheme="minorEastAsia" w:hAnsiTheme="minorEastAsia" w:hint="eastAsia"/>
        </w:rPr>
        <w:t>正常情况下，投资者应在T+2日到销售网点柜台或以销售机构规定的其他方式查询申请的确认情况，否则，如因申请未得到注册登记机构的确认而造成的损失，由投资者自行承担。</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3、申购和赎回的款项支付</w:t>
      </w:r>
    </w:p>
    <w:p w:rsidR="00D21CF5" w:rsidRPr="00FA7BE2" w:rsidRDefault="00D21CF5" w:rsidP="00D21CF5">
      <w:pPr>
        <w:autoSpaceDE w:val="0"/>
        <w:autoSpaceDN w:val="0"/>
        <w:snapToGrid w:val="0"/>
        <w:spacing w:line="360" w:lineRule="auto"/>
        <w:ind w:firstLine="480"/>
        <w:textAlignment w:val="bottom"/>
        <w:rPr>
          <w:rFonts w:asciiTheme="minorEastAsia" w:eastAsiaTheme="minorEastAsia" w:hAnsiTheme="minorEastAsia"/>
        </w:rPr>
      </w:pPr>
      <w:r w:rsidRPr="00FA7BE2">
        <w:rPr>
          <w:rFonts w:asciiTheme="minorEastAsia" w:eastAsiaTheme="minorEastAsia" w:hAnsiTheme="minorEastAsia" w:hint="eastAsia"/>
        </w:rPr>
        <w:t>申购采用全额缴款方式，</w:t>
      </w:r>
      <w:r w:rsidRPr="00FA7BE2">
        <w:rPr>
          <w:rFonts w:asciiTheme="minorEastAsia" w:eastAsiaTheme="minorEastAsia" w:hAnsiTheme="minorEastAsia"/>
        </w:rPr>
        <w:t>若资金在规定时间内未全额到账则申购不成功。若申购不成功或无效，</w:t>
      </w:r>
      <w:r w:rsidRPr="00FA7BE2">
        <w:rPr>
          <w:rFonts w:asciiTheme="minorEastAsia" w:eastAsiaTheme="minorEastAsia" w:hAnsiTheme="minorEastAsia" w:hint="eastAsia"/>
        </w:rPr>
        <w:t>基金管理人或基金管理人指定的销售机构将投资者已缴付的申购款项本金退还给投资者。</w:t>
      </w:r>
    </w:p>
    <w:p w:rsidR="00D21CF5" w:rsidRPr="00FA7BE2" w:rsidRDefault="00D21CF5" w:rsidP="00D21CF5">
      <w:pPr>
        <w:pStyle w:val="32"/>
        <w:snapToGrid w:val="0"/>
        <w:spacing w:line="360" w:lineRule="auto"/>
        <w:ind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szCs w:val="21"/>
        </w:rPr>
        <w:t>投资者赎回申请成功后，</w:t>
      </w:r>
      <w:r w:rsidRPr="00FA7BE2">
        <w:rPr>
          <w:rFonts w:asciiTheme="minorEastAsia" w:eastAsiaTheme="minorEastAsia" w:hAnsiTheme="minorEastAsia"/>
          <w:color w:val="auto"/>
          <w:sz w:val="21"/>
          <w:szCs w:val="21"/>
        </w:rPr>
        <w:t>基金管理人将指示基金托管人按有关规定将赎回款项于T+</w:t>
      </w:r>
      <w:r w:rsidRPr="00FA7BE2">
        <w:rPr>
          <w:rFonts w:asciiTheme="minorEastAsia" w:eastAsiaTheme="minorEastAsia" w:hAnsiTheme="minorEastAsia" w:hint="eastAsia"/>
          <w:color w:val="auto"/>
          <w:sz w:val="21"/>
          <w:szCs w:val="21"/>
        </w:rPr>
        <w:t>3</w:t>
      </w:r>
      <w:r w:rsidRPr="00FA7BE2">
        <w:rPr>
          <w:rFonts w:asciiTheme="minorEastAsia" w:eastAsiaTheme="minorEastAsia" w:hAnsiTheme="minorEastAsia"/>
          <w:color w:val="auto"/>
          <w:sz w:val="21"/>
          <w:szCs w:val="21"/>
        </w:rPr>
        <w:t>日</w:t>
      </w:r>
      <w:r w:rsidRPr="00FA7BE2">
        <w:rPr>
          <w:rFonts w:asciiTheme="minorEastAsia" w:eastAsiaTheme="minorEastAsia" w:hAnsiTheme="minorEastAsia" w:hint="eastAsia"/>
          <w:color w:val="auto"/>
          <w:sz w:val="21"/>
          <w:szCs w:val="21"/>
        </w:rPr>
        <w:t>前（含T+3日）</w:t>
      </w:r>
      <w:r w:rsidRPr="00FA7BE2">
        <w:rPr>
          <w:rFonts w:asciiTheme="minorEastAsia" w:eastAsiaTheme="minorEastAsia" w:hAnsiTheme="minorEastAsia"/>
          <w:color w:val="auto"/>
          <w:sz w:val="21"/>
          <w:szCs w:val="21"/>
        </w:rPr>
        <w:t>从基金托管账户划出，</w:t>
      </w:r>
      <w:r w:rsidRPr="00FA7BE2">
        <w:rPr>
          <w:rFonts w:asciiTheme="minorEastAsia" w:eastAsiaTheme="minorEastAsia" w:hAnsiTheme="minorEastAsia"/>
          <w:color w:val="auto"/>
          <w:sz w:val="21"/>
        </w:rPr>
        <w:t>经销售机构划往投资者银行账户。在发生巨额赎回时，款项的支付办法按基金</w:t>
      </w:r>
      <w:r w:rsidRPr="00FA7BE2">
        <w:rPr>
          <w:rFonts w:asciiTheme="minorEastAsia" w:eastAsiaTheme="minorEastAsia" w:hAnsiTheme="minorEastAsia" w:hint="eastAsia"/>
          <w:color w:val="auto"/>
          <w:sz w:val="21"/>
        </w:rPr>
        <w:t>合同</w:t>
      </w:r>
      <w:r w:rsidRPr="00FA7BE2">
        <w:rPr>
          <w:rFonts w:asciiTheme="minorEastAsia" w:eastAsiaTheme="minorEastAsia" w:hAnsiTheme="minorEastAsia"/>
          <w:color w:val="auto"/>
          <w:sz w:val="21"/>
        </w:rPr>
        <w:t>及本招募说明书有关规定处理。</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1" w:name="_Toc75869961"/>
      <w:r w:rsidRPr="00FA7BE2">
        <w:rPr>
          <w:rFonts w:asciiTheme="minorEastAsia" w:eastAsiaTheme="minorEastAsia" w:hAnsiTheme="minorEastAsia" w:hint="eastAsia"/>
        </w:rPr>
        <w:t>（八）申购、赎回的费率</w:t>
      </w:r>
      <w:bookmarkEnd w:id="31"/>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1、申购费率：</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szCs w:val="21"/>
        </w:rPr>
      </w:pPr>
      <w:r w:rsidRPr="00FA7BE2">
        <w:rPr>
          <w:rFonts w:asciiTheme="minorEastAsia" w:eastAsiaTheme="minorEastAsia" w:hAnsiTheme="minorEastAsia" w:hint="eastAsia"/>
          <w:szCs w:val="21"/>
        </w:rPr>
        <w:t>本基金</w:t>
      </w:r>
      <w:r w:rsidR="00CD39BB" w:rsidRPr="00FA7BE2">
        <w:rPr>
          <w:rFonts w:asciiTheme="minorEastAsia" w:eastAsiaTheme="minorEastAsia" w:hAnsiTheme="minorEastAsia" w:hint="eastAsia"/>
          <w:szCs w:val="21"/>
        </w:rPr>
        <w:t>A类</w:t>
      </w:r>
      <w:r w:rsidR="000F6C14" w:rsidRPr="00FA7BE2">
        <w:rPr>
          <w:rFonts w:asciiTheme="minorEastAsia" w:eastAsiaTheme="minorEastAsia" w:hAnsiTheme="minorEastAsia" w:hint="eastAsia"/>
          <w:szCs w:val="21"/>
        </w:rPr>
        <w:t>、C类</w:t>
      </w:r>
      <w:r w:rsidRPr="00FA7BE2">
        <w:rPr>
          <w:rFonts w:asciiTheme="minorEastAsia" w:eastAsiaTheme="minorEastAsia" w:hAnsiTheme="minorEastAsia" w:hint="eastAsia"/>
          <w:szCs w:val="21"/>
        </w:rPr>
        <w:t>基金份额申购费率为零。</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本基金</w:t>
      </w:r>
      <w:r w:rsidR="00CD39BB" w:rsidRPr="00FA7BE2">
        <w:rPr>
          <w:rFonts w:asciiTheme="minorEastAsia" w:eastAsiaTheme="minorEastAsia" w:hAnsiTheme="minorEastAsia" w:hint="eastAsia"/>
          <w:szCs w:val="21"/>
        </w:rPr>
        <w:t>B类</w:t>
      </w:r>
      <w:r w:rsidRPr="00FA7BE2">
        <w:rPr>
          <w:rFonts w:asciiTheme="minorEastAsia" w:eastAsiaTheme="minorEastAsia" w:hAnsiTheme="minorEastAsia"/>
          <w:szCs w:val="21"/>
        </w:rPr>
        <w:t>基金份额</w:t>
      </w:r>
      <w:r w:rsidRPr="00FA7BE2">
        <w:rPr>
          <w:rFonts w:asciiTheme="minorEastAsia" w:eastAsiaTheme="minorEastAsia" w:hAnsiTheme="minorEastAsia" w:hint="eastAsia"/>
          <w:szCs w:val="21"/>
        </w:rPr>
        <w:t>对通过本公司直销中心申购的的特定投资群体与除此之外的其他投资者实施差别的申购费率。</w:t>
      </w:r>
    </w:p>
    <w:p w:rsidR="00D21CF5" w:rsidRPr="00FA7BE2" w:rsidRDefault="00D21CF5" w:rsidP="00D21CF5">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特定投资群体指全国社会保障基金、依法设立的基本养老保险基金、依法制定的企业</w:t>
      </w:r>
    </w:p>
    <w:p w:rsidR="00D21CF5" w:rsidRPr="00FA7BE2" w:rsidRDefault="00D21CF5" w:rsidP="00D21CF5">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w:t>
      </w:r>
      <w:r w:rsidRPr="00FA7BE2">
        <w:rPr>
          <w:rFonts w:asciiTheme="minorEastAsia" w:eastAsiaTheme="minorEastAsia" w:hAnsiTheme="minorEastAsia" w:hint="eastAsia"/>
          <w:szCs w:val="21"/>
        </w:rPr>
        <w:lastRenderedPageBreak/>
        <w:t>基金管理人可将其纳入特定投资群体范围。</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通过基金管理人的直销中心申购本基金</w:t>
      </w:r>
      <w:r w:rsidR="00CD39BB" w:rsidRPr="00FA7BE2">
        <w:rPr>
          <w:rFonts w:asciiTheme="minorEastAsia" w:eastAsiaTheme="minorEastAsia" w:hAnsiTheme="minorEastAsia" w:hint="eastAsia"/>
          <w:szCs w:val="21"/>
        </w:rPr>
        <w:t>B类</w:t>
      </w:r>
      <w:r w:rsidRPr="00FA7BE2">
        <w:rPr>
          <w:rFonts w:asciiTheme="minorEastAsia" w:eastAsiaTheme="minorEastAsia" w:hAnsiTheme="minorEastAsia" w:hint="eastAsia"/>
          <w:szCs w:val="21"/>
        </w:rPr>
        <w:t>基金份额的特定投资群体申购费率为：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5C6736"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申购金额M（元）（含申购费）</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申购费率</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M&lt;100万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0.08%</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100万≤M&lt;500万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0.03%</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500万≤M&lt;1000万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0.005%</w:t>
            </w:r>
          </w:p>
        </w:tc>
      </w:tr>
      <w:tr w:rsidR="005C6736"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szCs w:val="21"/>
              </w:rPr>
              <w:t>1000万</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M</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每笔1000元</w:t>
            </w:r>
          </w:p>
        </w:tc>
      </w:tr>
    </w:tbl>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szCs w:val="21"/>
        </w:rPr>
      </w:pPr>
      <w:r w:rsidRPr="00FA7BE2">
        <w:rPr>
          <w:rFonts w:asciiTheme="minorEastAsia" w:eastAsiaTheme="minorEastAsia" w:hAnsiTheme="minorEastAsia" w:hint="eastAsia"/>
          <w:szCs w:val="21"/>
        </w:rPr>
        <w:t>其他投资者申购本基金</w:t>
      </w:r>
      <w:r w:rsidR="00CD39BB" w:rsidRPr="00FA7BE2">
        <w:rPr>
          <w:rFonts w:asciiTheme="minorEastAsia" w:eastAsiaTheme="minorEastAsia" w:hAnsiTheme="minorEastAsia" w:hint="eastAsia"/>
          <w:szCs w:val="21"/>
        </w:rPr>
        <w:t>B类</w:t>
      </w:r>
      <w:r w:rsidRPr="00FA7BE2">
        <w:rPr>
          <w:rFonts w:asciiTheme="minorEastAsia" w:eastAsiaTheme="minorEastAsia" w:hAnsiTheme="minorEastAsia" w:hint="eastAsia"/>
          <w:szCs w:val="21"/>
        </w:rPr>
        <w:t>基金份额的申购费率为：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5C6736"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申购金额M（元）（含申购费）</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申购费率</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M&lt;100万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0.8%</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100万≤M&lt;500万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0.3%</w:t>
            </w:r>
          </w:p>
        </w:tc>
      </w:tr>
      <w:tr w:rsidR="00E3582F"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500万≤M&lt;1000万</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0.05%</w:t>
            </w:r>
          </w:p>
        </w:tc>
      </w:tr>
      <w:tr w:rsidR="005C6736" w:rsidRPr="00FA7BE2" w:rsidTr="004F61AF">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szCs w:val="21"/>
              </w:rPr>
              <w:t>1000万</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M</w:t>
            </w:r>
          </w:p>
        </w:tc>
        <w:tc>
          <w:tcPr>
            <w:tcW w:w="4261" w:type="dxa"/>
          </w:tcPr>
          <w:p w:rsidR="00D21CF5" w:rsidRPr="00FA7BE2" w:rsidRDefault="00D21CF5" w:rsidP="004F61AF">
            <w:pPr>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szCs w:val="21"/>
              </w:rPr>
              <w:t>每笔1000元</w:t>
            </w:r>
          </w:p>
        </w:tc>
      </w:tr>
    </w:tbl>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在申购费按金额分档的情况下，如果投资者多次申购，申购费适用单笔申购金额所对应的费率。</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cs="宋体"/>
          <w:kern w:val="0"/>
          <w:szCs w:val="21"/>
        </w:rPr>
      </w:pPr>
      <w:r w:rsidRPr="00FA7BE2">
        <w:rPr>
          <w:rFonts w:asciiTheme="minorEastAsia" w:eastAsiaTheme="minorEastAsia" w:hAnsiTheme="minorEastAsia" w:hint="eastAsia"/>
          <w:szCs w:val="21"/>
        </w:rPr>
        <w:t>基金的申购费由申购人承担，主要用于本基金的市场推广、销售、注册登记等各项费用，不计入基金财产。</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cs="宋体"/>
          <w:kern w:val="0"/>
          <w:szCs w:val="21"/>
        </w:rPr>
      </w:pPr>
      <w:r w:rsidRPr="00FA7BE2">
        <w:rPr>
          <w:rFonts w:asciiTheme="minorEastAsia" w:eastAsiaTheme="minorEastAsia" w:hAnsiTheme="minorEastAsia" w:hint="eastAsia"/>
          <w:szCs w:val="21"/>
        </w:rPr>
        <w:t>2、赎</w:t>
      </w:r>
      <w:r w:rsidRPr="00FA7BE2">
        <w:rPr>
          <w:rFonts w:asciiTheme="minorEastAsia" w:eastAsiaTheme="minorEastAsia" w:hAnsiTheme="minorEastAsia" w:cs="宋体" w:hint="eastAsia"/>
          <w:kern w:val="0"/>
          <w:szCs w:val="21"/>
        </w:rPr>
        <w:t>回费率：</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本基</w:t>
      </w:r>
      <w:r w:rsidRPr="00FA7BE2">
        <w:rPr>
          <w:rFonts w:asciiTheme="minorEastAsia" w:eastAsiaTheme="minorEastAsia" w:hAnsiTheme="minorEastAsia" w:hint="eastAsia"/>
          <w:szCs w:val="21"/>
        </w:rPr>
        <w:t>金</w:t>
      </w:r>
      <w:r w:rsidR="00CD39BB" w:rsidRPr="00FA7BE2">
        <w:rPr>
          <w:rFonts w:asciiTheme="minorEastAsia" w:eastAsiaTheme="minorEastAsia" w:hAnsiTheme="minorEastAsia" w:hint="eastAsia"/>
          <w:szCs w:val="21"/>
        </w:rPr>
        <w:t>A类</w:t>
      </w:r>
      <w:r w:rsidRPr="00FA7BE2">
        <w:rPr>
          <w:rFonts w:asciiTheme="minorEastAsia" w:eastAsiaTheme="minorEastAsia" w:hAnsiTheme="minorEastAsia" w:hint="eastAsia"/>
          <w:szCs w:val="21"/>
        </w:rPr>
        <w:t>/</w:t>
      </w:r>
      <w:r w:rsidR="00CD39BB" w:rsidRPr="00FA7BE2">
        <w:rPr>
          <w:rFonts w:asciiTheme="minorEastAsia" w:eastAsiaTheme="minorEastAsia" w:hAnsiTheme="minorEastAsia" w:hint="eastAsia"/>
          <w:szCs w:val="21"/>
        </w:rPr>
        <w:t>B类</w:t>
      </w:r>
      <w:r w:rsidRPr="00FA7BE2">
        <w:rPr>
          <w:rFonts w:asciiTheme="minorEastAsia" w:eastAsiaTheme="minorEastAsia" w:hAnsiTheme="minorEastAsia" w:hint="eastAsia"/>
          <w:szCs w:val="21"/>
        </w:rPr>
        <w:t>基金份额的赎回费率为：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C6736" w:rsidRPr="00FA7BE2" w:rsidTr="004F61A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持有时间（天）</w:t>
            </w:r>
          </w:p>
        </w:tc>
        <w:tc>
          <w:tcPr>
            <w:tcW w:w="3798" w:type="dxa"/>
            <w:tcBorders>
              <w:top w:val="single" w:sz="4" w:space="0" w:color="auto"/>
              <w:left w:val="single" w:sz="4" w:space="0" w:color="auto"/>
              <w:bottom w:val="single" w:sz="4" w:space="0" w:color="auto"/>
              <w:right w:val="single" w:sz="4" w:space="0" w:color="auto"/>
            </w:tcBorders>
          </w:tcPr>
          <w:p w:rsidR="00D21CF5" w:rsidRPr="00FA7BE2" w:rsidRDefault="00CD39BB"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hint="eastAsia"/>
                <w:szCs w:val="21"/>
              </w:rPr>
              <w:t>A类</w:t>
            </w:r>
            <w:r w:rsidR="00D21CF5" w:rsidRPr="00FA7BE2">
              <w:rPr>
                <w:rFonts w:asciiTheme="minorEastAsia" w:eastAsiaTheme="minorEastAsia" w:hAnsiTheme="minorEastAsia" w:hint="eastAsia"/>
                <w:szCs w:val="21"/>
              </w:rPr>
              <w:t>/</w:t>
            </w:r>
            <w:r w:rsidRPr="00FA7BE2">
              <w:rPr>
                <w:rFonts w:asciiTheme="minorEastAsia" w:eastAsiaTheme="minorEastAsia" w:hAnsiTheme="minorEastAsia" w:hint="eastAsia"/>
                <w:szCs w:val="21"/>
              </w:rPr>
              <w:t>B类</w:t>
            </w:r>
            <w:r w:rsidR="00D21CF5" w:rsidRPr="00FA7BE2">
              <w:rPr>
                <w:rFonts w:asciiTheme="minorEastAsia" w:eastAsiaTheme="minorEastAsia" w:hAnsiTheme="minorEastAsia" w:cs="宋体" w:hint="eastAsia"/>
                <w:kern w:val="0"/>
                <w:szCs w:val="21"/>
              </w:rPr>
              <w:t>基金份额赎回费率</w:t>
            </w:r>
          </w:p>
        </w:tc>
      </w:tr>
      <w:tr w:rsidR="005C6736" w:rsidRPr="00FA7BE2" w:rsidTr="004F61A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w:t>
            </w:r>
            <w:r w:rsidRPr="00FA7BE2">
              <w:rPr>
                <w:rFonts w:asciiTheme="minorEastAsia" w:eastAsiaTheme="minorEastAsia" w:hAnsiTheme="minorEastAsia" w:cs="宋体"/>
                <w:kern w:val="0"/>
                <w:szCs w:val="21"/>
              </w:rPr>
              <w:t>-6</w:t>
            </w:r>
          </w:p>
        </w:tc>
        <w:tc>
          <w:tcPr>
            <w:tcW w:w="3798"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szCs w:val="21"/>
              </w:rPr>
            </w:pPr>
            <w:r w:rsidRPr="00FA7BE2">
              <w:rPr>
                <w:rFonts w:asciiTheme="minorEastAsia" w:eastAsiaTheme="minorEastAsia" w:hAnsiTheme="minorEastAsia" w:hint="eastAsia"/>
                <w:szCs w:val="21"/>
              </w:rPr>
              <w:t>1.5</w:t>
            </w:r>
            <w:r w:rsidRPr="00FA7BE2">
              <w:rPr>
                <w:rFonts w:asciiTheme="minorEastAsia" w:eastAsiaTheme="minorEastAsia" w:hAnsiTheme="minorEastAsia"/>
                <w:szCs w:val="21"/>
              </w:rPr>
              <w:t>%</w:t>
            </w:r>
          </w:p>
        </w:tc>
      </w:tr>
      <w:tr w:rsidR="005C6736" w:rsidRPr="00FA7BE2" w:rsidTr="004F61AF">
        <w:trPr>
          <w:jc w:val="center"/>
        </w:trPr>
        <w:tc>
          <w:tcPr>
            <w:tcW w:w="3870"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kern w:val="0"/>
                <w:szCs w:val="21"/>
              </w:rPr>
              <w:t>7</w:t>
            </w:r>
            <w:r w:rsidRPr="00FA7BE2">
              <w:rPr>
                <w:rFonts w:asciiTheme="minorEastAsia" w:eastAsiaTheme="minorEastAsia" w:hAnsiTheme="minorEastAsia" w:cs="宋体" w:hint="eastAsia"/>
                <w:kern w:val="0"/>
                <w:szCs w:val="21"/>
              </w:rPr>
              <w:t>-29</w:t>
            </w:r>
          </w:p>
        </w:tc>
        <w:tc>
          <w:tcPr>
            <w:tcW w:w="3798"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0.75%</w:t>
            </w:r>
          </w:p>
        </w:tc>
      </w:tr>
      <w:tr w:rsidR="005C6736" w:rsidRPr="00FA7BE2" w:rsidTr="004F61AF">
        <w:trPr>
          <w:jc w:val="center"/>
        </w:trPr>
        <w:tc>
          <w:tcPr>
            <w:tcW w:w="3870"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30及以上</w:t>
            </w:r>
          </w:p>
        </w:tc>
        <w:tc>
          <w:tcPr>
            <w:tcW w:w="3798" w:type="dxa"/>
            <w:tcBorders>
              <w:top w:val="single" w:sz="4" w:space="0" w:color="auto"/>
              <w:left w:val="single" w:sz="4" w:space="0" w:color="auto"/>
              <w:bottom w:val="single" w:sz="4" w:space="0" w:color="auto"/>
              <w:right w:val="single" w:sz="4" w:space="0" w:color="auto"/>
            </w:tcBorders>
          </w:tcPr>
          <w:p w:rsidR="00D21CF5" w:rsidRPr="00FA7BE2" w:rsidRDefault="00D21CF5" w:rsidP="004F61A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w:t>
            </w:r>
          </w:p>
        </w:tc>
      </w:tr>
    </w:tbl>
    <w:p w:rsidR="000F6C14" w:rsidRPr="00FA7BE2" w:rsidRDefault="000F6C14" w:rsidP="00D21CF5">
      <w:pPr>
        <w:widowControl/>
        <w:snapToGrid w:val="0"/>
        <w:spacing w:line="360" w:lineRule="auto"/>
        <w:ind w:firstLineChars="200" w:firstLine="420"/>
        <w:jc w:val="left"/>
        <w:rPr>
          <w:rFonts w:asciiTheme="minorEastAsia" w:eastAsiaTheme="minorEastAsia" w:hAnsiTheme="minorEastAsia"/>
          <w:szCs w:val="21"/>
        </w:rPr>
      </w:pPr>
      <w:r w:rsidRPr="00FA7BE2">
        <w:rPr>
          <w:rFonts w:asciiTheme="minorEastAsia" w:eastAsiaTheme="minorEastAsia" w:hAnsiTheme="minorEastAsia"/>
          <w:szCs w:val="21"/>
        </w:rPr>
        <w:t>本基金C类基金份额的赎回费率为：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C6736" w:rsidRPr="00FA7BE2" w:rsidTr="004D549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持有时间（天）</w:t>
            </w:r>
          </w:p>
        </w:tc>
        <w:tc>
          <w:tcPr>
            <w:tcW w:w="3798"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hint="eastAsia"/>
                <w:szCs w:val="21"/>
              </w:rPr>
              <w:t>C类</w:t>
            </w:r>
            <w:r w:rsidRPr="00FA7BE2">
              <w:rPr>
                <w:rFonts w:asciiTheme="minorEastAsia" w:eastAsiaTheme="minorEastAsia" w:hAnsiTheme="minorEastAsia" w:cs="宋体" w:hint="eastAsia"/>
                <w:kern w:val="0"/>
                <w:szCs w:val="21"/>
              </w:rPr>
              <w:t>基金份额赎回费率</w:t>
            </w:r>
          </w:p>
        </w:tc>
      </w:tr>
      <w:tr w:rsidR="005C6736" w:rsidRPr="00FA7BE2" w:rsidTr="004D549F">
        <w:trPr>
          <w:trHeight w:val="462"/>
          <w:jc w:val="center"/>
        </w:trPr>
        <w:tc>
          <w:tcPr>
            <w:tcW w:w="3870"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w:t>
            </w:r>
            <w:r w:rsidRPr="00FA7BE2">
              <w:rPr>
                <w:rFonts w:asciiTheme="minorEastAsia" w:eastAsiaTheme="minorEastAsia" w:hAnsiTheme="minorEastAsia" w:cs="宋体"/>
                <w:kern w:val="0"/>
                <w:szCs w:val="21"/>
              </w:rPr>
              <w:t>-6</w:t>
            </w:r>
          </w:p>
        </w:tc>
        <w:tc>
          <w:tcPr>
            <w:tcW w:w="3798"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szCs w:val="21"/>
              </w:rPr>
            </w:pPr>
            <w:r w:rsidRPr="00FA7BE2">
              <w:rPr>
                <w:rFonts w:asciiTheme="minorEastAsia" w:eastAsiaTheme="minorEastAsia" w:hAnsiTheme="minorEastAsia" w:hint="eastAsia"/>
                <w:szCs w:val="21"/>
              </w:rPr>
              <w:t>1.5</w:t>
            </w:r>
            <w:r w:rsidRPr="00FA7BE2">
              <w:rPr>
                <w:rFonts w:asciiTheme="minorEastAsia" w:eastAsiaTheme="minorEastAsia" w:hAnsiTheme="minorEastAsia"/>
                <w:szCs w:val="21"/>
              </w:rPr>
              <w:t>%</w:t>
            </w:r>
          </w:p>
        </w:tc>
      </w:tr>
      <w:tr w:rsidR="005C6736" w:rsidRPr="00FA7BE2"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kern w:val="0"/>
                <w:szCs w:val="21"/>
              </w:rPr>
              <w:t>7</w:t>
            </w:r>
            <w:r w:rsidRPr="00FA7BE2">
              <w:rPr>
                <w:rFonts w:asciiTheme="minorEastAsia" w:eastAsiaTheme="minorEastAsia" w:hAnsiTheme="minorEastAsia" w:cs="宋体" w:hint="eastAsia"/>
                <w:kern w:val="0"/>
                <w:szCs w:val="21"/>
              </w:rPr>
              <w:t>-29</w:t>
            </w:r>
          </w:p>
        </w:tc>
        <w:tc>
          <w:tcPr>
            <w:tcW w:w="3798" w:type="dxa"/>
            <w:tcBorders>
              <w:top w:val="single" w:sz="4" w:space="0" w:color="auto"/>
              <w:left w:val="single" w:sz="4" w:space="0" w:color="auto"/>
              <w:bottom w:val="single" w:sz="4" w:space="0" w:color="auto"/>
              <w:right w:val="single" w:sz="4" w:space="0" w:color="auto"/>
            </w:tcBorders>
          </w:tcPr>
          <w:p w:rsidR="000F6C14" w:rsidRPr="00FA7BE2" w:rsidRDefault="000F6C14" w:rsidP="004D549F">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0.75%</w:t>
            </w:r>
          </w:p>
        </w:tc>
      </w:tr>
      <w:tr w:rsidR="005C6736" w:rsidRPr="00FA7BE2"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FA7BE2" w:rsidRDefault="000F6C14" w:rsidP="000F6C14">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kern w:val="0"/>
                <w:szCs w:val="21"/>
              </w:rPr>
              <w:t>30-364</w:t>
            </w:r>
          </w:p>
        </w:tc>
        <w:tc>
          <w:tcPr>
            <w:tcW w:w="3798" w:type="dxa"/>
            <w:tcBorders>
              <w:top w:val="single" w:sz="4" w:space="0" w:color="auto"/>
              <w:left w:val="single" w:sz="4" w:space="0" w:color="auto"/>
              <w:bottom w:val="single" w:sz="4" w:space="0" w:color="auto"/>
              <w:right w:val="single" w:sz="4" w:space="0" w:color="auto"/>
            </w:tcBorders>
          </w:tcPr>
          <w:p w:rsidR="000F6C14" w:rsidRPr="00FA7BE2" w:rsidRDefault="000F6C14" w:rsidP="000F6C14">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kern w:val="0"/>
                <w:szCs w:val="21"/>
              </w:rPr>
              <w:t>0.5%</w:t>
            </w:r>
          </w:p>
        </w:tc>
      </w:tr>
      <w:tr w:rsidR="005C6736" w:rsidRPr="00FA7BE2" w:rsidTr="004D549F">
        <w:trPr>
          <w:jc w:val="center"/>
        </w:trPr>
        <w:tc>
          <w:tcPr>
            <w:tcW w:w="3870" w:type="dxa"/>
            <w:tcBorders>
              <w:top w:val="single" w:sz="4" w:space="0" w:color="auto"/>
              <w:left w:val="single" w:sz="4" w:space="0" w:color="auto"/>
              <w:bottom w:val="single" w:sz="4" w:space="0" w:color="auto"/>
              <w:right w:val="single" w:sz="4" w:space="0" w:color="auto"/>
            </w:tcBorders>
          </w:tcPr>
          <w:p w:rsidR="000F6C14" w:rsidRPr="00FA7BE2" w:rsidRDefault="000F6C14" w:rsidP="000F6C14">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365及以上</w:t>
            </w:r>
          </w:p>
        </w:tc>
        <w:tc>
          <w:tcPr>
            <w:tcW w:w="3798" w:type="dxa"/>
            <w:tcBorders>
              <w:top w:val="single" w:sz="4" w:space="0" w:color="auto"/>
              <w:left w:val="single" w:sz="4" w:space="0" w:color="auto"/>
              <w:bottom w:val="single" w:sz="4" w:space="0" w:color="auto"/>
              <w:right w:val="single" w:sz="4" w:space="0" w:color="auto"/>
            </w:tcBorders>
          </w:tcPr>
          <w:p w:rsidR="000F6C14" w:rsidRPr="00FA7BE2" w:rsidRDefault="000F6C14" w:rsidP="000F6C14">
            <w:pPr>
              <w:widowControl/>
              <w:snapToGrid w:val="0"/>
              <w:spacing w:line="360" w:lineRule="auto"/>
              <w:jc w:val="center"/>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0%</w:t>
            </w:r>
          </w:p>
        </w:tc>
      </w:tr>
    </w:tbl>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szCs w:val="21"/>
        </w:rPr>
      </w:pPr>
      <w:r w:rsidRPr="00FA7BE2">
        <w:rPr>
          <w:rFonts w:asciiTheme="minorEastAsia" w:eastAsiaTheme="minorEastAsia" w:hAnsiTheme="minorEastAsia" w:hint="eastAsia"/>
          <w:szCs w:val="21"/>
        </w:rPr>
        <w:t>投资者可将其持有的全部或部分基金份额赎回。本基金的赎回费用在投资者赎回本基金份额时收取。本基金的赎回费由赎回人承担，对于持有期限少于30天的本基金</w:t>
      </w:r>
      <w:r w:rsidR="00CD39BB" w:rsidRPr="00FA7BE2">
        <w:rPr>
          <w:rFonts w:asciiTheme="minorEastAsia" w:eastAsiaTheme="minorEastAsia" w:hAnsiTheme="minorEastAsia" w:hint="eastAsia"/>
          <w:szCs w:val="21"/>
        </w:rPr>
        <w:t>A类</w:t>
      </w:r>
      <w:r w:rsidRPr="00FA7BE2">
        <w:rPr>
          <w:rFonts w:asciiTheme="minorEastAsia" w:eastAsiaTheme="minorEastAsia" w:hAnsiTheme="minorEastAsia" w:hint="eastAsia"/>
          <w:szCs w:val="21"/>
        </w:rPr>
        <w:t>/</w:t>
      </w:r>
      <w:r w:rsidR="00CD39BB" w:rsidRPr="00FA7BE2">
        <w:rPr>
          <w:rFonts w:asciiTheme="minorEastAsia" w:eastAsiaTheme="minorEastAsia" w:hAnsiTheme="minorEastAsia" w:hint="eastAsia"/>
          <w:szCs w:val="21"/>
        </w:rPr>
        <w:t>B类</w:t>
      </w:r>
      <w:r w:rsidRPr="00FA7BE2">
        <w:rPr>
          <w:rFonts w:asciiTheme="minorEastAsia" w:eastAsiaTheme="minorEastAsia" w:hAnsiTheme="minorEastAsia" w:hint="eastAsia"/>
          <w:szCs w:val="21"/>
        </w:rPr>
        <w:t>基金份额的赎回所收取的赎回费</w:t>
      </w:r>
      <w:r w:rsidR="000F6C14" w:rsidRPr="00FA7BE2">
        <w:rPr>
          <w:rFonts w:asciiTheme="minorEastAsia" w:eastAsiaTheme="minorEastAsia" w:hAnsiTheme="minorEastAsia" w:hint="eastAsia"/>
          <w:szCs w:val="21"/>
        </w:rPr>
        <w:t>与持有期限少于365天的本基金C类基金份额的赎回所收取的赎回费，</w:t>
      </w:r>
      <w:r w:rsidRPr="00FA7BE2">
        <w:rPr>
          <w:rFonts w:asciiTheme="minorEastAsia" w:eastAsiaTheme="minorEastAsia" w:hAnsiTheme="minorEastAsia" w:hint="eastAsia"/>
          <w:szCs w:val="21"/>
        </w:rPr>
        <w:t>全额计入基金财产。</w:t>
      </w:r>
    </w:p>
    <w:p w:rsidR="00D21CF5" w:rsidRPr="00FA7BE2" w:rsidRDefault="00D21CF5" w:rsidP="00D21CF5">
      <w:pPr>
        <w:widowControl/>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lastRenderedPageBreak/>
        <w:t>3、</w:t>
      </w:r>
      <w:r w:rsidRPr="00FA7BE2">
        <w:rPr>
          <w:rFonts w:asciiTheme="minorEastAsia" w:eastAsiaTheme="minorEastAsia" w:hAnsiTheme="minorEastAsia"/>
        </w:rPr>
        <w:t>基金管理人可以在基金合同规定的范围内调整申购费率和赎回费率。上述费率如发生变更，基金管理人还应最</w:t>
      </w:r>
      <w:r w:rsidRPr="00FA7BE2">
        <w:rPr>
          <w:rFonts w:asciiTheme="minorEastAsia" w:eastAsiaTheme="minorEastAsia" w:hAnsiTheme="minorEastAsia" w:hint="eastAsia"/>
        </w:rPr>
        <w:t>迟</w:t>
      </w:r>
      <w:r w:rsidRPr="00FA7BE2">
        <w:rPr>
          <w:rFonts w:asciiTheme="minorEastAsia" w:eastAsiaTheme="minorEastAsia" w:hAnsiTheme="minorEastAsia"/>
        </w:rPr>
        <w:t>于新的费率实施前2</w:t>
      </w:r>
      <w:r w:rsidRPr="00FA7BE2">
        <w:rPr>
          <w:rFonts w:asciiTheme="minorEastAsia" w:eastAsiaTheme="minorEastAsia" w:hAnsiTheme="minorEastAsia" w:hint="eastAsia"/>
        </w:rPr>
        <w:t>个工作</w:t>
      </w:r>
      <w:r w:rsidRPr="00FA7BE2">
        <w:rPr>
          <w:rFonts w:asciiTheme="minorEastAsia" w:eastAsiaTheme="minorEastAsia" w:hAnsiTheme="minorEastAsia"/>
        </w:rPr>
        <w:t>日在至少一家指定报刊及网站公告。</w:t>
      </w:r>
    </w:p>
    <w:p w:rsidR="00D21CF5" w:rsidRPr="00FA7BE2" w:rsidRDefault="00D21CF5" w:rsidP="00D21CF5">
      <w:pPr>
        <w:snapToGrid w:val="0"/>
        <w:spacing w:line="360" w:lineRule="auto"/>
        <w:ind w:firstLineChars="202" w:firstLine="424"/>
        <w:rPr>
          <w:rFonts w:asciiTheme="minorEastAsia" w:eastAsiaTheme="minorEastAsia" w:hAnsiTheme="minorEastAsia"/>
          <w:szCs w:val="21"/>
        </w:rPr>
      </w:pPr>
      <w:r w:rsidRPr="00FA7BE2">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2" w:name="_Toc75869962"/>
      <w:r w:rsidRPr="00FA7BE2">
        <w:rPr>
          <w:rFonts w:asciiTheme="minorEastAsia" w:eastAsiaTheme="minorEastAsia" w:hAnsiTheme="minorEastAsia" w:hint="eastAsia"/>
        </w:rPr>
        <w:t>（九）申购份额、赎回金额的计算方式</w:t>
      </w:r>
      <w:bookmarkEnd w:id="32"/>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1、申购份额的计算</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w:t>
      </w:r>
      <w:r w:rsidR="00CD39BB" w:rsidRPr="00FA7BE2">
        <w:rPr>
          <w:rFonts w:asciiTheme="minorEastAsia" w:eastAsiaTheme="minorEastAsia" w:hAnsiTheme="minorEastAsia" w:hint="eastAsia"/>
        </w:rPr>
        <w:t>A类</w:t>
      </w:r>
      <w:r w:rsidRPr="00FA7BE2">
        <w:rPr>
          <w:rFonts w:asciiTheme="minorEastAsia" w:eastAsiaTheme="minorEastAsia" w:hAnsiTheme="minorEastAsia" w:hint="eastAsia"/>
        </w:rPr>
        <w:t>基金份额申购份额的计算：</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申购份额＝申购金额/</w:t>
      </w:r>
      <w:r w:rsidR="00B26047" w:rsidRPr="00FA7BE2">
        <w:rPr>
          <w:rFonts w:asciiTheme="minorEastAsia" w:eastAsiaTheme="minorEastAsia" w:hAnsiTheme="minorEastAsia" w:hint="eastAsia"/>
        </w:rPr>
        <w:t>A类份额</w:t>
      </w:r>
      <w:r w:rsidRPr="00FA7BE2">
        <w:rPr>
          <w:rFonts w:asciiTheme="minorEastAsia" w:eastAsiaTheme="minorEastAsia" w:hAnsiTheme="minorEastAsia" w:hint="eastAsia"/>
        </w:rPr>
        <w:t>T日基金份额净值</w:t>
      </w:r>
    </w:p>
    <w:p w:rsidR="00D21CF5" w:rsidRPr="00FA7BE2" w:rsidRDefault="00D21CF5" w:rsidP="00D21CF5">
      <w:pPr>
        <w:snapToGrid w:val="0"/>
        <w:spacing w:line="360" w:lineRule="auto"/>
        <w:ind w:firstLine="420"/>
        <w:rPr>
          <w:rFonts w:asciiTheme="minorEastAsia" w:eastAsiaTheme="minorEastAsia" w:hAnsiTheme="minorEastAsia"/>
          <w:sz w:val="24"/>
        </w:rPr>
      </w:pPr>
      <w:r w:rsidRPr="00FA7BE2">
        <w:rPr>
          <w:rFonts w:asciiTheme="minorEastAsia" w:eastAsiaTheme="minorEastAsia" w:hAnsiTheme="minorEastAsia" w:hint="eastAsia"/>
        </w:rPr>
        <w:t>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757"/>
        <w:gridCol w:w="2766"/>
      </w:tblGrid>
      <w:tr w:rsidR="005C6736" w:rsidRPr="00FA7BE2" w:rsidTr="004F61AF">
        <w:tc>
          <w:tcPr>
            <w:tcW w:w="2840"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申购金额</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基金份额净值</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申购份数</w:t>
            </w:r>
          </w:p>
        </w:tc>
      </w:tr>
      <w:tr w:rsidR="00E3582F" w:rsidRPr="00FA7BE2" w:rsidTr="004F61AF">
        <w:tc>
          <w:tcPr>
            <w:tcW w:w="2840"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10,000元</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1.0200元</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9,803.92份</w:t>
            </w:r>
          </w:p>
        </w:tc>
      </w:tr>
      <w:tr w:rsidR="005C6736" w:rsidRPr="00FA7BE2" w:rsidTr="004F61AF">
        <w:tc>
          <w:tcPr>
            <w:tcW w:w="2840"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10,000,000元</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1.0200元</w:t>
            </w:r>
          </w:p>
        </w:tc>
        <w:tc>
          <w:tcPr>
            <w:tcW w:w="2841" w:type="dxa"/>
          </w:tcPr>
          <w:p w:rsidR="00D21CF5" w:rsidRPr="00FA7BE2" w:rsidRDefault="00D21CF5" w:rsidP="004F61A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9,803，921.56份</w:t>
            </w:r>
          </w:p>
        </w:tc>
      </w:tr>
    </w:tbl>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申购份数保留至小数点后两位，小数点后两位以下舍去，舍去部分所代表的资产计入基金财产。</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w:t>
      </w:r>
      <w:r w:rsidR="00CD39BB"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基金份额申购份额的计算：</w:t>
      </w:r>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购费用=</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购金额/（1＋</w:t>
      </w:r>
      <w:r w:rsidR="00D83876" w:rsidRPr="00FA7BE2">
        <w:rPr>
          <w:rFonts w:asciiTheme="minorEastAsia" w:eastAsiaTheme="minorEastAsia" w:hAnsiTheme="minorEastAsia" w:cs="宋体" w:hint="eastAsia"/>
          <w:kern w:val="0"/>
          <w:szCs w:val="21"/>
        </w:rPr>
        <w:t>B类份额</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购费率）×</w:t>
      </w:r>
      <w:r w:rsidR="00D83876" w:rsidRPr="00FA7BE2">
        <w:rPr>
          <w:rFonts w:asciiTheme="minorEastAsia" w:eastAsiaTheme="minorEastAsia" w:hAnsiTheme="minorEastAsia" w:cs="宋体" w:hint="eastAsia"/>
          <w:kern w:val="0"/>
          <w:szCs w:val="21"/>
        </w:rPr>
        <w:t>B类份额</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购费率，对于1000万元（含）以上的</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购适用绝对数额的</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购费金额</w:t>
      </w:r>
    </w:p>
    <w:p w:rsidR="00D21CF5" w:rsidRPr="00FA7BE2" w:rsidRDefault="00D21CF5" w:rsidP="00D21CF5">
      <w:pPr>
        <w:pStyle w:val="afff1"/>
        <w:tabs>
          <w:tab w:val="left" w:pos="3780"/>
        </w:tabs>
        <w:autoSpaceDE w:val="0"/>
        <w:autoSpaceDN w:val="0"/>
        <w:adjustRightInd w:val="0"/>
        <w:snapToGrid w:val="0"/>
        <w:ind w:firstLineChars="0"/>
        <w:rPr>
          <w:rFonts w:asciiTheme="minorEastAsia" w:eastAsiaTheme="minorEastAsia" w:hAnsiTheme="minorEastAsia" w:cs="宋体"/>
          <w:kern w:val="0"/>
          <w:szCs w:val="21"/>
        </w:rPr>
      </w:pPr>
      <w:r w:rsidRPr="00FA7BE2">
        <w:rPr>
          <w:rFonts w:asciiTheme="minorEastAsia" w:eastAsiaTheme="minorEastAsia" w:hAnsiTheme="minorEastAsia" w:cs="宋体"/>
          <w:kern w:val="0"/>
          <w:szCs w:val="21"/>
        </w:rPr>
        <w:t>净</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购金额=</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购金额-</w:t>
      </w:r>
      <w:r w:rsidRPr="00FA7BE2">
        <w:rPr>
          <w:rFonts w:asciiTheme="minorEastAsia" w:eastAsiaTheme="minorEastAsia" w:hAnsiTheme="minorEastAsia" w:cs="宋体" w:hint="eastAsia"/>
          <w:kern w:val="0"/>
          <w:szCs w:val="21"/>
        </w:rPr>
        <w:t>申</w:t>
      </w:r>
      <w:r w:rsidRPr="00FA7BE2">
        <w:rPr>
          <w:rFonts w:asciiTheme="minorEastAsia" w:eastAsiaTheme="minorEastAsia" w:hAnsiTheme="minorEastAsia" w:cs="宋体"/>
          <w:kern w:val="0"/>
          <w:szCs w:val="21"/>
        </w:rPr>
        <w:t>购费用</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申购份额=净申购金额/</w:t>
      </w:r>
      <w:r w:rsidR="00D83876" w:rsidRPr="00FA7BE2">
        <w:rPr>
          <w:rFonts w:asciiTheme="minorEastAsia" w:eastAsiaTheme="minorEastAsia" w:hAnsiTheme="minorEastAsia" w:hint="eastAsia"/>
        </w:rPr>
        <w:t>B类份额</w:t>
      </w:r>
      <w:r w:rsidRPr="00FA7BE2">
        <w:rPr>
          <w:rFonts w:asciiTheme="minorEastAsia" w:eastAsiaTheme="minorEastAsia" w:hAnsiTheme="minorEastAsia" w:hint="eastAsia"/>
        </w:rPr>
        <w:t>T日基金份额净值</w:t>
      </w:r>
    </w:p>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例二：</w:t>
      </w:r>
      <w:r w:rsidRPr="00FA7BE2">
        <w:rPr>
          <w:rFonts w:asciiTheme="minorEastAsia" w:eastAsiaTheme="minorEastAsia" w:hAnsiTheme="minorEastAsia" w:hint="eastAsia"/>
          <w:kern w:val="0"/>
        </w:rPr>
        <w:t>某投资者（非特定投资群体）申购</w:t>
      </w:r>
      <w:r w:rsidR="00CD39BB"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04"/>
        <w:gridCol w:w="1304"/>
        <w:gridCol w:w="1376"/>
        <w:gridCol w:w="1442"/>
        <w:gridCol w:w="1476"/>
      </w:tblGrid>
      <w:tr w:rsidR="005C6736" w:rsidRPr="00FA7BE2" w:rsidTr="004F61AF">
        <w:tc>
          <w:tcPr>
            <w:tcW w:w="140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申购金额</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申购费率</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申购费</w:t>
            </w:r>
            <w:r w:rsidRPr="00FA7BE2">
              <w:rPr>
                <w:rFonts w:asciiTheme="minorEastAsia" w:eastAsiaTheme="minorEastAsia" w:hAnsiTheme="minorEastAsia"/>
                <w:b/>
                <w:szCs w:val="21"/>
              </w:rPr>
              <w:t>用</w:t>
            </w:r>
          </w:p>
        </w:tc>
        <w:tc>
          <w:tcPr>
            <w:tcW w:w="1399"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净申购金额</w:t>
            </w:r>
          </w:p>
        </w:tc>
        <w:tc>
          <w:tcPr>
            <w:tcW w:w="1507"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基金份额净值</w:t>
            </w:r>
          </w:p>
        </w:tc>
        <w:tc>
          <w:tcPr>
            <w:tcW w:w="147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申购份数</w:t>
            </w:r>
          </w:p>
        </w:tc>
      </w:tr>
      <w:tr w:rsidR="00E3582F" w:rsidRPr="00FA7BE2" w:rsidTr="004F61AF">
        <w:tc>
          <w:tcPr>
            <w:tcW w:w="140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10,000元</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0.8%</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79.37元</w:t>
            </w:r>
          </w:p>
        </w:tc>
        <w:tc>
          <w:tcPr>
            <w:tcW w:w="1399"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9,920.63元</w:t>
            </w:r>
          </w:p>
        </w:tc>
        <w:tc>
          <w:tcPr>
            <w:tcW w:w="1507"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1.0200元</w:t>
            </w:r>
          </w:p>
        </w:tc>
        <w:tc>
          <w:tcPr>
            <w:tcW w:w="147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9,726.10份</w:t>
            </w:r>
          </w:p>
        </w:tc>
      </w:tr>
      <w:tr w:rsidR="005C6736" w:rsidRPr="00FA7BE2" w:rsidTr="004F61AF">
        <w:tc>
          <w:tcPr>
            <w:tcW w:w="140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10,000,000元</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1,000元</w:t>
            </w:r>
          </w:p>
        </w:tc>
        <w:tc>
          <w:tcPr>
            <w:tcW w:w="136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1,000元</w:t>
            </w:r>
          </w:p>
        </w:tc>
        <w:tc>
          <w:tcPr>
            <w:tcW w:w="1399"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9,999,000元</w:t>
            </w:r>
          </w:p>
        </w:tc>
        <w:tc>
          <w:tcPr>
            <w:tcW w:w="1507"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1.0200元</w:t>
            </w:r>
          </w:p>
        </w:tc>
        <w:tc>
          <w:tcPr>
            <w:tcW w:w="1476"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9,802,941.17份</w:t>
            </w:r>
          </w:p>
        </w:tc>
      </w:tr>
    </w:tbl>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例三：</w:t>
      </w:r>
      <w:r w:rsidRPr="00FA7BE2">
        <w:rPr>
          <w:rFonts w:asciiTheme="minorEastAsia" w:eastAsiaTheme="minorEastAsia" w:hAnsiTheme="minorEastAsia" w:hint="eastAsia"/>
          <w:kern w:val="0"/>
        </w:rPr>
        <w:t>某投资者（特定投资群体）申购</w:t>
      </w:r>
      <w:r w:rsidR="00CD39BB"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303"/>
        <w:gridCol w:w="1303"/>
        <w:gridCol w:w="1376"/>
        <w:gridCol w:w="1444"/>
        <w:gridCol w:w="1476"/>
      </w:tblGrid>
      <w:tr w:rsidR="005C6736" w:rsidRPr="00FA7BE2" w:rsidTr="004F61AF">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申购金额</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申购费率</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申购费</w:t>
            </w:r>
            <w:r w:rsidRPr="00FA7BE2">
              <w:rPr>
                <w:rFonts w:asciiTheme="minorEastAsia" w:eastAsiaTheme="minorEastAsia" w:hAnsiTheme="minorEastAsia"/>
                <w:b/>
                <w:szCs w:val="21"/>
              </w:rPr>
              <w:t>用</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净申购金额</w:t>
            </w:r>
          </w:p>
        </w:tc>
        <w:tc>
          <w:tcPr>
            <w:tcW w:w="156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基金份额净值</w:t>
            </w:r>
          </w:p>
        </w:tc>
        <w:tc>
          <w:tcPr>
            <w:tcW w:w="1274"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b/>
                <w:szCs w:val="21"/>
              </w:rPr>
              <w:t>申购份数</w:t>
            </w:r>
          </w:p>
        </w:tc>
      </w:tr>
      <w:tr w:rsidR="00E3582F" w:rsidRPr="00FA7BE2" w:rsidTr="004F61AF">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100,000元</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0.08%</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79.94元</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99,920.06元</w:t>
            </w:r>
          </w:p>
        </w:tc>
        <w:tc>
          <w:tcPr>
            <w:tcW w:w="156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1.0200元</w:t>
            </w:r>
          </w:p>
        </w:tc>
        <w:tc>
          <w:tcPr>
            <w:tcW w:w="1274"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97,960.84份</w:t>
            </w:r>
          </w:p>
        </w:tc>
      </w:tr>
      <w:tr w:rsidR="005C6736" w:rsidRPr="00FA7BE2" w:rsidTr="004F61AF">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lastRenderedPageBreak/>
              <w:t>10,000,000元</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1,000元</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1,000元</w:t>
            </w:r>
          </w:p>
        </w:tc>
        <w:tc>
          <w:tcPr>
            <w:tcW w:w="1420"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9,999,000元</w:t>
            </w:r>
          </w:p>
        </w:tc>
        <w:tc>
          <w:tcPr>
            <w:tcW w:w="1568"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1.0200元</w:t>
            </w:r>
          </w:p>
        </w:tc>
        <w:tc>
          <w:tcPr>
            <w:tcW w:w="1274" w:type="dxa"/>
          </w:tcPr>
          <w:p w:rsidR="00D21CF5" w:rsidRPr="00FA7BE2" w:rsidRDefault="00D21CF5" w:rsidP="004F61AF">
            <w:pPr>
              <w:pStyle w:val="aff8"/>
              <w:snapToGrid w:val="0"/>
              <w:spacing w:after="0" w:line="360" w:lineRule="auto"/>
              <w:ind w:firstLineChars="0" w:firstLine="0"/>
              <w:rPr>
                <w:rFonts w:asciiTheme="minorEastAsia" w:eastAsiaTheme="minorEastAsia" w:hAnsiTheme="minorEastAsia"/>
              </w:rPr>
            </w:pPr>
            <w:r w:rsidRPr="00FA7BE2">
              <w:rPr>
                <w:rFonts w:asciiTheme="minorEastAsia" w:eastAsiaTheme="minorEastAsia" w:hAnsiTheme="minorEastAsia" w:hint="eastAsia"/>
                <w:szCs w:val="21"/>
              </w:rPr>
              <w:t>9,802,941.17份</w:t>
            </w:r>
          </w:p>
        </w:tc>
      </w:tr>
    </w:tbl>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申购费</w:t>
      </w:r>
      <w:r w:rsidRPr="00FA7BE2">
        <w:rPr>
          <w:rFonts w:asciiTheme="minorEastAsia" w:eastAsiaTheme="minorEastAsia" w:hAnsiTheme="minorEastAsia" w:cs="宋体"/>
          <w:kern w:val="0"/>
          <w:szCs w:val="21"/>
        </w:rPr>
        <w:t>用</w:t>
      </w:r>
      <w:r w:rsidRPr="00FA7BE2">
        <w:rPr>
          <w:rFonts w:asciiTheme="minorEastAsia" w:eastAsiaTheme="minorEastAsia" w:hAnsiTheme="minorEastAsia" w:hint="eastAsia"/>
        </w:rPr>
        <w:t>和净申购金额以人民币元为单位，四舍五入，保留小数点后两位，由此误差产生的损失由基金财产承担，产生的收益由基金财产所有。申购份数保留至小数点后两位，小数点后两位以下舍去，舍去部分所代表的资产计入基金财产。</w:t>
      </w:r>
    </w:p>
    <w:p w:rsidR="00580247" w:rsidRPr="00FA7BE2" w:rsidRDefault="00580247" w:rsidP="0058024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（3）C类基金份额申购份额的计算：</w:t>
      </w:r>
    </w:p>
    <w:p w:rsidR="00580247" w:rsidRPr="00FA7BE2" w:rsidRDefault="00580247" w:rsidP="0058024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申购份额＝申购金额/C类份额T日基金份额净值</w:t>
      </w:r>
    </w:p>
    <w:p w:rsidR="00580247" w:rsidRPr="00FA7BE2" w:rsidRDefault="00580247" w:rsidP="00580247">
      <w:pPr>
        <w:snapToGrid w:val="0"/>
        <w:spacing w:line="360" w:lineRule="auto"/>
        <w:ind w:firstLine="420"/>
        <w:rPr>
          <w:rFonts w:asciiTheme="minorEastAsia" w:eastAsiaTheme="minorEastAsia" w:hAnsiTheme="minorEastAsia"/>
          <w:sz w:val="24"/>
        </w:rPr>
      </w:pPr>
      <w:r w:rsidRPr="00FA7BE2">
        <w:rPr>
          <w:rFonts w:asciiTheme="minorEastAsia" w:eastAsiaTheme="minorEastAsia" w:hAnsiTheme="minorEastAsia" w:hint="eastAsia"/>
        </w:rPr>
        <w:t>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757"/>
        <w:gridCol w:w="2766"/>
      </w:tblGrid>
      <w:tr w:rsidR="005C6736" w:rsidRPr="00FA7BE2" w:rsidTr="004D549F">
        <w:tc>
          <w:tcPr>
            <w:tcW w:w="2840"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申购金额</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基金份额净值</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b/>
                <w:szCs w:val="21"/>
              </w:rPr>
              <w:t>申购份数</w:t>
            </w:r>
          </w:p>
        </w:tc>
      </w:tr>
      <w:tr w:rsidR="00E3582F" w:rsidRPr="00FA7BE2" w:rsidTr="004D549F">
        <w:tc>
          <w:tcPr>
            <w:tcW w:w="2840"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10,000元</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1.0200元</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9,803.92份</w:t>
            </w:r>
          </w:p>
        </w:tc>
      </w:tr>
      <w:tr w:rsidR="005C6736" w:rsidRPr="00FA7BE2" w:rsidTr="004D549F">
        <w:tc>
          <w:tcPr>
            <w:tcW w:w="2840"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10,000,000元</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1.0200元</w:t>
            </w:r>
          </w:p>
        </w:tc>
        <w:tc>
          <w:tcPr>
            <w:tcW w:w="2841" w:type="dxa"/>
          </w:tcPr>
          <w:p w:rsidR="00580247" w:rsidRPr="00FA7BE2" w:rsidRDefault="00580247" w:rsidP="004D549F">
            <w:pPr>
              <w:snapToGrid w:val="0"/>
              <w:spacing w:line="360" w:lineRule="auto"/>
              <w:rPr>
                <w:rFonts w:asciiTheme="minorEastAsia" w:eastAsiaTheme="minorEastAsia" w:hAnsiTheme="minorEastAsia"/>
                <w:sz w:val="24"/>
              </w:rPr>
            </w:pPr>
            <w:r w:rsidRPr="00FA7BE2">
              <w:rPr>
                <w:rFonts w:asciiTheme="minorEastAsia" w:eastAsiaTheme="minorEastAsia" w:hAnsiTheme="minorEastAsia" w:hint="eastAsia"/>
                <w:szCs w:val="21"/>
              </w:rPr>
              <w:t>9,803，921.56份</w:t>
            </w:r>
          </w:p>
        </w:tc>
      </w:tr>
    </w:tbl>
    <w:p w:rsidR="00580247" w:rsidRPr="00FA7BE2" w:rsidRDefault="00580247" w:rsidP="00580247">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申购份数保留至小数点后两位，小数点后两位以下舍去，舍去部分所代表的资产计入基金财产。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2、赎回金额的计算</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赎回金额的计算方法如下：</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赎回费用</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赎回份额</w:t>
      </w:r>
      <w:r w:rsidRPr="00FA7BE2">
        <w:rPr>
          <w:rFonts w:asciiTheme="minorEastAsia" w:eastAsiaTheme="minorEastAsia" w:hAnsiTheme="minorEastAsia"/>
          <w:szCs w:val="21"/>
        </w:rPr>
        <w:t>×</w:t>
      </w:r>
      <w:r w:rsidRPr="00FA7BE2">
        <w:rPr>
          <w:rFonts w:asciiTheme="minorEastAsia" w:eastAsiaTheme="minorEastAsia" w:hAnsiTheme="minorEastAsia" w:hint="eastAsia"/>
        </w:rPr>
        <w:t>T日</w:t>
      </w:r>
      <w:r w:rsidR="00D83876" w:rsidRPr="00FA7BE2">
        <w:rPr>
          <w:rFonts w:asciiTheme="minorEastAsia" w:eastAsiaTheme="minorEastAsia" w:hAnsiTheme="minorEastAsia" w:hint="eastAsia"/>
        </w:rPr>
        <w:t>对应类别</w:t>
      </w:r>
      <w:r w:rsidRPr="00FA7BE2">
        <w:rPr>
          <w:rFonts w:asciiTheme="minorEastAsia" w:eastAsiaTheme="minorEastAsia" w:hAnsiTheme="minorEastAsia" w:hint="eastAsia"/>
          <w:szCs w:val="21"/>
        </w:rPr>
        <w:t>基金份额净值</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赎回费率</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szCs w:val="21"/>
        </w:rPr>
        <w:t>赎回金额</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赎回份额</w:t>
      </w:r>
      <w:r w:rsidRPr="00FA7BE2">
        <w:rPr>
          <w:rFonts w:asciiTheme="minorEastAsia" w:eastAsiaTheme="minorEastAsia" w:hAnsiTheme="minorEastAsia"/>
          <w:szCs w:val="21"/>
        </w:rPr>
        <w:t>×</w:t>
      </w:r>
      <w:r w:rsidRPr="00FA7BE2">
        <w:rPr>
          <w:rFonts w:asciiTheme="minorEastAsia" w:eastAsiaTheme="minorEastAsia" w:hAnsiTheme="minorEastAsia" w:hint="eastAsia"/>
        </w:rPr>
        <w:t>T日</w:t>
      </w:r>
      <w:r w:rsidR="00D83876" w:rsidRPr="00FA7BE2">
        <w:rPr>
          <w:rFonts w:asciiTheme="minorEastAsia" w:eastAsiaTheme="minorEastAsia" w:hAnsiTheme="minorEastAsia" w:hint="eastAsia"/>
        </w:rPr>
        <w:t>对应类别</w:t>
      </w:r>
      <w:r w:rsidRPr="00FA7BE2">
        <w:rPr>
          <w:rFonts w:asciiTheme="minorEastAsia" w:eastAsiaTheme="minorEastAsia" w:hAnsiTheme="minorEastAsia" w:hint="eastAsia"/>
          <w:szCs w:val="21"/>
        </w:rPr>
        <w:t>基金份额净值</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赎回费用</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例三：假定某投资者在T日赎回10</w:t>
      </w:r>
      <w:r w:rsidRPr="00FA7BE2">
        <w:rPr>
          <w:rFonts w:asciiTheme="minorEastAsia" w:eastAsiaTheme="minorEastAsia" w:hAnsiTheme="minorEastAsia"/>
        </w:rPr>
        <w:t>,000</w:t>
      </w:r>
      <w:r w:rsidRPr="00FA7BE2">
        <w:rPr>
          <w:rFonts w:asciiTheme="minorEastAsia" w:eastAsiaTheme="minorEastAsia" w:hAnsiTheme="minorEastAsia" w:hint="eastAsia"/>
        </w:rPr>
        <w:t>份</w:t>
      </w:r>
      <w:r w:rsidR="00CD39BB" w:rsidRPr="00FA7BE2">
        <w:rPr>
          <w:rFonts w:asciiTheme="minorEastAsia" w:eastAsiaTheme="minorEastAsia" w:hAnsiTheme="minorEastAsia"/>
        </w:rPr>
        <w:t>A类</w:t>
      </w:r>
      <w:r w:rsidRPr="00FA7BE2">
        <w:rPr>
          <w:rFonts w:asciiTheme="minorEastAsia" w:eastAsiaTheme="minorEastAsia" w:hAnsiTheme="minorEastAsia" w:hint="eastAsia"/>
        </w:rPr>
        <w:t>或</w:t>
      </w:r>
      <w:r w:rsidR="00CD39BB" w:rsidRPr="00FA7BE2">
        <w:rPr>
          <w:rFonts w:asciiTheme="minorEastAsia" w:eastAsiaTheme="minorEastAsia" w:hAnsiTheme="minorEastAsia" w:hint="eastAsia"/>
        </w:rPr>
        <w:t>B类</w:t>
      </w:r>
      <w:r w:rsidRPr="00FA7BE2">
        <w:rPr>
          <w:rFonts w:asciiTheme="minorEastAsia" w:eastAsiaTheme="minorEastAsia" w:hAnsiTheme="minorEastAsia" w:hint="eastAsia"/>
        </w:rPr>
        <w:t>基金份额，</w:t>
      </w:r>
      <w:r w:rsidRPr="00FA7BE2">
        <w:rPr>
          <w:rFonts w:asciiTheme="minorEastAsia" w:eastAsiaTheme="minorEastAsia" w:hAnsiTheme="minorEastAsia" w:hint="eastAsia"/>
          <w:szCs w:val="21"/>
        </w:rPr>
        <w:t>赎回当日基金份额净值是</w:t>
      </w:r>
      <w:r w:rsidRPr="00FA7BE2">
        <w:rPr>
          <w:rFonts w:asciiTheme="minorEastAsia" w:eastAsiaTheme="minorEastAsia" w:hAnsiTheme="minorEastAsia"/>
          <w:szCs w:val="21"/>
        </w:rPr>
        <w:t>1.0200</w:t>
      </w:r>
      <w:r w:rsidRPr="00FA7BE2">
        <w:rPr>
          <w:rFonts w:asciiTheme="minorEastAsia" w:eastAsiaTheme="minorEastAsia" w:hAnsiTheme="minorEastAsia" w:hint="eastAsia"/>
          <w:szCs w:val="21"/>
        </w:rPr>
        <w:t>元，持有期限为</w:t>
      </w:r>
      <w:r w:rsidRPr="00FA7BE2">
        <w:rPr>
          <w:rFonts w:asciiTheme="minorEastAsia" w:eastAsiaTheme="minorEastAsia" w:hAnsiTheme="minorEastAsia"/>
          <w:szCs w:val="21"/>
        </w:rPr>
        <w:t>100</w:t>
      </w:r>
      <w:r w:rsidRPr="00FA7BE2">
        <w:rPr>
          <w:rFonts w:asciiTheme="minorEastAsia" w:eastAsiaTheme="minorEastAsia" w:hAnsiTheme="minorEastAsia" w:hint="eastAsia"/>
          <w:szCs w:val="21"/>
        </w:rPr>
        <w:t>天，</w:t>
      </w:r>
      <w:r w:rsidRPr="00FA7BE2">
        <w:rPr>
          <w:rFonts w:asciiTheme="minorEastAsia" w:eastAsiaTheme="minorEastAsia" w:hAnsiTheme="minorEastAsia" w:hint="eastAsia"/>
        </w:rPr>
        <w:t>则其获得的赎回金额计算如下：</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赎回费用=10,000×1.0200×0%=0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赎回金额=10,000×</w:t>
      </w:r>
      <w:r w:rsidRPr="00FA7BE2">
        <w:rPr>
          <w:rFonts w:asciiTheme="minorEastAsia" w:eastAsiaTheme="minorEastAsia" w:hAnsiTheme="minorEastAsia"/>
        </w:rPr>
        <w:t>1.02</w:t>
      </w:r>
      <w:r w:rsidRPr="00FA7BE2">
        <w:rPr>
          <w:rFonts w:asciiTheme="minorEastAsia" w:eastAsiaTheme="minorEastAsia" w:hAnsiTheme="minorEastAsia" w:hint="eastAsia"/>
        </w:rPr>
        <w:t>00-0=10</w:t>
      </w:r>
      <w:r w:rsidRPr="00FA7BE2">
        <w:rPr>
          <w:rFonts w:asciiTheme="minorEastAsia" w:eastAsiaTheme="minorEastAsia" w:hAnsiTheme="minorEastAsia"/>
        </w:rPr>
        <w:t>,200</w:t>
      </w:r>
      <w:r w:rsidRPr="00FA7BE2">
        <w:rPr>
          <w:rFonts w:asciiTheme="minorEastAsia" w:eastAsiaTheme="minorEastAsia" w:hAnsiTheme="minorEastAsia" w:hint="eastAsia"/>
        </w:rPr>
        <w:t>.00元</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例四：假定某投资者在T日赎回10,000份</w:t>
      </w:r>
      <w:r w:rsidR="00CD39BB" w:rsidRPr="00FA7BE2">
        <w:rPr>
          <w:rFonts w:asciiTheme="minorEastAsia" w:eastAsiaTheme="minorEastAsia" w:hAnsiTheme="minorEastAsia"/>
        </w:rPr>
        <w:t>A类</w:t>
      </w:r>
      <w:r w:rsidR="00580247" w:rsidRPr="00FA7BE2">
        <w:rPr>
          <w:rFonts w:asciiTheme="minorEastAsia" w:eastAsiaTheme="minorEastAsia" w:hAnsiTheme="minorEastAsia" w:hint="eastAsia"/>
        </w:rPr>
        <w:t>、</w:t>
      </w:r>
      <w:r w:rsidR="00CD39BB" w:rsidRPr="00FA7BE2">
        <w:rPr>
          <w:rFonts w:asciiTheme="minorEastAsia" w:eastAsiaTheme="minorEastAsia" w:hAnsiTheme="minorEastAsia"/>
        </w:rPr>
        <w:t>B类</w:t>
      </w:r>
      <w:r w:rsidR="00580247" w:rsidRPr="00FA7BE2">
        <w:rPr>
          <w:rFonts w:asciiTheme="minorEastAsia" w:eastAsiaTheme="minorEastAsia" w:hAnsiTheme="minorEastAsia"/>
        </w:rPr>
        <w:t>或C类</w:t>
      </w:r>
      <w:r w:rsidRPr="00FA7BE2">
        <w:rPr>
          <w:rFonts w:asciiTheme="minorEastAsia" w:eastAsiaTheme="minorEastAsia" w:hAnsiTheme="minorEastAsia" w:hint="eastAsia"/>
        </w:rPr>
        <w:t>基金份额，</w:t>
      </w:r>
      <w:r w:rsidRPr="00FA7BE2">
        <w:rPr>
          <w:rFonts w:asciiTheme="minorEastAsia" w:eastAsiaTheme="minorEastAsia" w:hAnsiTheme="minorEastAsia" w:hint="eastAsia"/>
          <w:szCs w:val="21"/>
        </w:rPr>
        <w:t>赎回当日基金份额净值是</w:t>
      </w:r>
      <w:r w:rsidRPr="00FA7BE2">
        <w:rPr>
          <w:rFonts w:asciiTheme="minorEastAsia" w:eastAsiaTheme="minorEastAsia" w:hAnsiTheme="minorEastAsia"/>
          <w:szCs w:val="21"/>
        </w:rPr>
        <w:t>1.0200</w:t>
      </w:r>
      <w:r w:rsidRPr="00FA7BE2">
        <w:rPr>
          <w:rFonts w:asciiTheme="minorEastAsia" w:eastAsiaTheme="minorEastAsia" w:hAnsiTheme="minorEastAsia" w:hint="eastAsia"/>
          <w:szCs w:val="21"/>
        </w:rPr>
        <w:t>元，持有期限为</w:t>
      </w:r>
      <w:r w:rsidRPr="00FA7BE2">
        <w:rPr>
          <w:rFonts w:asciiTheme="minorEastAsia" w:eastAsiaTheme="minorEastAsia" w:hAnsiTheme="minorEastAsia"/>
          <w:szCs w:val="21"/>
        </w:rPr>
        <w:t>10</w:t>
      </w:r>
      <w:r w:rsidRPr="00FA7BE2">
        <w:rPr>
          <w:rFonts w:asciiTheme="minorEastAsia" w:eastAsiaTheme="minorEastAsia" w:hAnsiTheme="minorEastAsia" w:hint="eastAsia"/>
          <w:szCs w:val="21"/>
        </w:rPr>
        <w:t>天，</w:t>
      </w:r>
      <w:r w:rsidRPr="00FA7BE2">
        <w:rPr>
          <w:rFonts w:asciiTheme="minorEastAsia" w:eastAsiaTheme="minorEastAsia" w:hAnsiTheme="minorEastAsia" w:hint="eastAsia"/>
        </w:rPr>
        <w:t>则其获得的赎回金额计算如下：</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赎回费用=10,000×1.0200×0.75%=76.50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赎回金额=10,000×1.0200-76.50=10,123.50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例五</w:t>
      </w:r>
      <w:r w:rsidRPr="00FA7BE2">
        <w:rPr>
          <w:rFonts w:asciiTheme="minorEastAsia" w:eastAsiaTheme="minorEastAsia" w:hAnsiTheme="minorEastAsia"/>
        </w:rPr>
        <w:t>：</w:t>
      </w:r>
      <w:r w:rsidRPr="00FA7BE2">
        <w:rPr>
          <w:rFonts w:asciiTheme="minorEastAsia" w:eastAsiaTheme="minorEastAsia" w:hAnsiTheme="minorEastAsia" w:hint="eastAsia"/>
        </w:rPr>
        <w:t>假定某投资者在T日赎回10,000份</w:t>
      </w:r>
      <w:r w:rsidR="00CD39BB" w:rsidRPr="00FA7BE2">
        <w:rPr>
          <w:rFonts w:asciiTheme="minorEastAsia" w:eastAsiaTheme="minorEastAsia" w:hAnsiTheme="minorEastAsia"/>
        </w:rPr>
        <w:t>A类</w:t>
      </w:r>
      <w:r w:rsidR="00580247" w:rsidRPr="00FA7BE2">
        <w:rPr>
          <w:rFonts w:asciiTheme="minorEastAsia" w:eastAsiaTheme="minorEastAsia" w:hAnsiTheme="minorEastAsia" w:hint="eastAsia"/>
        </w:rPr>
        <w:t>、</w:t>
      </w:r>
      <w:r w:rsidR="00580247" w:rsidRPr="00FA7BE2">
        <w:rPr>
          <w:rFonts w:asciiTheme="minorEastAsia" w:eastAsiaTheme="minorEastAsia" w:hAnsiTheme="minorEastAsia"/>
        </w:rPr>
        <w:t>B类或C类</w:t>
      </w:r>
      <w:r w:rsidRPr="00FA7BE2">
        <w:rPr>
          <w:rFonts w:asciiTheme="minorEastAsia" w:eastAsiaTheme="minorEastAsia" w:hAnsiTheme="minorEastAsia" w:hint="eastAsia"/>
        </w:rPr>
        <w:t>基金份额，</w:t>
      </w:r>
      <w:r w:rsidRPr="00FA7BE2">
        <w:rPr>
          <w:rFonts w:asciiTheme="minorEastAsia" w:eastAsiaTheme="minorEastAsia" w:hAnsiTheme="minorEastAsia" w:hint="eastAsia"/>
          <w:szCs w:val="21"/>
        </w:rPr>
        <w:t>赎回当日基金份额净值是</w:t>
      </w:r>
      <w:r w:rsidRPr="00FA7BE2">
        <w:rPr>
          <w:rFonts w:asciiTheme="minorEastAsia" w:eastAsiaTheme="minorEastAsia" w:hAnsiTheme="minorEastAsia"/>
          <w:szCs w:val="21"/>
        </w:rPr>
        <w:t>1.0200</w:t>
      </w:r>
      <w:r w:rsidRPr="00FA7BE2">
        <w:rPr>
          <w:rFonts w:asciiTheme="minorEastAsia" w:eastAsiaTheme="minorEastAsia" w:hAnsiTheme="minorEastAsia" w:hint="eastAsia"/>
          <w:szCs w:val="21"/>
        </w:rPr>
        <w:t>元，持有期限为</w:t>
      </w:r>
      <w:r w:rsidRPr="00FA7BE2">
        <w:rPr>
          <w:rFonts w:asciiTheme="minorEastAsia" w:eastAsiaTheme="minorEastAsia" w:hAnsiTheme="minorEastAsia"/>
          <w:szCs w:val="21"/>
        </w:rPr>
        <w:t>6</w:t>
      </w:r>
      <w:r w:rsidRPr="00FA7BE2">
        <w:rPr>
          <w:rFonts w:asciiTheme="minorEastAsia" w:eastAsiaTheme="minorEastAsia" w:hAnsiTheme="minorEastAsia" w:hint="eastAsia"/>
          <w:szCs w:val="21"/>
        </w:rPr>
        <w:t>天，</w:t>
      </w:r>
      <w:r w:rsidRPr="00FA7BE2">
        <w:rPr>
          <w:rFonts w:asciiTheme="minorEastAsia" w:eastAsiaTheme="minorEastAsia" w:hAnsiTheme="minorEastAsia" w:hint="eastAsia"/>
        </w:rPr>
        <w:t>则其获得的赎回金额计算如下：</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赎回费用=10,000×1.0200×</w:t>
      </w:r>
      <w:r w:rsidRPr="00FA7BE2">
        <w:rPr>
          <w:rFonts w:asciiTheme="minorEastAsia" w:eastAsiaTheme="minorEastAsia" w:hAnsiTheme="minorEastAsia"/>
        </w:rPr>
        <w:t>1.50</w:t>
      </w:r>
      <w:r w:rsidRPr="00FA7BE2">
        <w:rPr>
          <w:rFonts w:asciiTheme="minorEastAsia" w:eastAsiaTheme="minorEastAsia" w:hAnsiTheme="minorEastAsia" w:hint="eastAsia"/>
        </w:rPr>
        <w:t>%=</w:t>
      </w:r>
      <w:r w:rsidRPr="00FA7BE2">
        <w:rPr>
          <w:rFonts w:asciiTheme="minorEastAsia" w:eastAsiaTheme="minorEastAsia" w:hAnsiTheme="minorEastAsia"/>
        </w:rPr>
        <w:t>153.00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赎回金额=10,000×1.0200-</w:t>
      </w:r>
      <w:r w:rsidRPr="00FA7BE2">
        <w:rPr>
          <w:rFonts w:asciiTheme="minorEastAsia" w:eastAsiaTheme="minorEastAsia" w:hAnsiTheme="minorEastAsia"/>
        </w:rPr>
        <w:t>153.00</w:t>
      </w:r>
      <w:r w:rsidRPr="00FA7BE2">
        <w:rPr>
          <w:rFonts w:asciiTheme="minorEastAsia" w:eastAsiaTheme="minorEastAsia" w:hAnsiTheme="minorEastAsia" w:hint="eastAsia"/>
        </w:rPr>
        <w:t>=10,</w:t>
      </w:r>
      <w:r w:rsidRPr="00FA7BE2">
        <w:rPr>
          <w:rFonts w:asciiTheme="minorEastAsia" w:eastAsiaTheme="minorEastAsia" w:hAnsiTheme="minorEastAsia"/>
        </w:rPr>
        <w:t>047</w:t>
      </w:r>
      <w:r w:rsidRPr="00FA7BE2">
        <w:rPr>
          <w:rFonts w:asciiTheme="minorEastAsia" w:eastAsiaTheme="minorEastAsia" w:hAnsiTheme="minorEastAsia" w:hint="eastAsia"/>
        </w:rPr>
        <w:t>.</w:t>
      </w:r>
      <w:r w:rsidRPr="00FA7BE2">
        <w:rPr>
          <w:rFonts w:asciiTheme="minorEastAsia" w:eastAsiaTheme="minorEastAsia" w:hAnsiTheme="minorEastAsia"/>
        </w:rPr>
        <w:t>00</w:t>
      </w:r>
    </w:p>
    <w:p w:rsidR="00580247" w:rsidRPr="00FA7BE2" w:rsidRDefault="00580247" w:rsidP="0058024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例六</w:t>
      </w:r>
      <w:r w:rsidRPr="00FA7BE2">
        <w:rPr>
          <w:rFonts w:asciiTheme="minorEastAsia" w:eastAsiaTheme="minorEastAsia" w:hAnsiTheme="minorEastAsia"/>
        </w:rPr>
        <w:t>：</w:t>
      </w:r>
      <w:r w:rsidRPr="00FA7BE2">
        <w:rPr>
          <w:rFonts w:asciiTheme="minorEastAsia" w:eastAsiaTheme="minorEastAsia" w:hAnsiTheme="minorEastAsia" w:hint="eastAsia"/>
        </w:rPr>
        <w:t>假定某投资者在T日赎回10,000份</w:t>
      </w:r>
      <w:r w:rsidRPr="00FA7BE2">
        <w:rPr>
          <w:rFonts w:asciiTheme="minorEastAsia" w:eastAsiaTheme="minorEastAsia" w:hAnsiTheme="minorEastAsia"/>
        </w:rPr>
        <w:t>C类</w:t>
      </w:r>
      <w:r w:rsidRPr="00FA7BE2">
        <w:rPr>
          <w:rFonts w:asciiTheme="minorEastAsia" w:eastAsiaTheme="minorEastAsia" w:hAnsiTheme="minorEastAsia" w:hint="eastAsia"/>
        </w:rPr>
        <w:t>基金份额，</w:t>
      </w:r>
      <w:r w:rsidRPr="00FA7BE2">
        <w:rPr>
          <w:rFonts w:asciiTheme="minorEastAsia" w:eastAsiaTheme="minorEastAsia" w:hAnsiTheme="minorEastAsia" w:hint="eastAsia"/>
          <w:szCs w:val="21"/>
        </w:rPr>
        <w:t>赎回当日基金份额净值是</w:t>
      </w:r>
      <w:r w:rsidRPr="00FA7BE2">
        <w:rPr>
          <w:rFonts w:asciiTheme="minorEastAsia" w:eastAsiaTheme="minorEastAsia" w:hAnsiTheme="minorEastAsia"/>
          <w:szCs w:val="21"/>
        </w:rPr>
        <w:t>1.0200</w:t>
      </w:r>
      <w:r w:rsidRPr="00FA7BE2">
        <w:rPr>
          <w:rFonts w:asciiTheme="minorEastAsia" w:eastAsiaTheme="minorEastAsia" w:hAnsiTheme="minorEastAsia" w:hint="eastAsia"/>
          <w:szCs w:val="21"/>
        </w:rPr>
        <w:t>元，持有期限为100天，</w:t>
      </w:r>
      <w:r w:rsidRPr="00FA7BE2">
        <w:rPr>
          <w:rFonts w:asciiTheme="minorEastAsia" w:eastAsiaTheme="minorEastAsia" w:hAnsiTheme="minorEastAsia" w:hint="eastAsia"/>
        </w:rPr>
        <w:t>则其获得的赎回金额计算如下：</w:t>
      </w:r>
    </w:p>
    <w:p w:rsidR="00580247" w:rsidRPr="00FA7BE2" w:rsidRDefault="00580247" w:rsidP="0058024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赎回费用=10,000×1.0200×0</w:t>
      </w:r>
      <w:r w:rsidRPr="00FA7BE2">
        <w:rPr>
          <w:rFonts w:asciiTheme="minorEastAsia" w:eastAsiaTheme="minorEastAsia" w:hAnsiTheme="minorEastAsia"/>
        </w:rPr>
        <w:t>.50</w:t>
      </w:r>
      <w:r w:rsidRPr="00FA7BE2">
        <w:rPr>
          <w:rFonts w:asciiTheme="minorEastAsia" w:eastAsiaTheme="minorEastAsia" w:hAnsiTheme="minorEastAsia" w:hint="eastAsia"/>
        </w:rPr>
        <w:t>%=</w:t>
      </w:r>
      <w:r w:rsidRPr="00FA7BE2">
        <w:rPr>
          <w:rFonts w:asciiTheme="minorEastAsia" w:eastAsiaTheme="minorEastAsia" w:hAnsiTheme="minorEastAsia"/>
        </w:rPr>
        <w:t>51.00</w:t>
      </w:r>
    </w:p>
    <w:p w:rsidR="00580247" w:rsidRPr="00FA7BE2" w:rsidRDefault="00580247" w:rsidP="0058024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赎回金额=10,000×1.0200-</w:t>
      </w:r>
      <w:r w:rsidRPr="00FA7BE2">
        <w:rPr>
          <w:rFonts w:asciiTheme="minorEastAsia" w:eastAsiaTheme="minorEastAsia" w:hAnsiTheme="minorEastAsia"/>
        </w:rPr>
        <w:t>51.00</w:t>
      </w:r>
      <w:r w:rsidRPr="00FA7BE2">
        <w:rPr>
          <w:rFonts w:asciiTheme="minorEastAsia" w:eastAsiaTheme="minorEastAsia" w:hAnsiTheme="minorEastAsia" w:hint="eastAsia"/>
        </w:rPr>
        <w:t>=10,149.</w:t>
      </w:r>
      <w:r w:rsidRPr="00FA7BE2">
        <w:rPr>
          <w:rFonts w:asciiTheme="minorEastAsia" w:eastAsiaTheme="minorEastAsia" w:hAnsiTheme="minorEastAsia"/>
        </w:rPr>
        <w:t>00</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赎回费用、赎回金额以人民币元为单位，四舍五入，保留小数点后两位，由此误差产生</w:t>
      </w:r>
      <w:r w:rsidRPr="00FA7BE2">
        <w:rPr>
          <w:rFonts w:asciiTheme="minorEastAsia" w:eastAsiaTheme="minorEastAsia" w:hAnsiTheme="minorEastAsia" w:hint="eastAsia"/>
        </w:rPr>
        <w:lastRenderedPageBreak/>
        <w:t>的损失由基金财产承担，产生的收益由基金财产所有。</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3、T日的基金份额净值在当天收市后计算，并在T+1日内公告。遇特殊情况，经中国证监会同意，可以适当延迟计算或公告。其计算公式为：计算日</w:t>
      </w:r>
      <w:r w:rsidR="00CD39BB" w:rsidRPr="00FA7BE2">
        <w:rPr>
          <w:rFonts w:asciiTheme="minorEastAsia" w:eastAsiaTheme="minorEastAsia" w:hAnsiTheme="minorEastAsia" w:hint="eastAsia"/>
        </w:rPr>
        <w:t>该类</w:t>
      </w:r>
      <w:r w:rsidRPr="00FA7BE2">
        <w:rPr>
          <w:rFonts w:asciiTheme="minorEastAsia" w:eastAsiaTheme="minorEastAsia" w:hAnsiTheme="minorEastAsia" w:hint="eastAsia"/>
        </w:rPr>
        <w:t>基金份额净值=计算日</w:t>
      </w:r>
      <w:r w:rsidR="00CD39BB" w:rsidRPr="00FA7BE2">
        <w:rPr>
          <w:rFonts w:asciiTheme="minorEastAsia" w:eastAsiaTheme="minorEastAsia" w:hAnsiTheme="minorEastAsia" w:hint="eastAsia"/>
        </w:rPr>
        <w:t>该类</w:t>
      </w:r>
      <w:r w:rsidRPr="00FA7BE2">
        <w:rPr>
          <w:rFonts w:asciiTheme="minorEastAsia" w:eastAsiaTheme="minorEastAsia" w:hAnsiTheme="minorEastAsia" w:hint="eastAsia"/>
        </w:rPr>
        <w:t>基金资产净值/计算日</w:t>
      </w:r>
      <w:r w:rsidR="00CD39BB" w:rsidRPr="00FA7BE2">
        <w:rPr>
          <w:rFonts w:asciiTheme="minorEastAsia" w:eastAsiaTheme="minorEastAsia" w:hAnsiTheme="minorEastAsia" w:hint="eastAsia"/>
        </w:rPr>
        <w:t>该类</w:t>
      </w:r>
      <w:r w:rsidRPr="00FA7BE2">
        <w:rPr>
          <w:rFonts w:asciiTheme="minorEastAsia" w:eastAsiaTheme="minorEastAsia" w:hAnsiTheme="minorEastAsia" w:hint="eastAsia"/>
        </w:rPr>
        <w:t>基金总份额。</w:t>
      </w:r>
    </w:p>
    <w:p w:rsidR="00D21CF5" w:rsidRPr="00FA7BE2" w:rsidRDefault="00D21CF5" w:rsidP="00D21CF5">
      <w:pPr>
        <w:snapToGrid w:val="0"/>
        <w:spacing w:line="360" w:lineRule="auto"/>
        <w:ind w:firstLine="420"/>
        <w:rPr>
          <w:rFonts w:asciiTheme="minorEastAsia" w:eastAsiaTheme="minorEastAsia" w:hAnsiTheme="minorEastAsia" w:cs="宋体"/>
          <w:b/>
          <w:kern w:val="0"/>
          <w:szCs w:val="21"/>
        </w:rPr>
      </w:pPr>
      <w:r w:rsidRPr="00FA7BE2">
        <w:rPr>
          <w:rFonts w:asciiTheme="minorEastAsia" w:eastAsiaTheme="minorEastAsia" w:hAnsiTheme="minorEastAsia" w:cs="宋体" w:hint="eastAsia"/>
          <w:kern w:val="0"/>
          <w:sz w:val="24"/>
        </w:rPr>
        <w:t>4、</w:t>
      </w:r>
      <w:r w:rsidRPr="00FA7BE2">
        <w:rPr>
          <w:rFonts w:asciiTheme="minorEastAsia" w:eastAsiaTheme="minorEastAsia" w:hAnsiTheme="minorEastAsia" w:hint="eastAsia"/>
          <w:szCs w:val="21"/>
        </w:rPr>
        <w:t>本基金的申购费由投资人承担，不列入基金财产</w:t>
      </w:r>
      <w:r w:rsidRPr="00FA7BE2">
        <w:rPr>
          <w:rFonts w:asciiTheme="minorEastAsia" w:eastAsiaTheme="minorEastAsia" w:hAnsiTheme="minorEastAsia"/>
          <w:szCs w:val="21"/>
        </w:rPr>
        <w:t>，主要用于本基金的市场推广、销售、注册登记等各项费用</w:t>
      </w:r>
      <w:r w:rsidRPr="00FA7BE2">
        <w:rPr>
          <w:rFonts w:asciiTheme="minorEastAsia" w:eastAsiaTheme="minorEastAsia" w:hAnsiTheme="minorEastAsia" w:hint="eastAsia"/>
          <w:szCs w:val="21"/>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3" w:name="_Toc75869963"/>
      <w:r w:rsidRPr="00FA7BE2">
        <w:rPr>
          <w:rFonts w:asciiTheme="minorEastAsia" w:eastAsiaTheme="minorEastAsia" w:hAnsiTheme="minorEastAsia" w:hint="eastAsia"/>
        </w:rPr>
        <w:t>（十）申购、赎回的注册登记</w:t>
      </w:r>
      <w:bookmarkEnd w:id="33"/>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1、正常情况下，投资者申购基金成功后，基金注册登记机构在T+1工作日为投资者增加权益并办理注册登记手续，投资者自T+2工作日起有权赎回该部分基金份额。</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2、投资者赎回基金成功后，基金注册登记机构在T+1工作日为投资者扣除权益并办理相应的注册登记手续。</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基金管理人可在法律法规允许的范围内，对上述注册登记办理时间进行调整，并最迟于开始实施前三个工作日予以公告。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4" w:name="_Toc75869964"/>
      <w:r w:rsidRPr="00FA7BE2">
        <w:rPr>
          <w:rFonts w:asciiTheme="minorEastAsia" w:eastAsiaTheme="minorEastAsia" w:hAnsiTheme="minorEastAsia" w:hint="eastAsia"/>
        </w:rPr>
        <w:t>（十一）巨额赎回的认定及处理方式</w:t>
      </w:r>
      <w:bookmarkEnd w:id="34"/>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1、巨额赎回的认定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单个开放日中，本基金的基金份额净赎回申请（赎回申请总数扣除申购申请总数后的余额）与净转出申请（转出申请总数扣除转入申请总数后的余额）之和超过前一日基金总份额数的10%，即认为发生了巨额赎回。</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2、巨额赎回的处理方式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当出现巨额赎回时，基金管理人可以根据该基金当时的资产组合状况决定全额赎回或部分顺延赎回。</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rPr>
        <w:t>全额赎回：当基金管理人认为有能力支付投资者的赎回申请时，按正常赎回程序执行。</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rPr>
        <w:t>部分顺延赎回：当基金管理人认为支付投资者的赎回申请有困难或认为支付投资者的赎回申请可能会对该基金的资产净值造成较大波动时</w:t>
      </w:r>
      <w:r w:rsidRPr="00FA7BE2">
        <w:rPr>
          <w:rFonts w:asciiTheme="minorEastAsia" w:eastAsiaTheme="minorEastAsia" w:hAnsiTheme="minorEastAsia" w:hint="eastAsia"/>
        </w:rPr>
        <w:t>，</w:t>
      </w:r>
      <w:r w:rsidRPr="00FA7BE2">
        <w:rPr>
          <w:rFonts w:asciiTheme="minorEastAsia" w:eastAsiaTheme="minorEastAsia" w:hAnsiTheme="minorEastAsia"/>
        </w:rPr>
        <w:t>基金管理人可在当日接受赎回比例不低于该基金总份额的10%的前提下</w:t>
      </w:r>
      <w:r w:rsidRPr="00FA7BE2">
        <w:rPr>
          <w:rFonts w:asciiTheme="minorEastAsia" w:eastAsiaTheme="minorEastAsia" w:hAnsiTheme="minorEastAsia" w:hint="eastAsia"/>
        </w:rPr>
        <w:t>，</w:t>
      </w:r>
      <w:r w:rsidRPr="00FA7BE2">
        <w:rPr>
          <w:rFonts w:asciiTheme="minorEastAsia" w:eastAsiaTheme="minorEastAsia" w:hAnsiTheme="minorEastAsia"/>
        </w:rPr>
        <w:t>对其余赎回申请延期办理。对于当日的赎回申请</w:t>
      </w:r>
      <w:r w:rsidRPr="00FA7BE2">
        <w:rPr>
          <w:rFonts w:asciiTheme="minorEastAsia" w:eastAsiaTheme="minorEastAsia" w:hAnsiTheme="minorEastAsia" w:hint="eastAsia"/>
        </w:rPr>
        <w:t>，</w:t>
      </w:r>
      <w:r w:rsidRPr="00FA7BE2">
        <w:rPr>
          <w:rFonts w:asciiTheme="minorEastAsia" w:eastAsiaTheme="minorEastAsia" w:hAnsiTheme="minorEastAsia"/>
        </w:rPr>
        <w:t>应当按单个账户赎回申请量占赎回申请总量的比例</w:t>
      </w:r>
      <w:r w:rsidRPr="00FA7BE2">
        <w:rPr>
          <w:rFonts w:asciiTheme="minorEastAsia" w:eastAsiaTheme="minorEastAsia" w:hAnsiTheme="minorEastAsia" w:hint="eastAsia"/>
        </w:rPr>
        <w:t>，</w:t>
      </w:r>
      <w:r w:rsidRPr="00FA7BE2">
        <w:rPr>
          <w:rFonts w:asciiTheme="minorEastAsia" w:eastAsiaTheme="minorEastAsia" w:hAnsiTheme="minorEastAsia"/>
        </w:rPr>
        <w:t>确定其当日受理的赎回份额；投资者的赎回申请未能受理部分</w:t>
      </w:r>
      <w:r w:rsidRPr="00FA7BE2">
        <w:rPr>
          <w:rFonts w:asciiTheme="minorEastAsia" w:eastAsiaTheme="minorEastAsia" w:hAnsiTheme="minorEastAsia" w:hint="eastAsia"/>
        </w:rPr>
        <w:t>，</w:t>
      </w:r>
      <w:r w:rsidRPr="00FA7BE2">
        <w:rPr>
          <w:rFonts w:asciiTheme="minorEastAsia" w:eastAsiaTheme="minorEastAsia" w:hAnsiTheme="minorEastAsia"/>
        </w:rPr>
        <w:t>除投资者在提交赎回申请时明确作出不参加顺延下一个开放日赎回的表示外</w:t>
      </w:r>
      <w:r w:rsidRPr="00FA7BE2">
        <w:rPr>
          <w:rFonts w:asciiTheme="minorEastAsia" w:eastAsiaTheme="minorEastAsia" w:hAnsiTheme="minorEastAsia" w:hint="eastAsia"/>
        </w:rPr>
        <w:t>，</w:t>
      </w:r>
      <w:r w:rsidRPr="00FA7BE2">
        <w:rPr>
          <w:rFonts w:asciiTheme="minorEastAsia" w:eastAsiaTheme="minorEastAsia" w:hAnsiTheme="minorEastAsia"/>
        </w:rPr>
        <w:t>将自动顺延至下一个开放日赎回处理</w:t>
      </w:r>
      <w:r w:rsidRPr="00FA7BE2">
        <w:rPr>
          <w:rFonts w:asciiTheme="minorEastAsia" w:eastAsiaTheme="minorEastAsia" w:hAnsiTheme="minorEastAsia" w:hint="eastAsia"/>
        </w:rPr>
        <w:t>，赎回价格为下一个开放日的价格</w:t>
      </w:r>
      <w:r w:rsidRPr="00FA7BE2">
        <w:rPr>
          <w:rFonts w:asciiTheme="minorEastAsia" w:eastAsiaTheme="minorEastAsia" w:hAnsiTheme="minorEastAsia"/>
        </w:rPr>
        <w:t>。转入下一个开放日的赎回不享有赎回优先权</w:t>
      </w:r>
      <w:r w:rsidRPr="00FA7BE2">
        <w:rPr>
          <w:rFonts w:asciiTheme="minorEastAsia" w:eastAsiaTheme="minorEastAsia" w:hAnsiTheme="minorEastAsia" w:hint="eastAsia"/>
        </w:rPr>
        <w:t>，</w:t>
      </w:r>
      <w:r w:rsidRPr="00FA7BE2">
        <w:rPr>
          <w:rFonts w:asciiTheme="minorEastAsia" w:eastAsiaTheme="minorEastAsia" w:hAnsiTheme="minorEastAsia"/>
        </w:rPr>
        <w:t>以此类推</w:t>
      </w:r>
      <w:r w:rsidRPr="00FA7BE2">
        <w:rPr>
          <w:rFonts w:asciiTheme="minorEastAsia" w:eastAsiaTheme="minorEastAsia" w:hAnsiTheme="minorEastAsia" w:hint="eastAsia"/>
        </w:rPr>
        <w:t>，</w:t>
      </w:r>
      <w:r w:rsidRPr="00FA7BE2">
        <w:rPr>
          <w:rFonts w:asciiTheme="minorEastAsia" w:eastAsiaTheme="minorEastAsia" w:hAnsiTheme="minorEastAsia"/>
        </w:rPr>
        <w:t>直到其赎回申请全部得到满足为止。投资者在提出赎回申请时也可选择将当日未获受理部分予以撤销。</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kern w:val="0"/>
          <w:szCs w:val="21"/>
        </w:rPr>
        <w:t>若本基金发生巨额赎回且单个基金份额持有人的赎回申请超过上一开放日基金总份额10%的，基金管理人有权对该单个基金份额持有人超出该比例的赎回申请实施延期办理，对</w:t>
      </w:r>
      <w:r w:rsidRPr="00FA7BE2">
        <w:rPr>
          <w:rFonts w:asciiTheme="minorEastAsia" w:eastAsiaTheme="minorEastAsia" w:hAnsiTheme="minorEastAsia" w:hint="eastAsia"/>
          <w:kern w:val="0"/>
          <w:szCs w:val="21"/>
        </w:rPr>
        <w:lastRenderedPageBreak/>
        <w:t>该单个基金份额持有人剩余赎回申请与其他账户赎回申请按前述条款处理。</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w:t>
      </w:r>
      <w:r w:rsidRPr="00FA7BE2">
        <w:rPr>
          <w:rFonts w:asciiTheme="minorEastAsia" w:eastAsiaTheme="minorEastAsia" w:hAnsiTheme="minorEastAsia" w:hint="eastAsia"/>
        </w:rPr>
        <w:t>3</w:t>
      </w:r>
      <w:r w:rsidRPr="00FA7BE2">
        <w:rPr>
          <w:rFonts w:asciiTheme="minorEastAsia" w:eastAsiaTheme="minorEastAsia" w:hAnsiTheme="minorEastAsia"/>
        </w:rPr>
        <w:t>）当发生巨额赎回并顺延赎回时，基金管理人应立即向中国证监会备案并在</w:t>
      </w:r>
      <w:r w:rsidRPr="00FA7BE2">
        <w:rPr>
          <w:rFonts w:asciiTheme="minorEastAsia" w:eastAsiaTheme="minorEastAsia" w:hAnsiTheme="minorEastAsia" w:hint="eastAsia"/>
        </w:rPr>
        <w:t>3</w:t>
      </w:r>
      <w:r w:rsidRPr="00FA7BE2">
        <w:rPr>
          <w:rFonts w:asciiTheme="minorEastAsia" w:eastAsiaTheme="minorEastAsia" w:hAnsiTheme="minorEastAsia"/>
        </w:rPr>
        <w:t>个工作日内通过</w:t>
      </w:r>
      <w:r w:rsidR="00B87BA8" w:rsidRPr="00FA7BE2">
        <w:rPr>
          <w:rFonts w:asciiTheme="minorEastAsia" w:eastAsiaTheme="minorEastAsia" w:hAnsiTheme="minorEastAsia"/>
        </w:rPr>
        <w:t>指定媒介</w:t>
      </w:r>
      <w:r w:rsidRPr="00FA7BE2">
        <w:rPr>
          <w:rFonts w:asciiTheme="minorEastAsia" w:eastAsiaTheme="minorEastAsia" w:hAnsiTheme="minorEastAsia"/>
        </w:rPr>
        <w:t>、基金管理人的公司网站或</w:t>
      </w:r>
      <w:r w:rsidRPr="00FA7BE2">
        <w:rPr>
          <w:rFonts w:asciiTheme="minorEastAsia" w:eastAsiaTheme="minorEastAsia" w:hAnsiTheme="minorEastAsia" w:hint="eastAsia"/>
        </w:rPr>
        <w:t>销售</w:t>
      </w:r>
      <w:r w:rsidRPr="00FA7BE2">
        <w:rPr>
          <w:rFonts w:asciiTheme="minorEastAsia" w:eastAsiaTheme="minorEastAsia" w:hAnsiTheme="minorEastAsia"/>
        </w:rPr>
        <w:t>机构的网点刊登公告，并说明有关处理方法。</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本基金连续两日以上(含本数)发生巨额赎回时</w:t>
      </w:r>
      <w:r w:rsidRPr="00FA7BE2">
        <w:rPr>
          <w:rFonts w:asciiTheme="minorEastAsia" w:eastAsiaTheme="minorEastAsia" w:hAnsiTheme="minorEastAsia" w:hint="eastAsia"/>
        </w:rPr>
        <w:t>，</w:t>
      </w:r>
      <w:r w:rsidRPr="00FA7BE2">
        <w:rPr>
          <w:rFonts w:asciiTheme="minorEastAsia" w:eastAsiaTheme="minorEastAsia" w:hAnsiTheme="minorEastAsia"/>
        </w:rPr>
        <w:t>如基金管理人认为有必要</w:t>
      </w:r>
      <w:r w:rsidRPr="00FA7BE2">
        <w:rPr>
          <w:rFonts w:asciiTheme="minorEastAsia" w:eastAsiaTheme="minorEastAsia" w:hAnsiTheme="minorEastAsia" w:hint="eastAsia"/>
        </w:rPr>
        <w:t>，</w:t>
      </w:r>
      <w:r w:rsidRPr="00FA7BE2">
        <w:rPr>
          <w:rFonts w:asciiTheme="minorEastAsia" w:eastAsiaTheme="minorEastAsia" w:hAnsiTheme="minorEastAsia"/>
        </w:rPr>
        <w:t>可暂停接受赎回和转出申请；已经接受的赎回申请可以延缓支付赎回款项</w:t>
      </w:r>
      <w:r w:rsidRPr="00FA7BE2">
        <w:rPr>
          <w:rFonts w:asciiTheme="minorEastAsia" w:eastAsiaTheme="minorEastAsia" w:hAnsiTheme="minorEastAsia" w:hint="eastAsia"/>
        </w:rPr>
        <w:t>，</w:t>
      </w:r>
      <w:r w:rsidRPr="00FA7BE2">
        <w:rPr>
          <w:rFonts w:asciiTheme="minorEastAsia" w:eastAsiaTheme="minorEastAsia" w:hAnsiTheme="minorEastAsia"/>
        </w:rPr>
        <w:t>但不得超过正常支付时间20个工作日</w:t>
      </w:r>
      <w:r w:rsidRPr="00FA7BE2">
        <w:rPr>
          <w:rFonts w:asciiTheme="minorEastAsia" w:eastAsiaTheme="minorEastAsia" w:hAnsiTheme="minorEastAsia" w:hint="eastAsia"/>
        </w:rPr>
        <w:t>，</w:t>
      </w:r>
      <w:r w:rsidRPr="00FA7BE2">
        <w:rPr>
          <w:rFonts w:asciiTheme="minorEastAsia" w:eastAsiaTheme="minorEastAsia" w:hAnsiTheme="minorEastAsia"/>
        </w:rPr>
        <w:t>并应当在</w:t>
      </w:r>
      <w:r w:rsidR="00B87BA8" w:rsidRPr="00FA7BE2">
        <w:rPr>
          <w:rFonts w:asciiTheme="minorEastAsia" w:eastAsiaTheme="minorEastAsia" w:hAnsiTheme="minorEastAsia"/>
        </w:rPr>
        <w:t>指定媒介</w:t>
      </w:r>
      <w:r w:rsidRPr="00FA7BE2">
        <w:rPr>
          <w:rFonts w:asciiTheme="minorEastAsia" w:eastAsiaTheme="minorEastAsia" w:hAnsiTheme="minorEastAsia"/>
        </w:rPr>
        <w:t>上进行公告。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5" w:name="_Toc75869965"/>
      <w:r w:rsidRPr="00FA7BE2">
        <w:rPr>
          <w:rFonts w:asciiTheme="minorEastAsia" w:eastAsiaTheme="minorEastAsia" w:hAnsiTheme="minorEastAsia" w:hint="eastAsia"/>
        </w:rPr>
        <w:t>（十二）拒绝或暂停申购、赎回的情形及处理方式</w:t>
      </w:r>
      <w:bookmarkEnd w:id="35"/>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1、除出现如下情形，基金管理人不得拒绝或暂停接受基金投资者</w:t>
      </w:r>
      <w:r w:rsidR="00580247" w:rsidRPr="00FA7BE2">
        <w:rPr>
          <w:rFonts w:asciiTheme="minorEastAsia" w:eastAsiaTheme="minorEastAsia" w:hAnsiTheme="minorEastAsia" w:hint="eastAsia"/>
        </w:rPr>
        <w:t>某一类或多类份额</w:t>
      </w:r>
      <w:r w:rsidRPr="00FA7BE2">
        <w:rPr>
          <w:rFonts w:asciiTheme="minorEastAsia" w:eastAsiaTheme="minorEastAsia" w:hAnsiTheme="minorEastAsia" w:hint="eastAsia"/>
        </w:rPr>
        <w:t>的申购申请：</w:t>
      </w:r>
    </w:p>
    <w:p w:rsidR="00D21CF5" w:rsidRPr="00FA7BE2" w:rsidRDefault="00D21CF5" w:rsidP="00D21CF5">
      <w:pPr>
        <w:snapToGrid w:val="0"/>
        <w:spacing w:line="360" w:lineRule="auto"/>
        <w:ind w:left="420"/>
        <w:rPr>
          <w:rFonts w:asciiTheme="minorEastAsia" w:eastAsiaTheme="minorEastAsia" w:hAnsiTheme="minorEastAsia"/>
        </w:rPr>
      </w:pPr>
      <w:r w:rsidRPr="00FA7BE2">
        <w:rPr>
          <w:rFonts w:asciiTheme="minorEastAsia" w:eastAsiaTheme="minorEastAsia" w:hAnsiTheme="minorEastAsia"/>
        </w:rPr>
        <w:t>（1）不可抗力的原因导致基金无法正常运作；</w:t>
      </w:r>
    </w:p>
    <w:p w:rsidR="00D21CF5" w:rsidRPr="00FA7BE2" w:rsidRDefault="00D21CF5" w:rsidP="00D21CF5">
      <w:pPr>
        <w:snapToGrid w:val="0"/>
        <w:spacing w:line="360" w:lineRule="auto"/>
        <w:ind w:left="420"/>
        <w:rPr>
          <w:rFonts w:asciiTheme="minorEastAsia" w:eastAsiaTheme="minorEastAsia" w:hAnsiTheme="minorEastAsia"/>
        </w:rPr>
      </w:pPr>
      <w:r w:rsidRPr="00FA7BE2">
        <w:rPr>
          <w:rFonts w:asciiTheme="minorEastAsia" w:eastAsiaTheme="minorEastAsia" w:hAnsiTheme="minorEastAsia" w:hint="eastAsia"/>
        </w:rPr>
        <w:t>（2）证券交易场所在交易时间非正常停市；</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（4）基金管理人认为会有损于现有基金份额持有人利益的某笔申购；</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（5）基金管理人接受某笔或者某些申购申请有可能导致单一投资者持有基金份额的比例达到或者超过50%，或者变相规避50%集中度的情形时；</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6）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w:t>
      </w:r>
      <w:r w:rsidRPr="00FA7BE2">
        <w:rPr>
          <w:rFonts w:asciiTheme="minorEastAsia" w:eastAsiaTheme="minorEastAsia" w:hAnsiTheme="minorEastAsia" w:cs="Arial"/>
          <w:szCs w:val="21"/>
        </w:rPr>
        <w:t>8</w:t>
      </w:r>
      <w:r w:rsidRPr="00FA7BE2">
        <w:rPr>
          <w:rFonts w:asciiTheme="minorEastAsia" w:eastAsiaTheme="minorEastAsia" w:hAnsiTheme="minorEastAsia" w:cs="Arial" w:hint="eastAsia"/>
          <w:szCs w:val="21"/>
        </w:rPr>
        <w:t>）法律、法规规定或中国证监会认定的其他情形。</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如发生上述拒绝申购的情形，被拒绝的申购款项应全额退还投资者。</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cs="Arial" w:hint="eastAsia"/>
          <w:szCs w:val="21"/>
        </w:rPr>
        <w:t>基金管理人拒绝或暂停</w:t>
      </w:r>
      <w:r w:rsidRPr="00FA7BE2">
        <w:rPr>
          <w:rFonts w:asciiTheme="minorEastAsia" w:eastAsiaTheme="minorEastAsia" w:hAnsiTheme="minorEastAsia" w:hint="eastAsia"/>
        </w:rPr>
        <w:t>接受申购的方式包括：</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cs="Arial" w:hint="eastAsia"/>
          <w:szCs w:val="21"/>
        </w:rPr>
        <w:t>拒绝接受</w:t>
      </w:r>
      <w:r w:rsidRPr="00FA7BE2">
        <w:rPr>
          <w:rFonts w:asciiTheme="minorEastAsia" w:eastAsiaTheme="minorEastAsia" w:hAnsiTheme="minorEastAsia" w:hint="eastAsia"/>
        </w:rPr>
        <w:t>、暂停接受某笔或某数笔申购申请；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（2）拒绝接受、暂停接受某个或某数个工作日的全部申购申请；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（3）按比例拒绝接受、暂停接受某个或某数个工作日的申购申请。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2、除下列情形外，基金管理人不得拒绝接受或暂停接受投资者</w:t>
      </w:r>
      <w:r w:rsidR="00580247" w:rsidRPr="00FA7BE2">
        <w:rPr>
          <w:rFonts w:asciiTheme="minorEastAsia" w:eastAsiaTheme="minorEastAsia" w:hAnsiTheme="minorEastAsia" w:hint="eastAsia"/>
        </w:rPr>
        <w:t>某一类或多类份额</w:t>
      </w:r>
      <w:r w:rsidRPr="00FA7BE2">
        <w:rPr>
          <w:rFonts w:asciiTheme="minorEastAsia" w:eastAsiaTheme="minorEastAsia" w:hAnsiTheme="minorEastAsia" w:hint="eastAsia"/>
        </w:rPr>
        <w:t>的赎回申请：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rPr>
        <w:t>不可抗力的原因导致基金无法正常运作；</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rPr>
        <w:t>证券交易场所交易时间非正常停市；</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w:t>
      </w:r>
      <w:r w:rsidRPr="00FA7BE2">
        <w:rPr>
          <w:rFonts w:asciiTheme="minorEastAsia" w:eastAsiaTheme="minorEastAsia" w:hAnsiTheme="minorEastAsia"/>
        </w:rPr>
        <w:t>3）因市场剧烈波动或其它原因而出现连续巨额赎回，导致本基金的现金支付出现困难；</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4</w:t>
      </w:r>
      <w:r w:rsidRPr="00FA7BE2">
        <w:rPr>
          <w:rFonts w:asciiTheme="minorEastAsia" w:eastAsiaTheme="minorEastAsia" w:hAnsiTheme="minorEastAsia" w:hint="eastAsia"/>
        </w:rPr>
        <w:t>）当前一估值日基金资产净值</w:t>
      </w:r>
      <w:r w:rsidRPr="00FA7BE2">
        <w:rPr>
          <w:rFonts w:asciiTheme="minorEastAsia" w:eastAsiaTheme="minorEastAsia" w:hAnsiTheme="minorEastAsia"/>
        </w:rPr>
        <w:t>50%</w:t>
      </w:r>
      <w:r w:rsidRPr="00FA7BE2">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（5）法律、法规规定或中国证监会认定的其它情形。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发生上述情形之一的，基金管理人应立即向中国证监会备案。已接受的赎回申请，基金管理人将足额支付；如暂时不能支付时，将按每个赎回申请人已被接受的赎回申请量占已接受赎回申请总量的比例分配给赎回申请人，其余部分</w:t>
      </w:r>
      <w:r w:rsidRPr="00FA7BE2">
        <w:rPr>
          <w:rFonts w:asciiTheme="minorEastAsia" w:eastAsiaTheme="minorEastAsia" w:hAnsiTheme="minorEastAsia"/>
        </w:rPr>
        <w:t>由基金管理人按照相应的处理办法在后续开放日予以</w:t>
      </w:r>
      <w:r w:rsidRPr="00FA7BE2">
        <w:rPr>
          <w:rFonts w:asciiTheme="minorEastAsia" w:eastAsiaTheme="minorEastAsia" w:hAnsiTheme="minorEastAsia" w:hint="eastAsia"/>
        </w:rPr>
        <w:t>兑</w:t>
      </w:r>
      <w:r w:rsidRPr="00FA7BE2">
        <w:rPr>
          <w:rFonts w:asciiTheme="minorEastAsia" w:eastAsiaTheme="minorEastAsia" w:hAnsiTheme="minorEastAsia"/>
        </w:rPr>
        <w:t>付</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3、发生基金合同或《招募说明书》中未予载明的事项，但基金管理人有正当理由认为需要暂停接受基金申购、赎回申请的，应当报经中国证监会批准。</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基金暂停申购、赎回，基金管理人</w:t>
      </w:r>
      <w:r w:rsidRPr="00FA7BE2">
        <w:rPr>
          <w:rFonts w:asciiTheme="minorEastAsia" w:eastAsiaTheme="minorEastAsia" w:hAnsiTheme="minorEastAsia" w:hint="eastAsia"/>
        </w:rPr>
        <w:t>应</w:t>
      </w:r>
      <w:r w:rsidR="00554091" w:rsidRPr="00FA7BE2">
        <w:rPr>
          <w:rFonts w:asciiTheme="minorEastAsia" w:eastAsiaTheme="minorEastAsia" w:hAnsiTheme="minorEastAsia" w:hint="eastAsia"/>
        </w:rPr>
        <w:t>在规定期限内在指定媒介上刊登暂停公告</w:t>
      </w:r>
      <w:r w:rsidRPr="00FA7BE2">
        <w:rPr>
          <w:rFonts w:asciiTheme="minorEastAsia" w:eastAsiaTheme="minorEastAsia" w:hAnsiTheme="minorEastAsia"/>
        </w:rPr>
        <w:t>。</w:t>
      </w:r>
      <w:r w:rsidRPr="00FA7BE2">
        <w:rPr>
          <w:rFonts w:asciiTheme="minorEastAsia" w:eastAsiaTheme="minorEastAsia" w:hAnsiTheme="minorEastAsia" w:hint="eastAsia"/>
        </w:rPr>
        <w:t>暂停期间结束基金重新开放时，基金管理人应当公告最新的基金份额净值</w:t>
      </w:r>
      <w:r w:rsidRPr="00FA7BE2">
        <w:rPr>
          <w:rFonts w:asciiTheme="minorEastAsia" w:eastAsiaTheme="minorEastAsia" w:hAnsiTheme="minor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如果发生暂停的时间为</w:t>
      </w:r>
      <w:r w:rsidRPr="00FA7BE2">
        <w:rPr>
          <w:rFonts w:asciiTheme="minorEastAsia" w:eastAsiaTheme="minorEastAsia" w:hAnsiTheme="minorEastAsia"/>
        </w:rPr>
        <w:t>1</w:t>
      </w:r>
      <w:r w:rsidRPr="00FA7BE2">
        <w:rPr>
          <w:rFonts w:asciiTheme="minorEastAsia" w:eastAsiaTheme="minorEastAsia" w:hAnsiTheme="minorEastAsia" w:hint="eastAsia"/>
        </w:rPr>
        <w:t>天，基金管理人应于重新开放日在至少一种指定</w:t>
      </w:r>
      <w:r w:rsidR="0092110D" w:rsidRPr="00FA7BE2">
        <w:rPr>
          <w:rFonts w:asciiTheme="minorEastAsia" w:eastAsiaTheme="minorEastAsia" w:hAnsiTheme="minorEastAsia" w:hint="eastAsia"/>
        </w:rPr>
        <w:t>媒介</w:t>
      </w:r>
      <w:r w:rsidRPr="00FA7BE2">
        <w:rPr>
          <w:rFonts w:asciiTheme="minorEastAsia" w:eastAsiaTheme="minorEastAsia" w:hAnsiTheme="minorEastAsia" w:hint="eastAsia"/>
        </w:rPr>
        <w:t>刊登基金重新开放申购或赎回的公告，并公告最新的基金份额净值</w:t>
      </w:r>
      <w:r w:rsidRPr="00FA7BE2">
        <w:rPr>
          <w:rFonts w:asciiTheme="minorEastAsia" w:eastAsiaTheme="minorEastAsia" w:hAnsiTheme="minor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如果发生暂停的时间超过</w:t>
      </w:r>
      <w:r w:rsidRPr="00FA7BE2">
        <w:rPr>
          <w:rFonts w:asciiTheme="minorEastAsia" w:eastAsiaTheme="minorEastAsia" w:hAnsiTheme="minorEastAsia"/>
        </w:rPr>
        <w:t>1</w:t>
      </w:r>
      <w:r w:rsidRPr="00FA7BE2">
        <w:rPr>
          <w:rFonts w:asciiTheme="minorEastAsia" w:eastAsiaTheme="minorEastAsia" w:hAnsiTheme="minorEastAsia" w:hint="eastAsia"/>
        </w:rPr>
        <w:t>天但少于两周，暂停结束基金重新开放申购或赎回时，基金管理人应提前</w:t>
      </w:r>
      <w:r w:rsidRPr="00FA7BE2">
        <w:rPr>
          <w:rFonts w:asciiTheme="minorEastAsia" w:eastAsiaTheme="minorEastAsia" w:hAnsiTheme="minorEastAsia"/>
        </w:rPr>
        <w:t>1</w:t>
      </w:r>
      <w:r w:rsidRPr="00FA7BE2">
        <w:rPr>
          <w:rFonts w:asciiTheme="minorEastAsia" w:eastAsiaTheme="minorEastAsia" w:hAnsiTheme="minorEastAsia" w:hint="eastAsia"/>
        </w:rPr>
        <w:t>个工作日在至少一种</w:t>
      </w:r>
      <w:r w:rsidR="0092110D"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刊登基金重新开放申购或赎回的公告，并在重新开放申购或赎回日公告最新的基金份额净值。</w:t>
      </w:r>
    </w:p>
    <w:p w:rsidR="003349D9" w:rsidRPr="00FA7BE2" w:rsidRDefault="00D21CF5" w:rsidP="003349D9">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FA7BE2">
        <w:rPr>
          <w:rFonts w:asciiTheme="minorEastAsia" w:eastAsiaTheme="minorEastAsia" w:hAnsiTheme="minorEastAsia"/>
        </w:rPr>
        <w:t>3</w:t>
      </w:r>
      <w:r w:rsidRPr="00FA7BE2">
        <w:rPr>
          <w:rFonts w:asciiTheme="minorEastAsia" w:eastAsiaTheme="minorEastAsia" w:hAnsiTheme="minorEastAsia" w:hint="eastAsia"/>
        </w:rPr>
        <w:t>个工作日在至少一种</w:t>
      </w:r>
      <w:r w:rsidR="0092110D"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连续刊登基金重新开放申购或赎回的公告，并在重新开放申购或赎回日公告最新的基金份额净值</w:t>
      </w:r>
      <w:r w:rsidRPr="00FA7BE2">
        <w:rPr>
          <w:rFonts w:asciiTheme="minorEastAsia" w:eastAsiaTheme="minorEastAsia" w:hAnsiTheme="minorEastAsia"/>
        </w:rPr>
        <w:t>。</w:t>
      </w:r>
    </w:p>
    <w:p w:rsidR="003349D9" w:rsidRPr="00FA7BE2" w:rsidRDefault="003349D9" w:rsidP="000D2AA7">
      <w:pPr>
        <w:pStyle w:val="21"/>
        <w:snapToGrid w:val="0"/>
        <w:spacing w:beforeLines="0" w:afterLines="0" w:line="360" w:lineRule="auto"/>
        <w:ind w:firstLine="562"/>
        <w:rPr>
          <w:rFonts w:asciiTheme="minorEastAsia" w:eastAsiaTheme="minorEastAsia" w:hAnsiTheme="minorEastAsia"/>
        </w:rPr>
      </w:pPr>
      <w:bookmarkStart w:id="36" w:name="_Toc75869966"/>
      <w:r w:rsidRPr="00FA7BE2">
        <w:rPr>
          <w:rFonts w:asciiTheme="minorEastAsia" w:eastAsiaTheme="minorEastAsia" w:hAnsiTheme="minorEastAsia" w:hint="eastAsia"/>
        </w:rPr>
        <w:t>（十三）实施侧袋机制期间本基金的申购与赎回</w:t>
      </w:r>
      <w:bookmarkEnd w:id="36"/>
    </w:p>
    <w:p w:rsidR="00D21CF5" w:rsidRPr="00FA7BE2" w:rsidRDefault="003349D9" w:rsidP="003349D9">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本基金实施侧袋机制的，本基金的申购和赎回安排详见本招募说明书“侧袋机制”部分的规定或相关公告。</w:t>
      </w:r>
    </w:p>
    <w:p w:rsidR="00D21CF5" w:rsidRPr="00FA7BE2" w:rsidRDefault="00D21CF5" w:rsidP="00D21CF5">
      <w:pPr>
        <w:widowControl/>
        <w:jc w:val="left"/>
        <w:rPr>
          <w:rFonts w:asciiTheme="minorEastAsia" w:eastAsiaTheme="minorEastAsia" w:hAnsiTheme="minorEastAsia"/>
          <w:sz w:val="32"/>
          <w:szCs w:val="32"/>
        </w:rPr>
      </w:pPr>
      <w:r w:rsidRPr="00FA7BE2">
        <w:rPr>
          <w:rFonts w:asciiTheme="minorEastAsia" w:eastAsiaTheme="minorEastAsia" w:hAnsiTheme="minorEastAsia"/>
        </w:rPr>
        <w:br w:type="page"/>
      </w:r>
    </w:p>
    <w:p w:rsidR="00D21CF5" w:rsidRPr="00FA7BE2" w:rsidRDefault="00D21CF5" w:rsidP="00D21CF5">
      <w:pPr>
        <w:pStyle w:val="1"/>
        <w:snapToGrid w:val="0"/>
        <w:spacing w:beforeLines="0" w:afterLines="0" w:line="360" w:lineRule="auto"/>
        <w:ind w:firstLineChars="0" w:firstLine="0"/>
        <w:rPr>
          <w:rFonts w:asciiTheme="minorEastAsia" w:eastAsiaTheme="minorEastAsia" w:hAnsiTheme="minorEastAsia"/>
          <w:b/>
        </w:rPr>
      </w:pPr>
      <w:bookmarkStart w:id="37" w:name="_Toc75869967"/>
      <w:r w:rsidRPr="00FA7BE2">
        <w:rPr>
          <w:rFonts w:asciiTheme="minorEastAsia" w:eastAsiaTheme="minorEastAsia" w:hAnsiTheme="minorEastAsia" w:hint="eastAsia"/>
        </w:rPr>
        <w:lastRenderedPageBreak/>
        <w:t>八</w:t>
      </w:r>
      <w:r w:rsidRPr="00FA7BE2">
        <w:rPr>
          <w:rFonts w:asciiTheme="minorEastAsia" w:eastAsiaTheme="minorEastAsia" w:hAnsiTheme="minorEastAsia" w:hint="eastAsia"/>
          <w:b/>
        </w:rPr>
        <w:t>、基金转换</w:t>
      </w:r>
      <w:bookmarkEnd w:id="37"/>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基金转换是指基金份额持有人按基金管理人规定的条件将其持有的某一只基金的基金份额转换为同一基金管理人管理的另一只基金的基金份额的行为。</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8" w:name="_Toc75869968"/>
      <w:r w:rsidRPr="00FA7BE2">
        <w:rPr>
          <w:rFonts w:asciiTheme="minorEastAsia" w:eastAsiaTheme="minorEastAsia" w:hAnsiTheme="minorEastAsia" w:hint="eastAsia"/>
        </w:rPr>
        <w:t>（一）</w:t>
      </w:r>
      <w:r w:rsidRPr="00FA7BE2">
        <w:rPr>
          <w:rFonts w:asciiTheme="minorEastAsia" w:eastAsiaTheme="minorEastAsia" w:hAnsiTheme="minorEastAsia"/>
        </w:rPr>
        <w:t>基金转换开始日及</w:t>
      </w:r>
      <w:r w:rsidRPr="00FA7BE2">
        <w:rPr>
          <w:rFonts w:asciiTheme="minorEastAsia" w:eastAsiaTheme="minorEastAsia" w:hAnsiTheme="minorEastAsia" w:hint="eastAsia"/>
        </w:rPr>
        <w:t>时间</w:t>
      </w:r>
      <w:bookmarkEnd w:id="38"/>
    </w:p>
    <w:p w:rsidR="00D21CF5" w:rsidRPr="00FA7BE2" w:rsidRDefault="00D21CF5" w:rsidP="00D21CF5">
      <w:pPr>
        <w:pStyle w:val="a8"/>
        <w:snapToGrid w:val="0"/>
        <w:spacing w:line="360" w:lineRule="auto"/>
        <w:rPr>
          <w:rFonts w:asciiTheme="minorEastAsia" w:eastAsiaTheme="minorEastAsia" w:hAnsiTheme="minorEastAsia"/>
          <w:szCs w:val="21"/>
        </w:rPr>
      </w:pPr>
      <w:r w:rsidRPr="00FA7BE2">
        <w:rPr>
          <w:rFonts w:asciiTheme="minorEastAsia" w:eastAsiaTheme="minorEastAsia" w:hAnsiTheme="minorEastAsia" w:hint="eastAsia"/>
        </w:rPr>
        <w:t>本基金</w:t>
      </w:r>
      <w:r w:rsidR="004D549F" w:rsidRPr="00FA7BE2">
        <w:rPr>
          <w:rFonts w:asciiTheme="minorEastAsia" w:eastAsiaTheme="minorEastAsia" w:hAnsiTheme="minorEastAsia" w:hint="eastAsia"/>
        </w:rPr>
        <w:t>A</w:t>
      </w:r>
      <w:r w:rsidR="004D549F" w:rsidRPr="00FA7BE2">
        <w:rPr>
          <w:rFonts w:asciiTheme="minorEastAsia" w:eastAsiaTheme="minorEastAsia" w:hAnsiTheme="minorEastAsia"/>
        </w:rPr>
        <w:t>类基金份额、B类基金份额</w:t>
      </w:r>
      <w:r w:rsidRPr="00FA7BE2">
        <w:rPr>
          <w:rFonts w:asciiTheme="minorEastAsia" w:eastAsiaTheme="minorEastAsia" w:hAnsiTheme="minorEastAsia" w:hint="eastAsia"/>
        </w:rPr>
        <w:t>已于</w:t>
      </w:r>
      <w:smartTag w:uri="urn:schemas-microsoft-com:office:smarttags" w:element="chsdate">
        <w:smartTagPr>
          <w:attr w:name="IsROCDate" w:val="False"/>
          <w:attr w:name="IsLunarDate" w:val="False"/>
          <w:attr w:name="Day" w:val="22"/>
          <w:attr w:name="Month" w:val="9"/>
          <w:attr w:name="Year" w:val="2005"/>
        </w:smartTagPr>
        <w:r w:rsidRPr="00FA7BE2">
          <w:rPr>
            <w:rFonts w:asciiTheme="minorEastAsia" w:eastAsiaTheme="minorEastAsia" w:hAnsiTheme="minorEastAsia" w:hint="eastAsia"/>
            <w:szCs w:val="24"/>
          </w:rPr>
          <w:t>2005年9月22日起</w:t>
        </w:r>
      </w:smartTag>
      <w:r w:rsidRPr="00FA7BE2">
        <w:rPr>
          <w:rFonts w:asciiTheme="minorEastAsia" w:eastAsiaTheme="minorEastAsia" w:hAnsiTheme="minorEastAsia" w:hint="eastAsia"/>
        </w:rPr>
        <w:t>开始办理</w:t>
      </w:r>
      <w:r w:rsidRPr="00FA7BE2">
        <w:rPr>
          <w:rFonts w:asciiTheme="minorEastAsia" w:eastAsiaTheme="minorEastAsia" w:hAnsiTheme="minorEastAsia" w:hint="eastAsia"/>
          <w:szCs w:val="24"/>
        </w:rPr>
        <w:t>转换</w:t>
      </w:r>
      <w:r w:rsidRPr="00FA7BE2">
        <w:rPr>
          <w:rFonts w:asciiTheme="minorEastAsia" w:eastAsiaTheme="minorEastAsia" w:hAnsiTheme="minorEastAsia" w:hint="eastAsia"/>
        </w:rPr>
        <w:t>业务，</w:t>
      </w:r>
      <w:r w:rsidR="004D549F" w:rsidRPr="00FA7BE2">
        <w:rPr>
          <w:rFonts w:asciiTheme="minorEastAsia" w:eastAsiaTheme="minorEastAsia" w:hAnsiTheme="minorEastAsia" w:hint="eastAsia"/>
        </w:rPr>
        <w:t>本基金</w:t>
      </w:r>
      <w:r w:rsidR="004D549F" w:rsidRPr="00FA7BE2">
        <w:rPr>
          <w:rFonts w:asciiTheme="minorEastAsia" w:eastAsiaTheme="minorEastAsia" w:hAnsiTheme="minorEastAsia"/>
        </w:rPr>
        <w:t>C类基金份额</w:t>
      </w:r>
      <w:r w:rsidR="004D549F" w:rsidRPr="00FA7BE2">
        <w:rPr>
          <w:rFonts w:asciiTheme="minorEastAsia" w:eastAsiaTheme="minorEastAsia" w:hAnsiTheme="minorEastAsia" w:hint="eastAsia"/>
        </w:rPr>
        <w:t>已于</w:t>
      </w:r>
      <w:r w:rsidR="004D549F" w:rsidRPr="00FA7BE2">
        <w:rPr>
          <w:rFonts w:asciiTheme="minorEastAsia" w:eastAsiaTheme="minorEastAsia" w:hAnsiTheme="minorEastAsia" w:hint="eastAsia"/>
          <w:szCs w:val="24"/>
        </w:rPr>
        <w:t>20</w:t>
      </w:r>
      <w:r w:rsidR="004D549F" w:rsidRPr="00FA7BE2">
        <w:rPr>
          <w:rFonts w:asciiTheme="minorEastAsia" w:eastAsiaTheme="minorEastAsia" w:hAnsiTheme="minorEastAsia"/>
          <w:szCs w:val="24"/>
        </w:rPr>
        <w:t>19</w:t>
      </w:r>
      <w:r w:rsidR="004D549F" w:rsidRPr="00FA7BE2">
        <w:rPr>
          <w:rFonts w:asciiTheme="minorEastAsia" w:eastAsiaTheme="minorEastAsia" w:hAnsiTheme="minorEastAsia" w:hint="eastAsia"/>
          <w:szCs w:val="24"/>
        </w:rPr>
        <w:t>年</w:t>
      </w:r>
      <w:r w:rsidR="004D549F" w:rsidRPr="00FA7BE2">
        <w:rPr>
          <w:rFonts w:asciiTheme="minorEastAsia" w:eastAsiaTheme="minorEastAsia" w:hAnsiTheme="minorEastAsia"/>
          <w:szCs w:val="24"/>
        </w:rPr>
        <w:t>10</w:t>
      </w:r>
      <w:r w:rsidR="004D549F" w:rsidRPr="00FA7BE2">
        <w:rPr>
          <w:rFonts w:asciiTheme="minorEastAsia" w:eastAsiaTheme="minorEastAsia" w:hAnsiTheme="minorEastAsia" w:hint="eastAsia"/>
          <w:szCs w:val="24"/>
        </w:rPr>
        <w:t>月23日起</w:t>
      </w:r>
      <w:r w:rsidR="004D549F" w:rsidRPr="00FA7BE2">
        <w:rPr>
          <w:rFonts w:asciiTheme="minorEastAsia" w:eastAsiaTheme="minorEastAsia" w:hAnsiTheme="minorEastAsia" w:hint="eastAsia"/>
        </w:rPr>
        <w:t>开始办理</w:t>
      </w:r>
      <w:r w:rsidR="004D549F" w:rsidRPr="00FA7BE2">
        <w:rPr>
          <w:rFonts w:asciiTheme="minorEastAsia" w:eastAsiaTheme="minorEastAsia" w:hAnsiTheme="minorEastAsia" w:hint="eastAsia"/>
          <w:szCs w:val="24"/>
        </w:rPr>
        <w:t>转换</w:t>
      </w:r>
      <w:r w:rsidR="004D549F" w:rsidRPr="00FA7BE2">
        <w:rPr>
          <w:rFonts w:asciiTheme="minorEastAsia" w:eastAsiaTheme="minorEastAsia" w:hAnsiTheme="minorEastAsia" w:hint="eastAsia"/>
        </w:rPr>
        <w:t>业务</w:t>
      </w:r>
      <w:r w:rsidRPr="00FA7BE2">
        <w:rPr>
          <w:rFonts w:asciiTheme="minorEastAsia" w:eastAsiaTheme="minorEastAsia" w:hAnsiTheme="minorEastAsia" w:hint="eastAsia"/>
        </w:rPr>
        <w:t>。</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投资者需在转出基金和转入基金均有交易的当日，方可办理基金转换业务。</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39" w:name="_Toc75869969"/>
      <w:r w:rsidRPr="00FA7BE2">
        <w:rPr>
          <w:rFonts w:asciiTheme="minorEastAsia" w:eastAsiaTheme="minorEastAsia" w:hAnsiTheme="minorEastAsia" w:hint="eastAsia"/>
        </w:rPr>
        <w:t>（二）</w:t>
      </w:r>
      <w:r w:rsidRPr="00FA7BE2">
        <w:rPr>
          <w:rFonts w:asciiTheme="minorEastAsia" w:eastAsiaTheme="minorEastAsia" w:hAnsiTheme="minorEastAsia"/>
        </w:rPr>
        <w:t>基金转换的原则</w:t>
      </w:r>
      <w:bookmarkEnd w:id="39"/>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1、本基金采用</w:t>
      </w:r>
      <w:r w:rsidRPr="00FA7BE2">
        <w:rPr>
          <w:rFonts w:asciiTheme="minorEastAsia" w:eastAsiaTheme="minorEastAsia" w:hAnsiTheme="minorEastAsia"/>
        </w:rPr>
        <w:t>份额转换原则</w:t>
      </w:r>
      <w:r w:rsidRPr="00FA7BE2">
        <w:rPr>
          <w:rFonts w:asciiTheme="minorEastAsia" w:eastAsiaTheme="minorEastAsia" w:hAnsiTheme="minorEastAsia" w:hint="eastAsia"/>
        </w:rPr>
        <w:t>，</w:t>
      </w:r>
      <w:r w:rsidRPr="00FA7BE2">
        <w:rPr>
          <w:rFonts w:asciiTheme="minorEastAsia" w:eastAsiaTheme="minorEastAsia" w:hAnsiTheme="minorEastAsia"/>
        </w:rPr>
        <w:t>即转换以份额申请；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2、当日的转换申请可以在当日交易结束时间前撤消，在当日的交易时间结束后不得撤销；</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3、基金转换价格以申请转换当日各基金份额净值为基础计算；</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投资者可在同时销售拟转出基金及转入基金的销售机构处办理基金转换。基金转换只能在同一销售机构进行。转换的两只基金必须都是该销售机构销售的同一基金管理人管理的、在同一基金注册登记机构处注册的基金；</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5、投资者办理基金转换业务时，转出方的基金必须处于可赎回状态，转入方的基金必须处于可申购状态；</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w:t>
      </w:r>
      <w:r w:rsidRPr="00FA7BE2">
        <w:rPr>
          <w:rFonts w:asciiTheme="minorEastAsia" w:eastAsiaTheme="minorEastAsia" w:hAnsiTheme="minorEastAsia"/>
        </w:rPr>
        <w:t>基金转换后，转入的基金份额的持有期将自转入的基金份额被确认之日起重新开始计算</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w:t>
      </w:r>
      <w:r w:rsidRPr="00FA7BE2">
        <w:rPr>
          <w:rFonts w:asciiTheme="minorEastAsia" w:eastAsiaTheme="minorEastAsia" w:hAnsiTheme="minorEastAsia"/>
        </w:rPr>
        <w:t>转换业务遵循“先进先出”的业务规则，</w:t>
      </w:r>
      <w:r w:rsidRPr="00FA7BE2">
        <w:rPr>
          <w:rFonts w:asciiTheme="minorEastAsia" w:eastAsiaTheme="minorEastAsia" w:hAnsiTheme="minorEastAsia" w:hint="eastAsia"/>
        </w:rPr>
        <w:t>即份额注册日期在前的先转换出，份额注册日期在后的后转换出</w:t>
      </w:r>
      <w:r w:rsidRPr="00FA7BE2">
        <w:rPr>
          <w:rFonts w:asciiTheme="minorEastAsia" w:eastAsiaTheme="minorEastAsia" w:hAnsiTheme="minorEastAsia"/>
        </w:rPr>
        <w:t>，如果转换申请当日，同时有赎回申请的情况下，则遵循先赎回后转换的处理原则；</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8、基金管理人可在不损害基金份额持有人权益的情况下更改上述原则，但应最迟在新的原则实施前三个工作日予以公告。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0" w:name="_Toc75869970"/>
      <w:r w:rsidRPr="00FA7BE2">
        <w:rPr>
          <w:rFonts w:asciiTheme="minorEastAsia" w:eastAsiaTheme="minorEastAsia" w:hAnsiTheme="minorEastAsia" w:hint="eastAsia"/>
        </w:rPr>
        <w:t>（三）基金转换的程序</w:t>
      </w:r>
      <w:bookmarkEnd w:id="40"/>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1、基金转换的申请方式</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基金投资者必须根据基金管理人和基金销售机构规定的手续，在开放日的业务办理时间提出转换的申请。</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提交基金转换申请时，账户中必须有足够可用的转出基金份额余额。</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2、基金转换申请的确认</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w:t>
      </w:r>
      <w:r w:rsidRPr="00FA7BE2">
        <w:rPr>
          <w:rFonts w:asciiTheme="minorEastAsia" w:eastAsiaTheme="minorEastAsia" w:hAnsiTheme="minorEastAsia" w:hint="eastAsia"/>
        </w:rPr>
        <w:lastRenderedPageBreak/>
        <w:t>工作日及之后查询成交情况。</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1" w:name="_Toc75869971"/>
      <w:r w:rsidRPr="00FA7BE2">
        <w:rPr>
          <w:rFonts w:asciiTheme="minorEastAsia" w:eastAsiaTheme="minorEastAsia" w:hAnsiTheme="minorEastAsia" w:hint="eastAsia"/>
        </w:rPr>
        <w:t>（四）基金转换的数额限制</w:t>
      </w:r>
      <w:bookmarkEnd w:id="41"/>
    </w:p>
    <w:p w:rsidR="00D21CF5" w:rsidRPr="00FA7BE2" w:rsidRDefault="00D21CF5" w:rsidP="00D21CF5">
      <w:pPr>
        <w:pStyle w:val="a8"/>
        <w:snapToGrid w:val="0"/>
        <w:spacing w:line="360" w:lineRule="auto"/>
        <w:ind w:firstLine="560"/>
        <w:rPr>
          <w:rFonts w:asciiTheme="minorEastAsia" w:eastAsiaTheme="minorEastAsia" w:hAnsiTheme="minorEastAsia"/>
        </w:rPr>
      </w:pPr>
      <w:r w:rsidRPr="00FA7BE2">
        <w:rPr>
          <w:rFonts w:asciiTheme="minorEastAsia" w:eastAsiaTheme="minorEastAsia" w:hAnsiTheme="minorEastAsia" w:hint="eastAsia"/>
        </w:rPr>
        <w:t>投资者可将其全部或部分基金份额转换。</w:t>
      </w:r>
      <w:r w:rsidR="00CD39BB" w:rsidRPr="00FA7BE2">
        <w:rPr>
          <w:rFonts w:asciiTheme="minorEastAsia" w:eastAsiaTheme="minorEastAsia" w:hAnsiTheme="minorEastAsia" w:hint="eastAsia"/>
        </w:rPr>
        <w:t>每类</w:t>
      </w:r>
      <w:r w:rsidRPr="00FA7BE2">
        <w:rPr>
          <w:rFonts w:asciiTheme="minorEastAsia" w:eastAsiaTheme="minorEastAsia" w:hAnsiTheme="minorEastAsia" w:hint="eastAsia"/>
        </w:rPr>
        <w:t>基金份额单笔转出不得少于1份（各销售机构对转换份额限制有其他规定的，需同时遵循该销售机构的相关规定)；若某笔转换将导致投资者在该销售机构托管的</w:t>
      </w:r>
      <w:r w:rsidR="00CD39BB" w:rsidRPr="00FA7BE2">
        <w:rPr>
          <w:rFonts w:asciiTheme="minorEastAsia" w:eastAsiaTheme="minorEastAsia" w:hAnsiTheme="minorEastAsia" w:hint="eastAsia"/>
        </w:rPr>
        <w:t>该类</w:t>
      </w:r>
      <w:r w:rsidRPr="00FA7BE2">
        <w:rPr>
          <w:rFonts w:asciiTheme="minorEastAsia" w:eastAsiaTheme="minorEastAsia" w:hAnsiTheme="minorEastAsia" w:hint="eastAsia"/>
        </w:rPr>
        <w:t>基金余额不足1份时，基金管理人有权将投资者在该销售机构托管的</w:t>
      </w:r>
      <w:r w:rsidR="00CD39BB" w:rsidRPr="00FA7BE2">
        <w:rPr>
          <w:rFonts w:asciiTheme="minorEastAsia" w:eastAsiaTheme="minorEastAsia" w:hAnsiTheme="minorEastAsia" w:hint="eastAsia"/>
        </w:rPr>
        <w:t>该类</w:t>
      </w:r>
      <w:r w:rsidRPr="00FA7BE2">
        <w:rPr>
          <w:rFonts w:asciiTheme="minorEastAsia" w:eastAsiaTheme="minorEastAsia" w:hAnsiTheme="minorEastAsia" w:hint="eastAsia"/>
        </w:rPr>
        <w:t>基金剩余份额一次性全部赎回。</w:t>
      </w:r>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基金管理人可根据市场情况制定或调整上述基金转换的程序及有关限制，但应最迟在调整生效前三个工作日在至少一种中国证监会</w:t>
      </w:r>
      <w:r w:rsidR="0092110D"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2" w:name="_Toc87367293"/>
      <w:bookmarkStart w:id="43" w:name="_Toc75869972"/>
      <w:r w:rsidRPr="00FA7BE2">
        <w:rPr>
          <w:rFonts w:asciiTheme="minorEastAsia" w:eastAsiaTheme="minorEastAsia" w:hAnsiTheme="minorEastAsia" w:hint="eastAsia"/>
        </w:rPr>
        <w:t>（五）基金转换费率</w:t>
      </w:r>
      <w:bookmarkEnd w:id="42"/>
      <w:bookmarkEnd w:id="43"/>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szCs w:val="21"/>
        </w:rPr>
      </w:pPr>
      <w:r w:rsidRPr="00FA7BE2">
        <w:rPr>
          <w:rFonts w:asciiTheme="minorEastAsia" w:eastAsiaTheme="minorEastAsia" w:hAnsiTheme="minorEastAsia" w:hint="eastAsia"/>
        </w:rPr>
        <w:t>基金转换费由基金份额持有人承担，</w:t>
      </w:r>
      <w:r w:rsidRPr="00FA7BE2">
        <w:rPr>
          <w:rFonts w:asciiTheme="minorEastAsia" w:eastAsiaTheme="minorEastAsia" w:hAnsiTheme="minorEastAsia" w:hint="eastAsia"/>
          <w:szCs w:val="21"/>
        </w:rPr>
        <w:t>由转出基金赎回费用及基金申购补差费用构成，其中赎回费按照各</w:t>
      </w:r>
      <w:r w:rsidRPr="00FA7BE2">
        <w:rPr>
          <w:rFonts w:asciiTheme="minorEastAsia" w:eastAsiaTheme="minorEastAsia" w:hAnsiTheme="minorEastAsia"/>
          <w:szCs w:val="21"/>
        </w:rPr>
        <w:t>基金的</w:t>
      </w:r>
      <w:r w:rsidRPr="00FA7BE2">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FA7BE2">
        <w:rPr>
          <w:rFonts w:asciiTheme="minorEastAsia" w:eastAsiaTheme="minorEastAsia" w:hAnsiTheme="minorEastAsia" w:hint="eastAsia"/>
        </w:rPr>
        <w:t>基金转换费率详见相关公告。</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rPr>
        <w:t>基金管理人可以</w:t>
      </w:r>
      <w:r w:rsidRPr="00FA7BE2">
        <w:rPr>
          <w:rFonts w:asciiTheme="minorEastAsia" w:eastAsiaTheme="minorEastAsia" w:hAnsiTheme="minorEastAsia" w:hint="eastAsia"/>
        </w:rPr>
        <w:t>根据市场情况</w:t>
      </w:r>
      <w:r w:rsidRPr="00FA7BE2">
        <w:rPr>
          <w:rFonts w:asciiTheme="minorEastAsia" w:eastAsiaTheme="minorEastAsia" w:hAnsiTheme="minorEastAsia"/>
        </w:rPr>
        <w:t>调整</w:t>
      </w:r>
      <w:r w:rsidRPr="00FA7BE2">
        <w:rPr>
          <w:rFonts w:asciiTheme="minorEastAsia" w:eastAsiaTheme="minorEastAsia" w:hAnsiTheme="minorEastAsia" w:hint="eastAsia"/>
        </w:rPr>
        <w:t>基金转换费率</w:t>
      </w:r>
      <w:r w:rsidRPr="00FA7BE2">
        <w:rPr>
          <w:rFonts w:asciiTheme="minorEastAsia" w:eastAsiaTheme="minorEastAsia" w:hAnsiTheme="minorEastAsia"/>
        </w:rPr>
        <w:t>。基金管理人应最迟于新的费率实施前</w:t>
      </w:r>
      <w:r w:rsidRPr="00FA7BE2">
        <w:rPr>
          <w:rFonts w:asciiTheme="minorEastAsia" w:eastAsiaTheme="minorEastAsia" w:hAnsiTheme="minorEastAsia" w:hint="eastAsia"/>
        </w:rPr>
        <w:t>2</w:t>
      </w:r>
      <w:r w:rsidRPr="00FA7BE2">
        <w:rPr>
          <w:rFonts w:asciiTheme="minorEastAsia" w:eastAsiaTheme="minorEastAsia" w:hAnsiTheme="minorEastAsia"/>
        </w:rPr>
        <w:t>个工作日在至少一种</w:t>
      </w:r>
      <w:r w:rsidR="0092110D" w:rsidRPr="00FA7BE2">
        <w:rPr>
          <w:rFonts w:asciiTheme="minorEastAsia" w:eastAsiaTheme="minorEastAsia" w:hAnsiTheme="minorEastAsia"/>
        </w:rPr>
        <w:t>指定媒介</w:t>
      </w:r>
      <w:r w:rsidRPr="00FA7BE2">
        <w:rPr>
          <w:rFonts w:asciiTheme="minorEastAsia" w:eastAsiaTheme="minorEastAsia" w:hAnsiTheme="minorEastAsia"/>
        </w:rPr>
        <w:t>公告。</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4" w:name="_Toc182826360"/>
      <w:bookmarkStart w:id="45" w:name="_Toc75869973"/>
      <w:r w:rsidRPr="00FA7BE2">
        <w:rPr>
          <w:rFonts w:asciiTheme="minorEastAsia" w:eastAsiaTheme="minorEastAsia" w:hAnsiTheme="minorEastAsia" w:hint="eastAsia"/>
        </w:rPr>
        <w:t>（六）基金转换份额的计算方式</w:t>
      </w:r>
      <w:bookmarkEnd w:id="44"/>
      <w:bookmarkEnd w:id="45"/>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计算公式：</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A＝［B×C×(1-D)/（1+G）+F］/E</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H＝</w:t>
      </w:r>
      <w:r w:rsidRPr="00FA7BE2">
        <w:rPr>
          <w:rFonts w:asciiTheme="minorEastAsia" w:eastAsiaTheme="minorEastAsia" w:hAnsiTheme="minorEastAsia" w:cs="Arial"/>
          <w:szCs w:val="21"/>
        </w:rPr>
        <w:t>B×C×D</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J＝[B×C×(1-D)/(1+G)]×G</w:t>
      </w:r>
    </w:p>
    <w:p w:rsidR="00D21CF5" w:rsidRPr="00FA7BE2" w:rsidRDefault="00D21CF5" w:rsidP="00D21CF5">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其中，</w:t>
      </w:r>
      <w:r w:rsidRPr="00FA7BE2">
        <w:rPr>
          <w:rFonts w:asciiTheme="minorEastAsia" w:eastAsiaTheme="minorEastAsia" w:hAnsiTheme="minorEastAsia"/>
        </w:rPr>
        <w:t>A</w:t>
      </w:r>
      <w:r w:rsidRPr="00FA7BE2">
        <w:rPr>
          <w:rFonts w:asciiTheme="minorEastAsia" w:eastAsiaTheme="minorEastAsia" w:hAnsiTheme="minorEastAsia" w:hint="eastAsia"/>
        </w:rPr>
        <w:t>为转入的基金份额；</w:t>
      </w:r>
      <w:r w:rsidRPr="00FA7BE2">
        <w:rPr>
          <w:rFonts w:asciiTheme="minorEastAsia" w:eastAsiaTheme="minorEastAsia" w:hAnsiTheme="minorEastAsia"/>
        </w:rPr>
        <w:t>B</w:t>
      </w:r>
      <w:r w:rsidRPr="00FA7BE2">
        <w:rPr>
          <w:rFonts w:asciiTheme="minorEastAsia" w:eastAsiaTheme="minorEastAsia" w:hAnsiTheme="minorEastAsia" w:hint="eastAsia"/>
        </w:rPr>
        <w:t>为转出的基金份额；</w:t>
      </w:r>
      <w:r w:rsidRPr="00FA7BE2">
        <w:rPr>
          <w:rFonts w:asciiTheme="minorEastAsia" w:eastAsiaTheme="minorEastAsia" w:hAnsiTheme="minorEastAsia"/>
        </w:rPr>
        <w:t>C</w:t>
      </w:r>
      <w:r w:rsidRPr="00FA7BE2">
        <w:rPr>
          <w:rFonts w:asciiTheme="minorEastAsia" w:eastAsiaTheme="minorEastAsia" w:hAnsiTheme="minorEastAsia" w:hint="eastAsia"/>
        </w:rPr>
        <w:t>为转换申请当日转出基金的基金份额净值；</w:t>
      </w:r>
      <w:r w:rsidRPr="00FA7BE2">
        <w:rPr>
          <w:rFonts w:asciiTheme="minorEastAsia" w:eastAsiaTheme="minorEastAsia" w:hAnsiTheme="minorEastAsia"/>
        </w:rPr>
        <w:t>D</w:t>
      </w:r>
      <w:r w:rsidRPr="00FA7BE2">
        <w:rPr>
          <w:rFonts w:asciiTheme="minorEastAsia" w:eastAsiaTheme="minorEastAsia" w:hAnsiTheme="minorEastAsia" w:hint="eastAsia"/>
        </w:rPr>
        <w:t>为转出基金的对应赎回费率，</w:t>
      </w:r>
      <w:r w:rsidRPr="00FA7BE2">
        <w:rPr>
          <w:rFonts w:asciiTheme="minorEastAsia" w:eastAsiaTheme="minorEastAsia" w:hAnsiTheme="minorEastAsia"/>
        </w:rPr>
        <w:t>G</w:t>
      </w:r>
      <w:r w:rsidRPr="00FA7BE2">
        <w:rPr>
          <w:rFonts w:asciiTheme="minorEastAsia" w:eastAsiaTheme="minorEastAsia" w:hAnsiTheme="minorEastAsia" w:hint="eastAsia"/>
        </w:rPr>
        <w:t>为对应的申购补差费率；</w:t>
      </w:r>
      <w:r w:rsidRPr="00FA7BE2">
        <w:rPr>
          <w:rFonts w:asciiTheme="minorEastAsia" w:eastAsiaTheme="minorEastAsia" w:hAnsiTheme="minorEastAsia"/>
        </w:rPr>
        <w:t>E</w:t>
      </w:r>
      <w:r w:rsidRPr="00FA7BE2">
        <w:rPr>
          <w:rFonts w:asciiTheme="minorEastAsia" w:eastAsiaTheme="minorEastAsia" w:hAnsiTheme="minorEastAsia" w:hint="eastAsia"/>
        </w:rPr>
        <w:t>为转换申请当日转入基金的基金份额净值；</w:t>
      </w:r>
      <w:r w:rsidR="004D549F" w:rsidRPr="00FA7BE2">
        <w:rPr>
          <w:rFonts w:asciiTheme="minorEastAsia" w:eastAsiaTheme="minorEastAsia" w:hAnsiTheme="minorEastAsia" w:hint="eastAsia"/>
        </w:rPr>
        <w:t>F为货币市场基金全部转出时注册登记机构已支付的未付收益</w:t>
      </w:r>
      <w:r w:rsidRPr="00FA7BE2">
        <w:rPr>
          <w:rFonts w:asciiTheme="minorEastAsia" w:eastAsiaTheme="minorEastAsia" w:hAnsiTheme="minorEastAsia" w:hint="eastAsia"/>
          <w:szCs w:val="20"/>
        </w:rPr>
        <w:t>；H为</w:t>
      </w:r>
      <w:r w:rsidRPr="00FA7BE2">
        <w:rPr>
          <w:rFonts w:asciiTheme="minorEastAsia" w:eastAsiaTheme="minorEastAsia" w:hAnsiTheme="minorEastAsia" w:hint="eastAsia"/>
        </w:rPr>
        <w:t>转出基金赎回费；J为申购补差费。</w:t>
      </w:r>
    </w:p>
    <w:p w:rsidR="004D549F" w:rsidRPr="00FA7BE2" w:rsidRDefault="004D549F" w:rsidP="004D549F">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D21CF5" w:rsidRPr="00FA7BE2" w:rsidRDefault="00D21CF5" w:rsidP="001D1F29">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说明：</w:t>
      </w:r>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、基金转换费用由转出基金赎回费用及基金申购补差费用构成。</w:t>
      </w:r>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rPr>
        <w:lastRenderedPageBreak/>
        <w:t>2</w:t>
      </w:r>
      <w:r w:rsidRPr="00FA7BE2">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、转入基金时，从申购费用低的基金向申购费用高的基金转换时，每次收取申购补差费用；从申购费用高的基金向申购费用低的基金转换时，不收取申购补差费用</w:t>
      </w:r>
      <w:r w:rsidR="008228E1" w:rsidRPr="00FA7BE2">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FA7BE2">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4、投资者可以发起多次基金转换业务，基金转换费用按每笔申请单独计算。</w:t>
      </w:r>
      <w:r w:rsidRPr="00FA7BE2">
        <w:rPr>
          <w:rFonts w:asciiTheme="minorEastAsia" w:eastAsiaTheme="minorEastAsia" w:hAnsiTheme="minorEastAsia"/>
          <w:szCs w:val="21"/>
        </w:rPr>
        <w:t>转换费用以人民币元为单位，计算结果按照四舍五入方法，保留小数点后两位。</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举例说明</w:t>
      </w:r>
      <w:r w:rsidRPr="00FA7BE2">
        <w:rPr>
          <w:rFonts w:asciiTheme="minorEastAsia" w:eastAsiaTheme="minorEastAsia" w:hAnsiTheme="minorEastAsia"/>
        </w:rPr>
        <w:t>：</w:t>
      </w:r>
      <w:r w:rsidRPr="00FA7BE2">
        <w:rPr>
          <w:rFonts w:asciiTheme="minorEastAsia" w:eastAsiaTheme="minorEastAsia" w:hAnsiTheme="minorEastAsia" w:hint="eastAsia"/>
        </w:rPr>
        <w:t>假定某投资者</w:t>
      </w:r>
      <w:r w:rsidR="00480C27" w:rsidRPr="00FA7BE2">
        <w:rPr>
          <w:rFonts w:asciiTheme="minorEastAsia" w:eastAsiaTheme="minorEastAsia" w:hAnsiTheme="minorEastAsia" w:hint="eastAsia"/>
          <w:szCs w:val="21"/>
        </w:rPr>
        <w:t>（非特定投资群体）</w:t>
      </w:r>
      <w:r w:rsidRPr="00FA7BE2">
        <w:rPr>
          <w:rFonts w:asciiTheme="minorEastAsia" w:eastAsiaTheme="minorEastAsia" w:hAnsiTheme="minorEastAsia" w:hint="eastAsia"/>
        </w:rPr>
        <w:t>在T日转出10,000份易方达稳健收益</w:t>
      </w:r>
      <w:r w:rsidR="00CD39BB" w:rsidRPr="00FA7BE2">
        <w:rPr>
          <w:rFonts w:asciiTheme="minorEastAsia" w:eastAsiaTheme="minorEastAsia" w:hAnsiTheme="minorEastAsia" w:hint="eastAsia"/>
        </w:rPr>
        <w:t>A类</w:t>
      </w:r>
      <w:r w:rsidRPr="00FA7BE2">
        <w:rPr>
          <w:rFonts w:asciiTheme="minorEastAsia" w:eastAsiaTheme="minorEastAsia" w:hAnsiTheme="minorEastAsia" w:hint="eastAsia"/>
        </w:rPr>
        <w:t>基金至</w:t>
      </w:r>
      <w:r w:rsidRPr="00FA7BE2">
        <w:rPr>
          <w:rFonts w:asciiTheme="minorEastAsia" w:eastAsiaTheme="minorEastAsia" w:hAnsiTheme="minorEastAsia"/>
        </w:rPr>
        <w:t>易方达策略成长二号混合型基金</w:t>
      </w:r>
      <w:r w:rsidRPr="00FA7BE2">
        <w:rPr>
          <w:rFonts w:asciiTheme="minorEastAsia" w:eastAsiaTheme="minorEastAsia" w:hAnsiTheme="minorEastAsia" w:hint="eastAsia"/>
        </w:rPr>
        <w:t>份额，转出基金T日的基金份额净值为1.1000元，转入</w:t>
      </w:r>
      <w:r w:rsidRPr="00FA7BE2">
        <w:rPr>
          <w:rFonts w:asciiTheme="minorEastAsia" w:eastAsiaTheme="minorEastAsia" w:hAnsiTheme="minorEastAsia"/>
        </w:rPr>
        <w:t>易方达策略成长二号混合型基金</w:t>
      </w:r>
      <w:r w:rsidRPr="00FA7BE2">
        <w:rPr>
          <w:rFonts w:asciiTheme="minorEastAsia" w:eastAsiaTheme="minorEastAsia" w:hAnsiTheme="minorEastAsia" w:hint="eastAsia"/>
        </w:rPr>
        <w:t>T日的基金份额净值为1.020元，假设该转出基金的赎回费率为0.00%，申购补差费率为2.00%，则可获得转入基金的</w:t>
      </w:r>
      <w:r w:rsidRPr="00FA7BE2">
        <w:rPr>
          <w:rFonts w:asciiTheme="minorEastAsia" w:eastAsiaTheme="minorEastAsia" w:hAnsiTheme="minorEastAsia"/>
        </w:rPr>
        <w:t>易方达策略成长二号混合型基金</w:t>
      </w:r>
      <w:r w:rsidRPr="00FA7BE2">
        <w:rPr>
          <w:rFonts w:asciiTheme="minorEastAsia" w:eastAsiaTheme="minorEastAsia" w:hAnsiTheme="minorEastAsia" w:hint="eastAsia"/>
        </w:rPr>
        <w:t>基金份额计算如下：</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转换</w:t>
      </w:r>
      <w:r w:rsidRPr="00FA7BE2">
        <w:rPr>
          <w:rFonts w:asciiTheme="minorEastAsia" w:eastAsiaTheme="minorEastAsia" w:hAnsiTheme="minorEastAsia"/>
          <w:szCs w:val="20"/>
        </w:rPr>
        <w:t>金额＝转出基金申请份额×转出基金份额净值=10</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000×1</w:t>
      </w:r>
      <w:r w:rsidRPr="00FA7BE2">
        <w:rPr>
          <w:rFonts w:asciiTheme="minorEastAsia" w:eastAsiaTheme="minorEastAsia" w:hAnsiTheme="minorEastAsia" w:hint="eastAsia"/>
          <w:szCs w:val="20"/>
        </w:rPr>
        <w:t>.1000</w:t>
      </w:r>
      <w:r w:rsidRPr="00FA7BE2">
        <w:rPr>
          <w:rFonts w:asciiTheme="minorEastAsia" w:eastAsiaTheme="minorEastAsia" w:hAnsiTheme="minorEastAsia"/>
          <w:szCs w:val="20"/>
        </w:rPr>
        <w:t>＝1</w:t>
      </w:r>
      <w:r w:rsidRPr="00FA7BE2">
        <w:rPr>
          <w:rFonts w:asciiTheme="minorEastAsia" w:eastAsiaTheme="minorEastAsia" w:hAnsiTheme="minorEastAsia" w:hint="eastAsia"/>
          <w:szCs w:val="20"/>
        </w:rPr>
        <w:t>1,</w:t>
      </w:r>
      <w:r w:rsidRPr="00FA7BE2">
        <w:rPr>
          <w:rFonts w:asciiTheme="minorEastAsia" w:eastAsiaTheme="minorEastAsia" w:hAnsiTheme="minorEastAsia"/>
          <w:szCs w:val="20"/>
        </w:rPr>
        <w:t>000</w:t>
      </w:r>
      <w:r w:rsidRPr="00FA7BE2">
        <w:rPr>
          <w:rFonts w:asciiTheme="minorEastAsia" w:eastAsiaTheme="minorEastAsia" w:hAnsiTheme="minorEastAsia" w:hint="eastAsia"/>
          <w:szCs w:val="20"/>
        </w:rPr>
        <w:t>.00</w:t>
      </w:r>
      <w:r w:rsidRPr="00FA7BE2">
        <w:rPr>
          <w:rFonts w:asciiTheme="minorEastAsia" w:eastAsiaTheme="minorEastAsia" w:hAnsiTheme="minorEastAsia"/>
          <w:szCs w:val="20"/>
        </w:rPr>
        <w:t>元</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转出基金</w:t>
      </w:r>
      <w:r w:rsidRPr="00FA7BE2">
        <w:rPr>
          <w:rFonts w:asciiTheme="minorEastAsia" w:eastAsiaTheme="minorEastAsia" w:hAnsiTheme="minorEastAsia"/>
          <w:szCs w:val="20"/>
        </w:rPr>
        <w:t>赎回费＝</w:t>
      </w:r>
      <w:r w:rsidRPr="00FA7BE2">
        <w:rPr>
          <w:rFonts w:asciiTheme="minorEastAsia" w:eastAsiaTheme="minorEastAsia" w:hAnsiTheme="minorEastAsia" w:hint="eastAsia"/>
          <w:szCs w:val="20"/>
        </w:rPr>
        <w:t>转换</w:t>
      </w:r>
      <w:r w:rsidRPr="00FA7BE2">
        <w:rPr>
          <w:rFonts w:asciiTheme="minorEastAsia" w:eastAsiaTheme="minorEastAsia" w:hAnsiTheme="minorEastAsia"/>
          <w:szCs w:val="20"/>
        </w:rPr>
        <w:t>金额×</w:t>
      </w:r>
      <w:r w:rsidRPr="00FA7BE2">
        <w:rPr>
          <w:rFonts w:asciiTheme="minorEastAsia" w:eastAsiaTheme="minorEastAsia" w:hAnsiTheme="minorEastAsia" w:hint="eastAsia"/>
          <w:szCs w:val="20"/>
        </w:rPr>
        <w:t>转出基金</w:t>
      </w:r>
      <w:r w:rsidRPr="00FA7BE2">
        <w:rPr>
          <w:rFonts w:asciiTheme="minorEastAsia" w:eastAsiaTheme="minorEastAsia" w:hAnsiTheme="minorEastAsia"/>
          <w:szCs w:val="20"/>
        </w:rPr>
        <w:t>赎回费率</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1</w:t>
      </w:r>
      <w:r w:rsidRPr="00FA7BE2">
        <w:rPr>
          <w:rFonts w:asciiTheme="minorEastAsia" w:eastAsiaTheme="minorEastAsia" w:hAnsiTheme="minorEastAsia" w:hint="eastAsia"/>
          <w:szCs w:val="20"/>
        </w:rPr>
        <w:t>1,</w:t>
      </w:r>
      <w:r w:rsidRPr="00FA7BE2">
        <w:rPr>
          <w:rFonts w:asciiTheme="minorEastAsia" w:eastAsiaTheme="minorEastAsia" w:hAnsiTheme="minorEastAsia"/>
          <w:szCs w:val="20"/>
        </w:rPr>
        <w:t>000</w:t>
      </w:r>
      <w:r w:rsidRPr="00FA7BE2">
        <w:rPr>
          <w:rFonts w:asciiTheme="minorEastAsia" w:eastAsiaTheme="minorEastAsia" w:hAnsiTheme="minorEastAsia" w:hint="eastAsia"/>
          <w:szCs w:val="20"/>
        </w:rPr>
        <w:t>.00</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0.00%=0.00元</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申购</w:t>
      </w:r>
      <w:r w:rsidRPr="00FA7BE2">
        <w:rPr>
          <w:rFonts w:asciiTheme="minorEastAsia" w:eastAsiaTheme="minorEastAsia" w:hAnsiTheme="minorEastAsia"/>
          <w:szCs w:val="20"/>
        </w:rPr>
        <w:t>补差费</w:t>
      </w:r>
      <w:r w:rsidRPr="00FA7BE2">
        <w:rPr>
          <w:rFonts w:asciiTheme="minorEastAsia" w:eastAsiaTheme="minorEastAsia" w:hAnsiTheme="minorEastAsia" w:hint="eastAsia"/>
          <w:szCs w:val="20"/>
        </w:rPr>
        <w:t>=（转换</w:t>
      </w:r>
      <w:r w:rsidRPr="00FA7BE2">
        <w:rPr>
          <w:rFonts w:asciiTheme="minorEastAsia" w:eastAsiaTheme="minorEastAsia" w:hAnsiTheme="minorEastAsia"/>
          <w:szCs w:val="20"/>
        </w:rPr>
        <w:t>金额</w:t>
      </w:r>
      <w:r w:rsidRPr="00FA7BE2">
        <w:rPr>
          <w:rFonts w:asciiTheme="minorEastAsia" w:eastAsiaTheme="minorEastAsia" w:hAnsiTheme="minorEastAsia" w:hint="eastAsia"/>
          <w:szCs w:val="20"/>
        </w:rPr>
        <w:t>—转出基金</w:t>
      </w:r>
      <w:r w:rsidRPr="00FA7BE2">
        <w:rPr>
          <w:rFonts w:asciiTheme="minorEastAsia" w:eastAsiaTheme="minorEastAsia" w:hAnsiTheme="minorEastAsia"/>
          <w:szCs w:val="20"/>
        </w:rPr>
        <w:t>赎回费</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申购</w:t>
      </w:r>
      <w:r w:rsidRPr="00FA7BE2">
        <w:rPr>
          <w:rFonts w:asciiTheme="minorEastAsia" w:eastAsiaTheme="minorEastAsia" w:hAnsiTheme="minorEastAsia"/>
          <w:szCs w:val="20"/>
        </w:rPr>
        <w:t>补差费率÷（１＋</w:t>
      </w:r>
      <w:r w:rsidRPr="00FA7BE2">
        <w:rPr>
          <w:rFonts w:asciiTheme="minorEastAsia" w:eastAsiaTheme="minorEastAsia" w:hAnsiTheme="minorEastAsia" w:hint="eastAsia"/>
          <w:szCs w:val="20"/>
        </w:rPr>
        <w:t>申购</w:t>
      </w:r>
      <w:r w:rsidRPr="00FA7BE2">
        <w:rPr>
          <w:rFonts w:asciiTheme="minorEastAsia" w:eastAsiaTheme="minorEastAsia" w:hAnsiTheme="minorEastAsia"/>
          <w:szCs w:val="20"/>
        </w:rPr>
        <w:t>补差费率）</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1</w:t>
      </w:r>
      <w:r w:rsidRPr="00FA7BE2">
        <w:rPr>
          <w:rFonts w:asciiTheme="minorEastAsia" w:eastAsiaTheme="minorEastAsia" w:hAnsiTheme="minorEastAsia" w:hint="eastAsia"/>
          <w:szCs w:val="20"/>
        </w:rPr>
        <w:t>1,</w:t>
      </w:r>
      <w:r w:rsidRPr="00FA7BE2">
        <w:rPr>
          <w:rFonts w:asciiTheme="minorEastAsia" w:eastAsiaTheme="minorEastAsia" w:hAnsiTheme="minorEastAsia"/>
          <w:szCs w:val="20"/>
        </w:rPr>
        <w:t>000</w:t>
      </w:r>
      <w:r w:rsidRPr="00FA7BE2">
        <w:rPr>
          <w:rFonts w:asciiTheme="minorEastAsia" w:eastAsiaTheme="minorEastAsia" w:hAnsiTheme="minorEastAsia" w:hint="eastAsia"/>
          <w:szCs w:val="20"/>
        </w:rPr>
        <w:t>.00-0.00）</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2.</w:t>
      </w:r>
      <w:r w:rsidRPr="00FA7BE2">
        <w:rPr>
          <w:rFonts w:asciiTheme="minorEastAsia" w:eastAsiaTheme="minorEastAsia" w:hAnsiTheme="minorEastAsia" w:hint="eastAsia"/>
        </w:rPr>
        <w:t>00</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(1+2.</w:t>
      </w:r>
      <w:r w:rsidRPr="00FA7BE2">
        <w:rPr>
          <w:rFonts w:asciiTheme="minorEastAsia" w:eastAsiaTheme="minorEastAsia" w:hAnsiTheme="minorEastAsia" w:hint="eastAsia"/>
        </w:rPr>
        <w:t>00</w:t>
      </w:r>
      <w:r w:rsidRPr="00FA7BE2">
        <w:rPr>
          <w:rFonts w:asciiTheme="minorEastAsia" w:eastAsiaTheme="minorEastAsia" w:hAnsiTheme="minorEastAsia" w:hint="eastAsia"/>
          <w:szCs w:val="20"/>
        </w:rPr>
        <w:t>%)=</w:t>
      </w:r>
      <w:r w:rsidRPr="00FA7BE2">
        <w:rPr>
          <w:rFonts w:asciiTheme="minorEastAsia" w:eastAsiaTheme="minorEastAsia" w:hAnsiTheme="minorEastAsia" w:hint="eastAsia"/>
        </w:rPr>
        <w:t>215.69</w:t>
      </w:r>
      <w:r w:rsidRPr="00FA7BE2">
        <w:rPr>
          <w:rFonts w:asciiTheme="minorEastAsia" w:eastAsiaTheme="minorEastAsia" w:hAnsiTheme="minorEastAsia" w:hint="eastAsia"/>
          <w:szCs w:val="20"/>
        </w:rPr>
        <w:t>元</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szCs w:val="20"/>
        </w:rPr>
        <w:t>转换费＝转出基金赎回费+申购补差费=</w:t>
      </w:r>
      <w:r w:rsidRPr="00FA7BE2">
        <w:rPr>
          <w:rFonts w:asciiTheme="minorEastAsia" w:eastAsiaTheme="minorEastAsia" w:hAnsiTheme="minorEastAsia" w:hint="eastAsia"/>
          <w:szCs w:val="20"/>
        </w:rPr>
        <w:t>0.00</w:t>
      </w:r>
      <w:r w:rsidRPr="00FA7BE2">
        <w:rPr>
          <w:rFonts w:asciiTheme="minorEastAsia" w:eastAsiaTheme="minorEastAsia" w:hAnsiTheme="minorEastAsia"/>
          <w:szCs w:val="20"/>
        </w:rPr>
        <w:t>+</w:t>
      </w:r>
      <w:r w:rsidRPr="00FA7BE2">
        <w:rPr>
          <w:rFonts w:asciiTheme="minorEastAsia" w:eastAsiaTheme="minorEastAsia" w:hAnsiTheme="minorEastAsia" w:hint="eastAsia"/>
        </w:rPr>
        <w:t>215.69</w:t>
      </w:r>
      <w:r w:rsidRPr="00FA7BE2">
        <w:rPr>
          <w:rFonts w:asciiTheme="minorEastAsia" w:eastAsiaTheme="minorEastAsia" w:hAnsiTheme="minorEastAsia"/>
          <w:szCs w:val="20"/>
        </w:rPr>
        <w:t>＝</w:t>
      </w:r>
      <w:r w:rsidRPr="00FA7BE2">
        <w:rPr>
          <w:rFonts w:asciiTheme="minorEastAsia" w:eastAsiaTheme="minorEastAsia" w:hAnsiTheme="minorEastAsia" w:hint="eastAsia"/>
        </w:rPr>
        <w:t>215.69</w:t>
      </w:r>
      <w:r w:rsidRPr="00FA7BE2">
        <w:rPr>
          <w:rFonts w:asciiTheme="minorEastAsia" w:eastAsiaTheme="minorEastAsia" w:hAnsiTheme="minorEastAsia" w:hint="eastAsia"/>
          <w:szCs w:val="20"/>
        </w:rPr>
        <w:t>元</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转入金额=转换</w:t>
      </w:r>
      <w:r w:rsidRPr="00FA7BE2">
        <w:rPr>
          <w:rFonts w:asciiTheme="minorEastAsia" w:eastAsiaTheme="minorEastAsia" w:hAnsiTheme="minorEastAsia"/>
          <w:szCs w:val="20"/>
        </w:rPr>
        <w:t>金额</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转换费</w:t>
      </w:r>
      <w:r w:rsidRPr="00FA7BE2">
        <w:rPr>
          <w:rFonts w:asciiTheme="minorEastAsia" w:eastAsiaTheme="minorEastAsia" w:hAnsiTheme="minorEastAsia" w:hint="eastAsia"/>
          <w:szCs w:val="20"/>
        </w:rPr>
        <w:t>=</w:t>
      </w:r>
      <w:r w:rsidRPr="00FA7BE2">
        <w:rPr>
          <w:rFonts w:asciiTheme="minorEastAsia" w:eastAsiaTheme="minorEastAsia" w:hAnsiTheme="minorEastAsia"/>
          <w:szCs w:val="20"/>
        </w:rPr>
        <w:t>1</w:t>
      </w:r>
      <w:r w:rsidRPr="00FA7BE2">
        <w:rPr>
          <w:rFonts w:asciiTheme="minorEastAsia" w:eastAsiaTheme="minorEastAsia" w:hAnsiTheme="minorEastAsia" w:hint="eastAsia"/>
          <w:szCs w:val="20"/>
        </w:rPr>
        <w:t>1</w:t>
      </w:r>
      <w:r w:rsidRPr="00FA7BE2">
        <w:rPr>
          <w:rFonts w:asciiTheme="minorEastAsia" w:eastAsiaTheme="minorEastAsia" w:hAnsiTheme="minorEastAsia" w:hint="eastAsia"/>
        </w:rPr>
        <w:t>,</w:t>
      </w:r>
      <w:r w:rsidRPr="00FA7BE2">
        <w:rPr>
          <w:rFonts w:asciiTheme="minorEastAsia" w:eastAsiaTheme="minorEastAsia" w:hAnsiTheme="minorEastAsia"/>
          <w:szCs w:val="20"/>
        </w:rPr>
        <w:t>000</w:t>
      </w:r>
      <w:r w:rsidRPr="00FA7BE2">
        <w:rPr>
          <w:rFonts w:asciiTheme="minorEastAsia" w:eastAsiaTheme="minorEastAsia" w:hAnsiTheme="minorEastAsia" w:hint="eastAsia"/>
          <w:szCs w:val="20"/>
        </w:rPr>
        <w:t>.00</w:t>
      </w:r>
      <w:r w:rsidRPr="00FA7BE2">
        <w:rPr>
          <w:rFonts w:asciiTheme="minorEastAsia" w:eastAsiaTheme="minorEastAsia" w:hAnsiTheme="minorEastAsia" w:hint="eastAsia"/>
        </w:rPr>
        <w:t>-215.69</w:t>
      </w:r>
      <w:r w:rsidRPr="00FA7BE2">
        <w:rPr>
          <w:rFonts w:asciiTheme="minorEastAsia" w:eastAsiaTheme="minorEastAsia" w:hAnsiTheme="minorEastAsia" w:hint="eastAsia"/>
          <w:szCs w:val="20"/>
        </w:rPr>
        <w:t>=10,784.</w:t>
      </w:r>
      <w:r w:rsidRPr="00FA7BE2">
        <w:rPr>
          <w:rFonts w:asciiTheme="minorEastAsia" w:eastAsiaTheme="minorEastAsia" w:hAnsiTheme="minorEastAsia" w:hint="eastAsia"/>
        </w:rPr>
        <w:t>31</w:t>
      </w:r>
      <w:r w:rsidRPr="00FA7BE2">
        <w:rPr>
          <w:rFonts w:asciiTheme="minorEastAsia" w:eastAsiaTheme="minorEastAsia" w:hAnsiTheme="minorEastAsia" w:hint="eastAsia"/>
          <w:szCs w:val="20"/>
        </w:rPr>
        <w:t>元</w:t>
      </w:r>
    </w:p>
    <w:p w:rsidR="00D21CF5" w:rsidRPr="00FA7BE2" w:rsidRDefault="00D21CF5" w:rsidP="00D21CF5">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转入份额=转入金额</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转入基金份额净值=10,784.</w:t>
      </w:r>
      <w:r w:rsidRPr="00FA7BE2">
        <w:rPr>
          <w:rFonts w:asciiTheme="minorEastAsia" w:eastAsiaTheme="minorEastAsia" w:hAnsiTheme="minorEastAsia" w:hint="eastAsia"/>
        </w:rPr>
        <w:t>31</w:t>
      </w:r>
      <w:r w:rsidRPr="00FA7BE2">
        <w:rPr>
          <w:rFonts w:asciiTheme="minorEastAsia" w:eastAsiaTheme="minorEastAsia" w:hAnsiTheme="minorEastAsia"/>
          <w:szCs w:val="20"/>
        </w:rPr>
        <w:t>÷</w:t>
      </w:r>
      <w:r w:rsidRPr="00FA7BE2">
        <w:rPr>
          <w:rFonts w:asciiTheme="minorEastAsia" w:eastAsiaTheme="minorEastAsia" w:hAnsiTheme="minorEastAsia" w:hint="eastAsia"/>
          <w:szCs w:val="20"/>
        </w:rPr>
        <w:t>1.020=10,572.</w:t>
      </w:r>
      <w:r w:rsidRPr="00FA7BE2">
        <w:rPr>
          <w:rFonts w:asciiTheme="minorEastAsia" w:eastAsiaTheme="minorEastAsia" w:hAnsiTheme="minorEastAsia" w:hint="eastAsia"/>
        </w:rPr>
        <w:t>85</w:t>
      </w:r>
      <w:r w:rsidRPr="00FA7BE2">
        <w:rPr>
          <w:rFonts w:asciiTheme="minorEastAsia" w:eastAsiaTheme="minorEastAsia" w:hAnsiTheme="minorEastAsia" w:hint="eastAsia"/>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5C6736" w:rsidRPr="00FA7BE2" w:rsidTr="004F61AF">
        <w:trPr>
          <w:trHeight w:val="413"/>
        </w:trPr>
        <w:tc>
          <w:tcPr>
            <w:tcW w:w="1080"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转出</w:t>
            </w:r>
            <w:r w:rsidRPr="00FA7BE2">
              <w:rPr>
                <w:rFonts w:asciiTheme="minorEastAsia" w:eastAsiaTheme="minorEastAsia" w:hAnsiTheme="minorEastAsia"/>
                <w:szCs w:val="20"/>
              </w:rPr>
              <w:t>份额</w:t>
            </w:r>
          </w:p>
        </w:tc>
        <w:tc>
          <w:tcPr>
            <w:tcW w:w="900"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转出</w:t>
            </w:r>
            <w:r w:rsidRPr="00FA7BE2">
              <w:rPr>
                <w:rFonts w:asciiTheme="minorEastAsia" w:eastAsiaTheme="minorEastAsia" w:hAnsiTheme="minorEastAsia"/>
                <w:szCs w:val="20"/>
              </w:rPr>
              <w:t>基金</w:t>
            </w:r>
            <w:r w:rsidRPr="00FA7BE2">
              <w:rPr>
                <w:rFonts w:asciiTheme="minorEastAsia" w:eastAsiaTheme="minorEastAsia" w:hAnsiTheme="minorEastAsia" w:hint="eastAsia"/>
                <w:szCs w:val="20"/>
              </w:rPr>
              <w:t>份额</w:t>
            </w:r>
            <w:r w:rsidRPr="00FA7BE2">
              <w:rPr>
                <w:rFonts w:asciiTheme="minorEastAsia" w:eastAsiaTheme="minorEastAsia" w:hAnsiTheme="minorEastAsia"/>
                <w:szCs w:val="20"/>
              </w:rPr>
              <w:t>净值</w:t>
            </w:r>
          </w:p>
        </w:tc>
        <w:tc>
          <w:tcPr>
            <w:tcW w:w="1440"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转换金额</w:t>
            </w:r>
          </w:p>
        </w:tc>
        <w:tc>
          <w:tcPr>
            <w:tcW w:w="2340" w:type="dxa"/>
            <w:gridSpan w:val="2"/>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转换费</w:t>
            </w:r>
          </w:p>
        </w:tc>
        <w:tc>
          <w:tcPr>
            <w:tcW w:w="1440"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转入金额</w:t>
            </w:r>
          </w:p>
        </w:tc>
        <w:tc>
          <w:tcPr>
            <w:tcW w:w="1185"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转入</w:t>
            </w:r>
            <w:r w:rsidRPr="00FA7BE2">
              <w:rPr>
                <w:rFonts w:asciiTheme="minorEastAsia" w:eastAsiaTheme="minorEastAsia" w:hAnsiTheme="minorEastAsia"/>
                <w:szCs w:val="20"/>
              </w:rPr>
              <w:t>基金</w:t>
            </w:r>
            <w:r w:rsidRPr="00FA7BE2">
              <w:rPr>
                <w:rFonts w:asciiTheme="minorEastAsia" w:eastAsiaTheme="minorEastAsia" w:hAnsiTheme="minorEastAsia" w:hint="eastAsia"/>
                <w:szCs w:val="20"/>
              </w:rPr>
              <w:t>份额</w:t>
            </w:r>
            <w:r w:rsidRPr="00FA7BE2">
              <w:rPr>
                <w:rFonts w:asciiTheme="minorEastAsia" w:eastAsiaTheme="minorEastAsia" w:hAnsiTheme="minorEastAsia"/>
                <w:szCs w:val="20"/>
              </w:rPr>
              <w:t>净值</w:t>
            </w:r>
          </w:p>
        </w:tc>
        <w:tc>
          <w:tcPr>
            <w:tcW w:w="1335" w:type="dxa"/>
            <w:vMerge w:val="restart"/>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转入份额</w:t>
            </w:r>
          </w:p>
        </w:tc>
      </w:tr>
      <w:tr w:rsidR="005C6736" w:rsidRPr="00FA7BE2" w:rsidTr="004F61AF">
        <w:trPr>
          <w:trHeight w:val="412"/>
        </w:trPr>
        <w:tc>
          <w:tcPr>
            <w:tcW w:w="1080"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c>
          <w:tcPr>
            <w:tcW w:w="900"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c>
          <w:tcPr>
            <w:tcW w:w="1440"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c>
          <w:tcPr>
            <w:tcW w:w="126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转出基金</w:t>
            </w:r>
            <w:r w:rsidRPr="00FA7BE2">
              <w:rPr>
                <w:rFonts w:asciiTheme="minorEastAsia" w:eastAsiaTheme="minorEastAsia" w:hAnsiTheme="minorEastAsia"/>
                <w:szCs w:val="20"/>
              </w:rPr>
              <w:t>赎回费</w:t>
            </w:r>
          </w:p>
        </w:tc>
        <w:tc>
          <w:tcPr>
            <w:tcW w:w="108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申购</w:t>
            </w:r>
            <w:r w:rsidRPr="00FA7BE2">
              <w:rPr>
                <w:rFonts w:asciiTheme="minorEastAsia" w:eastAsiaTheme="minorEastAsia" w:hAnsiTheme="minorEastAsia"/>
                <w:szCs w:val="20"/>
              </w:rPr>
              <w:t>补差费</w:t>
            </w:r>
          </w:p>
        </w:tc>
        <w:tc>
          <w:tcPr>
            <w:tcW w:w="1440"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c>
          <w:tcPr>
            <w:tcW w:w="1185"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c>
          <w:tcPr>
            <w:tcW w:w="1335" w:type="dxa"/>
            <w:vMerge/>
          </w:tcPr>
          <w:p w:rsidR="00D21CF5" w:rsidRPr="00FA7BE2" w:rsidRDefault="00D21CF5" w:rsidP="004F61AF">
            <w:pPr>
              <w:snapToGrid w:val="0"/>
              <w:spacing w:line="360" w:lineRule="auto"/>
              <w:ind w:firstLine="420"/>
              <w:rPr>
                <w:rFonts w:asciiTheme="minorEastAsia" w:eastAsiaTheme="minorEastAsia" w:hAnsiTheme="minorEastAsia"/>
                <w:szCs w:val="20"/>
              </w:rPr>
            </w:pPr>
          </w:p>
        </w:tc>
      </w:tr>
      <w:tr w:rsidR="005C6736" w:rsidRPr="00FA7BE2" w:rsidTr="004F61AF">
        <w:tc>
          <w:tcPr>
            <w:tcW w:w="108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szCs w:val="20"/>
              </w:rPr>
              <w:t>10,000</w:t>
            </w:r>
            <w:r w:rsidRPr="00FA7BE2">
              <w:rPr>
                <w:rFonts w:asciiTheme="minorEastAsia" w:eastAsiaTheme="minorEastAsia" w:hAnsiTheme="minorEastAsia" w:hint="eastAsia"/>
                <w:szCs w:val="20"/>
              </w:rPr>
              <w:t>份</w:t>
            </w:r>
          </w:p>
        </w:tc>
        <w:tc>
          <w:tcPr>
            <w:tcW w:w="90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szCs w:val="20"/>
              </w:rPr>
              <w:t>1.</w:t>
            </w:r>
            <w:r w:rsidRPr="00FA7BE2">
              <w:rPr>
                <w:rFonts w:asciiTheme="minorEastAsia" w:eastAsiaTheme="minorEastAsia" w:hAnsiTheme="minorEastAsia" w:hint="eastAsia"/>
                <w:szCs w:val="20"/>
              </w:rPr>
              <w:t>1</w:t>
            </w:r>
            <w:r w:rsidRPr="00FA7BE2">
              <w:rPr>
                <w:rFonts w:asciiTheme="minorEastAsia" w:eastAsiaTheme="minorEastAsia" w:hAnsiTheme="minorEastAsia"/>
                <w:szCs w:val="20"/>
              </w:rPr>
              <w:t>0</w:t>
            </w:r>
            <w:r w:rsidRPr="00FA7BE2">
              <w:rPr>
                <w:rFonts w:asciiTheme="minorEastAsia" w:eastAsiaTheme="minorEastAsia" w:hAnsiTheme="minorEastAsia" w:hint="eastAsia"/>
                <w:szCs w:val="20"/>
              </w:rPr>
              <w:t>00</w:t>
            </w:r>
            <w:r w:rsidRPr="00FA7BE2">
              <w:rPr>
                <w:rFonts w:asciiTheme="minorEastAsia" w:eastAsiaTheme="minorEastAsia" w:hAnsiTheme="minorEastAsia"/>
                <w:szCs w:val="20"/>
              </w:rPr>
              <w:t>元</w:t>
            </w:r>
          </w:p>
        </w:tc>
        <w:tc>
          <w:tcPr>
            <w:tcW w:w="144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11,000.00元</w:t>
            </w:r>
          </w:p>
        </w:tc>
        <w:tc>
          <w:tcPr>
            <w:tcW w:w="126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0.00元</w:t>
            </w:r>
          </w:p>
        </w:tc>
        <w:tc>
          <w:tcPr>
            <w:tcW w:w="108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rPr>
              <w:t>215.69</w:t>
            </w:r>
            <w:r w:rsidRPr="00FA7BE2">
              <w:rPr>
                <w:rFonts w:asciiTheme="minorEastAsia" w:eastAsiaTheme="minorEastAsia" w:hAnsiTheme="minorEastAsia" w:hint="eastAsia"/>
                <w:szCs w:val="20"/>
              </w:rPr>
              <w:t>元</w:t>
            </w:r>
          </w:p>
        </w:tc>
        <w:tc>
          <w:tcPr>
            <w:tcW w:w="1440"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10,784.</w:t>
            </w:r>
            <w:r w:rsidRPr="00FA7BE2">
              <w:rPr>
                <w:rFonts w:asciiTheme="minorEastAsia" w:eastAsiaTheme="minorEastAsia" w:hAnsiTheme="minorEastAsia" w:hint="eastAsia"/>
              </w:rPr>
              <w:t>31</w:t>
            </w:r>
            <w:r w:rsidRPr="00FA7BE2">
              <w:rPr>
                <w:rFonts w:asciiTheme="minorEastAsia" w:eastAsiaTheme="minorEastAsia" w:hAnsiTheme="minorEastAsia" w:hint="eastAsia"/>
                <w:szCs w:val="20"/>
              </w:rPr>
              <w:t>元</w:t>
            </w:r>
          </w:p>
        </w:tc>
        <w:tc>
          <w:tcPr>
            <w:tcW w:w="1185"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1.020元</w:t>
            </w:r>
          </w:p>
        </w:tc>
        <w:tc>
          <w:tcPr>
            <w:tcW w:w="1335" w:type="dxa"/>
          </w:tcPr>
          <w:p w:rsidR="00D21CF5" w:rsidRPr="00FA7BE2" w:rsidRDefault="00D21CF5" w:rsidP="004F61AF">
            <w:pPr>
              <w:snapToGrid w:val="0"/>
              <w:spacing w:line="360" w:lineRule="auto"/>
              <w:ind w:leftChars="-45" w:left="-94" w:rightChars="-57" w:right="-120"/>
              <w:jc w:val="center"/>
              <w:rPr>
                <w:rFonts w:asciiTheme="minorEastAsia" w:eastAsiaTheme="minorEastAsia" w:hAnsiTheme="minorEastAsia"/>
                <w:szCs w:val="20"/>
              </w:rPr>
            </w:pPr>
            <w:r w:rsidRPr="00FA7BE2">
              <w:rPr>
                <w:rFonts w:asciiTheme="minorEastAsia" w:eastAsiaTheme="minorEastAsia" w:hAnsiTheme="minorEastAsia" w:hint="eastAsia"/>
                <w:szCs w:val="20"/>
              </w:rPr>
              <w:t>10,572.</w:t>
            </w:r>
            <w:r w:rsidRPr="00FA7BE2">
              <w:rPr>
                <w:rFonts w:asciiTheme="minorEastAsia" w:eastAsiaTheme="minorEastAsia" w:hAnsiTheme="minorEastAsia" w:hint="eastAsia"/>
              </w:rPr>
              <w:t>85</w:t>
            </w:r>
            <w:r w:rsidRPr="00FA7BE2">
              <w:rPr>
                <w:rFonts w:asciiTheme="minorEastAsia" w:eastAsiaTheme="minorEastAsia" w:hAnsiTheme="minorEastAsia" w:hint="eastAsia"/>
                <w:szCs w:val="20"/>
              </w:rPr>
              <w:t>份</w:t>
            </w:r>
          </w:p>
        </w:tc>
      </w:tr>
    </w:tbl>
    <w:p w:rsidR="0085273D" w:rsidRPr="00FA7BE2" w:rsidRDefault="00AA54AE" w:rsidP="0085273D">
      <w:pPr>
        <w:adjustRightInd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w:t>
      </w:r>
      <w:r w:rsidR="00884E3C" w:rsidRPr="00FA7BE2">
        <w:rPr>
          <w:rFonts w:asciiTheme="minorEastAsia" w:eastAsiaTheme="minorEastAsia" w:hAnsiTheme="minorEastAsia" w:hint="eastAsia"/>
          <w:szCs w:val="21"/>
        </w:rPr>
        <w:t>转入本基金时转入份额的计算结果保留到小数点后两位，小数点两位以后舍去，舍去部分所代表的资产归基金财产所有。</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6" w:name="_Toc75869974"/>
      <w:r w:rsidRPr="00FA7BE2">
        <w:rPr>
          <w:rFonts w:asciiTheme="minorEastAsia" w:eastAsiaTheme="minorEastAsia" w:hAnsiTheme="minorEastAsia" w:hint="eastAsia"/>
        </w:rPr>
        <w:lastRenderedPageBreak/>
        <w:t>（七）基金转换的注册登记</w:t>
      </w:r>
      <w:bookmarkEnd w:id="46"/>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正常情况下，</w:t>
      </w:r>
      <w:r w:rsidRPr="00FA7BE2">
        <w:rPr>
          <w:rFonts w:asciiTheme="minorEastAsia" w:eastAsiaTheme="minorEastAsia" w:hAnsiTheme="minorEastAsia"/>
        </w:rPr>
        <w:t>投资者申请基金转换成功后</w:t>
      </w:r>
      <w:r w:rsidRPr="00FA7BE2">
        <w:rPr>
          <w:rFonts w:asciiTheme="minorEastAsia" w:eastAsiaTheme="minorEastAsia" w:hAnsiTheme="minorEastAsia" w:hint="eastAsia"/>
        </w:rPr>
        <w:t>，</w:t>
      </w:r>
      <w:r w:rsidRPr="00FA7BE2">
        <w:rPr>
          <w:rFonts w:asciiTheme="minorEastAsia" w:eastAsiaTheme="minorEastAsia" w:hAnsiTheme="minorEastAsia"/>
        </w:rPr>
        <w:t>基金注册登记机构在T＋1工作日为投资者办理减少转出基金份额、增加转入基金份额的权益登记手续</w:t>
      </w:r>
      <w:r w:rsidRPr="00FA7BE2">
        <w:rPr>
          <w:rFonts w:asciiTheme="minorEastAsia" w:eastAsiaTheme="minorEastAsia" w:hAnsiTheme="minorEastAsia" w:hint="eastAsia"/>
        </w:rPr>
        <w:t>，</w:t>
      </w:r>
      <w:r w:rsidRPr="00FA7BE2">
        <w:rPr>
          <w:rFonts w:asciiTheme="minorEastAsia" w:eastAsiaTheme="minorEastAsia" w:hAnsiTheme="minorEastAsia"/>
        </w:rPr>
        <w:t>一般情况下</w:t>
      </w:r>
      <w:r w:rsidRPr="00FA7BE2">
        <w:rPr>
          <w:rFonts w:asciiTheme="minorEastAsia" w:eastAsiaTheme="minorEastAsia" w:hAnsiTheme="minorEastAsia" w:hint="eastAsia"/>
        </w:rPr>
        <w:t>，</w:t>
      </w:r>
      <w:r w:rsidRPr="00FA7BE2">
        <w:rPr>
          <w:rFonts w:asciiTheme="minorEastAsia" w:eastAsiaTheme="minorEastAsia" w:hAnsiTheme="minorEastAsia"/>
        </w:rPr>
        <w:t>投资者自T＋2工作日起有权赎回转入部分的基金份额。</w:t>
      </w:r>
    </w:p>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基金管理人可在法律法规允许的范围内，对上述注册登记办理时间进行调整，并最迟于开始实施前三个工作日予以公告。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7" w:name="_Toc75869975"/>
      <w:r w:rsidRPr="00FA7BE2">
        <w:rPr>
          <w:rFonts w:asciiTheme="minorEastAsia" w:eastAsiaTheme="minorEastAsia" w:hAnsiTheme="minorEastAsia" w:hint="eastAsia"/>
        </w:rPr>
        <w:t>（八）基金转换</w:t>
      </w:r>
      <w:r w:rsidRPr="00FA7BE2">
        <w:rPr>
          <w:rFonts w:asciiTheme="minorEastAsia" w:eastAsiaTheme="minorEastAsia" w:hAnsiTheme="minorEastAsia"/>
        </w:rPr>
        <w:t>与巨额赎回</w:t>
      </w:r>
      <w:bookmarkEnd w:id="47"/>
    </w:p>
    <w:p w:rsidR="00D21CF5" w:rsidRPr="00FA7BE2" w:rsidRDefault="00D21CF5" w:rsidP="00D21CF5">
      <w:pPr>
        <w:snapToGrid w:val="0"/>
        <w:spacing w:line="360" w:lineRule="auto"/>
        <w:ind w:firstLine="420"/>
        <w:rPr>
          <w:rFonts w:asciiTheme="minorEastAsia" w:eastAsiaTheme="minorEastAsia" w:hAnsiTheme="minorEastAsia"/>
          <w:szCs w:val="21"/>
        </w:rPr>
      </w:pPr>
      <w:r w:rsidRPr="00FA7BE2">
        <w:rPr>
          <w:rFonts w:asciiTheme="minorEastAsia" w:eastAsiaTheme="minorEastAsia" w:hAnsiTheme="minorEastAsia"/>
          <w:szCs w:val="21"/>
        </w:rPr>
        <w:t>当发生巨额赎回时</w:t>
      </w:r>
      <w:r w:rsidRPr="00FA7BE2">
        <w:rPr>
          <w:rFonts w:asciiTheme="minorEastAsia" w:eastAsiaTheme="minorEastAsia" w:hAnsiTheme="minorEastAsia" w:hint="eastAsia"/>
          <w:szCs w:val="21"/>
        </w:rPr>
        <w:t>，本</w:t>
      </w:r>
      <w:r w:rsidRPr="00FA7BE2">
        <w:rPr>
          <w:rFonts w:asciiTheme="minorEastAsia" w:eastAsiaTheme="minorEastAsia" w:hAnsiTheme="minorEastAsia"/>
          <w:szCs w:val="21"/>
        </w:rPr>
        <w:t>基金转出与基金赎回具有相同的优先级</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基金管理人可根据基金资产组合情况</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决定全额转出或部分转出</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并且对于</w:t>
      </w:r>
      <w:r w:rsidRPr="00FA7BE2">
        <w:rPr>
          <w:rFonts w:asciiTheme="minorEastAsia" w:eastAsiaTheme="minorEastAsia" w:hAnsiTheme="minorEastAsia" w:hint="eastAsia"/>
          <w:szCs w:val="21"/>
        </w:rPr>
        <w:t>本</w:t>
      </w:r>
      <w:r w:rsidRPr="00FA7BE2">
        <w:rPr>
          <w:rFonts w:asciiTheme="minorEastAsia" w:eastAsiaTheme="minorEastAsia" w:hAnsiTheme="minorEastAsia"/>
          <w:szCs w:val="21"/>
        </w:rPr>
        <w:t>基金转出和基金赎回</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将采取相同的比例确认</w:t>
      </w:r>
      <w:r w:rsidRPr="00FA7BE2">
        <w:rPr>
          <w:rFonts w:asciiTheme="minorEastAsia" w:eastAsiaTheme="minorEastAsia" w:hAnsiTheme="minorEastAsia" w:hint="eastAsia"/>
          <w:szCs w:val="21"/>
        </w:rPr>
        <w:t>（另有公告的除外）</w:t>
      </w:r>
      <w:r w:rsidRPr="00FA7BE2">
        <w:rPr>
          <w:rFonts w:asciiTheme="minorEastAsia" w:eastAsiaTheme="minorEastAsia" w:hAnsiTheme="minorEastAsia"/>
          <w:szCs w:val="21"/>
        </w:rPr>
        <w:t>；但基金管理人在当日接受部分转出申请的情况下</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对未确认的转换申请将不予顺延。</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48" w:name="_Toc75869976"/>
      <w:r w:rsidRPr="00FA7BE2">
        <w:rPr>
          <w:rFonts w:asciiTheme="minorEastAsia" w:eastAsiaTheme="minorEastAsia" w:hAnsiTheme="minorEastAsia" w:hint="eastAsia"/>
        </w:rPr>
        <w:t>（九）拒绝或暂停基金转换的情形</w:t>
      </w:r>
      <w:bookmarkEnd w:id="48"/>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1、除出现如下情形，基金管理人不得拒绝或暂停接受基金投资者的转入申请：</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w:t>
      </w:r>
      <w:r w:rsidRPr="00FA7BE2">
        <w:rPr>
          <w:rFonts w:asciiTheme="minorEastAsia" w:eastAsiaTheme="minorEastAsia" w:hAnsiTheme="minorEastAsia"/>
          <w:szCs w:val="21"/>
        </w:rPr>
        <w:t>不可抗力的原因导致基金无法正常运作；</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（2）证券交易场所在交易时间非正常停市；</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w:t>
      </w:r>
      <w:r w:rsidRPr="00FA7BE2">
        <w:rPr>
          <w:rFonts w:asciiTheme="minorEastAsia" w:eastAsiaTheme="minorEastAsia" w:hAnsiTheme="minorEastAsia"/>
          <w:szCs w:val="21"/>
        </w:rPr>
        <w:t>基金资产规模过大，使基金管理人无法找到合适的投资品种，或可能对基金业绩产生负面影响，从而损害现有基金份额持有人的利益；</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（4）基金管理人认为会有损于现有基金份额持有人利益的某笔转入；</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cs="Arial" w:hint="eastAsia"/>
          <w:szCs w:val="21"/>
        </w:rPr>
        <w:t>（5）</w:t>
      </w:r>
      <w:r w:rsidRPr="00FA7BE2">
        <w:rPr>
          <w:rFonts w:asciiTheme="minorEastAsia" w:eastAsiaTheme="minorEastAsia" w:hAnsiTheme="minorEastAsia" w:hint="eastAsia"/>
        </w:rPr>
        <w:t>基金管理人接受某笔或者某些转换转入申请有可能导致单一投资者持有基金份额的比例达到或者超过50%，或者变相规避50%集中度的情形时；</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（6</w:t>
      </w:r>
      <w:r w:rsidRPr="00FA7BE2">
        <w:rPr>
          <w:rFonts w:asciiTheme="minorEastAsia" w:eastAsiaTheme="minorEastAsia" w:hAnsiTheme="minorEastAsia"/>
        </w:rPr>
        <w:t>）</w:t>
      </w:r>
      <w:r w:rsidRPr="00FA7BE2">
        <w:rPr>
          <w:rFonts w:asciiTheme="minorEastAsia" w:eastAsiaTheme="minorEastAsia" w:hAnsiTheme="minorEastAsia" w:hint="eastAsia"/>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hint="eastAsia"/>
        </w:rPr>
        <w:t>（7</w:t>
      </w:r>
      <w:r w:rsidRPr="00FA7BE2">
        <w:rPr>
          <w:rFonts w:asciiTheme="minorEastAsia" w:eastAsiaTheme="minorEastAsia" w:hAnsiTheme="minorEastAsia"/>
        </w:rPr>
        <w:t>）</w:t>
      </w:r>
      <w:r w:rsidRPr="00FA7BE2">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（8</w:t>
      </w:r>
      <w:r w:rsidRPr="00FA7BE2">
        <w:rPr>
          <w:rFonts w:asciiTheme="minorEastAsia" w:eastAsiaTheme="minorEastAsia" w:hAnsiTheme="minorEastAsia" w:cs="Arial"/>
          <w:szCs w:val="21"/>
        </w:rPr>
        <w:t>）</w:t>
      </w:r>
      <w:r w:rsidRPr="00FA7BE2">
        <w:rPr>
          <w:rFonts w:asciiTheme="minorEastAsia" w:eastAsiaTheme="minorEastAsia" w:hAnsiTheme="minorEastAsia" w:cs="Arial" w:hint="eastAsia"/>
          <w:szCs w:val="21"/>
        </w:rPr>
        <w:t>法律、法规规定或中国证监会认定的其他情形。</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2、除下列情形外，基金管理人不得拒绝接受或暂停接受投资者的转出申请：</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（1）</w:t>
      </w:r>
      <w:r w:rsidRPr="00FA7BE2">
        <w:rPr>
          <w:rFonts w:asciiTheme="minorEastAsia" w:eastAsiaTheme="minorEastAsia" w:hAnsiTheme="minorEastAsia" w:cs="Arial"/>
          <w:szCs w:val="21"/>
        </w:rPr>
        <w:t>不可抗力的原因导致基金无法正常运作；</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（2）</w:t>
      </w:r>
      <w:r w:rsidRPr="00FA7BE2">
        <w:rPr>
          <w:rFonts w:asciiTheme="minorEastAsia" w:eastAsiaTheme="minorEastAsia" w:hAnsiTheme="minorEastAsia" w:cs="Arial"/>
          <w:szCs w:val="21"/>
        </w:rPr>
        <w:t>证券交易场所交易时间非正常停市；</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t>（</w:t>
      </w:r>
      <w:r w:rsidRPr="00FA7BE2">
        <w:rPr>
          <w:rFonts w:asciiTheme="minorEastAsia" w:eastAsiaTheme="minorEastAsia" w:hAnsiTheme="minorEastAsia" w:cs="Arial"/>
          <w:szCs w:val="21"/>
        </w:rPr>
        <w:t>3）因市场剧烈波动或其它原因而出现连续巨额赎回，导致本基金的现金支付出现困难；</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hint="eastAsia"/>
          <w:szCs w:val="21"/>
        </w:rPr>
        <w:lastRenderedPageBreak/>
        <w:t>（4）</w:t>
      </w:r>
      <w:r w:rsidRPr="00FA7BE2">
        <w:rPr>
          <w:rFonts w:asciiTheme="minorEastAsia" w:eastAsiaTheme="minorEastAsia" w:hAnsiTheme="minorEastAsia" w:cs="Arial"/>
          <w:szCs w:val="21"/>
        </w:rPr>
        <w:t>当基金管理人认为某笔转</w:t>
      </w:r>
      <w:r w:rsidRPr="00FA7BE2">
        <w:rPr>
          <w:rFonts w:asciiTheme="minorEastAsia" w:eastAsiaTheme="minorEastAsia" w:hAnsiTheme="minorEastAsia" w:cs="Arial" w:hint="eastAsia"/>
          <w:szCs w:val="21"/>
        </w:rPr>
        <w:t>出</w:t>
      </w:r>
      <w:r w:rsidRPr="00FA7BE2">
        <w:rPr>
          <w:rFonts w:asciiTheme="minorEastAsia" w:eastAsiaTheme="minorEastAsia" w:hAnsiTheme="minorEastAsia" w:cs="Arial"/>
          <w:szCs w:val="21"/>
        </w:rPr>
        <w:t>会有损于现有基金份额持有人利益；</w:t>
      </w:r>
    </w:p>
    <w:p w:rsidR="00D21CF5" w:rsidRPr="00FA7BE2" w:rsidRDefault="00D21CF5" w:rsidP="00D21CF5">
      <w:pPr>
        <w:snapToGrid w:val="0"/>
        <w:spacing w:line="360" w:lineRule="auto"/>
        <w:ind w:firstLineChars="200" w:firstLine="420"/>
        <w:rPr>
          <w:rFonts w:asciiTheme="minorEastAsia" w:eastAsiaTheme="minorEastAsia" w:hAnsiTheme="minorEastAsia" w:cs="Arial"/>
          <w:szCs w:val="21"/>
        </w:rPr>
      </w:pPr>
      <w:r w:rsidRPr="00FA7BE2">
        <w:rPr>
          <w:rFonts w:asciiTheme="minorEastAsia" w:eastAsiaTheme="minorEastAsia" w:hAnsiTheme="minorEastAsia" w:cs="Arial"/>
          <w:szCs w:val="21"/>
        </w:rPr>
        <w:t>（</w:t>
      </w:r>
      <w:r w:rsidRPr="00FA7BE2">
        <w:rPr>
          <w:rFonts w:asciiTheme="minorEastAsia" w:eastAsiaTheme="minorEastAsia" w:hAnsiTheme="minorEastAsia" w:cs="Arial" w:hint="eastAsia"/>
          <w:szCs w:val="21"/>
        </w:rPr>
        <w:t>5</w:t>
      </w:r>
      <w:r w:rsidRPr="00FA7BE2">
        <w:rPr>
          <w:rFonts w:asciiTheme="minorEastAsia" w:eastAsiaTheme="minorEastAsia" w:hAnsiTheme="minorEastAsia" w:cs="Arial"/>
          <w:szCs w:val="21"/>
        </w:rPr>
        <w:t>）</w:t>
      </w:r>
      <w:r w:rsidRPr="00FA7BE2">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转出申请的措施；</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cs="Arial" w:hint="eastAsia"/>
          <w:szCs w:val="21"/>
        </w:rPr>
        <w:t>（6</w:t>
      </w:r>
      <w:r w:rsidRPr="00FA7BE2">
        <w:rPr>
          <w:rFonts w:asciiTheme="minorEastAsia" w:eastAsiaTheme="minorEastAsia" w:hAnsiTheme="minorEastAsia" w:cs="Arial"/>
          <w:szCs w:val="21"/>
        </w:rPr>
        <w:t>）法律、法规规定或中国证</w:t>
      </w:r>
      <w:r w:rsidRPr="00FA7BE2">
        <w:rPr>
          <w:rFonts w:asciiTheme="minorEastAsia" w:eastAsiaTheme="minorEastAsia" w:hAnsiTheme="minorEastAsia"/>
          <w:szCs w:val="21"/>
        </w:rPr>
        <w:t>监会认定的其它情形。</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3、发生基金合同或《招募说明书》中未予载明的事项，但基金管理人有正当理由认为需要暂停接受基金转换申请的，应当报经中国证监会批准。</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w:t>
      </w:r>
      <w:r w:rsidRPr="00FA7BE2">
        <w:rPr>
          <w:rFonts w:asciiTheme="minorEastAsia" w:eastAsiaTheme="minorEastAsia" w:hAnsiTheme="minorEastAsia"/>
          <w:szCs w:val="21"/>
        </w:rPr>
        <w:t>基金暂停</w:t>
      </w:r>
      <w:r w:rsidRPr="00FA7BE2">
        <w:rPr>
          <w:rFonts w:asciiTheme="minorEastAsia" w:eastAsiaTheme="minorEastAsia" w:hAnsiTheme="minorEastAsia" w:hint="eastAsia"/>
          <w:szCs w:val="21"/>
        </w:rPr>
        <w:t>转换或暂停后重新开放转换时，基金管理人应立即向中国证监会备案</w:t>
      </w:r>
      <w:r w:rsidRPr="00FA7BE2">
        <w:rPr>
          <w:rFonts w:asciiTheme="minorEastAsia" w:eastAsiaTheme="minorEastAsia" w:hAnsiTheme="minorEastAsia"/>
          <w:szCs w:val="21"/>
        </w:rPr>
        <w:t>并在至少一种中国证监会</w:t>
      </w:r>
      <w:r w:rsidR="0092110D" w:rsidRPr="00FA7BE2">
        <w:rPr>
          <w:rFonts w:asciiTheme="minorEastAsia" w:eastAsiaTheme="minorEastAsia" w:hAnsiTheme="minorEastAsia"/>
          <w:szCs w:val="21"/>
        </w:rPr>
        <w:t>指定媒介</w:t>
      </w:r>
      <w:r w:rsidRPr="00FA7BE2">
        <w:rPr>
          <w:rFonts w:asciiTheme="minorEastAsia" w:eastAsiaTheme="minorEastAsia" w:hAnsiTheme="minorEastAsia" w:hint="eastAsia"/>
          <w:szCs w:val="21"/>
        </w:rPr>
        <w:t>上</w:t>
      </w:r>
      <w:r w:rsidRPr="00FA7BE2">
        <w:rPr>
          <w:rFonts w:asciiTheme="minorEastAsia" w:eastAsiaTheme="minorEastAsia" w:hAnsiTheme="minorEastAsia"/>
          <w:szCs w:val="21"/>
        </w:rPr>
        <w:t>公告。</w:t>
      </w:r>
    </w:p>
    <w:p w:rsidR="00D21CF5" w:rsidRPr="00FA7BE2" w:rsidRDefault="00D21CF5" w:rsidP="00D21CF5">
      <w:pPr>
        <w:snapToGrid w:val="0"/>
        <w:spacing w:line="360" w:lineRule="auto"/>
        <w:ind w:firstLineChars="200" w:firstLine="420"/>
        <w:rPr>
          <w:rFonts w:asciiTheme="minorEastAsia" w:eastAsiaTheme="minorEastAsia" w:hAnsiTheme="minorEastAsia"/>
        </w:rPr>
      </w:pPr>
    </w:p>
    <w:p w:rsidR="00D21CF5" w:rsidRPr="00FA7BE2" w:rsidRDefault="00D21CF5" w:rsidP="00D21CF5">
      <w:pPr>
        <w:snapToGrid w:val="0"/>
        <w:spacing w:line="360" w:lineRule="auto"/>
        <w:ind w:firstLineChars="200" w:firstLine="420"/>
        <w:rPr>
          <w:rFonts w:asciiTheme="minorEastAsia" w:eastAsiaTheme="minorEastAsia" w:hAnsiTheme="minorEastAsia"/>
        </w:rPr>
      </w:pPr>
    </w:p>
    <w:p w:rsidR="00D21CF5" w:rsidRPr="00FA7BE2" w:rsidRDefault="00D21CF5" w:rsidP="00D21CF5">
      <w:pPr>
        <w:snapToGrid w:val="0"/>
        <w:spacing w:line="360" w:lineRule="auto"/>
        <w:ind w:firstLineChars="200" w:firstLine="420"/>
        <w:rPr>
          <w:rFonts w:asciiTheme="minorEastAsia" w:eastAsiaTheme="minorEastAsia" w:hAnsiTheme="minorEastAsia"/>
        </w:rPr>
        <w:sectPr w:rsidR="00D21CF5" w:rsidRPr="00FA7BE2" w:rsidSect="004F61AF">
          <w:pgSz w:w="11906" w:h="16838" w:code="9"/>
          <w:pgMar w:top="1440" w:right="1800" w:bottom="1440" w:left="1800" w:header="851" w:footer="992" w:gutter="0"/>
          <w:cols w:space="425"/>
          <w:docGrid w:type="lines" w:linePitch="312"/>
        </w:sect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pPr>
      <w:bookmarkStart w:id="49" w:name="_Toc86560070"/>
      <w:bookmarkStart w:id="50" w:name="_Toc86635162"/>
      <w:bookmarkStart w:id="51" w:name="_Toc75869977"/>
      <w:r w:rsidRPr="00FA7BE2">
        <w:rPr>
          <w:rFonts w:asciiTheme="minorEastAsia" w:eastAsiaTheme="minorEastAsia" w:hAnsiTheme="minorEastAsia" w:hint="eastAsia"/>
          <w:b/>
        </w:rPr>
        <w:lastRenderedPageBreak/>
        <w:t>九、基金的非交易过户、转托管、冻结与质押</w:t>
      </w:r>
      <w:bookmarkEnd w:id="49"/>
      <w:bookmarkEnd w:id="50"/>
      <w:bookmarkEnd w:id="51"/>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（一）</w:t>
      </w:r>
      <w:r w:rsidRPr="00FA7BE2">
        <w:rPr>
          <w:rFonts w:asciiTheme="minorEastAsia" w:eastAsiaTheme="minorEastAsia" w:hAnsiTheme="minorEastAsia" w:hint="eastAsia"/>
        </w:rPr>
        <w:tab/>
      </w:r>
      <w:r w:rsidRPr="00FA7BE2">
        <w:rPr>
          <w:rFonts w:asciiTheme="minorEastAsia" w:eastAsiaTheme="minorEastAsia" w:hAnsiTheme="minorEastAsia"/>
        </w:rPr>
        <w:t>基金份额的非交易过户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基金注册登记机构只受理继承、捐赠、司法</w:t>
      </w:r>
      <w:r w:rsidRPr="00FA7BE2">
        <w:rPr>
          <w:rFonts w:asciiTheme="minorEastAsia" w:eastAsiaTheme="minorEastAsia" w:hAnsiTheme="minorEastAsia" w:hint="eastAsia"/>
        </w:rPr>
        <w:t>强制</w:t>
      </w:r>
      <w:r w:rsidRPr="00FA7BE2">
        <w:rPr>
          <w:rFonts w:asciiTheme="minorEastAsia" w:eastAsiaTheme="minorEastAsia" w:hAnsiTheme="minorEastAsia"/>
        </w:rPr>
        <w:t>执行和经注册登记机构认可的其他情况下的非交易过户。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其中：</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“继承”指基金份额持有人死亡,其持有的基金份额由其合法的继承人继承；</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“捐赠”只受理基金份额持有人将其合法持有的基金份额捐赠给福利性质的基金会或社会团体的情形；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“司法</w:t>
      </w:r>
      <w:r w:rsidRPr="00FA7BE2">
        <w:rPr>
          <w:rFonts w:asciiTheme="minorEastAsia" w:eastAsiaTheme="minorEastAsia" w:hAnsiTheme="minorEastAsia" w:hint="eastAsia"/>
        </w:rPr>
        <w:t>强制</w:t>
      </w:r>
      <w:r w:rsidRPr="00FA7BE2">
        <w:rPr>
          <w:rFonts w:asciiTheme="minorEastAsia" w:eastAsiaTheme="minorEastAsia" w:hAnsiTheme="minorEastAsia"/>
        </w:rPr>
        <w:t>执行”是指司法机构依据生效司法文书将基金份额持有人持有的基金份额强制划转给其他自然人、法人、社会团体或其他组织。</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办理非交易过户业务必须提供基金注册登记机构规定的相关资料。</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（二）</w:t>
      </w:r>
      <w:r w:rsidRPr="00FA7BE2">
        <w:rPr>
          <w:rFonts w:asciiTheme="minorEastAsia" w:eastAsiaTheme="minorEastAsia" w:hAnsiTheme="minorEastAsia" w:hint="eastAsia"/>
        </w:rPr>
        <w:tab/>
        <w:t>符合条件的非交易过户申请自申请受理日起，两个月内办理；申请人按基金注册登记机构规定的标准缴纳过户费用。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（三）</w:t>
      </w:r>
      <w:r w:rsidRPr="00FA7BE2">
        <w:rPr>
          <w:rFonts w:asciiTheme="minorEastAsia" w:eastAsiaTheme="minorEastAsia" w:hAnsiTheme="minorEastAsia" w:hint="eastAsia"/>
        </w:rPr>
        <w:tab/>
        <w:t>基金份额持有人可以办理其基金份额在不同销售机构的转托管手续，转托管业务由各销售机构负责受理。</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（四）</w:t>
      </w:r>
      <w:r w:rsidRPr="00FA7BE2">
        <w:rPr>
          <w:rFonts w:asciiTheme="minorEastAsia" w:eastAsiaTheme="minorEastAsia" w:hAnsiTheme="minorEastAsia" w:hint="eastAsia"/>
        </w:rPr>
        <w:tab/>
        <w:t>基金注册登记机构只受理国家有权机关依法要求的以及注册登记机构认可的基金账户或基金份额的冻结与解冻。基金账户或基金份额被冻结的，被冻结部分产生的权益（包括现金分红和红利再投资）一并冻结。</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（五）根据相关法律法规的规定，基金管理人将可以办理基金份额的质押业务或其他基金业务，并制定和实施相应的业务规则。</w:t>
      </w: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snapToGrid w:val="0"/>
        <w:spacing w:line="360" w:lineRule="auto"/>
        <w:ind w:firstLine="640"/>
        <w:rPr>
          <w:rFonts w:asciiTheme="minorEastAsia" w:eastAsiaTheme="minorEastAsia" w:hAnsiTheme="minorEastAsia"/>
        </w:rPr>
      </w:pPr>
      <w:bookmarkStart w:id="52" w:name="_Toc52310853"/>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pPr>
      <w:bookmarkStart w:id="53" w:name="_Toc75869978"/>
      <w:r w:rsidRPr="00FA7BE2">
        <w:rPr>
          <w:rFonts w:asciiTheme="minorEastAsia" w:eastAsiaTheme="minorEastAsia" w:hAnsiTheme="minorEastAsia" w:hint="eastAsia"/>
          <w:b/>
        </w:rPr>
        <w:lastRenderedPageBreak/>
        <w:t>十、基金的投资</w:t>
      </w:r>
      <w:bookmarkEnd w:id="53"/>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54" w:name="_Toc52310848"/>
      <w:bookmarkStart w:id="55" w:name="_Toc64861723"/>
      <w:bookmarkStart w:id="56" w:name="_Toc75869979"/>
      <w:r w:rsidRPr="00FA7BE2">
        <w:rPr>
          <w:rFonts w:asciiTheme="minorEastAsia" w:eastAsiaTheme="minorEastAsia" w:hAnsiTheme="minorEastAsia" w:hint="eastAsia"/>
        </w:rPr>
        <w:t>（一）投资目标</w:t>
      </w:r>
      <w:bookmarkEnd w:id="54"/>
      <w:bookmarkEnd w:id="55"/>
      <w:bookmarkEnd w:id="56"/>
    </w:p>
    <w:p w:rsidR="00D21CF5" w:rsidRPr="00FA7BE2" w:rsidRDefault="00D21CF5" w:rsidP="00D21CF5">
      <w:pPr>
        <w:snapToGrid w:val="0"/>
        <w:spacing w:line="360" w:lineRule="auto"/>
        <w:ind w:firstLine="561"/>
        <w:rPr>
          <w:rFonts w:asciiTheme="minorEastAsia" w:eastAsiaTheme="minorEastAsia" w:hAnsiTheme="minorEastAsia"/>
        </w:rPr>
      </w:pPr>
      <w:r w:rsidRPr="00FA7BE2">
        <w:rPr>
          <w:rFonts w:asciiTheme="minorEastAsia" w:eastAsiaTheme="minorEastAsia" w:hAnsiTheme="minorEastAsia" w:hint="eastAsia"/>
        </w:rPr>
        <w:t>通过主要投资于债券品种，追求基金资产的长期稳健增值。</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57" w:name="_Toc75869980"/>
      <w:r w:rsidRPr="00FA7BE2">
        <w:rPr>
          <w:rFonts w:asciiTheme="minorEastAsia" w:eastAsiaTheme="minorEastAsia" w:hAnsiTheme="minorEastAsia" w:hint="eastAsia"/>
        </w:rPr>
        <w:t>（二）投资范围</w:t>
      </w:r>
      <w:bookmarkEnd w:id="57"/>
    </w:p>
    <w:p w:rsidR="00D21CF5" w:rsidRPr="00FA7BE2" w:rsidRDefault="00D21CF5" w:rsidP="00D21CF5">
      <w:pPr>
        <w:snapToGrid w:val="0"/>
        <w:spacing w:line="360" w:lineRule="auto"/>
        <w:ind w:firstLine="561"/>
        <w:rPr>
          <w:rFonts w:asciiTheme="minorEastAsia" w:eastAsiaTheme="minorEastAsia" w:hAnsiTheme="minorEastAsia"/>
        </w:rPr>
      </w:pPr>
      <w:bookmarkStart w:id="58" w:name="_Toc52310850"/>
      <w:bookmarkStart w:id="59" w:name="_Toc64861725"/>
      <w:r w:rsidRPr="00FA7BE2">
        <w:rPr>
          <w:rFonts w:asciiTheme="minorEastAsia" w:eastAsiaTheme="minorEastAsia" w:hAnsiTheme="minorEastAsia"/>
        </w:rPr>
        <w:t>本基金</w:t>
      </w:r>
      <w:r w:rsidRPr="00FA7BE2">
        <w:rPr>
          <w:rFonts w:asciiTheme="minorEastAsia" w:eastAsiaTheme="minorEastAsia" w:hAnsiTheme="minorEastAsia" w:hint="eastAsia"/>
        </w:rPr>
        <w:t>的投资范围为</w:t>
      </w:r>
      <w:r w:rsidRPr="00FA7BE2">
        <w:rPr>
          <w:rFonts w:asciiTheme="minorEastAsia" w:eastAsiaTheme="minorEastAsia" w:hAnsiTheme="minorEastAsia"/>
        </w:rPr>
        <w:t>具有良好流动性的</w:t>
      </w:r>
      <w:r w:rsidRPr="00FA7BE2">
        <w:rPr>
          <w:rFonts w:asciiTheme="minorEastAsia" w:eastAsiaTheme="minorEastAsia" w:hAnsiTheme="minorEastAsia" w:hint="eastAsia"/>
        </w:rPr>
        <w:t>金融工具</w:t>
      </w:r>
      <w:r w:rsidRPr="00FA7BE2">
        <w:rPr>
          <w:rFonts w:asciiTheme="minorEastAsia" w:eastAsiaTheme="minorEastAsia" w:hAnsiTheme="minorEastAsia"/>
        </w:rPr>
        <w:t>，包括国债、金融债、央行票据</w:t>
      </w:r>
      <w:r w:rsidRPr="00FA7BE2">
        <w:rPr>
          <w:rFonts w:asciiTheme="minorEastAsia" w:eastAsiaTheme="minorEastAsia" w:hAnsiTheme="minorEastAsia" w:hint="eastAsia"/>
        </w:rPr>
        <w:t>、</w:t>
      </w:r>
      <w:r w:rsidRPr="00FA7BE2">
        <w:rPr>
          <w:rFonts w:asciiTheme="minorEastAsia" w:eastAsiaTheme="minorEastAsia" w:hAnsiTheme="minorEastAsia"/>
        </w:rPr>
        <w:t>企业债、可转换债券</w:t>
      </w:r>
      <w:r w:rsidRPr="00FA7BE2">
        <w:rPr>
          <w:rFonts w:asciiTheme="minorEastAsia" w:eastAsiaTheme="minorEastAsia" w:hAnsiTheme="minorEastAsia" w:hint="eastAsia"/>
        </w:rPr>
        <w:t>（含可分离型可转换债券）</w:t>
      </w:r>
      <w:r w:rsidRPr="00FA7BE2">
        <w:rPr>
          <w:rFonts w:asciiTheme="minorEastAsia" w:eastAsiaTheme="minorEastAsia" w:hAnsiTheme="minorEastAsia"/>
        </w:rPr>
        <w:t>、资产支持证券、</w:t>
      </w:r>
      <w:r w:rsidRPr="00FA7BE2">
        <w:rPr>
          <w:rFonts w:asciiTheme="minorEastAsia" w:eastAsiaTheme="minorEastAsia" w:hAnsiTheme="minorEastAsia" w:hint="eastAsia"/>
        </w:rPr>
        <w:t>债券</w:t>
      </w:r>
      <w:r w:rsidRPr="00FA7BE2">
        <w:rPr>
          <w:rFonts w:asciiTheme="minorEastAsia" w:eastAsiaTheme="minorEastAsia" w:hAnsiTheme="minorEastAsia"/>
        </w:rPr>
        <w:t>回购</w:t>
      </w:r>
      <w:r w:rsidRPr="00FA7BE2">
        <w:rPr>
          <w:rFonts w:asciiTheme="minorEastAsia" w:eastAsiaTheme="minorEastAsia" w:hAnsiTheme="minorEastAsia" w:hint="eastAsia"/>
        </w:rPr>
        <w:t>等固定收益品种，银行存款、股票</w:t>
      </w:r>
      <w:r w:rsidR="00FF411D" w:rsidRPr="00FA7BE2">
        <w:rPr>
          <w:rFonts w:asciiTheme="minorEastAsia" w:eastAsiaTheme="minorEastAsia" w:hAnsiTheme="minorEastAsia" w:hint="eastAsia"/>
        </w:rPr>
        <w:t>（含存托凭证）</w:t>
      </w:r>
      <w:r w:rsidRPr="00FA7BE2">
        <w:rPr>
          <w:rFonts w:asciiTheme="minorEastAsia" w:eastAsiaTheme="minorEastAsia" w:hAnsiTheme="minorEastAsia" w:hint="eastAsia"/>
        </w:rPr>
        <w:t>，以及法律法规或中国证监会允许基金投资的其他金融工具。</w:t>
      </w:r>
      <w:r w:rsidRPr="00FA7BE2">
        <w:rPr>
          <w:rFonts w:asciiTheme="minorEastAsia" w:eastAsiaTheme="minorEastAsia" w:hAnsiTheme="minorEastAsia"/>
        </w:rPr>
        <w:t>如法律法规或监管机构以后允许基金投资的其他品种，基金管理人在履行适当程序后，可以将其纳入投资范围。</w:t>
      </w:r>
    </w:p>
    <w:p w:rsidR="00D21CF5" w:rsidRPr="00FA7BE2" w:rsidRDefault="00D21CF5" w:rsidP="00D21CF5">
      <w:pPr>
        <w:snapToGrid w:val="0"/>
        <w:spacing w:line="360" w:lineRule="auto"/>
        <w:ind w:firstLine="561"/>
        <w:rPr>
          <w:rFonts w:asciiTheme="minorEastAsia" w:eastAsiaTheme="minorEastAsia" w:hAnsiTheme="minorEastAsia"/>
        </w:rPr>
      </w:pPr>
      <w:r w:rsidRPr="00FA7BE2">
        <w:rPr>
          <w:rFonts w:asciiTheme="minorEastAsia" w:eastAsiaTheme="minorEastAsia" w:hAnsiTheme="minorEastAsia" w:hint="eastAsia"/>
        </w:rPr>
        <w:t>本基金各类资产的投资比例为：债券等固定收益品种不低于基金资产的80%，其中，可转换债券不高于基金资产的30%；股票等权益类品种不高于基金资产的20%；基金保留的现金以及投资于到期日在一年以内的政府债券的比例合计不低于基金资产净值的5%</w:t>
      </w:r>
      <w:r w:rsidRPr="00FA7BE2">
        <w:rPr>
          <w:rFonts w:asciiTheme="minorEastAsia" w:eastAsiaTheme="minorEastAsia" w:hAnsiTheme="minorEastAsia" w:hint="eastAsia"/>
          <w:szCs w:val="21"/>
        </w:rPr>
        <w:t>，现金不包括结算备付金、存出保证金、应收申购款等</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0" w:name="_Toc75869981"/>
      <w:r w:rsidRPr="00FA7BE2">
        <w:rPr>
          <w:rFonts w:asciiTheme="minorEastAsia" w:eastAsiaTheme="minorEastAsia" w:hAnsiTheme="minorEastAsia" w:hint="eastAsia"/>
        </w:rPr>
        <w:t>（三）投资理念</w:t>
      </w:r>
      <w:bookmarkEnd w:id="58"/>
      <w:bookmarkEnd w:id="59"/>
      <w:bookmarkEnd w:id="60"/>
    </w:p>
    <w:p w:rsidR="00D21CF5" w:rsidRPr="00FA7BE2" w:rsidRDefault="00D21CF5" w:rsidP="00D21CF5">
      <w:pPr>
        <w:snapToGrid w:val="0"/>
        <w:spacing w:line="360" w:lineRule="auto"/>
        <w:ind w:firstLine="561"/>
        <w:rPr>
          <w:rFonts w:asciiTheme="minorEastAsia" w:eastAsiaTheme="minorEastAsia" w:hAnsiTheme="minorEastAsia"/>
        </w:rPr>
      </w:pPr>
      <w:r w:rsidRPr="00FA7BE2">
        <w:rPr>
          <w:rFonts w:asciiTheme="minorEastAsia" w:eastAsiaTheme="minorEastAsia" w:hAnsiTheme="minorEastAsia" w:hint="eastAsia"/>
        </w:rPr>
        <w:t>以宏观经济研究主导债券投资，在可控风险下提高债券总收益；积极运用新股申购等方式增强基金收益。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1" w:name="_Toc52310851"/>
      <w:bookmarkStart w:id="62" w:name="_Toc64861726"/>
      <w:bookmarkStart w:id="63" w:name="_Toc75869982"/>
      <w:r w:rsidRPr="00FA7BE2">
        <w:rPr>
          <w:rFonts w:asciiTheme="minorEastAsia" w:eastAsiaTheme="minorEastAsia" w:hAnsiTheme="minorEastAsia" w:hint="eastAsia"/>
        </w:rPr>
        <w:t>（四）投资策略</w:t>
      </w:r>
      <w:bookmarkEnd w:id="63"/>
    </w:p>
    <w:p w:rsidR="00D21CF5" w:rsidRPr="00FA7BE2" w:rsidRDefault="00D21CF5" w:rsidP="00D21CF5">
      <w:pPr>
        <w:snapToGrid w:val="0"/>
        <w:spacing w:line="360" w:lineRule="auto"/>
        <w:ind w:left="422"/>
        <w:rPr>
          <w:rFonts w:asciiTheme="minorEastAsia" w:eastAsiaTheme="minorEastAsia" w:hAnsiTheme="minorEastAsia"/>
          <w:b/>
          <w:szCs w:val="21"/>
        </w:rPr>
      </w:pPr>
      <w:r w:rsidRPr="00FA7BE2">
        <w:rPr>
          <w:rFonts w:asciiTheme="minorEastAsia" w:eastAsiaTheme="minorEastAsia" w:hAnsiTheme="minorEastAsia" w:hint="eastAsia"/>
          <w:b/>
          <w:szCs w:val="21"/>
        </w:rPr>
        <w:t>1、资产配置策略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基于对以下因素的判断，进行基金资产在固定收益品种、可转换债券、股票主动投资以及新股（含增发）申购之间的配置：1、主要基于对利率走势、利率期限结构等因素的分析，预测固定收益品种的投资收益和风险；2、基于新股发行频率、中签率、上市后的平均涨幅等，预测新股申购的收益率以及风险；3、股票市场走势的预测；4、可转换债券发行公司的成长性和转债价值的判断。</w:t>
      </w:r>
    </w:p>
    <w:p w:rsidR="00D21CF5" w:rsidRPr="00FA7BE2" w:rsidRDefault="00D21CF5" w:rsidP="00D21CF5">
      <w:pPr>
        <w:snapToGrid w:val="0"/>
        <w:spacing w:line="360" w:lineRule="auto"/>
        <w:ind w:left="422"/>
        <w:rPr>
          <w:rFonts w:asciiTheme="minorEastAsia" w:eastAsiaTheme="minorEastAsia" w:hAnsiTheme="minorEastAsia"/>
          <w:b/>
          <w:szCs w:val="21"/>
        </w:rPr>
      </w:pPr>
      <w:r w:rsidRPr="00FA7BE2">
        <w:rPr>
          <w:rFonts w:asciiTheme="minorEastAsia" w:eastAsiaTheme="minorEastAsia" w:hAnsiTheme="minorEastAsia" w:hint="eastAsia"/>
          <w:b/>
          <w:szCs w:val="21"/>
        </w:rPr>
        <w:t>2、固定收益品种投资策略</w:t>
      </w:r>
    </w:p>
    <w:p w:rsidR="00D21CF5" w:rsidRPr="00FA7BE2" w:rsidRDefault="00D21CF5" w:rsidP="00D21CF5">
      <w:pPr>
        <w:numPr>
          <w:ilvl w:val="1"/>
          <w:numId w:val="18"/>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hint="eastAsia"/>
          <w:b/>
          <w:szCs w:val="21"/>
        </w:rPr>
        <w:t>固定收益品种的配置策略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1）平均久期配置</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通过对宏观经济变量（包括国内生产总值、工业增长、货币信贷、固定资产投资、消费、外贸差额、财政收支、价格指数、汇率等）和宏观经济政策（包括货币政策、财政政策、产业政策、外贸和汇率政策等）进行分析，预测未来的利率趋势，判断债券市场对上述变量和政策的反应，并据此积极调整债券组合的平均久期，</w:t>
      </w:r>
      <w:r w:rsidRPr="00FA7BE2">
        <w:rPr>
          <w:rFonts w:asciiTheme="minorEastAsia" w:eastAsiaTheme="minorEastAsia" w:hAnsiTheme="minorEastAsia"/>
          <w:szCs w:val="21"/>
        </w:rPr>
        <w:t>提高债券组合的</w:t>
      </w:r>
      <w:r w:rsidRPr="00FA7BE2">
        <w:rPr>
          <w:rFonts w:asciiTheme="minorEastAsia" w:eastAsiaTheme="minorEastAsia" w:hAnsiTheme="minorEastAsia" w:hint="eastAsia"/>
          <w:szCs w:val="21"/>
        </w:rPr>
        <w:t>总投资</w:t>
      </w:r>
      <w:r w:rsidRPr="00FA7BE2">
        <w:rPr>
          <w:rFonts w:asciiTheme="minorEastAsia" w:eastAsiaTheme="minorEastAsia" w:hAnsiTheme="minorEastAsia"/>
          <w:szCs w:val="21"/>
        </w:rPr>
        <w:t>收益。</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2）期限结构配置</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w:t>
      </w:r>
      <w:r w:rsidRPr="00FA7BE2">
        <w:rPr>
          <w:rFonts w:asciiTheme="minorEastAsia" w:eastAsiaTheme="minorEastAsia" w:hAnsiTheme="minorEastAsia"/>
          <w:szCs w:val="21"/>
        </w:rPr>
        <w:t>对债券市场</w:t>
      </w:r>
      <w:r w:rsidRPr="00FA7BE2">
        <w:rPr>
          <w:rFonts w:asciiTheme="minorEastAsia" w:eastAsiaTheme="minorEastAsia" w:hAnsiTheme="minorEastAsia" w:hint="eastAsia"/>
          <w:szCs w:val="21"/>
        </w:rPr>
        <w:t>收益率期限结构进行</w:t>
      </w:r>
      <w:r w:rsidRPr="00FA7BE2">
        <w:rPr>
          <w:rFonts w:asciiTheme="minorEastAsia" w:eastAsiaTheme="minorEastAsia" w:hAnsiTheme="minorEastAsia"/>
          <w:szCs w:val="21"/>
        </w:rPr>
        <w:t>分析，</w:t>
      </w:r>
      <w:r w:rsidRPr="00FA7BE2">
        <w:rPr>
          <w:rFonts w:asciiTheme="minorEastAsia" w:eastAsiaTheme="minorEastAsia" w:hAnsiTheme="minorEastAsia" w:hint="eastAsia"/>
          <w:szCs w:val="21"/>
        </w:rPr>
        <w:t>运用统计和数量分析技术，预测收益率</w:t>
      </w:r>
      <w:r w:rsidRPr="00FA7BE2">
        <w:rPr>
          <w:rFonts w:asciiTheme="minorEastAsia" w:eastAsiaTheme="minorEastAsia" w:hAnsiTheme="minorEastAsia" w:hint="eastAsia"/>
          <w:szCs w:val="21"/>
        </w:rPr>
        <w:lastRenderedPageBreak/>
        <w:t>期限结构的变化方式，选择并确定期限结构配置策略，配置各期限固定收益品种的比例，以达到预期投资收益最大化的目的。</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3）</w:t>
      </w:r>
      <w:r w:rsidRPr="00FA7BE2">
        <w:rPr>
          <w:rFonts w:asciiTheme="minorEastAsia" w:eastAsiaTheme="minorEastAsia" w:hAnsiTheme="minorEastAsia"/>
          <w:szCs w:val="21"/>
        </w:rPr>
        <w:t>类属配置</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本</w:t>
      </w:r>
      <w:r w:rsidRPr="00FA7BE2">
        <w:rPr>
          <w:rFonts w:asciiTheme="minorEastAsia" w:eastAsiaTheme="minorEastAsia" w:hAnsiTheme="minorEastAsia" w:hint="eastAsia"/>
          <w:szCs w:val="21"/>
        </w:rPr>
        <w:t>基金</w:t>
      </w:r>
      <w:r w:rsidRPr="00FA7BE2">
        <w:rPr>
          <w:rFonts w:asciiTheme="minorEastAsia" w:eastAsiaTheme="minorEastAsia" w:hAnsiTheme="minorEastAsia"/>
          <w:szCs w:val="21"/>
        </w:rPr>
        <w:t>对</w:t>
      </w:r>
      <w:r w:rsidRPr="00FA7BE2">
        <w:rPr>
          <w:rFonts w:asciiTheme="minorEastAsia" w:eastAsiaTheme="minorEastAsia" w:hAnsiTheme="minorEastAsia" w:hint="eastAsia"/>
          <w:szCs w:val="21"/>
        </w:rPr>
        <w:t>不同类型固定收益品种的信用风险、税赋水平、市场流动性、市场风险等因素进行分析，研究同期限的国债、</w:t>
      </w:r>
      <w:r w:rsidRPr="00FA7BE2">
        <w:rPr>
          <w:rFonts w:asciiTheme="minorEastAsia" w:eastAsiaTheme="minorEastAsia" w:hAnsiTheme="minorEastAsia"/>
          <w:szCs w:val="21"/>
        </w:rPr>
        <w:t>金融债</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企业债</w:t>
      </w:r>
      <w:r w:rsidRPr="00FA7BE2">
        <w:rPr>
          <w:rFonts w:asciiTheme="minorEastAsia" w:eastAsiaTheme="minorEastAsia" w:hAnsiTheme="minorEastAsia" w:hint="eastAsia"/>
          <w:szCs w:val="21"/>
        </w:rPr>
        <w:t>以及交易所和银行间市场投资品种的</w:t>
      </w:r>
      <w:r w:rsidRPr="00FA7BE2">
        <w:rPr>
          <w:rFonts w:asciiTheme="minorEastAsia" w:eastAsiaTheme="minorEastAsia" w:hAnsiTheme="minorEastAsia"/>
          <w:szCs w:val="21"/>
        </w:rPr>
        <w:t>利差</w:t>
      </w:r>
      <w:r w:rsidRPr="00FA7BE2">
        <w:rPr>
          <w:rFonts w:asciiTheme="minorEastAsia" w:eastAsiaTheme="minorEastAsia" w:hAnsiTheme="minorEastAsia" w:hint="eastAsia"/>
          <w:szCs w:val="21"/>
        </w:rPr>
        <w:t>和变化趋势</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制定债券类属配置策略</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以</w:t>
      </w:r>
      <w:r w:rsidRPr="00FA7BE2">
        <w:rPr>
          <w:rFonts w:asciiTheme="minorEastAsia" w:eastAsiaTheme="minorEastAsia" w:hAnsiTheme="minorEastAsia"/>
          <w:szCs w:val="21"/>
        </w:rPr>
        <w:t>获取不同债券类属之间利差变化所带来的投资收益。</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4）信用类债券投资</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本基金投资于信用状况良好的信用类债券。在此基础上，分析各品种的信用溢价，选择信用风险较低和溢价较高的品种进行投资。</w:t>
      </w:r>
    </w:p>
    <w:p w:rsidR="00D21CF5" w:rsidRPr="00FA7BE2" w:rsidRDefault="00D21CF5" w:rsidP="00D21CF5">
      <w:pPr>
        <w:numPr>
          <w:ilvl w:val="1"/>
          <w:numId w:val="18"/>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hint="eastAsia"/>
          <w:b/>
          <w:szCs w:val="21"/>
        </w:rPr>
        <w:t>投资品种的选择</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在</w:t>
      </w:r>
      <w:r w:rsidRPr="00FA7BE2">
        <w:rPr>
          <w:rFonts w:asciiTheme="minorEastAsia" w:eastAsiaTheme="minorEastAsia" w:hAnsiTheme="minorEastAsia" w:hint="eastAsia"/>
          <w:szCs w:val="21"/>
        </w:rPr>
        <w:t>债券组合平均久期、期限结构、</w:t>
      </w:r>
      <w:r w:rsidRPr="00FA7BE2">
        <w:rPr>
          <w:rFonts w:asciiTheme="minorEastAsia" w:eastAsiaTheme="minorEastAsia" w:hAnsiTheme="minorEastAsia"/>
          <w:szCs w:val="21"/>
        </w:rPr>
        <w:t>类属配置</w:t>
      </w:r>
      <w:r w:rsidRPr="00FA7BE2">
        <w:rPr>
          <w:rFonts w:asciiTheme="minorEastAsia" w:eastAsiaTheme="minorEastAsia" w:hAnsiTheme="minorEastAsia" w:hint="eastAsia"/>
          <w:szCs w:val="21"/>
        </w:rPr>
        <w:t>和信用风险管理</w:t>
      </w:r>
      <w:r w:rsidRPr="00FA7BE2">
        <w:rPr>
          <w:rFonts w:asciiTheme="minorEastAsia" w:eastAsiaTheme="minorEastAsia" w:hAnsiTheme="minorEastAsia"/>
          <w:szCs w:val="21"/>
        </w:rPr>
        <w:t>的基础上，本基金</w:t>
      </w:r>
      <w:r w:rsidRPr="00FA7BE2">
        <w:rPr>
          <w:rFonts w:asciiTheme="minorEastAsia" w:eastAsiaTheme="minorEastAsia" w:hAnsiTheme="minorEastAsia" w:hint="eastAsia"/>
          <w:szCs w:val="21"/>
        </w:rPr>
        <w:t>对影响个别</w:t>
      </w:r>
      <w:r w:rsidRPr="00FA7BE2">
        <w:rPr>
          <w:rFonts w:asciiTheme="minorEastAsia" w:eastAsiaTheme="minorEastAsia" w:hAnsiTheme="minorEastAsia"/>
          <w:szCs w:val="21"/>
        </w:rPr>
        <w:t>债券</w:t>
      </w:r>
      <w:r w:rsidRPr="00FA7BE2">
        <w:rPr>
          <w:rFonts w:asciiTheme="minorEastAsia" w:eastAsiaTheme="minorEastAsia" w:hAnsiTheme="minorEastAsia" w:hint="eastAsia"/>
          <w:szCs w:val="21"/>
        </w:rPr>
        <w:t>定价的主要因素，包括流动性、局部供求、</w:t>
      </w:r>
      <w:r w:rsidRPr="00FA7BE2">
        <w:rPr>
          <w:rFonts w:asciiTheme="minorEastAsia" w:eastAsiaTheme="minorEastAsia" w:hAnsiTheme="minorEastAsia"/>
          <w:szCs w:val="21"/>
        </w:rPr>
        <w:t>信用</w:t>
      </w:r>
      <w:r w:rsidRPr="00FA7BE2">
        <w:rPr>
          <w:rFonts w:asciiTheme="minorEastAsia" w:eastAsiaTheme="minorEastAsia" w:hAnsiTheme="minorEastAsia" w:hint="eastAsia"/>
          <w:szCs w:val="21"/>
        </w:rPr>
        <w:t>风险</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票息、</w:t>
      </w:r>
      <w:r w:rsidRPr="00FA7BE2">
        <w:rPr>
          <w:rFonts w:asciiTheme="minorEastAsia" w:eastAsiaTheme="minorEastAsia" w:hAnsiTheme="minorEastAsia"/>
          <w:szCs w:val="21"/>
        </w:rPr>
        <w:t>税赋、</w:t>
      </w:r>
      <w:r w:rsidRPr="00FA7BE2">
        <w:rPr>
          <w:rFonts w:asciiTheme="minorEastAsia" w:eastAsiaTheme="minorEastAsia" w:hAnsiTheme="minorEastAsia" w:hint="eastAsia"/>
          <w:szCs w:val="21"/>
        </w:rPr>
        <w:t>含权</w:t>
      </w:r>
      <w:r w:rsidRPr="00FA7BE2">
        <w:rPr>
          <w:rFonts w:asciiTheme="minorEastAsia" w:eastAsiaTheme="minorEastAsia" w:hAnsiTheme="minorEastAsia"/>
          <w:szCs w:val="21"/>
        </w:rPr>
        <w:t>等因素</w:t>
      </w:r>
      <w:r w:rsidRPr="00FA7BE2">
        <w:rPr>
          <w:rFonts w:asciiTheme="minorEastAsia" w:eastAsiaTheme="minorEastAsia" w:hAnsiTheme="minorEastAsia" w:hint="eastAsia"/>
          <w:szCs w:val="21"/>
        </w:rPr>
        <w:t>进行分析</w:t>
      </w:r>
      <w:r w:rsidRPr="00FA7BE2">
        <w:rPr>
          <w:rFonts w:asciiTheme="minorEastAsia" w:eastAsiaTheme="minorEastAsia" w:hAnsiTheme="minorEastAsia"/>
          <w:szCs w:val="21"/>
        </w:rPr>
        <w:t>，选择具有良好投资价值的债券品种进行投资。</w:t>
      </w:r>
    </w:p>
    <w:p w:rsidR="00D21CF5" w:rsidRPr="00FA7BE2" w:rsidRDefault="00D21CF5" w:rsidP="00D21CF5">
      <w:pPr>
        <w:numPr>
          <w:ilvl w:val="1"/>
          <w:numId w:val="18"/>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hint="eastAsia"/>
          <w:b/>
          <w:szCs w:val="21"/>
        </w:rPr>
        <w:t>可转换债券的投资策略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可转换债券的价值主要取决于其股权价值、债券价值和转换期权价值，本基金管理人将对可转换债券的价值进行评估，选择具有较高投资价值的可转换债券进行投资。</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管理人将对发行公司的基本面进行分析，包括所处行业的景气度、公司成长性、市场竞争力等，并参考同类公司的估值水平，判断可转换债券的股权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此外，本基金还将根据新发可转债的预计中签率、模型定价结果，积极参与可转债新券的申购。为控制基金的波动性和流动性风险，</w:t>
      </w:r>
      <w:r w:rsidRPr="00FA7BE2">
        <w:rPr>
          <w:rFonts w:asciiTheme="minorEastAsia" w:eastAsiaTheme="minorEastAsia" w:hAnsiTheme="minorEastAsia"/>
          <w:szCs w:val="21"/>
        </w:rPr>
        <w:t>本基金</w:t>
      </w:r>
      <w:r w:rsidRPr="00FA7BE2">
        <w:rPr>
          <w:rFonts w:asciiTheme="minorEastAsia" w:eastAsiaTheme="minorEastAsia" w:hAnsiTheme="minorEastAsia" w:hint="eastAsia"/>
          <w:szCs w:val="21"/>
        </w:rPr>
        <w:t>投资</w:t>
      </w:r>
      <w:r w:rsidRPr="00FA7BE2">
        <w:rPr>
          <w:rFonts w:asciiTheme="minorEastAsia" w:eastAsiaTheme="minorEastAsia" w:hAnsiTheme="minorEastAsia"/>
          <w:szCs w:val="21"/>
        </w:rPr>
        <w:t>可转换债券</w:t>
      </w:r>
      <w:r w:rsidRPr="00FA7BE2">
        <w:rPr>
          <w:rFonts w:asciiTheme="minorEastAsia" w:eastAsiaTheme="minorEastAsia" w:hAnsiTheme="minorEastAsia" w:hint="eastAsia"/>
          <w:szCs w:val="21"/>
        </w:rPr>
        <w:t>的资产</w:t>
      </w:r>
      <w:r w:rsidRPr="00FA7BE2">
        <w:rPr>
          <w:rFonts w:asciiTheme="minorEastAsia" w:eastAsiaTheme="minorEastAsia" w:hAnsiTheme="minorEastAsia"/>
          <w:szCs w:val="21"/>
        </w:rPr>
        <w:t>不超过基金资产的</w:t>
      </w:r>
      <w:r w:rsidRPr="00FA7BE2">
        <w:rPr>
          <w:rFonts w:asciiTheme="minorEastAsia" w:eastAsiaTheme="minorEastAsia" w:hAnsiTheme="minorEastAsia" w:hint="eastAsia"/>
          <w:szCs w:val="21"/>
        </w:rPr>
        <w:t>3</w:t>
      </w:r>
      <w:r w:rsidRPr="00FA7BE2">
        <w:rPr>
          <w:rFonts w:asciiTheme="minorEastAsia" w:eastAsiaTheme="minorEastAsia" w:hAnsiTheme="minorEastAsia"/>
          <w:szCs w:val="21"/>
        </w:rPr>
        <w:t>0%</w:t>
      </w:r>
      <w:r w:rsidRPr="00FA7BE2">
        <w:rPr>
          <w:rFonts w:asciiTheme="minorEastAsia" w:eastAsiaTheme="minorEastAsia" w:hAnsiTheme="minorEastAsia" w:hint="eastAsia"/>
          <w:szCs w:val="21"/>
        </w:rPr>
        <w:t>。</w:t>
      </w:r>
    </w:p>
    <w:p w:rsidR="00D21CF5" w:rsidRPr="00FA7BE2" w:rsidRDefault="00D21CF5" w:rsidP="00D21CF5">
      <w:pPr>
        <w:numPr>
          <w:ilvl w:val="1"/>
          <w:numId w:val="18"/>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b/>
          <w:szCs w:val="21"/>
        </w:rPr>
        <w:t>资产支持证券投资</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本基金</w:t>
      </w:r>
      <w:r w:rsidRPr="00FA7BE2">
        <w:rPr>
          <w:rFonts w:asciiTheme="minorEastAsia" w:eastAsiaTheme="minorEastAsia" w:hAnsiTheme="minorEastAsia" w:hint="eastAsia"/>
          <w:szCs w:val="21"/>
        </w:rPr>
        <w:t>将分析</w:t>
      </w:r>
      <w:r w:rsidRPr="00FA7BE2">
        <w:rPr>
          <w:rFonts w:asciiTheme="minorEastAsia" w:eastAsiaTheme="minorEastAsia" w:hAnsiTheme="minorEastAsia"/>
          <w:szCs w:val="21"/>
        </w:rPr>
        <w:t>资产支持证券的资产特征，估计违约</w:t>
      </w:r>
      <w:r w:rsidRPr="00FA7BE2">
        <w:rPr>
          <w:rFonts w:asciiTheme="minorEastAsia" w:eastAsiaTheme="minorEastAsia" w:hAnsiTheme="minorEastAsia" w:hint="eastAsia"/>
          <w:szCs w:val="21"/>
        </w:rPr>
        <w:t>率</w:t>
      </w:r>
      <w:r w:rsidRPr="00FA7BE2">
        <w:rPr>
          <w:rFonts w:asciiTheme="minorEastAsia" w:eastAsiaTheme="minorEastAsia" w:hAnsiTheme="minorEastAsia"/>
          <w:szCs w:val="21"/>
        </w:rPr>
        <w:t>和提前偿付</w:t>
      </w:r>
      <w:r w:rsidRPr="00FA7BE2">
        <w:rPr>
          <w:rFonts w:asciiTheme="minorEastAsia" w:eastAsiaTheme="minorEastAsia" w:hAnsiTheme="minorEastAsia" w:hint="eastAsia"/>
          <w:szCs w:val="21"/>
        </w:rPr>
        <w:t>比率</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并</w:t>
      </w:r>
      <w:r w:rsidRPr="00FA7BE2">
        <w:rPr>
          <w:rFonts w:asciiTheme="minorEastAsia" w:eastAsiaTheme="minorEastAsia" w:hAnsiTheme="minorEastAsia"/>
          <w:szCs w:val="21"/>
        </w:rPr>
        <w:t>利用收益率曲线</w:t>
      </w:r>
      <w:r w:rsidRPr="00FA7BE2">
        <w:rPr>
          <w:rFonts w:asciiTheme="minorEastAsia" w:eastAsiaTheme="minorEastAsia" w:hAnsiTheme="minorEastAsia" w:hint="eastAsia"/>
          <w:szCs w:val="21"/>
        </w:rPr>
        <w:t>和期权定价模型,</w:t>
      </w:r>
      <w:r w:rsidRPr="00FA7BE2">
        <w:rPr>
          <w:rFonts w:asciiTheme="minorEastAsia" w:eastAsiaTheme="minorEastAsia" w:hAnsiTheme="minorEastAsia"/>
          <w:szCs w:val="21"/>
        </w:rPr>
        <w:t>对资产支持证券进行估值</w:t>
      </w:r>
      <w:r w:rsidRPr="00FA7BE2">
        <w:rPr>
          <w:rFonts w:asciiTheme="minorEastAsia" w:eastAsiaTheme="minorEastAsia" w:hAnsiTheme="minorEastAsia" w:hint="eastAsia"/>
          <w:szCs w:val="21"/>
        </w:rPr>
        <w:t>。本基金将严格控制资产支持证券的总体投资规模并进行分散投资，以降低流动性风险</w:t>
      </w:r>
      <w:r w:rsidRPr="00FA7BE2">
        <w:rPr>
          <w:rFonts w:asciiTheme="minorEastAsia" w:eastAsiaTheme="minorEastAsia" w:hAnsiTheme="minorEastAsia"/>
          <w:szCs w:val="21"/>
        </w:rPr>
        <w:t>。</w:t>
      </w:r>
    </w:p>
    <w:p w:rsidR="00D21CF5" w:rsidRPr="00FA7BE2" w:rsidRDefault="00D21CF5" w:rsidP="00D21CF5">
      <w:pPr>
        <w:snapToGrid w:val="0"/>
        <w:spacing w:line="360" w:lineRule="auto"/>
        <w:ind w:left="422"/>
        <w:rPr>
          <w:rFonts w:asciiTheme="minorEastAsia" w:eastAsiaTheme="minorEastAsia" w:hAnsiTheme="minorEastAsia"/>
          <w:b/>
          <w:szCs w:val="21"/>
        </w:rPr>
      </w:pPr>
      <w:r w:rsidRPr="00FA7BE2">
        <w:rPr>
          <w:rFonts w:asciiTheme="minorEastAsia" w:eastAsiaTheme="minorEastAsia" w:hAnsiTheme="minorEastAsia" w:hint="eastAsia"/>
          <w:b/>
          <w:szCs w:val="21"/>
        </w:rPr>
        <w:t>3、股票投资策略</w:t>
      </w:r>
    </w:p>
    <w:p w:rsidR="00D21CF5" w:rsidRPr="00FA7BE2" w:rsidRDefault="00D21CF5" w:rsidP="00D21CF5">
      <w:pPr>
        <w:numPr>
          <w:ilvl w:val="0"/>
          <w:numId w:val="19"/>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hint="eastAsia"/>
          <w:b/>
          <w:szCs w:val="21"/>
        </w:rPr>
        <w:t>新股（含增发）的投资策略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本基金</w:t>
      </w:r>
      <w:r w:rsidRPr="00FA7BE2">
        <w:rPr>
          <w:rFonts w:asciiTheme="minorEastAsia" w:eastAsiaTheme="minorEastAsia" w:hAnsiTheme="minorEastAsia" w:hint="eastAsia"/>
          <w:szCs w:val="21"/>
        </w:rPr>
        <w:t>通过对新股发行公司的行业景气度、财务稳健性、公司竞争力、利润成长性等因素的分析，参考同类公司的估值水平，进行公司股票的价值评估，从而判断一二级市场价差的大小，并根据新股的中签率及上市后股价涨幅的统计、股票锁定期间投资风险的判断，制定新股申购策略。在新发股票获准上市后，本基金管理人将根据对股票内在投资价值和成</w:t>
      </w:r>
      <w:r w:rsidRPr="00FA7BE2">
        <w:rPr>
          <w:rFonts w:asciiTheme="minorEastAsia" w:eastAsiaTheme="minorEastAsia" w:hAnsiTheme="minorEastAsia" w:hint="eastAsia"/>
          <w:szCs w:val="21"/>
        </w:rPr>
        <w:lastRenderedPageBreak/>
        <w:t>长性的判断，结合股票市场环境的分析，选择适当的时机卖出。</w:t>
      </w:r>
    </w:p>
    <w:p w:rsidR="00D21CF5" w:rsidRPr="00FA7BE2" w:rsidRDefault="00D21CF5" w:rsidP="00D21CF5">
      <w:pPr>
        <w:numPr>
          <w:ilvl w:val="0"/>
          <w:numId w:val="19"/>
        </w:numPr>
        <w:snapToGrid w:val="0"/>
        <w:spacing w:line="360" w:lineRule="auto"/>
        <w:rPr>
          <w:rFonts w:asciiTheme="minorEastAsia" w:eastAsiaTheme="minorEastAsia" w:hAnsiTheme="minorEastAsia"/>
          <w:b/>
          <w:szCs w:val="21"/>
        </w:rPr>
      </w:pPr>
      <w:r w:rsidRPr="00FA7BE2">
        <w:rPr>
          <w:rFonts w:asciiTheme="minorEastAsia" w:eastAsiaTheme="minorEastAsia" w:hAnsiTheme="minorEastAsia" w:hint="eastAsia"/>
          <w:b/>
          <w:szCs w:val="21"/>
        </w:rPr>
        <w:t>股票二级市场的投资策略</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在股票二级市场投资方面，本基金采取自下而上的投资策略，选择满足以下特征的公司进行投资：企业治理结构良好，管理层诚信尽职，重视股东利益，能根据市场环境的变化正确地制定和调整发展战略，经营管理能力能适应企业规模的需要；公司财务透明、清晰，资产质量及财务状况较好，拥有良好的历史盈利记录；企业的主营产品或服务具有良好的市场前景，企业在经营许可、规模、资源、技术、品牌、创新能力等方面具有竞争对手在中长期时间内难以模仿的竞争优势。本基金将根据企业业绩的长期增长趋势以及同类企业的平均估值水平，应用本基金管理人设计的估值模型，选择价值被市场低估的企业进行投资。</w:t>
      </w:r>
    </w:p>
    <w:p w:rsidR="00FF411D" w:rsidRPr="00FA7BE2" w:rsidRDefault="00FF411D" w:rsidP="000D2AA7">
      <w:pPr>
        <w:snapToGrid w:val="0"/>
        <w:spacing w:line="360" w:lineRule="auto"/>
        <w:ind w:left="422"/>
        <w:rPr>
          <w:rFonts w:asciiTheme="minorEastAsia" w:eastAsiaTheme="minorEastAsia" w:hAnsiTheme="minorEastAsia"/>
          <w:b/>
          <w:szCs w:val="21"/>
        </w:rPr>
      </w:pPr>
      <w:r w:rsidRPr="00FA7BE2">
        <w:rPr>
          <w:rFonts w:asciiTheme="minorEastAsia" w:eastAsiaTheme="minorEastAsia" w:hAnsiTheme="minorEastAsia" w:hint="eastAsia"/>
          <w:b/>
          <w:szCs w:val="21"/>
        </w:rPr>
        <w:t>4、存托凭证投资策略</w:t>
      </w:r>
    </w:p>
    <w:p w:rsidR="00FF411D" w:rsidRPr="00FA7BE2" w:rsidRDefault="00FF411D" w:rsidP="00FF411D">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rPr>
        <w:t>本基金可投资存托凭证，本基金将结合对宏观经济状况、行业景气度、公司竞争优势、公司治理结构、估值水平等因素的分析判断，选择投资价值高的存托凭证进行投资。</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4" w:name="_Toc75869983"/>
      <w:r w:rsidRPr="00FA7BE2">
        <w:rPr>
          <w:rFonts w:asciiTheme="minorEastAsia" w:eastAsiaTheme="minorEastAsia" w:hAnsiTheme="minorEastAsia" w:hint="eastAsia"/>
        </w:rPr>
        <w:t>（五）业绩</w:t>
      </w:r>
      <w:r w:rsidRPr="00FA7BE2">
        <w:rPr>
          <w:rFonts w:asciiTheme="minorEastAsia" w:eastAsiaTheme="minorEastAsia" w:hAnsiTheme="minorEastAsia"/>
        </w:rPr>
        <w:t>比较基准</w:t>
      </w:r>
      <w:bookmarkEnd w:id="61"/>
      <w:bookmarkEnd w:id="62"/>
      <w:bookmarkEnd w:id="64"/>
    </w:p>
    <w:p w:rsidR="008847CA" w:rsidRPr="00FA7BE2" w:rsidRDefault="008847CA" w:rsidP="00E3582F">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中债新综合财富指数收益率*90%+沪深300指数收益率*10%</w:t>
      </w:r>
    </w:p>
    <w:p w:rsidR="008847CA" w:rsidRPr="00FA7BE2" w:rsidRDefault="008847CA"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本基金是债券型基金，其中投资于债券等固定收益品种不低于基金资产的80%，投资于股票等权益类品种不高于基金资产的20%。本基金采用“沪深300指数收益率”和“中债新综合指数收益率”分别作为股票和债券投资的业绩比较基准，并分别赋予10%和90%的权重，基于指数的权威性和代表性以及本基金的投资范围和投资理念，选用该业绩比较基准能够比较真实、客观地反映本基金的风险收益特征。</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基金管理人最迟应于新的业绩比较基准实施前三个工作日在至少一种</w:t>
      </w:r>
      <w:r w:rsidR="00B87BA8" w:rsidRPr="00FA7BE2">
        <w:rPr>
          <w:rFonts w:asciiTheme="minorEastAsia" w:eastAsiaTheme="minorEastAsia" w:hAnsiTheme="minorEastAsia" w:hint="eastAsia"/>
          <w:szCs w:val="21"/>
        </w:rPr>
        <w:t>指定媒介</w:t>
      </w:r>
      <w:r w:rsidRPr="00FA7BE2">
        <w:rPr>
          <w:rFonts w:asciiTheme="minorEastAsia" w:eastAsiaTheme="minorEastAsia" w:hAnsiTheme="minorEastAsia" w:hint="eastAsia"/>
          <w:szCs w:val="21"/>
        </w:rPr>
        <w:t>上公告。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5" w:name="_Toc75869984"/>
      <w:r w:rsidRPr="00FA7BE2">
        <w:rPr>
          <w:rFonts w:asciiTheme="minorEastAsia" w:eastAsiaTheme="minorEastAsia" w:hAnsiTheme="minorEastAsia" w:hint="eastAsia"/>
        </w:rPr>
        <w:t>（六）风险收益特征</w:t>
      </w:r>
      <w:bookmarkEnd w:id="65"/>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本基金为债券型基金，其长期平均风险和预期收益率低于混合型基金、股票型基金，高于货币市场基金。</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6" w:name="_Toc75869985"/>
      <w:r w:rsidRPr="00FA7BE2">
        <w:rPr>
          <w:rFonts w:asciiTheme="minorEastAsia" w:eastAsiaTheme="minorEastAsia" w:hAnsiTheme="minorEastAsia" w:hint="eastAsia"/>
        </w:rPr>
        <w:t>（七</w:t>
      </w:r>
      <w:bookmarkStart w:id="67" w:name="_Toc52310852"/>
      <w:bookmarkStart w:id="68" w:name="_Toc64861727"/>
      <w:r w:rsidRPr="00FA7BE2">
        <w:rPr>
          <w:rFonts w:asciiTheme="minorEastAsia" w:eastAsiaTheme="minorEastAsia" w:hAnsiTheme="minorEastAsia" w:hint="eastAsia"/>
        </w:rPr>
        <w:t>）投资决策</w:t>
      </w:r>
      <w:bookmarkEnd w:id="66"/>
      <w:bookmarkEnd w:id="67"/>
      <w:bookmarkEnd w:id="68"/>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1</w:t>
      </w:r>
      <w:r w:rsidRPr="00FA7BE2">
        <w:rPr>
          <w:rFonts w:asciiTheme="minorEastAsia" w:eastAsiaTheme="minorEastAsia" w:hAnsiTheme="minorEastAsia" w:hint="eastAsia"/>
          <w:szCs w:val="21"/>
        </w:rPr>
        <w:t>、决策依据</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1</w:t>
      </w:r>
      <w:r w:rsidRPr="00FA7BE2">
        <w:rPr>
          <w:rFonts w:asciiTheme="minorEastAsia" w:eastAsiaTheme="minorEastAsia" w:hAnsiTheme="minorEastAsia" w:hint="eastAsia"/>
          <w:szCs w:val="21"/>
        </w:rPr>
        <w:t>）国家有关法律、法规和基金合同的有关规定。</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（2）宏观经济发展态势、微观经济运行环境和证券市场走势。</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2</w:t>
      </w:r>
      <w:r w:rsidRPr="00FA7BE2">
        <w:rPr>
          <w:rFonts w:asciiTheme="minorEastAsia" w:eastAsiaTheme="minorEastAsia" w:hAnsiTheme="minorEastAsia" w:hint="eastAsia"/>
          <w:szCs w:val="21"/>
        </w:rPr>
        <w:t>、决策程序</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（1）研究员提交宏观经济、债券市场、新股申购、行业分析及个股研究报告；</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（2）基金经理根据研究报告以及对宏观经济、债券市场投资机会、新股申购收益率、</w:t>
      </w:r>
      <w:r w:rsidRPr="00FA7BE2">
        <w:rPr>
          <w:rFonts w:asciiTheme="minorEastAsia" w:eastAsiaTheme="minorEastAsia" w:hAnsiTheme="minorEastAsia" w:hint="eastAsia"/>
          <w:szCs w:val="21"/>
        </w:rPr>
        <w:lastRenderedPageBreak/>
        <w:t>股票市场预期收益水平的判断，制定资产配置计划，按制度提交审议并实施；</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（3）基金经理制定具体的固定收益品种、新股及股票二级市场投资的方案，构造投资组合；</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w:t>
      </w:r>
      <w:r w:rsidRPr="00FA7BE2">
        <w:rPr>
          <w:rFonts w:asciiTheme="minorEastAsia" w:eastAsiaTheme="minorEastAsia" w:hAnsiTheme="minorEastAsia"/>
          <w:szCs w:val="21"/>
        </w:rPr>
        <w:t>集中交易室依据基金经理的指令，执行交易；</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（5）</w:t>
      </w:r>
      <w:r w:rsidR="00AA4119" w:rsidRPr="00FA7BE2">
        <w:rPr>
          <w:rFonts w:asciiTheme="minorEastAsia" w:eastAsiaTheme="minorEastAsia" w:hAnsiTheme="minorEastAsia" w:hint="eastAsia"/>
        </w:rPr>
        <w:t>监察合规管理部门对</w:t>
      </w:r>
      <w:r w:rsidRPr="00FA7BE2">
        <w:rPr>
          <w:rFonts w:asciiTheme="minorEastAsia" w:eastAsiaTheme="minorEastAsia" w:hAnsiTheme="minorEastAsia" w:hint="eastAsia"/>
          <w:szCs w:val="21"/>
        </w:rPr>
        <w:t>基金的日常投资和交易是否遵守法律法规、基金合同进行独立监督检查；</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（6）投资风险管理部定期出具基金绩效评估和风险管理报告，供基金经理调整投资组合时参考；</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（7）</w:t>
      </w:r>
      <w:r w:rsidRPr="00FA7BE2">
        <w:rPr>
          <w:rFonts w:asciiTheme="minorEastAsia" w:eastAsiaTheme="minorEastAsia" w:hAnsiTheme="minorEastAsia"/>
          <w:szCs w:val="21"/>
        </w:rPr>
        <w:t>基金经理定期检讨投资组合的运作成效，并</w:t>
      </w:r>
      <w:r w:rsidRPr="00FA7BE2">
        <w:rPr>
          <w:rFonts w:asciiTheme="minorEastAsia" w:eastAsiaTheme="minorEastAsia" w:hAnsiTheme="minorEastAsia" w:hint="eastAsia"/>
          <w:szCs w:val="21"/>
        </w:rPr>
        <w:t>进行相应的组合调整</w:t>
      </w:r>
      <w:r w:rsidRPr="00FA7BE2">
        <w:rPr>
          <w:rFonts w:asciiTheme="minorEastAsia" w:eastAsiaTheme="minorEastAsia" w:hAnsiTheme="minorEastAsia"/>
          <w:szCs w:val="21"/>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69" w:name="_Toc75869986"/>
      <w:r w:rsidRPr="00FA7BE2">
        <w:rPr>
          <w:rFonts w:asciiTheme="minorEastAsia" w:eastAsiaTheme="minorEastAsia" w:hAnsiTheme="minorEastAsia" w:hint="eastAsia"/>
        </w:rPr>
        <w:t>（八）投资</w:t>
      </w:r>
      <w:bookmarkEnd w:id="52"/>
      <w:r w:rsidRPr="00FA7BE2">
        <w:rPr>
          <w:rFonts w:asciiTheme="minorEastAsia" w:eastAsiaTheme="minorEastAsia" w:hAnsiTheme="minorEastAsia" w:hint="eastAsia"/>
        </w:rPr>
        <w:t>组合限制</w:t>
      </w:r>
      <w:bookmarkEnd w:id="69"/>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本基金投资组合</w:t>
      </w:r>
      <w:r w:rsidRPr="00FA7BE2">
        <w:rPr>
          <w:rFonts w:asciiTheme="minorEastAsia" w:eastAsiaTheme="minorEastAsia" w:hAnsiTheme="minorEastAsia" w:hint="eastAsia"/>
        </w:rPr>
        <w:t>应</w:t>
      </w:r>
      <w:r w:rsidRPr="00FA7BE2">
        <w:rPr>
          <w:rFonts w:asciiTheme="minorEastAsia" w:eastAsiaTheme="minorEastAsia" w:hAnsiTheme="minorEastAsia"/>
        </w:rPr>
        <w:t>符合以下规定</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1、债券等固定收益品种不低于基金资产的80%，其中，可转换债券不高于基金资产的30%；股票等权益类品种不高于基金资产的20%；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2、</w:t>
      </w:r>
      <w:r w:rsidRPr="00FA7BE2">
        <w:rPr>
          <w:rFonts w:asciiTheme="minorEastAsia" w:eastAsiaTheme="minorEastAsia" w:hAnsiTheme="minorEastAsia" w:hint="eastAsia"/>
          <w:szCs w:val="21"/>
        </w:rPr>
        <w:t>基金保留的现金以及投资于到期日在一年以内的政府债券的比例合计不低于基金资产净值的</w:t>
      </w:r>
      <w:r w:rsidRPr="00FA7BE2">
        <w:rPr>
          <w:rFonts w:asciiTheme="minorEastAsia" w:eastAsiaTheme="minorEastAsia" w:hAnsiTheme="minorEastAsia"/>
          <w:szCs w:val="21"/>
        </w:rPr>
        <w:t>5%</w:t>
      </w:r>
      <w:r w:rsidRPr="00FA7BE2">
        <w:rPr>
          <w:rFonts w:asciiTheme="minorEastAsia" w:eastAsiaTheme="minorEastAsia" w:hAnsiTheme="minorEastAsia" w:hint="eastAsia"/>
        </w:rPr>
        <w:t>，现金不包括结算备付金、存出保证金、应收申购款等</w:t>
      </w:r>
      <w:r w:rsidRPr="00FA7BE2">
        <w:rPr>
          <w:rFonts w:asciiTheme="minorEastAsia" w:eastAsiaTheme="minorEastAsia" w:hAnsiTheme="minorEastAsia"/>
          <w:szCs w:val="21"/>
        </w:rPr>
        <w:t>；</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3</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同一基金管理人管理的全部证券投资基金投资于同一资产支持证券的比例，不得超过该资产支持证券规模的10%</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本基金投资于同一原始权益人的各类资产支持证券的比例，不得超过基金资产净值的10%；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4</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本基金参与股票发行申购，所申报的金额不超过本基金的总资产，所申报的股票数量不超过拟发行股票公司本次发行股票的总量；</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5</w:t>
      </w:r>
      <w:r w:rsidRPr="00FA7BE2">
        <w:rPr>
          <w:rFonts w:asciiTheme="minorEastAsia" w:eastAsiaTheme="minorEastAsia" w:hAnsiTheme="minorEastAsia" w:hint="eastAsia"/>
          <w:szCs w:val="21"/>
        </w:rPr>
        <w:t>、存放在具有基金托管资格的同一商业银行的存款，不得超过基金资产净值的20%；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6</w:t>
      </w:r>
      <w:r w:rsidRPr="00FA7BE2">
        <w:rPr>
          <w:rFonts w:asciiTheme="minorEastAsia" w:eastAsiaTheme="minorEastAsia" w:hAnsiTheme="minorEastAsia" w:hint="eastAsia"/>
          <w:szCs w:val="21"/>
        </w:rPr>
        <w:t>、</w:t>
      </w:r>
      <w:r w:rsidRPr="00FA7BE2">
        <w:rPr>
          <w:rFonts w:asciiTheme="minorEastAsia" w:eastAsiaTheme="minorEastAsia" w:hAnsiTheme="minorEastAsia"/>
          <w:szCs w:val="21"/>
        </w:rPr>
        <w:t>本基金与由本基金管理人管理的其他基金持有一家公司发行的证券，不超过该证券的10%；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7</w:t>
      </w:r>
      <w:r w:rsidRPr="00FA7BE2">
        <w:rPr>
          <w:rFonts w:asciiTheme="minorEastAsia" w:eastAsiaTheme="minorEastAsia" w:hAnsiTheme="minorEastAsia"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8</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本基金主动投资于流动性受限资产的市值合计不得超过该基金资产净值的15%。</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9、</w:t>
      </w:r>
      <w:r w:rsidRPr="00FA7BE2">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w:t>
      </w:r>
      <w:r w:rsidRPr="00FA7BE2">
        <w:rPr>
          <w:rFonts w:asciiTheme="minorEastAsia" w:eastAsiaTheme="minorEastAsia" w:hAnsiTheme="minorEastAsia"/>
          <w:szCs w:val="21"/>
        </w:rPr>
        <w:t>0、</w:t>
      </w:r>
      <w:r w:rsidR="00FF411D" w:rsidRPr="00FA7BE2">
        <w:rPr>
          <w:rFonts w:asciiTheme="minorEastAsia" w:eastAsiaTheme="minorEastAsia" w:hAnsiTheme="minorEastAsia" w:hint="eastAsia"/>
          <w:szCs w:val="21"/>
        </w:rPr>
        <w:t>本基金投资存托凭证的比例限制依照境内上市交易的股票执行，与境内上市交易的股票合并计算；</w:t>
      </w:r>
      <w:r w:rsidRPr="00FA7BE2">
        <w:rPr>
          <w:rFonts w:asciiTheme="minorEastAsia" w:eastAsiaTheme="minorEastAsia" w:hAnsiTheme="minorEastAsia" w:hint="eastAsia"/>
          <w:szCs w:val="21"/>
        </w:rPr>
        <w:t>中国证监会、中国人民银行规定的其他比例限制。</w:t>
      </w:r>
    </w:p>
    <w:p w:rsidR="00D21CF5" w:rsidRPr="00FA7BE2" w:rsidRDefault="00FF411D"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szCs w:val="21"/>
        </w:rPr>
        <w:t>11、</w:t>
      </w:r>
      <w:r w:rsidR="00D21CF5" w:rsidRPr="00FA7BE2">
        <w:rPr>
          <w:rFonts w:asciiTheme="minorEastAsia" w:eastAsiaTheme="minorEastAsia" w:hAnsiTheme="minorEastAsia"/>
          <w:szCs w:val="21"/>
        </w:rPr>
        <w:t>本基金在基金合同生效后</w:t>
      </w:r>
      <w:r w:rsidR="00D21CF5" w:rsidRPr="00FA7BE2">
        <w:rPr>
          <w:rFonts w:asciiTheme="minorEastAsia" w:eastAsiaTheme="minorEastAsia" w:hAnsiTheme="minorEastAsia" w:hint="eastAsia"/>
          <w:szCs w:val="21"/>
        </w:rPr>
        <w:t>三</w:t>
      </w:r>
      <w:r w:rsidR="00D21CF5" w:rsidRPr="00FA7BE2">
        <w:rPr>
          <w:rFonts w:asciiTheme="minorEastAsia" w:eastAsiaTheme="minorEastAsia" w:hAnsiTheme="minorEastAsia"/>
          <w:szCs w:val="21"/>
        </w:rPr>
        <w:t>个月内</w:t>
      </w:r>
      <w:r w:rsidR="00D21CF5" w:rsidRPr="00FA7BE2">
        <w:rPr>
          <w:rFonts w:asciiTheme="minorEastAsia" w:eastAsiaTheme="minorEastAsia" w:hAnsiTheme="minorEastAsia" w:hint="eastAsia"/>
          <w:szCs w:val="21"/>
        </w:rPr>
        <w:t>应</w:t>
      </w:r>
      <w:r w:rsidR="00D21CF5" w:rsidRPr="00FA7BE2">
        <w:rPr>
          <w:rFonts w:asciiTheme="minorEastAsia" w:eastAsiaTheme="minorEastAsia" w:hAnsiTheme="minorEastAsia"/>
          <w:szCs w:val="21"/>
        </w:rPr>
        <w:t>达到上述规定的投资比例</w:t>
      </w:r>
      <w:r w:rsidR="00D21CF5" w:rsidRPr="00FA7BE2">
        <w:rPr>
          <w:rFonts w:asciiTheme="minorEastAsia" w:eastAsiaTheme="minorEastAsia" w:hAnsiTheme="minorEastAsia" w:hint="eastAsia"/>
          <w:szCs w:val="21"/>
        </w:rPr>
        <w:t>；除上述2、4、8、</w:t>
      </w:r>
      <w:r w:rsidR="00D21CF5" w:rsidRPr="00FA7BE2">
        <w:rPr>
          <w:rFonts w:asciiTheme="minorEastAsia" w:eastAsiaTheme="minorEastAsia" w:hAnsiTheme="minorEastAsia" w:hint="eastAsia"/>
          <w:szCs w:val="21"/>
        </w:rPr>
        <w:lastRenderedPageBreak/>
        <w:t>9以外，</w:t>
      </w:r>
      <w:r w:rsidR="00D21CF5" w:rsidRPr="00FA7BE2">
        <w:rPr>
          <w:rFonts w:asciiTheme="minorEastAsia" w:eastAsiaTheme="minorEastAsia" w:hAnsiTheme="minorEastAsia"/>
          <w:szCs w:val="21"/>
        </w:rPr>
        <w:t>因基金规模</w:t>
      </w:r>
      <w:r w:rsidR="00D21CF5" w:rsidRPr="00FA7BE2">
        <w:rPr>
          <w:rFonts w:asciiTheme="minorEastAsia" w:eastAsiaTheme="minorEastAsia" w:hAnsiTheme="minorEastAsia" w:hint="eastAsia"/>
          <w:szCs w:val="21"/>
        </w:rPr>
        <w:t>、</w:t>
      </w:r>
      <w:r w:rsidR="00D21CF5" w:rsidRPr="00FA7BE2">
        <w:rPr>
          <w:rFonts w:asciiTheme="minorEastAsia" w:eastAsiaTheme="minorEastAsia" w:hAnsiTheme="minorEastAsia"/>
          <w:szCs w:val="21"/>
        </w:rPr>
        <w:t>市场变化</w:t>
      </w:r>
      <w:r w:rsidR="00D21CF5" w:rsidRPr="00FA7BE2">
        <w:rPr>
          <w:rFonts w:asciiTheme="minorEastAsia" w:eastAsiaTheme="minorEastAsia" w:hAnsiTheme="minorEastAsia" w:hint="eastAsia"/>
          <w:szCs w:val="21"/>
        </w:rPr>
        <w:t>或</w:t>
      </w:r>
      <w:r w:rsidR="00D21CF5" w:rsidRPr="00FA7BE2">
        <w:rPr>
          <w:rFonts w:asciiTheme="minorEastAsia" w:eastAsiaTheme="minorEastAsia" w:hAnsiTheme="minorEastAsia"/>
          <w:szCs w:val="21"/>
        </w:rPr>
        <w:t>上市公司合并等</w:t>
      </w:r>
      <w:r w:rsidR="00D21CF5" w:rsidRPr="00FA7BE2">
        <w:rPr>
          <w:rFonts w:asciiTheme="minorEastAsia" w:eastAsiaTheme="minorEastAsia" w:hAnsiTheme="minorEastAsia" w:hint="eastAsia"/>
          <w:szCs w:val="21"/>
        </w:rPr>
        <w:t>基金</w:t>
      </w:r>
      <w:r w:rsidR="00D21CF5" w:rsidRPr="00FA7BE2">
        <w:rPr>
          <w:rFonts w:asciiTheme="minorEastAsia" w:eastAsiaTheme="minorEastAsia" w:hAnsiTheme="minorEastAsia"/>
          <w:szCs w:val="21"/>
        </w:rPr>
        <w:t>管理人之外的因素导致投资组合超出上述</w:t>
      </w:r>
      <w:r w:rsidR="00D21CF5" w:rsidRPr="00FA7BE2">
        <w:rPr>
          <w:rFonts w:asciiTheme="minorEastAsia" w:eastAsiaTheme="minorEastAsia" w:hAnsiTheme="minorEastAsia" w:hint="eastAsia"/>
          <w:szCs w:val="21"/>
        </w:rPr>
        <w:t>约</w:t>
      </w:r>
      <w:r w:rsidR="00D21CF5" w:rsidRPr="00FA7BE2">
        <w:rPr>
          <w:rFonts w:asciiTheme="minorEastAsia" w:eastAsiaTheme="minorEastAsia" w:hAnsiTheme="minorEastAsia"/>
          <w:szCs w:val="21"/>
        </w:rPr>
        <w:t>定</w:t>
      </w:r>
      <w:r w:rsidR="00D21CF5" w:rsidRPr="00FA7BE2">
        <w:rPr>
          <w:rFonts w:asciiTheme="minorEastAsia" w:eastAsiaTheme="minorEastAsia" w:hAnsiTheme="minorEastAsia" w:hint="eastAsia"/>
          <w:szCs w:val="21"/>
        </w:rPr>
        <w:t>的规定</w:t>
      </w:r>
      <w:r w:rsidR="00D21CF5" w:rsidRPr="00FA7BE2">
        <w:rPr>
          <w:rFonts w:asciiTheme="minorEastAsia" w:eastAsiaTheme="minorEastAsia" w:hAnsiTheme="minorEastAsia"/>
          <w:szCs w:val="21"/>
        </w:rPr>
        <w:t>，基金管理人应在</w:t>
      </w:r>
      <w:r w:rsidR="00D21CF5" w:rsidRPr="00FA7BE2">
        <w:rPr>
          <w:rFonts w:asciiTheme="minorEastAsia" w:eastAsiaTheme="minorEastAsia" w:hAnsiTheme="minorEastAsia" w:hint="eastAsia"/>
          <w:szCs w:val="21"/>
        </w:rPr>
        <w:t>十个交易日</w:t>
      </w:r>
      <w:r w:rsidR="00D21CF5" w:rsidRPr="00FA7BE2">
        <w:rPr>
          <w:rFonts w:asciiTheme="minorEastAsia" w:eastAsiaTheme="minorEastAsia" w:hAnsiTheme="minorEastAsia"/>
          <w:szCs w:val="21"/>
        </w:rPr>
        <w:t>内进行调整，以</w:t>
      </w:r>
      <w:r w:rsidR="00D21CF5" w:rsidRPr="00FA7BE2">
        <w:rPr>
          <w:rFonts w:asciiTheme="minorEastAsia" w:eastAsiaTheme="minorEastAsia" w:hAnsiTheme="minorEastAsia" w:hint="eastAsia"/>
          <w:szCs w:val="21"/>
        </w:rPr>
        <w:t>符合有关限制规定</w:t>
      </w:r>
      <w:r w:rsidR="00D21CF5" w:rsidRPr="00FA7BE2">
        <w:rPr>
          <w:rFonts w:asciiTheme="minorEastAsia" w:eastAsiaTheme="minorEastAsia" w:hAnsiTheme="minorEastAsia"/>
          <w:szCs w:val="21"/>
        </w:rPr>
        <w:t>。</w:t>
      </w:r>
      <w:r w:rsidR="00D21CF5" w:rsidRPr="00FA7BE2">
        <w:rPr>
          <w:rFonts w:asciiTheme="minorEastAsia" w:eastAsiaTheme="minorEastAsia" w:hAnsiTheme="minorEastAsia" w:hint="eastAsia"/>
          <w:szCs w:val="21"/>
        </w:rPr>
        <w:t>法律法规另有规定时，从其规定。</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法律法规或监管部门修改或取消上述限制规定时，本基金将相应修改其投资组合限制规定。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70" w:name="_Toc75869987"/>
      <w:r w:rsidRPr="00FA7BE2">
        <w:rPr>
          <w:rFonts w:asciiTheme="minorEastAsia" w:eastAsiaTheme="minorEastAsia" w:hAnsiTheme="minorEastAsia" w:hint="eastAsia"/>
        </w:rPr>
        <w:t>（九）禁止行为</w:t>
      </w:r>
      <w:bookmarkEnd w:id="70"/>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为维护基金份额持有人的合法权益，本基金禁止从事下列行为；</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1、投资于其他基金份额（法律法规另有规定的除外）；</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w:t>
      </w:r>
      <w:r w:rsidRPr="00FA7BE2">
        <w:rPr>
          <w:rFonts w:asciiTheme="minorEastAsia" w:eastAsiaTheme="minorEastAsia" w:hAnsiTheme="minorEastAsia"/>
          <w:szCs w:val="21"/>
        </w:rPr>
        <w:t>将基金</w:t>
      </w:r>
      <w:r w:rsidRPr="00FA7BE2">
        <w:rPr>
          <w:rFonts w:asciiTheme="minorEastAsia" w:eastAsiaTheme="minorEastAsia" w:hAnsiTheme="minorEastAsia" w:hint="eastAsia"/>
          <w:szCs w:val="21"/>
        </w:rPr>
        <w:t>财</w:t>
      </w:r>
      <w:r w:rsidRPr="00FA7BE2">
        <w:rPr>
          <w:rFonts w:asciiTheme="minorEastAsia" w:eastAsiaTheme="minorEastAsia" w:hAnsiTheme="minorEastAsia"/>
          <w:szCs w:val="21"/>
        </w:rPr>
        <w:t>产</w:t>
      </w:r>
      <w:r w:rsidRPr="00FA7BE2">
        <w:rPr>
          <w:rFonts w:asciiTheme="minorEastAsia" w:eastAsiaTheme="minorEastAsia" w:hAnsiTheme="minorEastAsia" w:hint="eastAsia"/>
          <w:szCs w:val="21"/>
        </w:rPr>
        <w:t>向他人贷款或者提供担保；</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3、从事可能使基金承担无限责任的投资；</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w:t>
      </w:r>
      <w:r w:rsidRPr="00FA7BE2">
        <w:rPr>
          <w:rFonts w:asciiTheme="minorEastAsia" w:eastAsiaTheme="minorEastAsia" w:hAnsiTheme="minorEastAsia"/>
          <w:szCs w:val="21"/>
        </w:rPr>
        <w:t>向基金管理人、基金托管人出资或者</w:t>
      </w:r>
      <w:r w:rsidRPr="00FA7BE2">
        <w:rPr>
          <w:rFonts w:asciiTheme="minorEastAsia" w:eastAsiaTheme="minorEastAsia" w:hAnsiTheme="minorEastAsia" w:hint="eastAsia"/>
          <w:szCs w:val="21"/>
        </w:rPr>
        <w:t>买卖</w:t>
      </w:r>
      <w:r w:rsidRPr="00FA7BE2">
        <w:rPr>
          <w:rFonts w:asciiTheme="minorEastAsia" w:eastAsiaTheme="minorEastAsia" w:hAnsiTheme="minorEastAsia"/>
          <w:szCs w:val="21"/>
        </w:rPr>
        <w:t>基金托管人、基金管理人发行的股票或债券</w:t>
      </w:r>
      <w:r w:rsidRPr="00FA7BE2">
        <w:rPr>
          <w:rFonts w:asciiTheme="minorEastAsia" w:eastAsiaTheme="minorEastAsia" w:hAnsiTheme="minorEastAsia" w:hint="eastAsia"/>
          <w:szCs w:val="21"/>
        </w:rPr>
        <w:t>；</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5、买卖与基金管理人、基金托管人有控股关系的股东或者与基金管理人、基金托管人有其他重大利害关系的公司发行的证券或承销期内承销的证券；</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6、从事内幕交易、操纵证券交易价格及其他不正当的证券交易活动；</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7、承销证券；</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8、依照法律、行政法规有关规定，由国务院证券监督管理机构规定禁止的其他活动。</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9、对上述事项，法律法规另有规定时从其规定。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71" w:name="_Toc75869988"/>
      <w:r w:rsidRPr="00FA7BE2">
        <w:rPr>
          <w:rFonts w:asciiTheme="minorEastAsia" w:eastAsiaTheme="minorEastAsia" w:hAnsiTheme="minorEastAsia" w:hint="eastAsia"/>
        </w:rPr>
        <w:t>（十）基金管理人代表基金行使所投资证券产生权利的处理原则及方法</w:t>
      </w:r>
      <w:bookmarkEnd w:id="71"/>
    </w:p>
    <w:p w:rsidR="00D21CF5" w:rsidRPr="00FA7BE2" w:rsidRDefault="00D21CF5" w:rsidP="00D21CF5">
      <w:pPr>
        <w:pStyle w:val="a8"/>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1、基金管理人按照国家有关规定代表基金独立行使股东及债权人权利，保护基金投资者的利益；</w:t>
      </w:r>
    </w:p>
    <w:p w:rsidR="00D21CF5" w:rsidRPr="00FA7BE2" w:rsidRDefault="00D21CF5" w:rsidP="00D21CF5">
      <w:pPr>
        <w:pStyle w:val="a8"/>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2、有利于基金资产的安全与增值。</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72" w:name="_Toc75869989"/>
      <w:r w:rsidRPr="00FA7BE2">
        <w:rPr>
          <w:rFonts w:asciiTheme="minorEastAsia" w:eastAsiaTheme="minorEastAsia" w:hAnsiTheme="minorEastAsia" w:hint="eastAsia"/>
        </w:rPr>
        <w:t>（十一）基金的融资、融券</w:t>
      </w:r>
      <w:bookmarkEnd w:id="72"/>
    </w:p>
    <w:p w:rsidR="00D21CF5"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本基金可以按照国家的有关法律法规规定进行融资、融券。</w:t>
      </w:r>
    </w:p>
    <w:p w:rsidR="00EF4395" w:rsidRPr="007D27C7" w:rsidRDefault="00EF4395" w:rsidP="00EF4395">
      <w:pPr>
        <w:pStyle w:val="21"/>
        <w:snapToGrid w:val="0"/>
        <w:spacing w:beforeLines="0" w:afterLines="0" w:line="360" w:lineRule="auto"/>
        <w:ind w:firstLine="562"/>
        <w:rPr>
          <w:rStyle w:val="da"/>
          <w:szCs w:val="21"/>
        </w:rPr>
      </w:pPr>
      <w:bookmarkStart w:id="73" w:name="_Toc59479047"/>
      <w:bookmarkStart w:id="74" w:name="_Toc75869990"/>
      <w:r w:rsidRPr="007D27C7">
        <w:rPr>
          <w:rStyle w:val="da"/>
          <w:rFonts w:hint="eastAsia"/>
          <w:szCs w:val="21"/>
        </w:rPr>
        <w:t>（</w:t>
      </w:r>
      <w:r>
        <w:rPr>
          <w:rStyle w:val="da"/>
          <w:rFonts w:hint="eastAsia"/>
          <w:szCs w:val="21"/>
        </w:rPr>
        <w:t>十二</w:t>
      </w:r>
      <w:r w:rsidRPr="007D27C7">
        <w:rPr>
          <w:rStyle w:val="da"/>
          <w:rFonts w:hint="eastAsia"/>
          <w:szCs w:val="21"/>
        </w:rPr>
        <w:t>）侧袋机制的实施和</w:t>
      </w:r>
      <w:r w:rsidRPr="000D2AA7">
        <w:rPr>
          <w:rFonts w:asciiTheme="minorEastAsia" w:eastAsiaTheme="minorEastAsia" w:hAnsiTheme="minorEastAsia" w:hint="eastAsia"/>
          <w:color w:val="000000" w:themeColor="text1"/>
        </w:rPr>
        <w:t>投资</w:t>
      </w:r>
      <w:r w:rsidRPr="007D27C7">
        <w:rPr>
          <w:rStyle w:val="da"/>
          <w:rFonts w:hint="eastAsia"/>
          <w:szCs w:val="21"/>
        </w:rPr>
        <w:t>运作安排</w:t>
      </w:r>
      <w:bookmarkEnd w:id="73"/>
      <w:bookmarkEnd w:id="74"/>
    </w:p>
    <w:p w:rsidR="00EF4395" w:rsidRPr="007D27C7" w:rsidRDefault="00EF4395" w:rsidP="00EF4395">
      <w:pPr>
        <w:spacing w:line="360" w:lineRule="auto"/>
        <w:ind w:firstLineChars="200" w:firstLine="420"/>
        <w:rPr>
          <w:rStyle w:val="da"/>
          <w:szCs w:val="21"/>
        </w:rPr>
      </w:pPr>
      <w:r>
        <w:rPr>
          <w:rStyle w:val="da"/>
          <w:rFonts w:hint="eastAsia"/>
          <w:szCs w:val="21"/>
        </w:rPr>
        <w:t>当基金持有特定资产且存在或潜在大额</w:t>
      </w:r>
      <w:r w:rsidRPr="007D27C7">
        <w:rPr>
          <w:rStyle w:val="da"/>
          <w:rFonts w:hint="eastAsia"/>
          <w:szCs w:val="21"/>
        </w:rPr>
        <w:t>赎回申请时，根据最大限度保护基金份额持有人利益的原则，基金管理人经与基金托管人协商一致，并咨询会计师事务所意见后，可以依照法律法规及基金合同的约定启用侧袋机制。</w:t>
      </w:r>
    </w:p>
    <w:p w:rsidR="00EF4395" w:rsidRPr="007D27C7" w:rsidRDefault="00EF4395" w:rsidP="00EF4395">
      <w:pPr>
        <w:spacing w:line="360" w:lineRule="auto"/>
        <w:ind w:firstLineChars="200" w:firstLine="420"/>
        <w:rPr>
          <w:rStyle w:val="da"/>
          <w:szCs w:val="21"/>
        </w:rPr>
      </w:pPr>
      <w:r w:rsidRPr="007D27C7">
        <w:rPr>
          <w:rStyle w:val="da"/>
          <w:rFonts w:hint="eastAsia"/>
          <w:szCs w:val="21"/>
        </w:rPr>
        <w:t>侧袋机制实施期间，本部分约定的投资组合比例、投资策略、组合限制、业绩比较基准、风险收益特征等约定仅适用于主袋账户。</w:t>
      </w:r>
    </w:p>
    <w:p w:rsidR="00EF4395" w:rsidRPr="00EF4395" w:rsidRDefault="00EF4395" w:rsidP="00EF4395">
      <w:pPr>
        <w:snapToGrid w:val="0"/>
        <w:spacing w:line="360" w:lineRule="auto"/>
        <w:ind w:firstLine="480"/>
        <w:rPr>
          <w:rFonts w:asciiTheme="minorEastAsia" w:eastAsiaTheme="minorEastAsia" w:hAnsiTheme="minorEastAsia"/>
        </w:rPr>
      </w:pPr>
      <w:r w:rsidRPr="007D27C7">
        <w:rPr>
          <w:rStyle w:val="da"/>
          <w:rFonts w:hint="eastAsia"/>
          <w:szCs w:val="21"/>
        </w:rPr>
        <w:t>侧袋账户的实施条件、实施程序、运作安排、投资安排、特定资产的处置变现和支付等</w:t>
      </w:r>
      <w:r w:rsidRPr="007D27C7">
        <w:rPr>
          <w:rStyle w:val="da"/>
          <w:rFonts w:hint="eastAsia"/>
          <w:szCs w:val="21"/>
        </w:rPr>
        <w:lastRenderedPageBreak/>
        <w:t>对投资者权益有重大影响的事项详见本招募说明书“侧袋机制”部分的规定。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75" w:name="_Toc132448649"/>
      <w:bookmarkStart w:id="76" w:name="_Toc182826378"/>
      <w:bookmarkStart w:id="77" w:name="_Toc75869991"/>
      <w:r w:rsidRPr="00FA7BE2">
        <w:rPr>
          <w:rFonts w:asciiTheme="minorEastAsia" w:eastAsiaTheme="minorEastAsia" w:hAnsiTheme="minorEastAsia" w:hint="eastAsia"/>
        </w:rPr>
        <w:t>（十</w:t>
      </w:r>
      <w:r w:rsidR="00EF4395">
        <w:rPr>
          <w:rFonts w:asciiTheme="minorEastAsia" w:eastAsiaTheme="minorEastAsia" w:hAnsiTheme="minorEastAsia" w:hint="eastAsia"/>
        </w:rPr>
        <w:t>三</w:t>
      </w:r>
      <w:r w:rsidRPr="00FA7BE2">
        <w:rPr>
          <w:rFonts w:asciiTheme="minorEastAsia" w:eastAsiaTheme="minorEastAsia" w:hAnsiTheme="minorEastAsia" w:hint="eastAsia"/>
        </w:rPr>
        <w:t>）基金投资组合报告(未经审计)</w:t>
      </w:r>
      <w:bookmarkEnd w:id="75"/>
      <w:bookmarkEnd w:id="76"/>
      <w:bookmarkEnd w:id="77"/>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D21CF5" w:rsidRPr="00FA7BE2" w:rsidRDefault="00D21CF5"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本基金的托管人中国银行股份有限公司根据本基金合同的规定，复核了本投资组合报告。</w:t>
      </w:r>
    </w:p>
    <w:p w:rsidR="00D21CF5" w:rsidRPr="00FA7BE2" w:rsidRDefault="0085273D" w:rsidP="00D21CF5">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rPr>
        <w:t>本投资组合报告有关数据的期间为2021年1月1日至2021年3月31日。</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金额</w:t>
            </w:r>
            <w:r w:rsidRPr="00FA7BE2">
              <w:rPr>
                <w:rFonts w:asciiTheme="minorEastAsia" w:eastAsiaTheme="minorEastAsia" w:hAnsiTheme="minorEastAsia"/>
              </w:rPr>
              <w:t>(</w:t>
            </w:r>
            <w:r w:rsidRPr="00FA7BE2">
              <w:rPr>
                <w:rFonts w:asciiTheme="minorEastAsia" w:eastAsiaTheme="minorEastAsia" w:hAnsiTheme="minorEastAsia" w:hint="eastAsia"/>
              </w:rPr>
              <w:t>元</w:t>
            </w:r>
            <w:r w:rsidRPr="00FA7BE2">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占基金总资产的比例</w:t>
            </w:r>
            <w:r w:rsidRPr="00FA7BE2">
              <w:rPr>
                <w:rFonts w:asciiTheme="minorEastAsia" w:eastAsiaTheme="minorEastAsia" w:hAnsiTheme="minorEastAsia"/>
              </w:rPr>
              <w:t>(%)</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3,371,837,568.97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15.66</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D049F" w:rsidRPr="00FA7BE2" w:rsidRDefault="007D049F" w:rsidP="007D049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3,371,837,568.97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15.66</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17,492,525,183.29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81.24</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D049F" w:rsidRPr="00FA7BE2" w:rsidRDefault="007D049F" w:rsidP="007D049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17,068,025,783.29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79.27</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D049F" w:rsidRPr="00FA7BE2" w:rsidRDefault="007D049F" w:rsidP="007D049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424,499,400.00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1.97</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3</w:t>
            </w:r>
          </w:p>
        </w:tc>
        <w:tc>
          <w:tcPr>
            <w:tcW w:w="3357" w:type="dxa"/>
            <w:tcBorders>
              <w:top w:val="single" w:sz="4" w:space="0" w:color="auto"/>
              <w:left w:val="single" w:sz="4" w:space="0" w:color="auto"/>
              <w:bottom w:val="single" w:sz="4" w:space="0" w:color="auto"/>
              <w:right w:val="single" w:sz="4" w:space="0" w:color="auto"/>
            </w:tcBorders>
            <w:hideMark/>
          </w:tcPr>
          <w:p w:rsidR="007D049F" w:rsidRPr="00FA7BE2" w:rsidRDefault="00906C0E" w:rsidP="007D049F">
            <w:pPr>
              <w:spacing w:before="29" w:line="300" w:lineRule="auto"/>
              <w:ind w:leftChars="50" w:left="105"/>
              <w:rPr>
                <w:rFonts w:asciiTheme="minorEastAsia" w:eastAsiaTheme="minorEastAsia" w:hAnsiTheme="minorEastAsia"/>
              </w:rPr>
            </w:pPr>
            <w:r w:rsidRPr="00FA7BE2">
              <w:rPr>
                <w:rFonts w:asciiTheme="minorEastAsia" w:eastAsiaTheme="minorEastAsia" w:hAnsiTheme="minorEastAsia"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271,800,727.70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1.26</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D049F" w:rsidRPr="00FA7BE2" w:rsidRDefault="007D049F" w:rsidP="007D049F">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96,134,720.03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0.45</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left"/>
              <w:rPr>
                <w:rFonts w:asciiTheme="minorEastAsia" w:eastAsiaTheme="minorEastAsia" w:hAnsiTheme="minorEastAsia"/>
              </w:rPr>
            </w:pPr>
            <w:r w:rsidRPr="00FA7BE2">
              <w:rPr>
                <w:rFonts w:asciiTheme="minorEastAsia" w:eastAsiaTheme="minorEastAsia" w:hAnsiTheme="minorEastAsia"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298,558,607.99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1.39</w:t>
            </w:r>
          </w:p>
        </w:tc>
      </w:tr>
      <w:tr w:rsidR="007D049F" w:rsidRPr="00FA7BE2" w:rsidTr="007D049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left"/>
              <w:rPr>
                <w:rFonts w:asciiTheme="minorEastAsia" w:eastAsiaTheme="minorEastAsia" w:hAnsiTheme="minorEastAsia"/>
              </w:rPr>
            </w:pPr>
            <w:r w:rsidRPr="00FA7BE2">
              <w:rPr>
                <w:rFonts w:asciiTheme="minorEastAsia" w:eastAsiaTheme="minorEastAsia" w:hAnsiTheme="minorEastAsia"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21,530,856,807.98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100.00</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2、报告期末按行业分类的股票投资组合</w:t>
      </w:r>
    </w:p>
    <w:p w:rsidR="007D049F" w:rsidRPr="00FA7BE2" w:rsidRDefault="007D049F"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（1）</w:t>
      </w:r>
      <w:r w:rsidR="00906C0E" w:rsidRPr="00FA7BE2">
        <w:rPr>
          <w:rFonts w:asciiTheme="minorEastAsia" w:eastAsiaTheme="minorEastAsia" w:hAnsiTheme="minorEastAsia" w:hint="eastAsia"/>
          <w:szCs w:val="21"/>
        </w:rPr>
        <w:t>报告期末按行业分类的境内股票投资组合</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
        <w:gridCol w:w="3380"/>
        <w:gridCol w:w="2611"/>
        <w:gridCol w:w="1511"/>
      </w:tblGrid>
      <w:tr w:rsidR="007D049F" w:rsidRPr="00FA7BE2" w:rsidTr="007D049F">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代码</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行业类别</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占基金资产净值比例（％）</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A</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农、林、牧、渔业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rPr>
            </w:pPr>
            <w:r w:rsidRPr="00FA7BE2">
              <w:rPr>
                <w:rFonts w:asciiTheme="minorEastAsia" w:eastAsiaTheme="minorEastAsia" w:hAnsiTheme="minorEastAsia"/>
              </w:rPr>
              <w:t>41,625,786.50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rPr>
            </w:pPr>
            <w:r w:rsidRPr="00FA7BE2">
              <w:rPr>
                <w:rFonts w:asciiTheme="minorEastAsia" w:eastAsiaTheme="minorEastAsia" w:hAnsiTheme="minorEastAsia"/>
              </w:rPr>
              <w:t>0.20</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B</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采矿业</w:t>
            </w:r>
          </w:p>
        </w:tc>
        <w:tc>
          <w:tcPr>
            <w:tcW w:w="2852" w:type="dxa"/>
            <w:tcBorders>
              <w:top w:val="single" w:sz="4" w:space="0" w:color="000000"/>
              <w:left w:val="single" w:sz="4" w:space="0" w:color="000000"/>
              <w:bottom w:val="single" w:sz="4" w:space="0" w:color="000000"/>
              <w:right w:val="single" w:sz="4" w:space="0" w:color="000000"/>
            </w:tcBorders>
            <w:vAlign w:val="center"/>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97,207,050.19</w:t>
            </w:r>
          </w:p>
          <w:p w:rsidR="007D049F" w:rsidRPr="00FA7BE2" w:rsidRDefault="007D049F" w:rsidP="007D049F">
            <w:pPr>
              <w:spacing w:line="300" w:lineRule="auto"/>
              <w:jc w:val="right"/>
              <w:rPr>
                <w:rFonts w:asciiTheme="minorEastAsia" w:eastAsiaTheme="minorEastAsia" w:hAnsiTheme="minorEastAsia"/>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0.46</w:t>
            </w:r>
          </w:p>
          <w:p w:rsidR="007D049F" w:rsidRPr="00FA7BE2" w:rsidRDefault="007D049F" w:rsidP="007D049F">
            <w:pPr>
              <w:spacing w:line="300" w:lineRule="auto"/>
              <w:jc w:val="right"/>
              <w:rPr>
                <w:rFonts w:asciiTheme="minorEastAsia" w:eastAsiaTheme="minorEastAsia" w:hAnsiTheme="minorEastAsia"/>
              </w:rPr>
            </w:pP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C</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制造业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1,689,123,640.76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8.05</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D</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电力、热力、燃气及水生产和供应业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21,152,121.11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0.10</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E</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建筑业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142,811,163.00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0.68</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lastRenderedPageBreak/>
              <w:t>F</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批发和零售业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1,757,696.43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G</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交通运输、仓储和邮政业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301,582,687.21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1.44</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H</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住宿和餐饮业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I</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信息传输、软件和信息技术服务业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2,769,792.30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J</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金融业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915,879,158.11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4.36</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K</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房地产业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139,054,918.86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0.66</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L</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租赁和商务服务业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M</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科学研究和技术服务业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13,450.00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N</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水利、环境和公共设施管理业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O</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居民服务、修理和其他服务业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P</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教育</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Q</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卫生和社会工作</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18,860,104.50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0.09</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R</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文化、体育和娱乐业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jc w:val="center"/>
              <w:rPr>
                <w:rFonts w:asciiTheme="minorEastAsia" w:eastAsiaTheme="minorEastAsia" w:hAnsiTheme="minorEastAsia"/>
              </w:rPr>
            </w:pPr>
            <w:r w:rsidRPr="00FA7BE2">
              <w:rPr>
                <w:rFonts w:asciiTheme="minorEastAsia" w:eastAsiaTheme="minorEastAsia" w:hAnsiTheme="minorEastAsia"/>
              </w:rPr>
              <w: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综合</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D049F" w:rsidRPr="00FA7BE2" w:rsidRDefault="007D049F" w:rsidP="007D049F">
            <w:pPr>
              <w:adjustRightInd w:val="0"/>
              <w:snapToGrid w:val="0"/>
              <w:spacing w:line="300" w:lineRule="auto"/>
              <w:jc w:val="center"/>
              <w:rPr>
                <w:rFonts w:asciiTheme="minorEastAsia" w:eastAsiaTheme="minorEastAsia" w:hAnsiTheme="minorEastAsia"/>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adjustRightInd w:val="0"/>
              <w:snapToGrid w:val="0"/>
              <w:spacing w:line="300" w:lineRule="auto"/>
              <w:rPr>
                <w:rFonts w:asciiTheme="minorEastAsia" w:eastAsiaTheme="minorEastAsia" w:hAnsiTheme="minorEastAsia"/>
              </w:rPr>
            </w:pPr>
            <w:r w:rsidRPr="00FA7BE2">
              <w:rPr>
                <w:rFonts w:asciiTheme="minorEastAsia" w:eastAsiaTheme="minorEastAsia" w:hAnsiTheme="minorEastAsia" w:hint="eastAsia"/>
              </w:rPr>
              <w:t>合计</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3,371,837,568.97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16.06</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3、报告期末按公允价值占基金资产净值比例大小排序的前十名股票投资明细</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152"/>
        <w:gridCol w:w="1275"/>
        <w:gridCol w:w="1401"/>
        <w:gridCol w:w="2024"/>
        <w:gridCol w:w="1400"/>
      </w:tblGrid>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股票代码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股票名称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数量</w:t>
            </w:r>
            <w:r w:rsidRPr="00FA7BE2">
              <w:rPr>
                <w:rFonts w:asciiTheme="minorEastAsia" w:eastAsiaTheme="minorEastAsia" w:hAnsiTheme="minorEastAsia"/>
              </w:rPr>
              <w:t>(</w:t>
            </w:r>
            <w:r w:rsidRPr="00FA7BE2">
              <w:rPr>
                <w:rFonts w:asciiTheme="minorEastAsia" w:eastAsiaTheme="minorEastAsia" w:hAnsiTheme="minorEastAsia" w:hint="eastAsia"/>
              </w:rPr>
              <w:t>股</w:t>
            </w:r>
            <w:r w:rsidRPr="00FA7BE2">
              <w:rPr>
                <w:rFonts w:asciiTheme="minorEastAsia" w:eastAsiaTheme="minorEastAsia" w:hAnsiTheme="minorEastAsi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公允价值</w:t>
            </w:r>
            <w:r w:rsidRPr="00FA7BE2">
              <w:rPr>
                <w:rFonts w:asciiTheme="minorEastAsia" w:eastAsiaTheme="minorEastAsia" w:hAnsiTheme="minorEastAsia"/>
              </w:rPr>
              <w:t>(</w:t>
            </w:r>
            <w:r w:rsidRPr="00FA7BE2">
              <w:rPr>
                <w:rFonts w:asciiTheme="minorEastAsia" w:eastAsiaTheme="minorEastAsia" w:hAnsiTheme="minorEastAsia" w:hint="eastAsia"/>
              </w:rPr>
              <w:t>元</w:t>
            </w:r>
            <w:r w:rsidRPr="00FA7BE2">
              <w:rPr>
                <w:rFonts w:asciiTheme="minorEastAsia" w:eastAsiaTheme="minorEastAsia" w:hAnsiTheme="minor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占基金资产净值比例</w:t>
            </w:r>
            <w:r w:rsidRPr="00FA7BE2">
              <w:rPr>
                <w:rFonts w:asciiTheme="minorEastAsia" w:eastAsiaTheme="minorEastAsia" w:hAnsiTheme="minorEastAsia"/>
              </w:rPr>
              <w:t>(</w:t>
            </w:r>
            <w:r w:rsidRPr="00FA7BE2">
              <w:rPr>
                <w:rFonts w:asciiTheme="minorEastAsia" w:eastAsiaTheme="minorEastAsia" w:hAnsiTheme="minorEastAsia" w:hint="eastAsia"/>
              </w:rPr>
              <w:t>％</w:t>
            </w:r>
            <w:r w:rsidRPr="00FA7BE2">
              <w:rPr>
                <w:rFonts w:asciiTheme="minorEastAsia" w:eastAsiaTheme="minorEastAsia" w:hAnsiTheme="minorEastAsia"/>
              </w:rPr>
              <w:t>)</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600036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招商银行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5,287,401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270,186,191.10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1.29</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000401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冀东水泥</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15,624,576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244,524,614.40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002142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宁波银行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6,225,164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242,034,376.32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1.15</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601012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隆基股份</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1,675,175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147,415,400.00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0.70</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000333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美的集团</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1,689,703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138,944,277.69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600519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贵州茅台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67,091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134,785,819.00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0.64</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600115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东方航空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21,480,717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117,284,714.82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600585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海螺水泥</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2,256,725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115,589,454.50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0.55</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002415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海康威视</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2,049,074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114,543,236.60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0.55</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600690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海尔智家</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3,626,716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113,081,004.88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0.54</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4、报告期末按债券品种分类的债券投资组合</w:t>
      </w: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49"/>
        <w:gridCol w:w="2654"/>
        <w:gridCol w:w="1520"/>
      </w:tblGrid>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公允价值</w:t>
            </w:r>
            <w:r w:rsidRPr="00FA7BE2">
              <w:rPr>
                <w:rFonts w:asciiTheme="minorEastAsia" w:eastAsiaTheme="minorEastAsia" w:hAnsiTheme="minorEastAsia"/>
              </w:rPr>
              <w:t>(</w:t>
            </w:r>
            <w:r w:rsidRPr="00FA7BE2">
              <w:rPr>
                <w:rFonts w:asciiTheme="minorEastAsia" w:eastAsiaTheme="minorEastAsia" w:hAnsiTheme="minorEastAsia" w:hint="eastAsia"/>
              </w:rPr>
              <w:t>元</w:t>
            </w:r>
            <w:r w:rsidRPr="00FA7BE2">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占基金资产净值比例</w:t>
            </w:r>
            <w:r w:rsidRPr="00FA7BE2">
              <w:rPr>
                <w:rFonts w:asciiTheme="minorEastAsia" w:eastAsiaTheme="minorEastAsia" w:hAnsiTheme="minorEastAsia"/>
              </w:rPr>
              <w:t>(</w:t>
            </w:r>
            <w:r w:rsidRPr="00FA7BE2">
              <w:rPr>
                <w:rFonts w:asciiTheme="minorEastAsia" w:eastAsiaTheme="minorEastAsia" w:hAnsiTheme="minorEastAsia" w:hint="eastAsia"/>
              </w:rPr>
              <w:t>％</w:t>
            </w:r>
            <w:r w:rsidRPr="00FA7BE2">
              <w:rPr>
                <w:rFonts w:asciiTheme="minorEastAsia" w:eastAsiaTheme="minorEastAsia" w:hAnsiTheme="minorEastAsia"/>
              </w:rPr>
              <w:t>)</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1,103,944,000.00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5.26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lastRenderedPageBreak/>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2,601,874,000.00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12.40</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tcPr>
          <w:p w:rsidR="007D049F" w:rsidRPr="00FA7BE2" w:rsidRDefault="007D049F" w:rsidP="007D049F">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2,381,956,000.00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11.35</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3,097,266,085.80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14.76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49,671,000.00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0.24</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6,949,631,500.00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33.11</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3,245,645,197.49</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15.46</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19,994,000.00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0.10</w:t>
            </w:r>
          </w:p>
        </w:tc>
      </w:tr>
      <w:tr w:rsidR="007D049F" w:rsidRPr="00FA7BE2" w:rsidTr="007D049F">
        <w:tc>
          <w:tcPr>
            <w:tcW w:w="81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left"/>
              <w:rPr>
                <w:rFonts w:asciiTheme="minorEastAsia" w:eastAsiaTheme="minorEastAsia" w:hAnsiTheme="minorEastAsia"/>
              </w:rPr>
            </w:pPr>
            <w:r w:rsidRPr="00FA7BE2">
              <w:rPr>
                <w:rFonts w:asciiTheme="minorEastAsia" w:eastAsiaTheme="minorEastAsia" w:hAnsiTheme="minorEastAsia" w:hint="eastAsia"/>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17,068,025,783.29</w:t>
            </w:r>
          </w:p>
        </w:tc>
        <w:tc>
          <w:tcPr>
            <w:tcW w:w="161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right"/>
              <w:rPr>
                <w:rFonts w:asciiTheme="minorEastAsia" w:eastAsiaTheme="minorEastAsia" w:hAnsiTheme="minorEastAsia"/>
              </w:rPr>
            </w:pPr>
            <w:r w:rsidRPr="00FA7BE2">
              <w:rPr>
                <w:rFonts w:asciiTheme="minorEastAsia" w:eastAsiaTheme="minorEastAsia" w:hAnsiTheme="minorEastAsia"/>
              </w:rPr>
              <w:t>81.31</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5、报告期末按公允价值占基金资产净值比例大小排序的前五名债券投资明细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1"/>
        <w:gridCol w:w="1750"/>
        <w:gridCol w:w="1381"/>
        <w:gridCol w:w="1872"/>
        <w:gridCol w:w="889"/>
      </w:tblGrid>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公允价值</w:t>
            </w:r>
            <w:r w:rsidRPr="00FA7BE2">
              <w:rPr>
                <w:rFonts w:asciiTheme="minorEastAsia" w:eastAsiaTheme="minorEastAsia" w:hAnsiTheme="minorEastAsia"/>
                <w:kern w:val="0"/>
              </w:rPr>
              <w:t>(</w:t>
            </w:r>
            <w:r w:rsidRPr="00FA7BE2">
              <w:rPr>
                <w:rFonts w:asciiTheme="minorEastAsia" w:eastAsiaTheme="minorEastAsia" w:hAnsiTheme="minorEastAsia" w:hint="eastAsia"/>
                <w:kern w:val="0"/>
              </w:rPr>
              <w:t>元</w:t>
            </w:r>
            <w:r w:rsidRPr="00FA7BE2">
              <w:rPr>
                <w:rFonts w:asciiTheme="minorEastAsia" w:eastAsiaTheme="minorEastAsia" w:hAnsiTheme="minorEastAsia"/>
                <w:kern w:val="0"/>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占基金资产净值比例（％）</w:t>
            </w:r>
          </w:p>
        </w:tc>
      </w:tr>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210201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21</w:t>
            </w:r>
            <w:r w:rsidRPr="00FA7BE2">
              <w:rPr>
                <w:rFonts w:asciiTheme="minorEastAsia" w:eastAsiaTheme="minorEastAsia" w:hAnsiTheme="minorEastAsia" w:hint="eastAsia"/>
              </w:rPr>
              <w:t>国开</w:t>
            </w:r>
            <w:r w:rsidRPr="00FA7BE2">
              <w:rPr>
                <w:rFonts w:asciiTheme="minorEastAsia" w:eastAsiaTheme="minorEastAsia" w:hAnsiTheme="minorEastAsi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7,500,000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748,650,000.00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3.57</w:t>
            </w:r>
          </w:p>
        </w:tc>
      </w:tr>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200004</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w:t>
            </w:r>
            <w:r w:rsidRPr="00FA7BE2">
              <w:rPr>
                <w:rFonts w:asciiTheme="minorEastAsia" w:eastAsiaTheme="minorEastAsia" w:hAnsiTheme="minorEastAsia" w:hint="eastAsia"/>
              </w:rPr>
              <w:t>附息国债</w:t>
            </w:r>
            <w:r w:rsidRPr="00FA7BE2">
              <w:rPr>
                <w:rFonts w:asciiTheme="minorEastAsia" w:eastAsiaTheme="minorEastAsia" w:hAnsiTheme="minorEastAsia"/>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648,669,000.00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3.09</w:t>
            </w:r>
          </w:p>
        </w:tc>
      </w:tr>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200207</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w:t>
            </w:r>
            <w:r w:rsidRPr="00FA7BE2">
              <w:rPr>
                <w:rFonts w:asciiTheme="minorEastAsia" w:eastAsiaTheme="minorEastAsia" w:hAnsiTheme="minorEastAsia" w:hint="eastAsia"/>
              </w:rPr>
              <w:t>国开</w:t>
            </w:r>
            <w:r w:rsidRPr="00FA7BE2">
              <w:rPr>
                <w:rFonts w:asciiTheme="minorEastAsia" w:eastAsiaTheme="minorEastAsia" w:hAnsiTheme="minorEastAsia"/>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598,320,000.00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2.85</w:t>
            </w:r>
          </w:p>
        </w:tc>
      </w:tr>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200012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w:t>
            </w:r>
            <w:r w:rsidRPr="00FA7BE2">
              <w:rPr>
                <w:rFonts w:asciiTheme="minorEastAsia" w:eastAsiaTheme="minorEastAsia" w:hAnsiTheme="minorEastAsia" w:hint="eastAsia"/>
              </w:rPr>
              <w:t>附息国债</w:t>
            </w:r>
            <w:r w:rsidRPr="00FA7BE2">
              <w:rPr>
                <w:rFonts w:asciiTheme="minorEastAsia" w:eastAsiaTheme="minorEastAsia" w:hAnsiTheme="minorEastAsia"/>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407,280,000.00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1.94</w:t>
            </w:r>
          </w:p>
        </w:tc>
      </w:tr>
      <w:tr w:rsidR="007D049F" w:rsidRPr="00FA7BE2" w:rsidTr="007D049F">
        <w:tc>
          <w:tcPr>
            <w:tcW w:w="8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190202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19</w:t>
            </w:r>
            <w:r w:rsidRPr="00FA7BE2">
              <w:rPr>
                <w:rFonts w:asciiTheme="minorEastAsia" w:eastAsiaTheme="minorEastAsia" w:hAnsiTheme="minorEastAsia" w:hint="eastAsia"/>
              </w:rPr>
              <w:t>国开</w:t>
            </w:r>
            <w:r w:rsidRPr="00FA7BE2">
              <w:rPr>
                <w:rFonts w:asciiTheme="minorEastAsia" w:eastAsiaTheme="minorEastAsia" w:hAnsiTheme="minorEastAsia"/>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3,400,000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340,986,000.00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1.62</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6、　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1192"/>
        <w:gridCol w:w="1085"/>
        <w:gridCol w:w="1630"/>
        <w:gridCol w:w="1665"/>
        <w:gridCol w:w="1453"/>
      </w:tblGrid>
      <w:tr w:rsidR="007D049F" w:rsidRPr="00FA7BE2" w:rsidTr="007D049F">
        <w:tc>
          <w:tcPr>
            <w:tcW w:w="118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数量</w:t>
            </w:r>
            <w:r w:rsidRPr="00FA7BE2">
              <w:rPr>
                <w:rFonts w:asciiTheme="minorEastAsia" w:eastAsiaTheme="minorEastAsia" w:hAnsiTheme="minorEastAsia"/>
                <w:kern w:val="0"/>
              </w:rPr>
              <w:t>(</w:t>
            </w:r>
            <w:r w:rsidRPr="00FA7BE2">
              <w:rPr>
                <w:rFonts w:asciiTheme="minorEastAsia" w:eastAsiaTheme="minorEastAsia" w:hAnsiTheme="minorEastAsia" w:hint="eastAsia"/>
                <w:kern w:val="0"/>
              </w:rPr>
              <w:t>份</w:t>
            </w:r>
            <w:r w:rsidRPr="00FA7BE2">
              <w:rPr>
                <w:rFonts w:asciiTheme="minorEastAsia" w:eastAsiaTheme="minorEastAsia" w:hAnsiTheme="minorEastAsia"/>
                <w:kern w:val="0"/>
              </w:rPr>
              <w:t>)</w:t>
            </w:r>
          </w:p>
        </w:tc>
        <w:tc>
          <w:tcPr>
            <w:tcW w:w="169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公允价值</w:t>
            </w:r>
            <w:r w:rsidRPr="00FA7BE2">
              <w:rPr>
                <w:rFonts w:asciiTheme="minorEastAsia" w:eastAsiaTheme="minorEastAsia" w:hAnsiTheme="minorEastAsia"/>
                <w:kern w:val="0"/>
              </w:rPr>
              <w:t>(</w:t>
            </w:r>
            <w:r w:rsidRPr="00FA7BE2">
              <w:rPr>
                <w:rFonts w:asciiTheme="minorEastAsia" w:eastAsiaTheme="minorEastAsia" w:hAnsiTheme="minorEastAsia" w:hint="eastAsia"/>
                <w:kern w:val="0"/>
              </w:rPr>
              <w:t>元</w:t>
            </w:r>
            <w:r w:rsidRPr="00FA7BE2">
              <w:rPr>
                <w:rFonts w:asciiTheme="minorEastAsia" w:eastAsiaTheme="minorEastAsia" w:hAnsiTheme="minor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hint="eastAsia"/>
                <w:kern w:val="0"/>
              </w:rPr>
              <w:t>占基金资产净值比例（</w:t>
            </w:r>
            <w:r w:rsidRPr="00FA7BE2">
              <w:rPr>
                <w:rFonts w:asciiTheme="minorEastAsia" w:eastAsiaTheme="minorEastAsia" w:hAnsiTheme="minorEastAsia"/>
                <w:kern w:val="0"/>
              </w:rPr>
              <w:t>%</w:t>
            </w:r>
            <w:r w:rsidRPr="00FA7BE2">
              <w:rPr>
                <w:rFonts w:asciiTheme="minorEastAsia" w:eastAsiaTheme="minorEastAsia" w:hAnsiTheme="minorEastAsia" w:hint="eastAsia"/>
                <w:kern w:val="0"/>
              </w:rPr>
              <w:t>）</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169183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天信</w:t>
            </w:r>
            <w:r w:rsidRPr="00FA7BE2">
              <w:rPr>
                <w:rFonts w:asciiTheme="minorEastAsia" w:eastAsiaTheme="minorEastAsia" w:hAnsiTheme="minorEastAsia"/>
              </w:rPr>
              <w:t>9A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900,000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90,216,000.00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0.43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169548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建花</w:t>
            </w:r>
            <w:r w:rsidRPr="00FA7BE2">
              <w:rPr>
                <w:rFonts w:asciiTheme="minorEastAsia" w:eastAsiaTheme="minorEastAsia" w:hAnsiTheme="minorEastAsia"/>
              </w:rPr>
              <w:t>15A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70,840,000.00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0.34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165644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PR</w:t>
            </w:r>
            <w:r w:rsidRPr="00FA7BE2">
              <w:rPr>
                <w:rFonts w:asciiTheme="minorEastAsia" w:eastAsiaTheme="minorEastAsia" w:hAnsiTheme="minorEastAsia" w:hint="eastAsia"/>
              </w:rPr>
              <w:t>安吉</w:t>
            </w:r>
            <w:r w:rsidRPr="00FA7BE2">
              <w:rPr>
                <w:rFonts w:asciiTheme="minorEastAsia" w:eastAsiaTheme="minorEastAsia" w:hAnsiTheme="minorEastAsia"/>
              </w:rPr>
              <w:t>4A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53,985,000.00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137094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厚德</w:t>
            </w:r>
            <w:r w:rsidRPr="00FA7BE2">
              <w:rPr>
                <w:rFonts w:asciiTheme="minorEastAsia" w:eastAsiaTheme="minorEastAsia" w:hAnsiTheme="minorEastAsia"/>
              </w:rPr>
              <w:t>05A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40,268,000.00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169296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智禾</w:t>
            </w:r>
            <w:r w:rsidRPr="00FA7BE2">
              <w:rPr>
                <w:rFonts w:asciiTheme="minorEastAsia" w:eastAsiaTheme="minorEastAsia" w:hAnsiTheme="minorEastAsia"/>
              </w:rPr>
              <w:t>05A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30,114,000.00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169382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长治</w:t>
            </w:r>
            <w:r w:rsidRPr="00FA7BE2">
              <w:rPr>
                <w:rFonts w:asciiTheme="minorEastAsia" w:eastAsiaTheme="minorEastAsia" w:hAnsiTheme="minorEastAsia"/>
              </w:rPr>
              <w:t>02A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20,100,000.00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179460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璀璨</w:t>
            </w:r>
            <w:r w:rsidRPr="00FA7BE2">
              <w:rPr>
                <w:rFonts w:asciiTheme="minorEastAsia" w:eastAsiaTheme="minorEastAsia" w:hAnsiTheme="minorEastAsia"/>
              </w:rPr>
              <w:t>16A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19,818,000.00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169272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博雅</w:t>
            </w:r>
            <w:r w:rsidRPr="00FA7BE2">
              <w:rPr>
                <w:rFonts w:asciiTheme="minorEastAsia" w:eastAsiaTheme="minorEastAsia" w:hAnsiTheme="minorEastAsia"/>
              </w:rPr>
              <w:t>1A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16,070,400.00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PR</w:t>
            </w:r>
            <w:r w:rsidRPr="00FA7BE2">
              <w:rPr>
                <w:rFonts w:asciiTheme="minorEastAsia" w:eastAsiaTheme="minorEastAsia" w:hAnsiTheme="minorEastAsia" w:hint="eastAsia"/>
              </w:rPr>
              <w:t>安吉</w:t>
            </w:r>
            <w:r w:rsidRPr="00FA7BE2">
              <w:rPr>
                <w:rFonts w:asciiTheme="minorEastAsia" w:eastAsiaTheme="minorEastAsia" w:hAnsiTheme="minorEastAsia"/>
              </w:rPr>
              <w:lastRenderedPageBreak/>
              <w:t>5A</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lastRenderedPageBreak/>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11,964,000.00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169236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东借</w:t>
            </w:r>
            <w:r w:rsidRPr="00FA7BE2">
              <w:rPr>
                <w:rFonts w:asciiTheme="minorEastAsia" w:eastAsiaTheme="minorEastAsia" w:hAnsiTheme="minorEastAsia"/>
              </w:rPr>
              <w:t>06A1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10,143,000.00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0.05</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7、报告期末按公允价值占基金资产净值比例大小排序的前五名贵金属投资明细</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本基金本报告期末未持有贵金属。</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8、报告期末按公允价值占基金资产净值比例大小排序的前五名权证投资明细</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本基金本报告期末未持有权证。</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9、报告期末本基金投资的股指期货交易情况说明</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本基金本报告期末未投资股指期货。</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10、报告期末本基金投资的国债期货交易情况说明</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本基金本报告期末未投资国债期货。</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11、投资组合报告附注</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（1）2020年7月28日，中国银行保险监督管理委员会上海监管局对招商银行股份有限公司信用卡</w:t>
      </w:r>
      <w:r w:rsidRPr="00FA7BE2">
        <w:rPr>
          <w:rFonts w:asciiTheme="minorEastAsia" w:eastAsiaTheme="minorEastAsia" w:hAnsiTheme="minorEastAsia" w:hint="eastAsia"/>
          <w:szCs w:val="21"/>
        </w:rPr>
        <w:t>中心的如下违法违规行为作出</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责令改正，并处罚款共计</w:t>
      </w:r>
      <w:r w:rsidRPr="00FA7BE2">
        <w:rPr>
          <w:rFonts w:asciiTheme="minorEastAsia" w:eastAsiaTheme="minorEastAsia" w:hAnsiTheme="minorEastAsia"/>
          <w:szCs w:val="21"/>
        </w:rPr>
        <w:t>100</w:t>
      </w:r>
      <w:r w:rsidRPr="00FA7BE2">
        <w:rPr>
          <w:rFonts w:asciiTheme="minorEastAsia" w:eastAsiaTheme="minorEastAsia" w:hAnsiTheme="minorEastAsia" w:hint="eastAsia"/>
          <w:szCs w:val="21"/>
        </w:rPr>
        <w:t>万元</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的行政处罚决定：</w:t>
      </w:r>
      <w:r w:rsidRPr="00FA7BE2">
        <w:rPr>
          <w:rFonts w:asciiTheme="minorEastAsia" w:eastAsiaTheme="minorEastAsia" w:hAnsiTheme="minorEastAsia"/>
          <w:szCs w:val="21"/>
        </w:rPr>
        <w:t>1.2019</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7</w:t>
      </w:r>
      <w:r w:rsidRPr="00FA7BE2">
        <w:rPr>
          <w:rFonts w:asciiTheme="minorEastAsia" w:eastAsiaTheme="minorEastAsia" w:hAnsiTheme="minorEastAsia" w:hint="eastAsia"/>
          <w:szCs w:val="21"/>
        </w:rPr>
        <w:t>月，该中心对某客户个人信息未尽安全保护义务；</w:t>
      </w:r>
      <w:r w:rsidRPr="00FA7BE2">
        <w:rPr>
          <w:rFonts w:asciiTheme="minorEastAsia" w:eastAsiaTheme="minorEastAsia" w:hAnsiTheme="minorEastAsia"/>
          <w:szCs w:val="21"/>
        </w:rPr>
        <w:t>2.2014</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12</w:t>
      </w:r>
      <w:r w:rsidRPr="00FA7BE2">
        <w:rPr>
          <w:rFonts w:asciiTheme="minorEastAsia" w:eastAsiaTheme="minorEastAsia" w:hAnsiTheme="minorEastAsia" w:hint="eastAsia"/>
          <w:szCs w:val="21"/>
        </w:rPr>
        <w:t>月至</w:t>
      </w:r>
      <w:r w:rsidRPr="00FA7BE2">
        <w:rPr>
          <w:rFonts w:asciiTheme="minorEastAsia" w:eastAsiaTheme="minorEastAsia" w:hAnsiTheme="minorEastAsia"/>
          <w:szCs w:val="21"/>
        </w:rPr>
        <w:t>2019</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5</w:t>
      </w:r>
      <w:r w:rsidRPr="00FA7BE2">
        <w:rPr>
          <w:rFonts w:asciiTheme="minorEastAsia" w:eastAsiaTheme="minorEastAsia" w:hAnsiTheme="minorEastAsia" w:hint="eastAsia"/>
          <w:szCs w:val="21"/>
        </w:rPr>
        <w:t>月，该中心对某信用卡申请人资信水平调查严重不审慎。</w:t>
      </w: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9</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29</w:t>
      </w:r>
      <w:r w:rsidRPr="00FA7BE2">
        <w:rPr>
          <w:rFonts w:asciiTheme="minorEastAsia" w:eastAsiaTheme="minorEastAsia" w:hAnsiTheme="minorEastAsia" w:hint="eastAsia"/>
          <w:szCs w:val="21"/>
        </w:rPr>
        <w:t>日，国家外汇管理局深圳市分局对招商银行股份有限公司涉嫌违反法律法规的行为处以责令整改，并处以罚款人民币</w:t>
      </w:r>
      <w:r w:rsidRPr="00FA7BE2">
        <w:rPr>
          <w:rFonts w:asciiTheme="minorEastAsia" w:eastAsiaTheme="minorEastAsia" w:hAnsiTheme="minorEastAsia"/>
          <w:szCs w:val="21"/>
        </w:rPr>
        <w:t>120</w:t>
      </w:r>
      <w:r w:rsidRPr="00FA7BE2">
        <w:rPr>
          <w:rFonts w:asciiTheme="minorEastAsia" w:eastAsiaTheme="minorEastAsia" w:hAnsiTheme="minorEastAsia" w:hint="eastAsia"/>
          <w:szCs w:val="21"/>
        </w:rPr>
        <w:t>万元。</w:t>
      </w: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11</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27</w:t>
      </w:r>
      <w:r w:rsidRPr="00FA7BE2">
        <w:rPr>
          <w:rFonts w:asciiTheme="minorEastAsia" w:eastAsiaTheme="minorEastAsia" w:hAnsiTheme="minorEastAsia" w:hint="eastAsia"/>
          <w:szCs w:val="21"/>
        </w:rPr>
        <w:t>日，国家外汇管理局深圳市分局对招商银行股份有限公司违反规定办理结汇、售汇的行为，作出</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责令改正、罚款人民币</w:t>
      </w:r>
      <w:r w:rsidRPr="00FA7BE2">
        <w:rPr>
          <w:rFonts w:asciiTheme="minorEastAsia" w:eastAsiaTheme="minorEastAsia" w:hAnsiTheme="minorEastAsia"/>
          <w:szCs w:val="21"/>
        </w:rPr>
        <w:t>55</w:t>
      </w:r>
      <w:r w:rsidRPr="00FA7BE2">
        <w:rPr>
          <w:rFonts w:asciiTheme="minorEastAsia" w:eastAsiaTheme="minorEastAsia" w:hAnsiTheme="minorEastAsia" w:hint="eastAsia"/>
          <w:szCs w:val="21"/>
        </w:rPr>
        <w:t>万元，没收违法所得</w:t>
      </w:r>
      <w:r w:rsidRPr="00FA7BE2">
        <w:rPr>
          <w:rFonts w:asciiTheme="minorEastAsia" w:eastAsiaTheme="minorEastAsia" w:hAnsiTheme="minorEastAsia"/>
          <w:szCs w:val="21"/>
        </w:rPr>
        <w:t>128.82</w:t>
      </w:r>
      <w:r w:rsidRPr="00FA7BE2">
        <w:rPr>
          <w:rFonts w:asciiTheme="minorEastAsia" w:eastAsiaTheme="minorEastAsia" w:hAnsiTheme="minorEastAsia" w:hint="eastAsia"/>
          <w:szCs w:val="21"/>
        </w:rPr>
        <w:t>元人民币</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的行政处罚决定。</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10</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16</w:t>
      </w:r>
      <w:r w:rsidRPr="00FA7BE2">
        <w:rPr>
          <w:rFonts w:asciiTheme="minorEastAsia" w:eastAsiaTheme="minorEastAsia" w:hAnsiTheme="minorEastAsia" w:hint="eastAsia"/>
          <w:szCs w:val="21"/>
        </w:rPr>
        <w:t>日，宁波银保监局对宁波银行股份有限公司的如下违法违规行为作出</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罚款人民币</w:t>
      </w:r>
      <w:r w:rsidRPr="00FA7BE2">
        <w:rPr>
          <w:rFonts w:asciiTheme="minorEastAsia" w:eastAsiaTheme="minorEastAsia" w:hAnsiTheme="minorEastAsia"/>
          <w:szCs w:val="21"/>
        </w:rPr>
        <w:t>30</w:t>
      </w:r>
      <w:r w:rsidRPr="00FA7BE2">
        <w:rPr>
          <w:rFonts w:asciiTheme="minorEastAsia" w:eastAsiaTheme="minorEastAsia" w:hAnsiTheme="minorEastAsia" w:hint="eastAsia"/>
          <w:szCs w:val="21"/>
        </w:rPr>
        <w:t>万元，并责令该行对贷后管理不到位直接责任人员给予纪律处分</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的行政处罚：授信业务未履行关系人回避制度、贷后管理不到位。</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4</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20</w:t>
      </w:r>
      <w:r w:rsidRPr="00FA7BE2">
        <w:rPr>
          <w:rFonts w:asciiTheme="minorEastAsia" w:eastAsiaTheme="minorEastAsia" w:hAnsiTheme="minorEastAsia" w:hint="eastAsia"/>
          <w:szCs w:val="21"/>
        </w:rPr>
        <w:t>日，中国银行保险监督管理委员会对中国光大银行股份有限公司的如下违法违规行为作出</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罚款</w:t>
      </w:r>
      <w:r w:rsidRPr="00FA7BE2">
        <w:rPr>
          <w:rFonts w:asciiTheme="minorEastAsia" w:eastAsiaTheme="minorEastAsia" w:hAnsiTheme="minorEastAsia"/>
          <w:szCs w:val="21"/>
        </w:rPr>
        <w:t>160</w:t>
      </w:r>
      <w:r w:rsidRPr="00FA7BE2">
        <w:rPr>
          <w:rFonts w:asciiTheme="minorEastAsia" w:eastAsiaTheme="minorEastAsia" w:hAnsiTheme="minorEastAsia" w:hint="eastAsia"/>
          <w:szCs w:val="21"/>
        </w:rPr>
        <w:t>万元</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的行政处罚决定：光大银行监管标准化数据（</w:t>
      </w:r>
      <w:r w:rsidRPr="00FA7BE2">
        <w:rPr>
          <w:rFonts w:asciiTheme="minorEastAsia" w:eastAsiaTheme="minorEastAsia" w:hAnsiTheme="minorEastAsia"/>
          <w:szCs w:val="21"/>
        </w:rPr>
        <w:t>EAST</w:t>
      </w:r>
      <w:r w:rsidRPr="00FA7BE2">
        <w:rPr>
          <w:rFonts w:asciiTheme="minorEastAsia" w:eastAsiaTheme="minorEastAsia" w:hAnsiTheme="minorEastAsia" w:hint="eastAsia"/>
          <w:szCs w:val="21"/>
        </w:rPr>
        <w:t>）系统数据质量及数据报送（一）分户账明细记录应报未报；（二）关键且应报字段漏报或填报错误；（三）向检查组提供与事实不符的材料；（四）账户设置不能如实反映业务实际。</w:t>
      </w: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10</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20</w:t>
      </w:r>
      <w:r w:rsidRPr="00FA7BE2">
        <w:rPr>
          <w:rFonts w:asciiTheme="minorEastAsia" w:eastAsiaTheme="minorEastAsia" w:hAnsiTheme="minorEastAsia" w:hint="eastAsia"/>
          <w:szCs w:val="21"/>
        </w:rPr>
        <w:t>日，国家外汇管理局北京外汇管理部对中国光大银行股份有限公司违反银行交易记录管理规定的行为，处</w:t>
      </w:r>
      <w:r w:rsidRPr="00FA7BE2">
        <w:rPr>
          <w:rFonts w:asciiTheme="minorEastAsia" w:eastAsiaTheme="minorEastAsia" w:hAnsiTheme="minorEastAsia"/>
          <w:szCs w:val="21"/>
        </w:rPr>
        <w:t>60</w:t>
      </w:r>
      <w:r w:rsidRPr="00FA7BE2">
        <w:rPr>
          <w:rFonts w:asciiTheme="minorEastAsia" w:eastAsiaTheme="minorEastAsia" w:hAnsiTheme="minorEastAsia" w:hint="eastAsia"/>
          <w:szCs w:val="21"/>
        </w:rPr>
        <w:t>万元人民币罚款</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要求该行对直接负责的主管人员和其他直接责任人员给予处分。</w:t>
      </w:r>
      <w:r w:rsidRPr="00FA7BE2">
        <w:rPr>
          <w:rFonts w:asciiTheme="minorEastAsia" w:eastAsiaTheme="minorEastAsia" w:hAnsiTheme="minorEastAsia"/>
          <w:szCs w:val="21"/>
        </w:rPr>
        <w:t>2020</w:t>
      </w:r>
      <w:r w:rsidRPr="00FA7BE2">
        <w:rPr>
          <w:rFonts w:asciiTheme="minorEastAsia" w:eastAsiaTheme="minorEastAsia" w:hAnsiTheme="minorEastAsia" w:hint="eastAsia"/>
          <w:szCs w:val="21"/>
        </w:rPr>
        <w:t>年</w:t>
      </w:r>
      <w:r w:rsidRPr="00FA7BE2">
        <w:rPr>
          <w:rFonts w:asciiTheme="minorEastAsia" w:eastAsiaTheme="minorEastAsia" w:hAnsiTheme="minorEastAsia"/>
          <w:szCs w:val="21"/>
        </w:rPr>
        <w:t>10</w:t>
      </w:r>
      <w:r w:rsidRPr="00FA7BE2">
        <w:rPr>
          <w:rFonts w:asciiTheme="minorEastAsia" w:eastAsiaTheme="minorEastAsia" w:hAnsiTheme="minorEastAsia" w:hint="eastAsia"/>
          <w:szCs w:val="21"/>
        </w:rPr>
        <w:t>月</w:t>
      </w:r>
      <w:r w:rsidRPr="00FA7BE2">
        <w:rPr>
          <w:rFonts w:asciiTheme="minorEastAsia" w:eastAsiaTheme="minorEastAsia" w:hAnsiTheme="minorEastAsia"/>
          <w:szCs w:val="21"/>
        </w:rPr>
        <w:t>20</w:t>
      </w:r>
      <w:r w:rsidRPr="00FA7BE2">
        <w:rPr>
          <w:rFonts w:asciiTheme="minorEastAsia" w:eastAsiaTheme="minorEastAsia" w:hAnsiTheme="minorEastAsia" w:hint="eastAsia"/>
          <w:szCs w:val="21"/>
        </w:rPr>
        <w:t>日，国家外汇管理局北京外汇管理部对中国光大银行股份有限公司违规开展外汇交易的行为，处</w:t>
      </w:r>
      <w:r w:rsidRPr="00FA7BE2">
        <w:rPr>
          <w:rFonts w:asciiTheme="minorEastAsia" w:eastAsiaTheme="minorEastAsia" w:hAnsiTheme="minorEastAsia"/>
          <w:szCs w:val="21"/>
        </w:rPr>
        <w:t>60</w:t>
      </w:r>
      <w:r w:rsidRPr="00FA7BE2">
        <w:rPr>
          <w:rFonts w:asciiTheme="minorEastAsia" w:eastAsiaTheme="minorEastAsia" w:hAnsiTheme="minorEastAsia" w:hint="eastAsia"/>
          <w:szCs w:val="21"/>
        </w:rPr>
        <w:t>万元人民币罚款</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要求该行对直接负责的主管人员和其他直接责任人员给予处分。</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本基金投资招商银行、宁波银行、光大转债的投资决策程序符合公司投资制度的规定。</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除招商银行、宁波银行、光大转债外，本基金投资的前十名证券的发行主体本期没有</w:t>
      </w:r>
      <w:r w:rsidRPr="00FA7BE2">
        <w:rPr>
          <w:rFonts w:asciiTheme="minorEastAsia" w:eastAsiaTheme="minorEastAsia" w:hAnsiTheme="minorEastAsia" w:hint="eastAsia"/>
          <w:szCs w:val="21"/>
        </w:rPr>
        <w:lastRenderedPageBreak/>
        <w:t>出现被监管部门立案调查，或在报告编制日前一年内受到公开谴责、处罚的情形。</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（2）本基金投资的前十名股票没有超出基金合同规定的备选股票库。</w:t>
      </w:r>
    </w:p>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7"/>
              <w:jc w:val="center"/>
              <w:rPr>
                <w:rFonts w:asciiTheme="minorEastAsia" w:eastAsiaTheme="minorEastAsia" w:hAnsiTheme="minorEastAsia"/>
                <w:kern w:val="0"/>
              </w:rPr>
            </w:pPr>
            <w:r w:rsidRPr="00FA7BE2">
              <w:rPr>
                <w:rFonts w:asciiTheme="minorEastAsia" w:eastAsiaTheme="minorEastAsia" w:hAnsiTheme="minorEastAsia" w:hint="eastAsia"/>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7"/>
              <w:jc w:val="center"/>
              <w:rPr>
                <w:rFonts w:asciiTheme="minorEastAsia" w:eastAsiaTheme="minorEastAsia" w:hAnsiTheme="minorEastAsia"/>
                <w:kern w:val="0"/>
              </w:rPr>
            </w:pPr>
            <w:r w:rsidRPr="00FA7BE2">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7"/>
              <w:jc w:val="center"/>
              <w:rPr>
                <w:rFonts w:asciiTheme="minorEastAsia" w:eastAsiaTheme="minorEastAsia" w:hAnsiTheme="minorEastAsia"/>
                <w:kern w:val="0"/>
              </w:rPr>
            </w:pPr>
            <w:r w:rsidRPr="00FA7BE2">
              <w:rPr>
                <w:rFonts w:asciiTheme="minorEastAsia" w:eastAsiaTheme="minorEastAsia" w:hAnsiTheme="minorEastAsia" w:hint="eastAsia"/>
                <w:kern w:val="0"/>
              </w:rPr>
              <w:t>金额</w:t>
            </w:r>
            <w:r w:rsidRPr="00FA7BE2">
              <w:rPr>
                <w:rFonts w:asciiTheme="minorEastAsia" w:eastAsiaTheme="minorEastAsia" w:hAnsiTheme="minorEastAsia"/>
                <w:kern w:val="0"/>
              </w:rPr>
              <w:t>(</w:t>
            </w:r>
            <w:r w:rsidRPr="00FA7BE2">
              <w:rPr>
                <w:rFonts w:asciiTheme="minorEastAsia" w:eastAsiaTheme="minorEastAsia" w:hAnsiTheme="minorEastAsia" w:hint="eastAsia"/>
                <w:kern w:val="0"/>
              </w:rPr>
              <w:t>元</w:t>
            </w:r>
            <w:r w:rsidRPr="00FA7BE2">
              <w:rPr>
                <w:rFonts w:asciiTheme="minorEastAsia" w:eastAsiaTheme="minorEastAsia" w:hAnsiTheme="minorEastAsia"/>
                <w:kern w:val="0"/>
              </w:rPr>
              <w:t>)</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kern w:val="0"/>
              </w:rPr>
            </w:pPr>
            <w:r w:rsidRPr="00FA7BE2">
              <w:rPr>
                <w:rFonts w:asciiTheme="minorEastAsia" w:eastAsiaTheme="minorEastAsia" w:hAnsiTheme="minor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672,804.51</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28,985,420.96</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228,973,956.74</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39,926,425.78</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rPr>
            </w:pPr>
            <w:r w:rsidRPr="00FA7BE2">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rPr>
            </w:pPr>
            <w:r w:rsidRPr="00FA7BE2">
              <w:rPr>
                <w:rFonts w:asciiTheme="minorEastAsia" w:eastAsiaTheme="minorEastAsia" w:hAnsiTheme="minorEastAsia"/>
              </w:rPr>
              <w:t>-</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w:t>
            </w:r>
          </w:p>
        </w:tc>
      </w:tr>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center"/>
              <w:rPr>
                <w:rFonts w:asciiTheme="minorEastAsia" w:eastAsiaTheme="minorEastAsia" w:hAnsiTheme="minorEastAsia"/>
              </w:rPr>
            </w:pPr>
            <w:r w:rsidRPr="00FA7BE2">
              <w:rPr>
                <w:rFonts w:asciiTheme="minorEastAsia" w:eastAsiaTheme="minorEastAsia" w:hAnsiTheme="minor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left"/>
              <w:rPr>
                <w:rFonts w:asciiTheme="minorEastAsia" w:eastAsiaTheme="minorEastAsia" w:hAnsiTheme="minorEastAsia"/>
                <w:kern w:val="0"/>
              </w:rPr>
            </w:pPr>
            <w:r w:rsidRPr="00FA7BE2">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autoSpaceDE w:val="0"/>
              <w:autoSpaceDN w:val="0"/>
              <w:adjustRightInd w:val="0"/>
              <w:spacing w:before="29" w:line="300" w:lineRule="auto"/>
              <w:ind w:left="15"/>
              <w:jc w:val="right"/>
              <w:rPr>
                <w:rFonts w:asciiTheme="minorEastAsia" w:eastAsiaTheme="minorEastAsia" w:hAnsiTheme="minorEastAsia"/>
                <w:kern w:val="0"/>
              </w:rPr>
            </w:pPr>
            <w:r w:rsidRPr="00FA7BE2">
              <w:rPr>
                <w:rFonts w:asciiTheme="minorEastAsia" w:eastAsiaTheme="minorEastAsia" w:hAnsiTheme="minorEastAsia"/>
                <w:kern w:val="0"/>
              </w:rPr>
              <w:t>298,558,607.99</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2366"/>
        <w:gridCol w:w="1532"/>
        <w:gridCol w:w="1722"/>
        <w:gridCol w:w="1495"/>
      </w:tblGrid>
      <w:tr w:rsidR="007D049F" w:rsidRPr="00FA7BE2" w:rsidTr="007D049F">
        <w:tc>
          <w:tcPr>
            <w:tcW w:w="944"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序号</w:t>
            </w:r>
          </w:p>
        </w:tc>
        <w:tc>
          <w:tcPr>
            <w:tcW w:w="2568"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债券代码</w:t>
            </w:r>
          </w:p>
        </w:tc>
        <w:tc>
          <w:tcPr>
            <w:tcW w:w="166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债券名称</w:t>
            </w:r>
          </w:p>
        </w:tc>
        <w:tc>
          <w:tcPr>
            <w:tcW w:w="172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公允价值</w:t>
            </w:r>
            <w:r w:rsidRPr="00FA7BE2">
              <w:rPr>
                <w:rFonts w:asciiTheme="minorEastAsia" w:eastAsiaTheme="minorEastAsia" w:hAnsiTheme="minorEastAsia"/>
              </w:rPr>
              <w:t>(</w:t>
            </w:r>
            <w:r w:rsidRPr="00FA7BE2">
              <w:rPr>
                <w:rFonts w:asciiTheme="minorEastAsia" w:eastAsiaTheme="minorEastAsia" w:hAnsiTheme="minorEastAsia" w:hint="eastAsia"/>
              </w:rPr>
              <w:t>元</w:t>
            </w:r>
            <w:r w:rsidRPr="00FA7BE2">
              <w:rPr>
                <w:rFonts w:asciiTheme="minorEastAsia" w:eastAsiaTheme="minorEastAsia" w:hAnsiTheme="minorEastAsia"/>
              </w:rPr>
              <w:t>)</w:t>
            </w:r>
          </w:p>
        </w:tc>
        <w:tc>
          <w:tcPr>
            <w:tcW w:w="1609"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占基金资产净值比例</w:t>
            </w:r>
            <w:r w:rsidRPr="00FA7BE2">
              <w:rPr>
                <w:rFonts w:asciiTheme="minorEastAsia" w:eastAsiaTheme="minorEastAsia" w:hAnsiTheme="minorEastAsia"/>
              </w:rPr>
              <w:t>(%)</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光大转债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213,142,150.00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110059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浦发转债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197,765,282.00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0.94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18</w:t>
            </w:r>
            <w:r w:rsidRPr="00FA7BE2">
              <w:rPr>
                <w:rFonts w:asciiTheme="minorEastAsia" w:eastAsiaTheme="minorEastAsia" w:hAnsiTheme="minorEastAsia" w:hint="eastAsia"/>
              </w:rPr>
              <w:t>中化</w:t>
            </w:r>
            <w:r w:rsidRPr="00FA7BE2">
              <w:rPr>
                <w:rFonts w:asciiTheme="minorEastAsia" w:eastAsiaTheme="minorEastAsia" w:hAnsiTheme="minorEastAsia"/>
              </w:rPr>
              <w:t>EB</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187,963,408.00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0.90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110053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苏银转债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173,408,776.20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0.83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127012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招路转债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131,495,845.52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G</w:t>
            </w:r>
            <w:r w:rsidRPr="00FA7BE2">
              <w:rPr>
                <w:rFonts w:asciiTheme="minorEastAsia" w:eastAsiaTheme="minorEastAsia" w:hAnsiTheme="minorEastAsia" w:hint="eastAsia"/>
              </w:rPr>
              <w:t>三峡</w:t>
            </w:r>
            <w:r w:rsidRPr="00FA7BE2">
              <w:rPr>
                <w:rFonts w:asciiTheme="minorEastAsia" w:eastAsiaTheme="minorEastAsia" w:hAnsiTheme="minorEastAsia"/>
              </w:rPr>
              <w:t>EB1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131,133,452.80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0.62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113026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核能转债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124,226,576.60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110045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104,572,275.20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0.50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113024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核建转债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85,658,685.00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0.41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128129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青农转债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72,104,867.70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0.34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128081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海亮转债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67,235,382.50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0.32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128035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大族转债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60,595,214.64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110064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建工转债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60,400,257.10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紫银转债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58,933,201.60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19</w:t>
            </w:r>
            <w:r w:rsidRPr="00FA7BE2">
              <w:rPr>
                <w:rFonts w:asciiTheme="minorEastAsia" w:eastAsiaTheme="minorEastAsia" w:hAnsiTheme="minorEastAsia" w:hint="eastAsia"/>
              </w:rPr>
              <w:t>新钢</w:t>
            </w:r>
            <w:r w:rsidRPr="00FA7BE2">
              <w:rPr>
                <w:rFonts w:asciiTheme="minorEastAsia" w:eastAsiaTheme="minorEastAsia" w:hAnsiTheme="minorEastAsia"/>
              </w:rPr>
              <w:t>EB</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56,158,713.00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110041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蒙电转债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55,577,769.30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110061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川投转债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53,520,646.20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lastRenderedPageBreak/>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113014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林洋转债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53,020,667.70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127018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本钢转债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52,552,268.40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113534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鼎胜转债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47,321,836.50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滨化转债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43,122,424.70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128032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双环转债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41,142,370.44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0.20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127007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湖广转债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38,945,536.50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110073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国投转债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37,864,505.80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嘉泽转债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36,351,489.20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110043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无锡转债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36,180,319.00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132020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19</w:t>
            </w:r>
            <w:r w:rsidRPr="00FA7BE2">
              <w:rPr>
                <w:rFonts w:asciiTheme="minorEastAsia" w:eastAsiaTheme="minorEastAsia" w:hAnsiTheme="minorEastAsia" w:hint="eastAsia"/>
              </w:rPr>
              <w:t>蓝星</w:t>
            </w:r>
            <w:r w:rsidRPr="00FA7BE2">
              <w:rPr>
                <w:rFonts w:asciiTheme="minorEastAsia" w:eastAsiaTheme="minorEastAsia" w:hAnsiTheme="minorEastAsia"/>
              </w:rPr>
              <w:t>EB</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36,088,200.00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113017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吉视转债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35,775,460.00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113009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广汽转债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33,879,261.00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博世转债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31,842,372.20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113530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大丰转债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30,805,830.00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128128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齐翔转</w:t>
            </w:r>
            <w:r w:rsidRPr="00FA7BE2">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30,803,619.63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0.15</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113525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台华转债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28,943,292.00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110048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福能转债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26,183,671.80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127016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鲁泰转债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25,312,491.12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110034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九州转债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24,923,794.40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128116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瑞达转债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22,564,520.96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宁建转债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21,094,306.80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0.10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113012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骆驼转债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19,936,515.60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128013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洪涛转债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19,302,308.80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113578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全筑转债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18,922,688.00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0.09</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113603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东缆转债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17,311,457.20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127014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北方转债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16,043,164.00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113519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长久转债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15,817,758.00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128026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众兴转债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15,749,631.66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0.08</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128063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未来转债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15,662,804.48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128037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岩土转债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15,471,832.20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128117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道恩转债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15,029,938.60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127021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特发转</w:t>
            </w:r>
            <w:r w:rsidRPr="00FA7BE2">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14,962,470.75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113535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大业转债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14,402,721.60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113528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长城转债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14,126,936.00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lastRenderedPageBreak/>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利群转债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13,675,200.20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0.07</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128015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久其转债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13,409,079.20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110056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亨通转债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13,267,378.20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128044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岭南转债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11,987,762.84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128023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亚太转债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11,838,686.10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0.06</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113549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白电转债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8,967,148.40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128033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迪龙转债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8,864,856.74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110071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湖盐转债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7,859,200.00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128072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翔鹭转债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7,614,341.70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0.04</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120002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18</w:t>
            </w:r>
            <w:r w:rsidRPr="00FA7BE2">
              <w:rPr>
                <w:rFonts w:asciiTheme="minorEastAsia" w:eastAsiaTheme="minorEastAsia" w:hAnsiTheme="minorEastAsia" w:hint="eastAsia"/>
              </w:rPr>
              <w:t>中原</w:t>
            </w:r>
            <w:r w:rsidRPr="00FA7BE2">
              <w:rPr>
                <w:rFonts w:asciiTheme="minorEastAsia" w:eastAsiaTheme="minorEastAsia" w:hAnsiTheme="minorEastAsia"/>
              </w:rPr>
              <w:t>EB</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6,194,160.00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113601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塞力转债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6,110,947.70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0.03</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113532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海环转债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5,059,151.70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123028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清水转债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4,578,480.40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128069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华森转债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4,566,276.00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113505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杭电转债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4,240,196.10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123023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迪森转债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4,162,477.92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123061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航新转债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3,502,765.20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0.02</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123044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红相转债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3,103,200.00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110052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贵广转债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2,945,708.00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113567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君禾转债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2,302,652.50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123039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开润转债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1,517,056.54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搜特转债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1,441,710.00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123011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德尔转债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1,151,865.36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0.01</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110051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中天转债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840,928.60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113508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新凤转债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816,748.00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128105</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长集转债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692,338.50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128070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智能转债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351,322.00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113030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东风转债</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28,571.20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r w:rsidR="007D049F" w:rsidRPr="00FA7BE2" w:rsidTr="007D049F">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128131</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崇达转</w:t>
            </w:r>
            <w:r w:rsidRPr="00FA7BE2">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7,908.80</w:t>
            </w:r>
          </w:p>
        </w:tc>
        <w:tc>
          <w:tcPr>
            <w:tcW w:w="0" w:type="auto"/>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0.00</w:t>
            </w:r>
          </w:p>
        </w:tc>
      </w:tr>
    </w:tbl>
    <w:p w:rsidR="007D049F" w:rsidRPr="00FA7BE2" w:rsidRDefault="00906C0E" w:rsidP="00FA7BE2">
      <w:pPr>
        <w:snapToGrid w:val="0"/>
        <w:spacing w:line="360" w:lineRule="auto"/>
        <w:ind w:firstLine="480"/>
        <w:rPr>
          <w:rFonts w:asciiTheme="minorEastAsia" w:eastAsiaTheme="minorEastAsia" w:hAnsiTheme="minorEastAsia"/>
          <w:szCs w:val="21"/>
        </w:rPr>
      </w:pPr>
      <w:r w:rsidRPr="00FA7BE2">
        <w:rPr>
          <w:rFonts w:asciiTheme="minorEastAsia" w:eastAsiaTheme="minorEastAsia" w:hAnsiTheme="minorEastAsia" w:hint="eastAsia"/>
          <w:szCs w:val="21"/>
        </w:rPr>
        <w:t>（5）报告期末前十名股票中存在流通受限情况的说明</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225"/>
        <w:gridCol w:w="1224"/>
        <w:gridCol w:w="1692"/>
        <w:gridCol w:w="1552"/>
        <w:gridCol w:w="1285"/>
      </w:tblGrid>
      <w:tr w:rsidR="007D049F" w:rsidRPr="00FA7BE2" w:rsidTr="007D049F">
        <w:tc>
          <w:tcPr>
            <w:tcW w:w="108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流通受限部分的公允价值</w:t>
            </w:r>
            <w:r w:rsidRPr="00FA7BE2">
              <w:rPr>
                <w:rFonts w:asciiTheme="minorEastAsia" w:eastAsiaTheme="minorEastAsia" w:hAnsiTheme="minorEastAsia"/>
              </w:rPr>
              <w:t>(</w:t>
            </w:r>
            <w:r w:rsidRPr="00FA7BE2">
              <w:rPr>
                <w:rFonts w:asciiTheme="minorEastAsia" w:eastAsiaTheme="minorEastAsia" w:hAnsiTheme="minorEastAsia" w:hint="eastAsia"/>
              </w:rPr>
              <w:t>元</w:t>
            </w:r>
            <w:r w:rsidRPr="00FA7BE2">
              <w:rPr>
                <w:rFonts w:asciiTheme="minorEastAsia" w:eastAsiaTheme="minorEastAsia" w:hAnsiTheme="minorEastAsia"/>
              </w:rPr>
              <w:t>)</w:t>
            </w:r>
          </w:p>
        </w:tc>
        <w:tc>
          <w:tcPr>
            <w:tcW w:w="165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占基金资产净值比例</w:t>
            </w:r>
            <w:r w:rsidRPr="00FA7BE2">
              <w:rPr>
                <w:rFonts w:asciiTheme="minorEastAsia" w:eastAsiaTheme="minorEastAsia" w:hAnsiTheme="minorEastAsia"/>
              </w:rPr>
              <w:t>(%)</w:t>
            </w:r>
          </w:p>
        </w:tc>
        <w:tc>
          <w:tcPr>
            <w:tcW w:w="136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before="29" w:line="300" w:lineRule="auto"/>
              <w:ind w:left="17"/>
              <w:jc w:val="center"/>
              <w:rPr>
                <w:rFonts w:asciiTheme="minorEastAsia" w:eastAsiaTheme="minorEastAsia" w:hAnsiTheme="minorEastAsia"/>
              </w:rPr>
            </w:pPr>
            <w:r w:rsidRPr="00FA7BE2">
              <w:rPr>
                <w:rFonts w:asciiTheme="minorEastAsia" w:eastAsiaTheme="minorEastAsia" w:hAnsiTheme="minorEastAsia" w:hint="eastAsia"/>
              </w:rPr>
              <w:t>流通受限情况说明</w:t>
            </w:r>
          </w:p>
        </w:tc>
      </w:tr>
      <w:tr w:rsidR="007D049F" w:rsidRPr="00FA7BE2" w:rsidTr="007D049F">
        <w:tc>
          <w:tcPr>
            <w:tcW w:w="1083"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rPr>
              <w:t>000401</w:t>
            </w:r>
          </w:p>
        </w:tc>
        <w:tc>
          <w:tcPr>
            <w:tcW w:w="1301"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center"/>
              <w:rPr>
                <w:rFonts w:asciiTheme="minorEastAsia" w:eastAsiaTheme="minorEastAsia" w:hAnsiTheme="minorEastAsia"/>
              </w:rPr>
            </w:pPr>
            <w:r w:rsidRPr="00FA7BE2">
              <w:rPr>
                <w:rFonts w:asciiTheme="minorEastAsia" w:eastAsiaTheme="minorEastAsia" w:hAnsiTheme="minorEastAsia" w:hint="eastAsia"/>
              </w:rPr>
              <w:t>冀东水泥</w:t>
            </w:r>
          </w:p>
        </w:tc>
        <w:tc>
          <w:tcPr>
            <w:tcW w:w="180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244,524,614.40</w:t>
            </w:r>
          </w:p>
        </w:tc>
        <w:tc>
          <w:tcPr>
            <w:tcW w:w="1655"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rPr>
              <w:t>1.16</w:t>
            </w:r>
          </w:p>
        </w:tc>
        <w:tc>
          <w:tcPr>
            <w:tcW w:w="1367" w:type="dxa"/>
            <w:tcBorders>
              <w:top w:val="single" w:sz="4" w:space="0" w:color="auto"/>
              <w:left w:val="single" w:sz="4" w:space="0" w:color="auto"/>
              <w:bottom w:val="single" w:sz="4" w:space="0" w:color="auto"/>
              <w:right w:val="single" w:sz="4" w:space="0" w:color="auto"/>
            </w:tcBorders>
            <w:vAlign w:val="center"/>
            <w:hideMark/>
          </w:tcPr>
          <w:p w:rsidR="007D049F" w:rsidRPr="00FA7BE2" w:rsidRDefault="00906C0E" w:rsidP="007D049F">
            <w:pPr>
              <w:spacing w:line="300" w:lineRule="auto"/>
              <w:jc w:val="right"/>
              <w:rPr>
                <w:rFonts w:asciiTheme="minorEastAsia" w:eastAsiaTheme="minorEastAsia" w:hAnsiTheme="minorEastAsia"/>
              </w:rPr>
            </w:pPr>
            <w:r w:rsidRPr="00FA7BE2">
              <w:rPr>
                <w:rFonts w:asciiTheme="minorEastAsia" w:eastAsiaTheme="minorEastAsia" w:hAnsiTheme="minorEastAsia" w:hint="eastAsia"/>
              </w:rPr>
              <w:t>重大事项停</w:t>
            </w:r>
            <w:r w:rsidRPr="00FA7BE2">
              <w:rPr>
                <w:rFonts w:asciiTheme="minorEastAsia" w:eastAsiaTheme="minorEastAsia" w:hAnsiTheme="minorEastAsia" w:hint="eastAsia"/>
              </w:rPr>
              <w:lastRenderedPageBreak/>
              <w:t>牌</w:t>
            </w:r>
          </w:p>
        </w:tc>
      </w:tr>
    </w:tbl>
    <w:p w:rsidR="007D049F" w:rsidRPr="00FA7BE2" w:rsidRDefault="00906C0E" w:rsidP="007D049F">
      <w:pPr>
        <w:spacing w:line="300" w:lineRule="auto"/>
        <w:rPr>
          <w:rFonts w:asciiTheme="minorEastAsia" w:eastAsiaTheme="minorEastAsia" w:hAnsiTheme="minorEastAsia"/>
        </w:rPr>
      </w:pPr>
      <w:r w:rsidRPr="00FA7BE2">
        <w:rPr>
          <w:rFonts w:asciiTheme="minorEastAsia" w:eastAsiaTheme="minorEastAsia" w:hAnsiTheme="minorEastAsia"/>
        </w:rPr>
        <w:lastRenderedPageBreak/>
        <w:br w:type="page"/>
      </w: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pPr>
      <w:bookmarkStart w:id="78" w:name="_Toc92774755"/>
      <w:bookmarkStart w:id="79" w:name="_Toc132448650"/>
      <w:bookmarkStart w:id="80" w:name="_Toc182826379"/>
      <w:bookmarkStart w:id="81" w:name="_Toc75869992"/>
      <w:r w:rsidRPr="00FA7BE2">
        <w:rPr>
          <w:rFonts w:asciiTheme="minorEastAsia" w:eastAsiaTheme="minorEastAsia" w:hAnsiTheme="minorEastAsia" w:hint="eastAsia"/>
          <w:b/>
        </w:rPr>
        <w:lastRenderedPageBreak/>
        <w:t>十一、基金的业绩</w:t>
      </w:r>
      <w:bookmarkEnd w:id="78"/>
      <w:bookmarkEnd w:id="79"/>
      <w:bookmarkEnd w:id="80"/>
      <w:bookmarkEnd w:id="81"/>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kern w:val="0"/>
        </w:rPr>
      </w:pPr>
      <w:r w:rsidRPr="00FA7BE2">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FA7BE2">
        <w:rPr>
          <w:rFonts w:asciiTheme="minorEastAsia" w:eastAsiaTheme="minorEastAsia" w:hAnsiTheme="minorEastAsia" w:hint="eastAsia"/>
          <w:kern w:val="0"/>
        </w:rPr>
        <w:t>做出</w:t>
      </w:r>
      <w:r w:rsidRPr="00FA7BE2">
        <w:rPr>
          <w:rFonts w:asciiTheme="minorEastAsia" w:eastAsiaTheme="minorEastAsia" w:hAnsiTheme="minorEastAsia"/>
          <w:kern w:val="0"/>
        </w:rPr>
        <w:t>投资决策前应仔细阅读本基金的招募说明书。</w:t>
      </w:r>
    </w:p>
    <w:p w:rsidR="00B3420B" w:rsidRPr="00FA7BE2" w:rsidRDefault="00B3420B" w:rsidP="00B3420B">
      <w:pPr>
        <w:autoSpaceDE w:val="0"/>
        <w:autoSpaceDN w:val="0"/>
        <w:adjustRightInd w:val="0"/>
        <w:snapToGrid w:val="0"/>
        <w:spacing w:line="360" w:lineRule="auto"/>
        <w:ind w:firstLine="420"/>
        <w:rPr>
          <w:rFonts w:asciiTheme="minorEastAsia" w:eastAsiaTheme="minorEastAsia" w:hAnsiTheme="minorEastAsia"/>
          <w:kern w:val="0"/>
        </w:rPr>
      </w:pPr>
      <w:r w:rsidRPr="00FA7BE2">
        <w:rPr>
          <w:rFonts w:asciiTheme="minorEastAsia" w:eastAsiaTheme="minorEastAsia" w:hAnsiTheme="minorEastAsia" w:hint="eastAsia"/>
          <w:kern w:val="0"/>
        </w:rPr>
        <w:t>本基金的业绩及与同期基准的比较如下表所示：</w:t>
      </w:r>
    </w:p>
    <w:p w:rsidR="00D21CF5" w:rsidRPr="00FA7BE2" w:rsidRDefault="00B3420B" w:rsidP="00B3420B">
      <w:pPr>
        <w:autoSpaceDE w:val="0"/>
        <w:autoSpaceDN w:val="0"/>
        <w:adjustRightInd w:val="0"/>
        <w:snapToGrid w:val="0"/>
        <w:spacing w:line="360" w:lineRule="auto"/>
        <w:ind w:firstLine="420"/>
        <w:rPr>
          <w:rFonts w:asciiTheme="minorEastAsia" w:eastAsiaTheme="minorEastAsia" w:hAnsiTheme="minorEastAsia"/>
          <w:kern w:val="0"/>
        </w:rPr>
      </w:pPr>
      <w:r w:rsidRPr="00FA7BE2">
        <w:rPr>
          <w:rFonts w:asciiTheme="minorEastAsia" w:eastAsiaTheme="minorEastAsia" w:hAnsiTheme="minorEastAsia" w:hint="eastAsia"/>
          <w:kern w:val="0"/>
        </w:rPr>
        <w:t>1、稳健收益A类基金份额最近十个完整会计年度</w:t>
      </w:r>
      <w:r w:rsidR="00EC51F1" w:rsidRPr="00FA7BE2">
        <w:rPr>
          <w:rFonts w:asciiTheme="minorEastAsia" w:eastAsiaTheme="minorEastAsia" w:hAnsiTheme="minorEastAsia" w:hint="eastAsia"/>
          <w:kern w:val="0"/>
          <w:szCs w:val="21"/>
        </w:rPr>
        <w:t>（截至2020年12月31日）</w:t>
      </w:r>
      <w:r w:rsidRPr="00FA7BE2">
        <w:rPr>
          <w:rFonts w:asciiTheme="minorEastAsia" w:eastAsiaTheme="minorEastAsia" w:hAnsiTheme="minorEastAsia" w:hint="eastAsia"/>
          <w:kern w:val="0"/>
        </w:rPr>
        <w:t>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FA7BE2" w:rsidTr="004F61AF">
        <w:tc>
          <w:tcPr>
            <w:tcW w:w="1526"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阶段</w:t>
            </w:r>
          </w:p>
        </w:tc>
        <w:tc>
          <w:tcPr>
            <w:tcW w:w="992"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净值增长率①</w:t>
            </w:r>
          </w:p>
        </w:tc>
        <w:tc>
          <w:tcPr>
            <w:tcW w:w="1276"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净值增长率标准差②</w:t>
            </w:r>
          </w:p>
        </w:tc>
        <w:tc>
          <w:tcPr>
            <w:tcW w:w="1417"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业绩比较基准收益率③</w:t>
            </w:r>
          </w:p>
        </w:tc>
        <w:tc>
          <w:tcPr>
            <w:tcW w:w="1418"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业绩比较基准收益率标准差④</w:t>
            </w:r>
          </w:p>
        </w:tc>
        <w:tc>
          <w:tcPr>
            <w:tcW w:w="1134"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①-③</w:t>
            </w:r>
          </w:p>
        </w:tc>
        <w:tc>
          <w:tcPr>
            <w:tcW w:w="850"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②-④</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2011年1月1日至2011年12月31日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-4.19%</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0.30%</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2.52%</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-6.71%</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0.19%</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2012年1月1日至2012年12月31日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13.64%</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-0.67%</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0.07%</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14.31%</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0.24%</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2013年1月1日至2013年12月31日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0.42%</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0.32%</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-5.28%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5.70%</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0.21%</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2014年1月1日至2014年12月31日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29.96%</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0.35%</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7.48%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22.48%</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0.20%</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2015年1月1日至2015年12月31日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20.63%</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0.33%</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4.51%</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0.12%</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16.12%</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0.21%</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2016年1月1日至2016年12月31日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1.85%</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0.28%</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-1.80%</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0.13%</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3.65%</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2017年1月1日至2017年12月31日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4.55%</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0.14%</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-4.26%</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0.09%</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8.81%</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0.05%</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2018年1月1日至2018年12月31日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1.33%</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0.28%</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6.17%</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-4.84%</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0.17%</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2019年1月1日至2019年12月31日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14.96%</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1.10%</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0.09%</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13.86%</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0.22%</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2020年1月1日至2020年12月31日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6.13%</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1.78%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0.16%</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4.35%</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r>
    </w:tbl>
    <w:p w:rsidR="00D21CF5" w:rsidRPr="00FA7BE2" w:rsidRDefault="00B3420B" w:rsidP="00B3420B">
      <w:pPr>
        <w:snapToGrid w:val="0"/>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hint="eastAsia"/>
          <w:kern w:val="0"/>
          <w:szCs w:val="21"/>
        </w:rPr>
        <w:lastRenderedPageBreak/>
        <w:t>2、稳健收益B类基金份额最近十个完整会计年度</w:t>
      </w:r>
      <w:r w:rsidR="00EC51F1" w:rsidRPr="00FA7BE2">
        <w:rPr>
          <w:rFonts w:asciiTheme="minorEastAsia" w:eastAsiaTheme="minorEastAsia" w:hAnsiTheme="minorEastAsia" w:hint="eastAsia"/>
          <w:kern w:val="0"/>
          <w:szCs w:val="21"/>
        </w:rPr>
        <w:t>（截至2020年12月31日）</w:t>
      </w:r>
      <w:r w:rsidRPr="00FA7BE2">
        <w:rPr>
          <w:rFonts w:asciiTheme="minorEastAsia" w:eastAsiaTheme="minorEastAsia" w:hAnsiTheme="minorEastAsia" w:hint="eastAsia"/>
          <w:kern w:val="0"/>
          <w:szCs w:val="21"/>
        </w:rPr>
        <w:t>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FA7BE2" w:rsidTr="004F61AF">
        <w:tc>
          <w:tcPr>
            <w:tcW w:w="1526"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阶段</w:t>
            </w:r>
          </w:p>
        </w:tc>
        <w:tc>
          <w:tcPr>
            <w:tcW w:w="992"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净值增长率①</w:t>
            </w:r>
          </w:p>
        </w:tc>
        <w:tc>
          <w:tcPr>
            <w:tcW w:w="1276"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净值增长率标准差②</w:t>
            </w:r>
          </w:p>
        </w:tc>
        <w:tc>
          <w:tcPr>
            <w:tcW w:w="1417"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业绩比较基准收益率③</w:t>
            </w:r>
          </w:p>
        </w:tc>
        <w:tc>
          <w:tcPr>
            <w:tcW w:w="1418"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业绩比较基准收益率标准差④</w:t>
            </w:r>
          </w:p>
        </w:tc>
        <w:tc>
          <w:tcPr>
            <w:tcW w:w="1134"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①-③</w:t>
            </w:r>
          </w:p>
        </w:tc>
        <w:tc>
          <w:tcPr>
            <w:tcW w:w="850" w:type="dxa"/>
            <w:vAlign w:val="center"/>
          </w:tcPr>
          <w:p w:rsidR="00D21CF5" w:rsidRPr="00FA7BE2" w:rsidRDefault="00D21CF5" w:rsidP="004F61AF">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②-④</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2011年1月1日至2011年12月31日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-3.91%</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0.30%</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2.52%</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-6.43%</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0.19%</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2012年1月1日至2012年12月31日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13.93%</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-0.67%</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0.07%</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14.60%</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0.24%</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2013年1月1日至2013年12月31日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0.84%</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0.32%</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-5.28%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6.12%</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0.21%</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2014年1月1日至2014年12月31日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30.53%</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0.35%</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7.48%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23.05%</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0.20%</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2015年1月1日至2015年12月31日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20.82%</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0.33%</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4.51%</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0.12%</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16.31%</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0.21%</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2016年1月1日至2016年12月31日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2.17%</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0.28%</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-1.80%</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0.13%</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3.97%</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2017年1月1日至2017年12月31日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4.85%</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0.14%</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-4.26%</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0.09%</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9.11%</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0.05%</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2018年1月1日至2018年12月31日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1.61%</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0.28%</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6.17%</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0.11%</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-4.56%</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0.17%</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2019年1月1日至2019年12月31日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15.29%</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1.10%</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0.09%</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14.19%</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0.22%</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2020年1月1日至2020年12月31日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6.44%</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1.78%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0.16%</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4.66%</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r>
    </w:tbl>
    <w:p w:rsidR="005C6736" w:rsidRPr="00FA7BE2" w:rsidRDefault="00B3420B" w:rsidP="00B3420B">
      <w:pPr>
        <w:snapToGrid w:val="0"/>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hint="eastAsia"/>
          <w:kern w:val="0"/>
          <w:szCs w:val="21"/>
        </w:rPr>
        <w:t>3、稳健收益C类基金份额截至2020年</w:t>
      </w:r>
      <w:r w:rsidR="0035002D" w:rsidRPr="00FA7BE2">
        <w:rPr>
          <w:rFonts w:asciiTheme="minorEastAsia" w:eastAsiaTheme="minorEastAsia" w:hAnsiTheme="minorEastAsia"/>
          <w:kern w:val="0"/>
          <w:szCs w:val="21"/>
        </w:rPr>
        <w:t>12</w:t>
      </w:r>
      <w:r w:rsidRPr="00FA7BE2">
        <w:rPr>
          <w:rFonts w:asciiTheme="minorEastAsia" w:eastAsiaTheme="minorEastAsia" w:hAnsiTheme="minorEastAsia" w:hint="eastAsia"/>
          <w:kern w:val="0"/>
          <w:szCs w:val="21"/>
        </w:rPr>
        <w:t>月</w:t>
      </w:r>
      <w:r w:rsidR="0035002D" w:rsidRPr="00FA7BE2">
        <w:rPr>
          <w:rFonts w:asciiTheme="minorEastAsia" w:eastAsiaTheme="minorEastAsia" w:hAnsiTheme="minorEastAsia"/>
          <w:kern w:val="0"/>
          <w:szCs w:val="21"/>
        </w:rPr>
        <w:t>31</w:t>
      </w:r>
      <w:r w:rsidRPr="00FA7BE2">
        <w:rPr>
          <w:rFonts w:asciiTheme="minorEastAsia" w:eastAsiaTheme="minorEastAsia" w:hAnsiTheme="minorEastAsia" w:hint="eastAsia"/>
          <w:kern w:val="0"/>
          <w:szCs w:val="21"/>
        </w:rPr>
        <w:t>日的净值增长率与同期业绩比较基准收益率比较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1417"/>
        <w:gridCol w:w="1418"/>
        <w:gridCol w:w="1134"/>
        <w:gridCol w:w="850"/>
      </w:tblGrid>
      <w:tr w:rsidR="005C6736" w:rsidRPr="00FA7BE2" w:rsidTr="008847CA">
        <w:tc>
          <w:tcPr>
            <w:tcW w:w="1526"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阶段</w:t>
            </w:r>
          </w:p>
        </w:tc>
        <w:tc>
          <w:tcPr>
            <w:tcW w:w="992"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净值增长率①</w:t>
            </w:r>
          </w:p>
        </w:tc>
        <w:tc>
          <w:tcPr>
            <w:tcW w:w="1276"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净值增长率标准差②</w:t>
            </w:r>
          </w:p>
        </w:tc>
        <w:tc>
          <w:tcPr>
            <w:tcW w:w="1417"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业绩比较基准收益率③</w:t>
            </w:r>
          </w:p>
        </w:tc>
        <w:tc>
          <w:tcPr>
            <w:tcW w:w="1418"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业绩比较基准收益率标准差④</w:t>
            </w:r>
          </w:p>
        </w:tc>
        <w:tc>
          <w:tcPr>
            <w:tcW w:w="1134"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①-③</w:t>
            </w:r>
          </w:p>
        </w:tc>
        <w:tc>
          <w:tcPr>
            <w:tcW w:w="850" w:type="dxa"/>
            <w:vAlign w:val="center"/>
          </w:tcPr>
          <w:p w:rsidR="005C6736" w:rsidRPr="00FA7BE2" w:rsidRDefault="005C6736" w:rsidP="008847CA">
            <w:pPr>
              <w:pStyle w:val="afb"/>
              <w:snapToGrid w:val="0"/>
              <w:spacing w:line="360" w:lineRule="auto"/>
              <w:jc w:val="center"/>
              <w:rPr>
                <w:rFonts w:asciiTheme="minorEastAsia" w:eastAsiaTheme="minorEastAsia" w:hAnsiTheme="minorEastAsia"/>
                <w:sz w:val="21"/>
                <w:szCs w:val="21"/>
              </w:rPr>
            </w:pPr>
            <w:r w:rsidRPr="00FA7BE2">
              <w:rPr>
                <w:rFonts w:asciiTheme="minorEastAsia" w:eastAsiaTheme="minorEastAsia" w:hAnsiTheme="minorEastAsia" w:hint="eastAsia"/>
                <w:sz w:val="21"/>
                <w:szCs w:val="21"/>
              </w:rPr>
              <w:t>②-④</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2019年10月</w:t>
            </w:r>
            <w:r w:rsidRPr="00FA7BE2">
              <w:rPr>
                <w:rFonts w:asciiTheme="minorEastAsia" w:eastAsiaTheme="minorEastAsia" w:hAnsiTheme="minorEastAsia"/>
              </w:rPr>
              <w:lastRenderedPageBreak/>
              <w:t>24日至2019年12月31日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lastRenderedPageBreak/>
              <w:t>3.54%</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0.20%</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1.12%</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0.08%</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2.42%</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0.12%</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2020年1月1日至2020年12月31日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6.15%</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0.31%</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1.78%</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0.16%</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4.37%</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r>
      <w:tr w:rsidR="00AA03DA" w:rsidRPr="00FA7BE2">
        <w:tc>
          <w:tcPr>
            <w:tcW w:w="152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2019年10月24日至2020年12月31日</w:t>
            </w:r>
          </w:p>
        </w:tc>
        <w:tc>
          <w:tcPr>
            <w:tcW w:w="992"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9.91%</w:t>
            </w:r>
          </w:p>
        </w:tc>
        <w:tc>
          <w:tcPr>
            <w:tcW w:w="1276"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0.29%</w:t>
            </w:r>
          </w:p>
        </w:tc>
        <w:tc>
          <w:tcPr>
            <w:tcW w:w="1417"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2.91%</w:t>
            </w:r>
          </w:p>
        </w:tc>
        <w:tc>
          <w:tcPr>
            <w:tcW w:w="1418"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0.15%</w:t>
            </w:r>
          </w:p>
        </w:tc>
        <w:tc>
          <w:tcPr>
            <w:tcW w:w="1134"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7.00%</w:t>
            </w:r>
          </w:p>
        </w:tc>
        <w:tc>
          <w:tcPr>
            <w:tcW w:w="850" w:type="dxa"/>
          </w:tcPr>
          <w:p w:rsidR="00AA03DA" w:rsidRPr="00FA7BE2" w:rsidRDefault="00906C0E">
            <w:pPr>
              <w:jc w:val="center"/>
              <w:rPr>
                <w:rFonts w:asciiTheme="minorEastAsia" w:eastAsiaTheme="minorEastAsia" w:hAnsiTheme="minorEastAsia"/>
              </w:rPr>
            </w:pPr>
            <w:r w:rsidRPr="00FA7BE2">
              <w:rPr>
                <w:rFonts w:asciiTheme="minorEastAsia" w:eastAsiaTheme="minorEastAsia" w:hAnsiTheme="minorEastAsia"/>
              </w:rPr>
              <w:t>0.14%</w:t>
            </w:r>
          </w:p>
        </w:tc>
      </w:tr>
    </w:tbl>
    <w:p w:rsidR="005C6736" w:rsidRPr="00FA7BE2" w:rsidRDefault="00D21CF5" w:rsidP="00D21CF5">
      <w:pPr>
        <w:snapToGrid w:val="0"/>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hint="eastAsia"/>
          <w:kern w:val="0"/>
          <w:szCs w:val="21"/>
        </w:rPr>
        <w:t>注：</w:t>
      </w:r>
      <w:r w:rsidR="005C6736" w:rsidRPr="00FA7BE2">
        <w:rPr>
          <w:rFonts w:asciiTheme="minorEastAsia" w:eastAsiaTheme="minorEastAsia" w:hAnsiTheme="minorEastAsia" w:hint="eastAsia"/>
          <w:kern w:val="0"/>
          <w:szCs w:val="21"/>
        </w:rPr>
        <w:t>（1）自2019年10月23日起，本基金增设C类份额类别，份额首次确认日为2019年10月24日。</w:t>
      </w:r>
    </w:p>
    <w:p w:rsidR="00D21CF5" w:rsidRPr="00FA7BE2" w:rsidRDefault="005C6736" w:rsidP="00D21CF5">
      <w:pPr>
        <w:snapToGrid w:val="0"/>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hint="eastAsia"/>
          <w:kern w:val="0"/>
          <w:szCs w:val="21"/>
        </w:rPr>
        <w:t>（2）</w:t>
      </w:r>
      <w:r w:rsidR="00D21CF5" w:rsidRPr="00FA7BE2">
        <w:rPr>
          <w:rFonts w:asciiTheme="minorEastAsia" w:eastAsiaTheme="minorEastAsia" w:hAnsiTheme="minorEastAsia" w:hint="eastAsia"/>
          <w:szCs w:val="21"/>
        </w:rPr>
        <w:t>易方达稳健收益债券型证券投资基金由易方达月月收益中短期债券投资基金转型而成。</w:t>
      </w:r>
      <w:r w:rsidR="00D21CF5" w:rsidRPr="00FA7BE2">
        <w:rPr>
          <w:rFonts w:asciiTheme="minorEastAsia" w:eastAsiaTheme="minorEastAsia" w:hAnsiTheme="minorEastAsia" w:hint="eastAsia"/>
          <w:kern w:val="0"/>
          <w:szCs w:val="21"/>
        </w:rPr>
        <w:t>《易方达月月收益中短期债券投资基金基金合同》生效日为</w:t>
      </w:r>
      <w:smartTag w:uri="urn:schemas-microsoft-com:office:smarttags" w:element="chsdate">
        <w:smartTagPr>
          <w:attr w:name="IsROCDate" w:val="False"/>
          <w:attr w:name="IsLunarDate" w:val="False"/>
          <w:attr w:name="Day" w:val="19"/>
          <w:attr w:name="Month" w:val="9"/>
          <w:attr w:name="Year" w:val="2005"/>
        </w:smartTagPr>
        <w:r w:rsidR="00D21CF5" w:rsidRPr="00FA7BE2">
          <w:rPr>
            <w:rFonts w:asciiTheme="minorEastAsia" w:eastAsiaTheme="minorEastAsia" w:hAnsiTheme="minorEastAsia" w:hint="eastAsia"/>
            <w:kern w:val="0"/>
            <w:szCs w:val="21"/>
          </w:rPr>
          <w:t>2005年9月19日</w:t>
        </w:r>
      </w:smartTag>
      <w:r w:rsidR="00D21CF5" w:rsidRPr="00FA7BE2">
        <w:rPr>
          <w:rFonts w:asciiTheme="minorEastAsia" w:eastAsiaTheme="minorEastAsia" w:hAnsiTheme="minorEastAsia" w:hint="eastAsia"/>
          <w:kern w:val="0"/>
          <w:szCs w:val="21"/>
        </w:rPr>
        <w:t>，自</w:t>
      </w:r>
      <w:r w:rsidR="00D21CF5" w:rsidRPr="00FA7BE2">
        <w:rPr>
          <w:rFonts w:asciiTheme="minorEastAsia" w:eastAsiaTheme="minorEastAsia" w:hAnsiTheme="minorEastAsia" w:hint="eastAsia"/>
          <w:szCs w:val="21"/>
        </w:rPr>
        <w:t>月月收益</w:t>
      </w:r>
      <w:r w:rsidR="00D21CF5" w:rsidRPr="00FA7BE2">
        <w:rPr>
          <w:rFonts w:asciiTheme="minorEastAsia" w:eastAsiaTheme="minorEastAsia" w:hAnsiTheme="minorEastAsia" w:hint="eastAsia"/>
          <w:kern w:val="0"/>
          <w:szCs w:val="21"/>
        </w:rPr>
        <w:t>基金合同生效至2008年1月28日期间的投资业绩及与同期基准的比较如下表所示：</w:t>
      </w:r>
    </w:p>
    <w:p w:rsidR="00D21CF5" w:rsidRDefault="005C6736" w:rsidP="00D21CF5">
      <w:pPr>
        <w:pStyle w:val="afb"/>
        <w:snapToGrid w:val="0"/>
        <w:spacing w:line="360" w:lineRule="auto"/>
        <w:ind w:firstLineChars="200" w:firstLine="420"/>
        <w:rPr>
          <w:rFonts w:asciiTheme="minorEastAsia" w:eastAsiaTheme="minorEastAsia" w:hAnsiTheme="minorEastAsia"/>
          <w:sz w:val="21"/>
          <w:szCs w:val="21"/>
        </w:rPr>
      </w:pPr>
      <w:r w:rsidRPr="00FA7BE2">
        <w:rPr>
          <w:rFonts w:asciiTheme="minorEastAsia" w:eastAsiaTheme="minorEastAsia" w:hAnsiTheme="minorEastAsia"/>
          <w:sz w:val="21"/>
          <w:szCs w:val="21"/>
        </w:rPr>
        <w:t>1</w:t>
      </w:r>
      <w:r w:rsidRPr="00FA7BE2">
        <w:rPr>
          <w:rFonts w:asciiTheme="minorEastAsia" w:eastAsiaTheme="minorEastAsia" w:hAnsiTheme="minorEastAsia" w:hint="eastAsia"/>
          <w:sz w:val="21"/>
          <w:szCs w:val="21"/>
        </w:rPr>
        <w:t>）</w:t>
      </w:r>
      <w:r w:rsidR="00D21CF5" w:rsidRPr="00FA7BE2">
        <w:rPr>
          <w:rFonts w:asciiTheme="minorEastAsia" w:eastAsiaTheme="minorEastAsia" w:hAnsiTheme="minorEastAsia" w:hint="eastAsia"/>
          <w:sz w:val="21"/>
          <w:szCs w:val="21"/>
        </w:rPr>
        <w:t>月月收益A级基金份额净值增长率与同期业绩比较基准收益率比较</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55"/>
        <w:gridCol w:w="1260"/>
        <w:gridCol w:w="1155"/>
        <w:gridCol w:w="1155"/>
        <w:gridCol w:w="1155"/>
        <w:gridCol w:w="1260"/>
      </w:tblGrid>
      <w:tr w:rsidR="00EF4395" w:rsidRPr="00E3582F" w:rsidTr="00404DFA">
        <w:tc>
          <w:tcPr>
            <w:tcW w:w="1365"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1155"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260"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155"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155"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55"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1260" w:type="dxa"/>
            <w:vAlign w:val="center"/>
          </w:tcPr>
          <w:p w:rsidR="00EF4395" w:rsidRPr="00E3582F" w:rsidRDefault="00EF4395" w:rsidP="00404DFA">
            <w:pPr>
              <w:pStyle w:val="afb"/>
              <w:snapToGrid w:val="0"/>
              <w:spacing w:line="360" w:lineRule="auto"/>
              <w:ind w:leftChars="-51" w:left="-107"/>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EF4395" w:rsidRPr="00E3582F" w:rsidTr="00404DFA">
        <w:tc>
          <w:tcPr>
            <w:tcW w:w="1365"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自月月收益基金合同生效日至</w:t>
            </w:r>
            <w:smartTag w:uri="urn:schemas-microsoft-com:office:smarttags" w:element="chsdate">
              <w:smartTagPr>
                <w:attr w:name="Year" w:val="2005"/>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2005年12月31日</w:t>
              </w:r>
            </w:smartTag>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0.5710%</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0.0065%</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0.6150%</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-0.0440%</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0.0065%</w:t>
            </w:r>
          </w:p>
        </w:tc>
      </w:tr>
      <w:tr w:rsidR="00EF4395" w:rsidRPr="00E3582F" w:rsidTr="00404DFA">
        <w:tc>
          <w:tcPr>
            <w:tcW w:w="1365"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6"/>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2006年1月1日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6"/>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2006年12月31日</w:t>
              </w:r>
            </w:smartTag>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1.4389%</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0.0116%</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2.2665%</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0.0004%</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-0.8276%</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color w:val="000000" w:themeColor="text1"/>
                <w:szCs w:val="21"/>
              </w:rPr>
              <w:t>0.0112%</w:t>
            </w:r>
          </w:p>
        </w:tc>
      </w:tr>
      <w:tr w:rsidR="00EF4395" w:rsidRPr="00E3582F" w:rsidTr="00404DFA">
        <w:tc>
          <w:tcPr>
            <w:tcW w:w="1365"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7"/>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2007年1月1日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7"/>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2007年12月31日</w:t>
              </w:r>
            </w:smartTag>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2.3181%</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0.0200%</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3.2952%</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0.0021%</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-0.9771%</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0.0179%</w:t>
            </w:r>
          </w:p>
        </w:tc>
      </w:tr>
      <w:tr w:rsidR="00EF4395" w:rsidRPr="00E3582F" w:rsidTr="00404DFA">
        <w:tc>
          <w:tcPr>
            <w:tcW w:w="1365" w:type="dxa"/>
            <w:vAlign w:val="center"/>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8"/>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2008年1月1日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8"/>
                <w:attr w:name="Month" w:val="1"/>
                <w:attr w:name="Day" w:val="28"/>
                <w:attr w:name="IsLunarDate" w:val="False"/>
                <w:attr w:name="IsROCDate" w:val="False"/>
              </w:smartTagPr>
              <w:r w:rsidRPr="00E3582F">
                <w:rPr>
                  <w:rFonts w:asciiTheme="minorEastAsia" w:eastAsiaTheme="minorEastAsia" w:hAnsiTheme="minorEastAsia" w:hint="eastAsia"/>
                  <w:color w:val="000000" w:themeColor="text1"/>
                  <w:sz w:val="21"/>
                  <w:szCs w:val="21"/>
                </w:rPr>
                <w:t>2008年1月28日</w:t>
              </w:r>
            </w:smartTag>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0.19%</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0.34%</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-0.15%</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0.01%</w:t>
            </w:r>
          </w:p>
        </w:tc>
      </w:tr>
      <w:tr w:rsidR="00EF4395" w:rsidRPr="00E3582F" w:rsidTr="00404DFA">
        <w:tc>
          <w:tcPr>
            <w:tcW w:w="1365" w:type="dxa"/>
            <w:vAlign w:val="center"/>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w:t>
            </w:r>
            <w:r w:rsidRPr="00E3582F">
              <w:rPr>
                <w:rFonts w:asciiTheme="minorEastAsia" w:eastAsiaTheme="minorEastAsia" w:hAnsiTheme="minorEastAsia" w:hint="eastAsia"/>
                <w:color w:val="000000" w:themeColor="text1"/>
                <w:sz w:val="21"/>
                <w:szCs w:val="21"/>
              </w:rPr>
              <w:lastRenderedPageBreak/>
              <w:t>基金合同生效至</w:t>
            </w:r>
            <w:smartTag w:uri="urn:schemas-microsoft-com:office:smarttags" w:element="chsdate">
              <w:smartTagPr>
                <w:attr w:name="Year" w:val="2008"/>
                <w:attr w:name="Month" w:val="1"/>
                <w:attr w:name="Day" w:val="28"/>
                <w:attr w:name="IsLunarDate" w:val="False"/>
                <w:attr w:name="IsROCDate" w:val="False"/>
              </w:smartTagPr>
              <w:r w:rsidRPr="00E3582F">
                <w:rPr>
                  <w:rFonts w:asciiTheme="minorEastAsia" w:eastAsiaTheme="minorEastAsia" w:hAnsiTheme="minorEastAsia" w:hint="eastAsia"/>
                  <w:color w:val="000000" w:themeColor="text1"/>
                  <w:sz w:val="21"/>
                  <w:szCs w:val="21"/>
                </w:rPr>
                <w:t>2008年1月28日</w:t>
              </w:r>
            </w:smartTag>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lastRenderedPageBreak/>
              <w:t>4.58%</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6.52%</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0.00%</w:t>
            </w:r>
          </w:p>
        </w:tc>
        <w:tc>
          <w:tcPr>
            <w:tcW w:w="1155"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-1.94%</w:t>
            </w:r>
          </w:p>
        </w:tc>
        <w:tc>
          <w:tcPr>
            <w:tcW w:w="1260" w:type="dxa"/>
            <w:vAlign w:val="center"/>
          </w:tcPr>
          <w:p w:rsidR="00EF4395" w:rsidRPr="00E3582F" w:rsidRDefault="00EF4395" w:rsidP="00404DFA">
            <w:pPr>
              <w:snapToGrid w:val="0"/>
              <w:spacing w:line="360" w:lineRule="auto"/>
              <w:jc w:val="right"/>
              <w:rPr>
                <w:rFonts w:asciiTheme="minorEastAsia" w:eastAsiaTheme="minorEastAsia" w:hAnsiTheme="minorEastAsia"/>
                <w:color w:val="000000" w:themeColor="text1"/>
                <w:szCs w:val="21"/>
              </w:rPr>
            </w:pPr>
            <w:r w:rsidRPr="00E3582F">
              <w:rPr>
                <w:rFonts w:asciiTheme="minorEastAsia" w:eastAsiaTheme="minorEastAsia" w:hAnsiTheme="minorEastAsia" w:hint="eastAsia"/>
                <w:color w:val="000000" w:themeColor="text1"/>
                <w:szCs w:val="21"/>
              </w:rPr>
              <w:t>0.02%</w:t>
            </w:r>
          </w:p>
        </w:tc>
      </w:tr>
    </w:tbl>
    <w:p w:rsidR="00D21CF5" w:rsidRDefault="005C6736" w:rsidP="00D21CF5">
      <w:pPr>
        <w:pStyle w:val="afb"/>
        <w:snapToGrid w:val="0"/>
        <w:spacing w:line="360" w:lineRule="auto"/>
        <w:ind w:firstLineChars="200" w:firstLine="420"/>
        <w:rPr>
          <w:rFonts w:asciiTheme="minorEastAsia" w:eastAsiaTheme="minorEastAsia" w:hAnsiTheme="minorEastAsia"/>
          <w:sz w:val="21"/>
          <w:szCs w:val="21"/>
        </w:rPr>
      </w:pPr>
      <w:r w:rsidRPr="00FA7BE2">
        <w:rPr>
          <w:rFonts w:asciiTheme="minorEastAsia" w:eastAsiaTheme="minorEastAsia" w:hAnsiTheme="minorEastAsia"/>
          <w:sz w:val="21"/>
          <w:szCs w:val="21"/>
        </w:rPr>
        <w:t>2</w:t>
      </w:r>
      <w:r w:rsidRPr="00FA7BE2">
        <w:rPr>
          <w:rFonts w:asciiTheme="minorEastAsia" w:eastAsiaTheme="minorEastAsia" w:hAnsiTheme="minorEastAsia" w:hint="eastAsia"/>
          <w:sz w:val="21"/>
          <w:szCs w:val="21"/>
        </w:rPr>
        <w:t>）</w:t>
      </w:r>
      <w:r w:rsidR="00D21CF5" w:rsidRPr="00FA7BE2">
        <w:rPr>
          <w:rFonts w:asciiTheme="minorEastAsia" w:eastAsiaTheme="minorEastAsia" w:hAnsiTheme="minorEastAsia" w:hint="eastAsia"/>
          <w:sz w:val="21"/>
          <w:szCs w:val="21"/>
        </w:rPr>
        <w:t>月月收益B级基金份额净值增长率与同期业绩比较基准收益率比较</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158"/>
        <w:gridCol w:w="1327"/>
        <w:gridCol w:w="1088"/>
        <w:gridCol w:w="1155"/>
        <w:gridCol w:w="1155"/>
        <w:gridCol w:w="1260"/>
      </w:tblGrid>
      <w:tr w:rsidR="00EF4395" w:rsidRPr="00E3582F" w:rsidTr="00404DFA">
        <w:tc>
          <w:tcPr>
            <w:tcW w:w="1362"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阶段</w:t>
            </w:r>
          </w:p>
        </w:tc>
        <w:tc>
          <w:tcPr>
            <w:tcW w:w="1158"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净值增长率①</w:t>
            </w:r>
          </w:p>
        </w:tc>
        <w:tc>
          <w:tcPr>
            <w:tcW w:w="1327"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净值增长率标准差②</w:t>
            </w:r>
          </w:p>
        </w:tc>
        <w:tc>
          <w:tcPr>
            <w:tcW w:w="1088"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业绩比较基准收益率③</w:t>
            </w:r>
          </w:p>
        </w:tc>
        <w:tc>
          <w:tcPr>
            <w:tcW w:w="1155"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业绩比较基准收益率标准差④</w:t>
            </w:r>
          </w:p>
        </w:tc>
        <w:tc>
          <w:tcPr>
            <w:tcW w:w="1155"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①-③</w:t>
            </w:r>
          </w:p>
        </w:tc>
        <w:tc>
          <w:tcPr>
            <w:tcW w:w="1260" w:type="dxa"/>
            <w:vAlign w:val="center"/>
          </w:tcPr>
          <w:p w:rsidR="00EF4395" w:rsidRPr="00E3582F" w:rsidRDefault="00EF4395" w:rsidP="00404DFA">
            <w:pPr>
              <w:pStyle w:val="afb"/>
              <w:snapToGrid w:val="0"/>
              <w:spacing w:line="360" w:lineRule="auto"/>
              <w:jc w:val="center"/>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②-④</w:t>
            </w:r>
          </w:p>
        </w:tc>
      </w:tr>
      <w:tr w:rsidR="00EF4395" w:rsidRPr="00E3582F" w:rsidTr="00404DFA">
        <w:tc>
          <w:tcPr>
            <w:tcW w:w="1362"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自月月收益基金合同生效日至</w:t>
            </w:r>
            <w:smartTag w:uri="urn:schemas-microsoft-com:office:smarttags" w:element="chsdate">
              <w:smartTagPr>
                <w:attr w:name="Year" w:val="2005"/>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2005年12月31日</w:t>
              </w:r>
            </w:smartTag>
          </w:p>
        </w:tc>
        <w:tc>
          <w:tcPr>
            <w:tcW w:w="1158"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0.6413%</w:t>
            </w:r>
          </w:p>
        </w:tc>
        <w:tc>
          <w:tcPr>
            <w:tcW w:w="1327"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0.0069%</w:t>
            </w:r>
          </w:p>
        </w:tc>
        <w:tc>
          <w:tcPr>
            <w:tcW w:w="1088"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0.6150%</w:t>
            </w:r>
          </w:p>
        </w:tc>
        <w:tc>
          <w:tcPr>
            <w:tcW w:w="1155"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w:t>
            </w:r>
          </w:p>
        </w:tc>
        <w:tc>
          <w:tcPr>
            <w:tcW w:w="1155"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0.0263%</w:t>
            </w:r>
          </w:p>
        </w:tc>
        <w:tc>
          <w:tcPr>
            <w:tcW w:w="1260" w:type="dxa"/>
            <w:vAlign w:val="center"/>
          </w:tcPr>
          <w:p w:rsidR="00EF4395" w:rsidRPr="00E3582F" w:rsidRDefault="00EF4395" w:rsidP="00404DFA">
            <w:pPr>
              <w:pStyle w:val="afb"/>
              <w:snapToGrid w:val="0"/>
              <w:spacing w:line="360" w:lineRule="auto"/>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0.0069%</w:t>
            </w:r>
          </w:p>
        </w:tc>
      </w:tr>
      <w:tr w:rsidR="00EF4395" w:rsidRPr="00E3582F" w:rsidTr="00404DFA">
        <w:tc>
          <w:tcPr>
            <w:tcW w:w="1362"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6"/>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2006年1月1日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6"/>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2006年12月31日</w:t>
              </w:r>
            </w:smartTag>
          </w:p>
        </w:tc>
        <w:tc>
          <w:tcPr>
            <w:tcW w:w="115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1.6923%</w:t>
            </w:r>
          </w:p>
        </w:tc>
        <w:tc>
          <w:tcPr>
            <w:tcW w:w="1327"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0.0118%</w:t>
            </w:r>
          </w:p>
        </w:tc>
        <w:tc>
          <w:tcPr>
            <w:tcW w:w="108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2.2665%</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0.0004%</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-0.5742%</w:t>
            </w:r>
          </w:p>
        </w:tc>
        <w:tc>
          <w:tcPr>
            <w:tcW w:w="1260"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color w:val="000000" w:themeColor="text1"/>
                <w:sz w:val="21"/>
                <w:szCs w:val="21"/>
              </w:rPr>
              <w:t>0.0114%</w:t>
            </w:r>
          </w:p>
        </w:tc>
      </w:tr>
      <w:tr w:rsidR="00EF4395" w:rsidRPr="00E3582F" w:rsidTr="00404DFA">
        <w:tc>
          <w:tcPr>
            <w:tcW w:w="1362" w:type="dxa"/>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7"/>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2007年1月1日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7"/>
                <w:attr w:name="Month" w:val="12"/>
                <w:attr w:name="Day" w:val="31"/>
                <w:attr w:name="IsLunarDate" w:val="False"/>
                <w:attr w:name="IsROCDate" w:val="False"/>
              </w:smartTagPr>
              <w:r w:rsidRPr="00E3582F">
                <w:rPr>
                  <w:rFonts w:asciiTheme="minorEastAsia" w:eastAsiaTheme="minorEastAsia" w:hAnsiTheme="minorEastAsia" w:hint="eastAsia"/>
                  <w:color w:val="000000" w:themeColor="text1"/>
                  <w:sz w:val="21"/>
                  <w:szCs w:val="21"/>
                </w:rPr>
                <w:t>2007年12月31日</w:t>
              </w:r>
            </w:smartTag>
          </w:p>
        </w:tc>
        <w:tc>
          <w:tcPr>
            <w:tcW w:w="115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1.8186%</w:t>
            </w:r>
          </w:p>
        </w:tc>
        <w:tc>
          <w:tcPr>
            <w:tcW w:w="1327"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0.0230%</w:t>
            </w:r>
          </w:p>
        </w:tc>
        <w:tc>
          <w:tcPr>
            <w:tcW w:w="108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2.2929%</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0.0022%</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-0.4743%</w:t>
            </w:r>
          </w:p>
        </w:tc>
        <w:tc>
          <w:tcPr>
            <w:tcW w:w="1260"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0.0208%</w:t>
            </w:r>
          </w:p>
        </w:tc>
      </w:tr>
      <w:tr w:rsidR="00EF4395" w:rsidRPr="00E3582F" w:rsidTr="00404DFA">
        <w:tc>
          <w:tcPr>
            <w:tcW w:w="1362" w:type="dxa"/>
            <w:vAlign w:val="center"/>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smartTag w:uri="urn:schemas-microsoft-com:office:smarttags" w:element="chsdate">
              <w:smartTagPr>
                <w:attr w:name="Year" w:val="2008"/>
                <w:attr w:name="Month" w:val="1"/>
                <w:attr w:name="Day" w:val="1"/>
                <w:attr w:name="IsLunarDate" w:val="False"/>
                <w:attr w:name="IsROCDate" w:val="False"/>
              </w:smartTagPr>
              <w:r w:rsidRPr="00E3582F">
                <w:rPr>
                  <w:rFonts w:asciiTheme="minorEastAsia" w:eastAsiaTheme="minorEastAsia" w:hAnsiTheme="minorEastAsia" w:hint="eastAsia"/>
                  <w:color w:val="000000" w:themeColor="text1"/>
                  <w:sz w:val="21"/>
                  <w:szCs w:val="21"/>
                </w:rPr>
                <w:t>2008年1月1日</w:t>
              </w:r>
            </w:smartTag>
            <w:r w:rsidRPr="00E3582F">
              <w:rPr>
                <w:rFonts w:asciiTheme="minorEastAsia" w:eastAsiaTheme="minorEastAsia" w:hAnsiTheme="minorEastAsia" w:hint="eastAsia"/>
                <w:color w:val="000000" w:themeColor="text1"/>
                <w:sz w:val="21"/>
                <w:szCs w:val="21"/>
              </w:rPr>
              <w:t>至</w:t>
            </w:r>
            <w:smartTag w:uri="urn:schemas-microsoft-com:office:smarttags" w:element="chsdate">
              <w:smartTagPr>
                <w:attr w:name="Year" w:val="2008"/>
                <w:attr w:name="Month" w:val="1"/>
                <w:attr w:name="Day" w:val="28"/>
                <w:attr w:name="IsLunarDate" w:val="False"/>
                <w:attr w:name="IsROCDate" w:val="False"/>
              </w:smartTagPr>
              <w:r w:rsidRPr="00E3582F">
                <w:rPr>
                  <w:rFonts w:asciiTheme="minorEastAsia" w:eastAsiaTheme="minorEastAsia" w:hAnsiTheme="minorEastAsia" w:hint="eastAsia"/>
                  <w:color w:val="000000" w:themeColor="text1"/>
                  <w:sz w:val="21"/>
                  <w:szCs w:val="21"/>
                </w:rPr>
                <w:t>2008年1月28日</w:t>
              </w:r>
            </w:smartTag>
          </w:p>
        </w:tc>
        <w:tc>
          <w:tcPr>
            <w:tcW w:w="115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0.21%</w:t>
            </w:r>
          </w:p>
        </w:tc>
        <w:tc>
          <w:tcPr>
            <w:tcW w:w="1327"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0.01%</w:t>
            </w:r>
          </w:p>
        </w:tc>
        <w:tc>
          <w:tcPr>
            <w:tcW w:w="108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0.34%</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0.00%</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-0.13%</w:t>
            </w:r>
          </w:p>
        </w:tc>
        <w:tc>
          <w:tcPr>
            <w:tcW w:w="1260"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0.01%</w:t>
            </w:r>
          </w:p>
        </w:tc>
      </w:tr>
      <w:tr w:rsidR="00EF4395" w:rsidRPr="00E3582F" w:rsidTr="00404DFA">
        <w:tc>
          <w:tcPr>
            <w:tcW w:w="1362" w:type="dxa"/>
            <w:vAlign w:val="center"/>
          </w:tcPr>
          <w:p w:rsidR="00EF4395" w:rsidRPr="00E3582F" w:rsidRDefault="00EF4395" w:rsidP="00404DFA">
            <w:pPr>
              <w:pStyle w:val="afb"/>
              <w:snapToGrid w:val="0"/>
              <w:spacing w:line="360" w:lineRule="auto"/>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自月月收益基金合同生效至</w:t>
            </w:r>
            <w:smartTag w:uri="urn:schemas-microsoft-com:office:smarttags" w:element="chsdate">
              <w:smartTagPr>
                <w:attr w:name="Year" w:val="2008"/>
                <w:attr w:name="Month" w:val="1"/>
                <w:attr w:name="Day" w:val="28"/>
                <w:attr w:name="IsLunarDate" w:val="False"/>
                <w:attr w:name="IsROCDate" w:val="False"/>
              </w:smartTagPr>
              <w:r w:rsidRPr="00E3582F">
                <w:rPr>
                  <w:rFonts w:asciiTheme="minorEastAsia" w:eastAsiaTheme="minorEastAsia" w:hAnsiTheme="minorEastAsia" w:hint="eastAsia"/>
                  <w:color w:val="000000" w:themeColor="text1"/>
                  <w:sz w:val="21"/>
                  <w:szCs w:val="21"/>
                </w:rPr>
                <w:t>2008年1月28日</w:t>
              </w:r>
            </w:smartTag>
          </w:p>
        </w:tc>
        <w:tc>
          <w:tcPr>
            <w:tcW w:w="115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4.42%</w:t>
            </w:r>
          </w:p>
        </w:tc>
        <w:tc>
          <w:tcPr>
            <w:tcW w:w="1327"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w:t>
            </w:r>
          </w:p>
        </w:tc>
        <w:tc>
          <w:tcPr>
            <w:tcW w:w="1088"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5.52%</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olor w:val="000000" w:themeColor="text1"/>
                <w:sz w:val="21"/>
                <w:szCs w:val="21"/>
              </w:rPr>
            </w:pPr>
            <w:r w:rsidRPr="00E3582F">
              <w:rPr>
                <w:rFonts w:asciiTheme="minorEastAsia" w:eastAsiaTheme="minorEastAsia" w:hAnsiTheme="minorEastAsia" w:hint="eastAsia"/>
                <w:color w:val="000000" w:themeColor="text1"/>
                <w:sz w:val="21"/>
                <w:szCs w:val="21"/>
              </w:rPr>
              <w:t>0.00%</w:t>
            </w:r>
          </w:p>
        </w:tc>
        <w:tc>
          <w:tcPr>
            <w:tcW w:w="1155"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-1.10%</w:t>
            </w:r>
          </w:p>
        </w:tc>
        <w:tc>
          <w:tcPr>
            <w:tcW w:w="1260" w:type="dxa"/>
            <w:vAlign w:val="center"/>
          </w:tcPr>
          <w:p w:rsidR="00EF4395" w:rsidRPr="00E3582F" w:rsidRDefault="00EF4395" w:rsidP="00404DFA">
            <w:pPr>
              <w:pStyle w:val="afb"/>
              <w:snapToGrid w:val="0"/>
              <w:spacing w:line="360" w:lineRule="auto"/>
              <w:ind w:leftChars="-42" w:left="-88" w:rightChars="-47" w:right="-99"/>
              <w:jc w:val="right"/>
              <w:rPr>
                <w:rFonts w:asciiTheme="minorEastAsia" w:eastAsiaTheme="minorEastAsia" w:hAnsiTheme="minorEastAsia" w:cs="Arial Unicode MS"/>
                <w:color w:val="000000" w:themeColor="text1"/>
                <w:sz w:val="21"/>
                <w:szCs w:val="21"/>
              </w:rPr>
            </w:pPr>
            <w:r w:rsidRPr="00E3582F">
              <w:rPr>
                <w:rFonts w:asciiTheme="minorEastAsia" w:eastAsiaTheme="minorEastAsia" w:hAnsiTheme="minorEastAsia" w:hint="eastAsia"/>
                <w:color w:val="000000" w:themeColor="text1"/>
                <w:sz w:val="21"/>
                <w:szCs w:val="21"/>
              </w:rPr>
              <w:t>0.02%</w:t>
            </w:r>
          </w:p>
        </w:tc>
      </w:tr>
    </w:tbl>
    <w:p w:rsidR="00D21CF5" w:rsidRPr="00FA7BE2" w:rsidRDefault="00D21CF5" w:rsidP="00FA7BE2">
      <w:pPr>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hint="eastAsia"/>
          <w:szCs w:val="21"/>
        </w:rPr>
        <w:t>月月收益</w:t>
      </w:r>
      <w:r w:rsidRPr="00FA7BE2">
        <w:rPr>
          <w:rFonts w:asciiTheme="minorEastAsia" w:eastAsiaTheme="minorEastAsia" w:hAnsiTheme="minorEastAsia" w:hint="eastAsia"/>
          <w:kern w:val="0"/>
          <w:szCs w:val="21"/>
        </w:rPr>
        <w:t>B级基金</w:t>
      </w:r>
      <w:r w:rsidRPr="00FA7BE2">
        <w:rPr>
          <w:rFonts w:asciiTheme="minorEastAsia" w:eastAsiaTheme="minorEastAsia" w:hAnsiTheme="minorEastAsia" w:hint="eastAsia"/>
          <w:szCs w:val="21"/>
        </w:rPr>
        <w:t>曾经</w:t>
      </w:r>
      <w:r w:rsidRPr="00FA7BE2">
        <w:rPr>
          <w:rFonts w:asciiTheme="minorEastAsia" w:eastAsiaTheme="minorEastAsia" w:hAnsiTheme="minorEastAsia" w:hint="eastAsia"/>
          <w:kern w:val="0"/>
          <w:szCs w:val="21"/>
        </w:rPr>
        <w:t>出现份额为零的情况，</w:t>
      </w:r>
      <w:r w:rsidRPr="00FA7BE2">
        <w:rPr>
          <w:rFonts w:asciiTheme="minorEastAsia" w:eastAsiaTheme="minorEastAsia" w:hAnsiTheme="minorEastAsia" w:hint="eastAsia"/>
          <w:szCs w:val="21"/>
        </w:rPr>
        <w:t>月月收益</w:t>
      </w:r>
      <w:r w:rsidRPr="00FA7BE2">
        <w:rPr>
          <w:rFonts w:asciiTheme="minorEastAsia" w:eastAsiaTheme="minorEastAsia" w:hAnsiTheme="minorEastAsia" w:hint="eastAsia"/>
          <w:kern w:val="0"/>
          <w:szCs w:val="21"/>
        </w:rPr>
        <w:t>B级基金的净值表现及业绩比较基准均采用</w:t>
      </w:r>
      <w:r w:rsidRPr="00FA7BE2">
        <w:rPr>
          <w:rFonts w:asciiTheme="minorEastAsia" w:eastAsiaTheme="minorEastAsia" w:hAnsiTheme="minorEastAsia" w:hint="eastAsia"/>
          <w:szCs w:val="21"/>
        </w:rPr>
        <w:t>月月收益</w:t>
      </w:r>
      <w:r w:rsidRPr="00FA7BE2">
        <w:rPr>
          <w:rFonts w:asciiTheme="minorEastAsia" w:eastAsiaTheme="minorEastAsia" w:hAnsiTheme="minorEastAsia" w:hint="eastAsia"/>
          <w:kern w:val="0"/>
          <w:szCs w:val="21"/>
        </w:rPr>
        <w:t>B级基金份额存在期间的数据计算。</w:t>
      </w:r>
    </w:p>
    <w:p w:rsidR="003D59C8" w:rsidRPr="00FA7BE2" w:rsidRDefault="00366DAE" w:rsidP="000D2AA7">
      <w:pPr>
        <w:autoSpaceDE w:val="0"/>
        <w:autoSpaceDN w:val="0"/>
        <w:adjustRightInd w:val="0"/>
        <w:snapToGrid w:val="0"/>
        <w:spacing w:line="360" w:lineRule="auto"/>
        <w:ind w:rightChars="-12" w:right="-25" w:firstLine="480"/>
        <w:rPr>
          <w:rFonts w:asciiTheme="minorEastAsia" w:eastAsiaTheme="minorEastAsia" w:hAnsiTheme="minorEastAsia"/>
        </w:rPr>
      </w:pPr>
      <w:r w:rsidRPr="00FA7BE2">
        <w:rPr>
          <w:rFonts w:asciiTheme="minorEastAsia" w:eastAsiaTheme="minorEastAsia" w:hAnsiTheme="minorEastAsia"/>
          <w:kern w:val="0"/>
          <w:szCs w:val="21"/>
        </w:rPr>
        <w:t>（3）</w:t>
      </w:r>
      <w:r w:rsidR="00FA7BE2" w:rsidRPr="00FA7BE2">
        <w:rPr>
          <w:rFonts w:asciiTheme="minorEastAsia" w:eastAsiaTheme="minorEastAsia" w:hAnsiTheme="minorEastAsia"/>
        </w:rPr>
        <w:t>本基金历任基金经理情况：林海，管理时间为2008年1月29日至2008年6月30日；马喜德，管理时间为2008年7月1日至2012年2月28日。</w:t>
      </w:r>
    </w:p>
    <w:p w:rsidR="003D59C8" w:rsidRPr="00FA7BE2" w:rsidRDefault="003D59C8" w:rsidP="000D2AA7">
      <w:pPr>
        <w:rPr>
          <w:rFonts w:asciiTheme="minorEastAsia" w:eastAsiaTheme="minorEastAsia" w:hAnsiTheme="minorEastAsia"/>
        </w:rPr>
      </w:pPr>
    </w:p>
    <w:p w:rsidR="00D21CF5" w:rsidRPr="00FA7BE2" w:rsidRDefault="003D59C8" w:rsidP="00D21CF5">
      <w:pPr>
        <w:pStyle w:val="1"/>
        <w:snapToGrid w:val="0"/>
        <w:spacing w:beforeLines="0" w:afterLines="0" w:line="360" w:lineRule="auto"/>
        <w:ind w:firstLine="640"/>
        <w:rPr>
          <w:rFonts w:asciiTheme="minorEastAsia" w:eastAsiaTheme="minorEastAsia" w:hAnsiTheme="minorEastAsia"/>
        </w:rPr>
      </w:pPr>
      <w:r w:rsidRPr="00FA7BE2">
        <w:rPr>
          <w:rFonts w:asciiTheme="minorEastAsia" w:eastAsiaTheme="minorEastAsia" w:hAnsiTheme="minorEastAsia"/>
        </w:rPr>
        <w:br w:type="page"/>
      </w:r>
      <w:bookmarkStart w:id="82" w:name="_Toc75869993"/>
      <w:r w:rsidR="00D21CF5" w:rsidRPr="00FA7BE2">
        <w:rPr>
          <w:rFonts w:asciiTheme="minorEastAsia" w:eastAsiaTheme="minorEastAsia" w:hAnsiTheme="minorEastAsia" w:hint="eastAsia"/>
          <w:b/>
        </w:rPr>
        <w:lastRenderedPageBreak/>
        <w:t>十二、基金的财产</w:t>
      </w:r>
      <w:bookmarkEnd w:id="82"/>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3" w:name="_Toc75869994"/>
      <w:r w:rsidRPr="00FA7BE2">
        <w:rPr>
          <w:rFonts w:asciiTheme="minorEastAsia" w:eastAsiaTheme="minorEastAsia" w:hAnsiTheme="minorEastAsia" w:hint="eastAsia"/>
        </w:rPr>
        <w:t>（一）基金财产构成</w:t>
      </w:r>
      <w:bookmarkEnd w:id="83"/>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rPr>
        <w:t>基金</w:t>
      </w:r>
      <w:r w:rsidRPr="00FA7BE2">
        <w:rPr>
          <w:rFonts w:asciiTheme="minorEastAsia" w:eastAsiaTheme="minorEastAsia" w:hAnsiTheme="minorEastAsia" w:hint="eastAsia"/>
        </w:rPr>
        <w:t>资</w:t>
      </w:r>
      <w:r w:rsidRPr="00FA7BE2">
        <w:rPr>
          <w:rFonts w:asciiTheme="minorEastAsia" w:eastAsiaTheme="minorEastAsia" w:hAnsiTheme="minorEastAsia"/>
        </w:rPr>
        <w:t>产总值是指基金</w:t>
      </w:r>
      <w:r w:rsidRPr="00FA7BE2">
        <w:rPr>
          <w:rFonts w:asciiTheme="minorEastAsia" w:eastAsiaTheme="minorEastAsia" w:hAnsiTheme="minorEastAsia" w:hint="eastAsia"/>
        </w:rPr>
        <w:t>所购买的各类证券价值、银行存款本息和基金应收的款项以及其他投资所形成的价值总和。基金资产净值是指基金资产总值减去负债后的价值。</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4" w:name="_Toc75869995"/>
      <w:r w:rsidRPr="00FA7BE2">
        <w:rPr>
          <w:rFonts w:asciiTheme="minorEastAsia" w:eastAsiaTheme="minorEastAsia" w:hAnsiTheme="minorEastAsia" w:hint="eastAsia"/>
        </w:rPr>
        <w:t>（二）基金财产的账户</w:t>
      </w:r>
      <w:bookmarkEnd w:id="84"/>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本基金需按有关规定开立基金专用银行存款账户以及证券账户，</w:t>
      </w:r>
      <w:r w:rsidRPr="00FA7BE2">
        <w:rPr>
          <w:rFonts w:asciiTheme="minorEastAsia" w:eastAsiaTheme="minorEastAsia" w:hAnsiTheme="minorEastAsia"/>
        </w:rPr>
        <w:t>与基金管理人、基金托管人自有的</w:t>
      </w:r>
      <w:r w:rsidRPr="00FA7BE2">
        <w:rPr>
          <w:rFonts w:asciiTheme="minorEastAsia" w:eastAsiaTheme="minorEastAsia" w:hAnsiTheme="minorEastAsia" w:hint="eastAsia"/>
        </w:rPr>
        <w:t>财</w:t>
      </w:r>
      <w:r w:rsidRPr="00FA7BE2">
        <w:rPr>
          <w:rFonts w:asciiTheme="minorEastAsia" w:eastAsiaTheme="minorEastAsia" w:hAnsiTheme="minorEastAsia"/>
        </w:rPr>
        <w:t>产账户以及其它基金</w:t>
      </w:r>
      <w:r w:rsidRPr="00FA7BE2">
        <w:rPr>
          <w:rFonts w:asciiTheme="minorEastAsia" w:eastAsiaTheme="minorEastAsia" w:hAnsiTheme="minorEastAsia" w:hint="eastAsia"/>
        </w:rPr>
        <w:t>财</w:t>
      </w:r>
      <w:r w:rsidRPr="00FA7BE2">
        <w:rPr>
          <w:rFonts w:asciiTheme="minorEastAsia" w:eastAsiaTheme="minorEastAsia" w:hAnsiTheme="minorEastAsia"/>
        </w:rPr>
        <w:t>产账户相互独立。</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5" w:name="_Toc75869996"/>
      <w:r w:rsidRPr="00FA7BE2">
        <w:rPr>
          <w:rFonts w:asciiTheme="minorEastAsia" w:eastAsiaTheme="minorEastAsia" w:hAnsiTheme="minorEastAsia" w:hint="eastAsia"/>
        </w:rPr>
        <w:t>（三）基金财产的保管与处分</w:t>
      </w:r>
      <w:bookmarkEnd w:id="85"/>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本基金财产独立于基金管理人、基金托管人的固有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D21CF5" w:rsidRPr="00FA7BE2" w:rsidRDefault="00D21CF5" w:rsidP="00D21CF5">
      <w:pPr>
        <w:snapToGrid w:val="0"/>
        <w:spacing w:line="360" w:lineRule="auto"/>
        <w:ind w:firstLine="480"/>
        <w:rPr>
          <w:rFonts w:asciiTheme="minorEastAsia" w:eastAsiaTheme="minorEastAsia" w:hAnsiTheme="minorEastAsia"/>
          <w:kern w:val="0"/>
        </w:rPr>
      </w:pPr>
      <w:r w:rsidRPr="00FA7BE2">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基金管理人管理运作基金财产所产生的债权，不得与其固有资产产生的债务相互抵消；基金管理人管理运作不同基金的基金财产所产生的债权债务不得相互抵消。</w:t>
      </w:r>
    </w:p>
    <w:p w:rsidR="00D21CF5" w:rsidRPr="00FA7BE2" w:rsidRDefault="00D21CF5" w:rsidP="00D21CF5">
      <w:pPr>
        <w:pStyle w:val="af3"/>
        <w:snapToGrid w:val="0"/>
        <w:spacing w:line="360" w:lineRule="auto"/>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86" w:name="_Toc75869997"/>
      <w:r w:rsidRPr="00FA7BE2">
        <w:rPr>
          <w:rFonts w:asciiTheme="minorEastAsia" w:eastAsiaTheme="minorEastAsia" w:hAnsiTheme="minorEastAsia" w:hint="eastAsia"/>
          <w:b/>
        </w:rPr>
        <w:lastRenderedPageBreak/>
        <w:t>十三、基金资产估值</w:t>
      </w:r>
      <w:bookmarkEnd w:id="86"/>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7" w:name="_Toc182826385"/>
      <w:bookmarkStart w:id="88" w:name="_Toc75869998"/>
      <w:r w:rsidRPr="00FA7BE2">
        <w:rPr>
          <w:rFonts w:asciiTheme="minorEastAsia" w:eastAsiaTheme="minorEastAsia" w:hAnsiTheme="minorEastAsia" w:hint="eastAsia"/>
        </w:rPr>
        <w:t>（一）估值目的</w:t>
      </w:r>
      <w:bookmarkEnd w:id="87"/>
      <w:bookmarkEnd w:id="88"/>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9" w:name="_Toc182826386"/>
      <w:bookmarkStart w:id="90" w:name="_Toc75869999"/>
      <w:r w:rsidRPr="00FA7BE2">
        <w:rPr>
          <w:rFonts w:asciiTheme="minorEastAsia" w:eastAsiaTheme="minorEastAsia" w:hAnsiTheme="minorEastAsia" w:hint="eastAsia"/>
        </w:rPr>
        <w:t>（二）估值日</w:t>
      </w:r>
      <w:bookmarkEnd w:id="89"/>
      <w:bookmarkEnd w:id="90"/>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本基金的估值日为上海和深圳证券交易所的交易日以及国家法律法规规定需要对外披露基金净值的非营业日。</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91" w:name="_Toc182826387"/>
      <w:bookmarkStart w:id="92" w:name="_Toc75870000"/>
      <w:r w:rsidRPr="00FA7BE2">
        <w:rPr>
          <w:rFonts w:asciiTheme="minorEastAsia" w:eastAsiaTheme="minorEastAsia" w:hAnsiTheme="minorEastAsia" w:hint="eastAsia"/>
        </w:rPr>
        <w:t>（三）估值对象</w:t>
      </w:r>
      <w:bookmarkEnd w:id="91"/>
      <w:bookmarkEnd w:id="92"/>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基金所持有的金融资产和金融负债</w:t>
      </w:r>
      <w:r w:rsidRPr="00FA7BE2">
        <w:rPr>
          <w:rFonts w:asciiTheme="minorEastAsia" w:eastAsiaTheme="minorEastAsia" w:hAnsiTheme="minorEastAsia"/>
          <w:szCs w:val="21"/>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93" w:name="_Toc182826388"/>
      <w:bookmarkStart w:id="94" w:name="_Toc75870001"/>
      <w:r w:rsidRPr="00FA7BE2">
        <w:rPr>
          <w:rFonts w:asciiTheme="minorEastAsia" w:eastAsiaTheme="minorEastAsia" w:hAnsiTheme="minorEastAsia" w:hint="eastAsia"/>
        </w:rPr>
        <w:t>（四）估值方法</w:t>
      </w:r>
      <w:bookmarkEnd w:id="93"/>
      <w:bookmarkEnd w:id="94"/>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1、股票估值方法</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（1）上市流通股票的估值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上市流通股票按估值日其所在证券交易所的收盘价估值；估值日无交易的，以最近交易日的收盘价估值。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（2）未上市股票的估值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送股、转增股、配股和公开增发新股等发行未上市的股票，按估值日在交易所挂牌的同一股票的收盘价估值；估值日无交易的，以最近交易日的收盘价估值。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首次发行未上市的股票，采用估值技术确定公允价值，在估值技术难以可靠计量的情况下，按成本估值。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（3）有明确锁定期股票的估值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2、固定收益证券的估值办法</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（1）证券交易所市场实行净价交易的债券按估值日收盘净价估值，估值日没有交易的，按最近交易日的收盘净价估值。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（2）证券交易所市场未实行净价交易的债券按估值日收盘价减去债券收盘价中所含的债券应收利息得到的净价进行估值，估值日没有交易的，按有交易的最近交易日所采用的净价估值。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（3）未上市债券采用估值技术确定公允价值，在估值技术难以可靠计量的情况下，按成本估值。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（4）在银行间债券市场交易的债券、资产支持证券等固定收益品种，采用估值技术确</w:t>
      </w:r>
      <w:r w:rsidRPr="00FA7BE2">
        <w:rPr>
          <w:rFonts w:asciiTheme="minorEastAsia" w:eastAsiaTheme="minorEastAsia" w:hAnsiTheme="minorEastAsia" w:hint="eastAsia"/>
          <w:szCs w:val="21"/>
        </w:rPr>
        <w:lastRenderedPageBreak/>
        <w:t>定公允价值。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（5）交易所以大宗交易方式转让的资产支持证券，采用估值技术确定公允价值，在估值技术难以可靠计量公允价值的情况下，按成本进行后续计量。</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（6）同一债券同时在两个或两个以上市场交易的，按债券所处的市场分别估值。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3、权证估值：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（1）配股权证的估值：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因持有股票而享有的配股权，采用估值技术进行估值。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（2）认沽/认购权证的估值：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4、其他资产按国家有关规定进行估值。</w:t>
      </w:r>
    </w:p>
    <w:p w:rsidR="00FF411D" w:rsidRPr="00FA7BE2" w:rsidRDefault="00D21CF5" w:rsidP="00FF411D">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5、</w:t>
      </w:r>
      <w:r w:rsidR="00FF411D" w:rsidRPr="00FA7BE2">
        <w:rPr>
          <w:rFonts w:asciiTheme="minorEastAsia" w:eastAsiaTheme="minorEastAsia" w:hAnsiTheme="minorEastAsia" w:hint="eastAsia"/>
          <w:szCs w:val="21"/>
        </w:rPr>
        <w:t>本基金投资存托凭证的估值核算，依照境内上市交易的股票执行。</w:t>
      </w:r>
    </w:p>
    <w:p w:rsidR="00D21CF5" w:rsidRPr="00FA7BE2" w:rsidRDefault="00FF411D" w:rsidP="00FF411D">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w:t>
      </w:r>
      <w:r w:rsidR="00D21CF5" w:rsidRPr="00FA7BE2">
        <w:rPr>
          <w:rFonts w:asciiTheme="minorEastAsia" w:eastAsiaTheme="minorEastAsia" w:hAnsiTheme="minorEastAsia" w:hint="eastAsia"/>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D21CF5" w:rsidRPr="00FA7BE2" w:rsidRDefault="00FF411D" w:rsidP="00D21CF5">
      <w:pPr>
        <w:pStyle w:val="23"/>
        <w:snapToGrid w:val="0"/>
        <w:spacing w:before="0" w:beforeAutospacing="0" w:after="0" w:afterAutospacing="0"/>
        <w:ind w:firstLine="420"/>
        <w:rPr>
          <w:rFonts w:asciiTheme="minorEastAsia" w:eastAsiaTheme="minorEastAsia" w:hAnsiTheme="minorEastAsia"/>
          <w:szCs w:val="21"/>
        </w:rPr>
      </w:pPr>
      <w:r w:rsidRPr="00FA7BE2">
        <w:rPr>
          <w:rFonts w:asciiTheme="minorEastAsia" w:eastAsiaTheme="minorEastAsia" w:hAnsiTheme="minorEastAsia" w:hint="eastAsia"/>
          <w:szCs w:val="21"/>
        </w:rPr>
        <w:t>7</w:t>
      </w:r>
      <w:r w:rsidR="00D21CF5" w:rsidRPr="00FA7BE2">
        <w:rPr>
          <w:rFonts w:asciiTheme="minorEastAsia" w:eastAsiaTheme="minorEastAsia" w:hAnsiTheme="minorEastAsia" w:hint="eastAsia"/>
          <w:szCs w:val="21"/>
        </w:rPr>
        <w:t>、国家有最新规定的，按其规定进行估值。</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95" w:name="_Toc182826389"/>
      <w:bookmarkStart w:id="96" w:name="_Toc75870002"/>
      <w:r w:rsidRPr="00FA7BE2">
        <w:rPr>
          <w:rFonts w:asciiTheme="minorEastAsia" w:eastAsiaTheme="minorEastAsia" w:hAnsiTheme="minorEastAsia" w:hint="eastAsia"/>
        </w:rPr>
        <w:t>（五）估值程序</w:t>
      </w:r>
      <w:bookmarkEnd w:id="95"/>
      <w:bookmarkEnd w:id="96"/>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基金日常估值由基金管理人同基金托管人一同进行。</w:t>
      </w:r>
      <w:r w:rsidR="00D83876" w:rsidRPr="00FA7BE2">
        <w:rPr>
          <w:rFonts w:asciiTheme="minorEastAsia" w:eastAsiaTheme="minorEastAsia" w:hAnsiTheme="minorEastAsia" w:hint="eastAsia"/>
          <w:szCs w:val="21"/>
        </w:rPr>
        <w:t>各类</w:t>
      </w:r>
      <w:r w:rsidRPr="00FA7BE2">
        <w:rPr>
          <w:rFonts w:asciiTheme="minorEastAsia" w:eastAsiaTheme="minorEastAsia" w:hAnsiTheme="minorEastAsia" w:hint="eastAsia"/>
          <w:szCs w:val="21"/>
        </w:rPr>
        <w:t>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97" w:name="_Toc182826390"/>
      <w:bookmarkStart w:id="98" w:name="_Toc75870003"/>
      <w:r w:rsidRPr="00FA7BE2">
        <w:rPr>
          <w:rFonts w:asciiTheme="minorEastAsia" w:eastAsiaTheme="minorEastAsia" w:hAnsiTheme="minorEastAsia" w:hint="eastAsia"/>
        </w:rPr>
        <w:t>（六）暂停估值的情形</w:t>
      </w:r>
      <w:bookmarkEnd w:id="97"/>
      <w:bookmarkEnd w:id="98"/>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1、基金投资所涉及的证券交易所遇法定节假日或因其他原因暂停营业时；</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2、因不可抗力或其他情形致使基金管理人、基金托管人无法准确评估基金财产价值时；</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szCs w:val="21"/>
        </w:rPr>
      </w:pPr>
      <w:r w:rsidRPr="00FA7BE2">
        <w:rPr>
          <w:rFonts w:asciiTheme="minorEastAsia" w:eastAsiaTheme="minorEastAsia" w:hAnsiTheme="minorEastAsia" w:hint="eastAsia"/>
          <w:szCs w:val="21"/>
        </w:rPr>
        <w:t>3、</w:t>
      </w:r>
      <w:r w:rsidR="003349D9" w:rsidRPr="00FA7BE2">
        <w:rPr>
          <w:rFonts w:asciiTheme="minorEastAsia" w:eastAsiaTheme="minorEastAsia" w:hAnsiTheme="minorEastAsia" w:hint="eastAsia"/>
          <w:szCs w:val="21"/>
        </w:rPr>
        <w:t>当特定资产占前一估值日基金资产净值50%以上的，经与基金托管人协商确认后，基金管理人应当暂停估值；</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4</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中国证监会认定的其他情形。</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99" w:name="_Toc182826391"/>
      <w:bookmarkStart w:id="100" w:name="_Toc75870004"/>
      <w:r w:rsidRPr="00FA7BE2">
        <w:rPr>
          <w:rFonts w:asciiTheme="minorEastAsia" w:eastAsiaTheme="minorEastAsia" w:hAnsiTheme="minorEastAsia" w:hint="eastAsia"/>
        </w:rPr>
        <w:t>（七）基金份额净值的确认</w:t>
      </w:r>
      <w:bookmarkEnd w:id="99"/>
      <w:bookmarkEnd w:id="100"/>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用于基金信息披露的</w:t>
      </w:r>
      <w:r w:rsidR="00D83876" w:rsidRPr="00FA7BE2">
        <w:rPr>
          <w:rFonts w:asciiTheme="minorEastAsia" w:eastAsiaTheme="minorEastAsia" w:hAnsiTheme="minorEastAsia" w:hint="eastAsia"/>
          <w:szCs w:val="21"/>
        </w:rPr>
        <w:t>各类</w:t>
      </w:r>
      <w:r w:rsidRPr="00FA7BE2">
        <w:rPr>
          <w:rFonts w:asciiTheme="minorEastAsia" w:eastAsiaTheme="minorEastAsia" w:hAnsiTheme="minorEastAsia" w:hint="eastAsia"/>
          <w:szCs w:val="21"/>
        </w:rPr>
        <w:t>基金份额净值由基金管理人负责计算，基金托管人进行复核。</w:t>
      </w:r>
      <w:r w:rsidRPr="00FA7BE2">
        <w:rPr>
          <w:rFonts w:asciiTheme="minorEastAsia" w:eastAsiaTheme="minorEastAsia" w:hAnsiTheme="minorEastAsia" w:hint="eastAsia"/>
          <w:szCs w:val="21"/>
        </w:rPr>
        <w:lastRenderedPageBreak/>
        <w:t>基金管理人应于每个工作日交易结束后计算当日的</w:t>
      </w:r>
      <w:r w:rsidR="00D83876" w:rsidRPr="00FA7BE2">
        <w:rPr>
          <w:rFonts w:asciiTheme="minorEastAsia" w:eastAsiaTheme="minorEastAsia" w:hAnsiTheme="minorEastAsia" w:hint="eastAsia"/>
          <w:szCs w:val="21"/>
        </w:rPr>
        <w:t>各类</w:t>
      </w:r>
      <w:r w:rsidRPr="00FA7BE2">
        <w:rPr>
          <w:rFonts w:asciiTheme="minorEastAsia" w:eastAsiaTheme="minorEastAsia" w:hAnsiTheme="minorEastAsia" w:hint="eastAsia"/>
          <w:szCs w:val="21"/>
        </w:rPr>
        <w:t>基金份额净值并发送给基金托管人。基金托管人对净值计算结果复核确认后发送给基金管理人，由基金管理人对基金份额净值予以公布。</w:t>
      </w:r>
    </w:p>
    <w:p w:rsidR="00D21CF5" w:rsidRPr="00FA7BE2" w:rsidRDefault="00D83876"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各类</w:t>
      </w:r>
      <w:r w:rsidR="00D21CF5" w:rsidRPr="00FA7BE2">
        <w:rPr>
          <w:rFonts w:asciiTheme="minorEastAsia" w:eastAsiaTheme="minorEastAsia" w:hAnsiTheme="minorEastAsia" w:hint="eastAsia"/>
          <w:szCs w:val="21"/>
        </w:rPr>
        <w:t>基金份额净值的计算精确到0.0001元，小数点后第五位四舍五入。国家另有规定的，从其规定。</w:t>
      </w:r>
      <w:r w:rsidRPr="00FA7BE2">
        <w:rPr>
          <w:rFonts w:asciiTheme="minorEastAsia" w:eastAsiaTheme="minorEastAsia" w:hAnsiTheme="minorEastAsia" w:hint="eastAsia"/>
          <w:szCs w:val="21"/>
        </w:rPr>
        <w:t>本基金各类基金份额将分别计算基金份额净值。</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01" w:name="_Toc182826392"/>
      <w:bookmarkStart w:id="102" w:name="_Toc75870005"/>
      <w:r w:rsidRPr="00FA7BE2">
        <w:rPr>
          <w:rFonts w:asciiTheme="minorEastAsia" w:eastAsiaTheme="minorEastAsia" w:hAnsiTheme="minorEastAsia" w:hint="eastAsia"/>
        </w:rPr>
        <w:t>（八）估值错误的处理</w:t>
      </w:r>
      <w:bookmarkEnd w:id="101"/>
      <w:bookmarkEnd w:id="102"/>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1、当基金资产的估值导致基金份额净值小数点后四位（含第四位）内发生差错时，视为基金份额净值估值错误。</w:t>
      </w:r>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3、前述内容如法律法规或监管机构另有规定的，按其规定处理。</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03" w:name="_Toc182826393"/>
      <w:bookmarkStart w:id="104" w:name="_Toc75870006"/>
      <w:r w:rsidRPr="00FA7BE2">
        <w:rPr>
          <w:rFonts w:asciiTheme="minorEastAsia" w:eastAsiaTheme="minorEastAsia" w:hAnsiTheme="minorEastAsia" w:hint="eastAsia"/>
        </w:rPr>
        <w:t>（九）特殊情形的处理</w:t>
      </w:r>
      <w:bookmarkEnd w:id="103"/>
      <w:bookmarkEnd w:id="104"/>
    </w:p>
    <w:p w:rsidR="00D21CF5" w:rsidRPr="00FA7BE2" w:rsidRDefault="00D21CF5" w:rsidP="00D21CF5">
      <w:pPr>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1、基金管理人按本条第（四）款有关估值方法规定的第5项条款进行估值时，所造成的误差不作为基金份额净值错误处理。</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3349D9" w:rsidRPr="00FA7BE2" w:rsidRDefault="003349D9" w:rsidP="003349D9">
      <w:pPr>
        <w:spacing w:line="360" w:lineRule="auto"/>
        <w:ind w:firstLineChars="225" w:firstLine="473"/>
        <w:rPr>
          <w:rFonts w:asciiTheme="minorEastAsia" w:eastAsiaTheme="minorEastAsia" w:hAnsiTheme="minorEastAsia"/>
          <w:szCs w:val="21"/>
        </w:rPr>
      </w:pPr>
    </w:p>
    <w:p w:rsidR="003349D9" w:rsidRPr="00FA7BE2" w:rsidRDefault="003349D9" w:rsidP="000D2AA7">
      <w:pPr>
        <w:pStyle w:val="21"/>
        <w:snapToGrid w:val="0"/>
        <w:spacing w:beforeLines="0" w:afterLines="0" w:line="360" w:lineRule="auto"/>
        <w:ind w:firstLine="562"/>
        <w:rPr>
          <w:rFonts w:asciiTheme="minorEastAsia" w:eastAsiaTheme="minorEastAsia" w:hAnsiTheme="minorEastAsia"/>
          <w:szCs w:val="21"/>
        </w:rPr>
      </w:pPr>
      <w:bookmarkStart w:id="105" w:name="_Toc75870007"/>
      <w:r w:rsidRPr="00FA7BE2">
        <w:rPr>
          <w:rFonts w:asciiTheme="minorEastAsia" w:eastAsiaTheme="minorEastAsia" w:hAnsiTheme="minorEastAsia" w:hint="eastAsia"/>
          <w:szCs w:val="21"/>
        </w:rPr>
        <w:t>（十）实施侧袋</w:t>
      </w:r>
      <w:r w:rsidRPr="00FA7BE2">
        <w:rPr>
          <w:rFonts w:asciiTheme="minorEastAsia" w:eastAsiaTheme="minorEastAsia" w:hAnsiTheme="minorEastAsia" w:hint="eastAsia"/>
        </w:rPr>
        <w:t>机制</w:t>
      </w:r>
      <w:r w:rsidRPr="00FA7BE2">
        <w:rPr>
          <w:rFonts w:asciiTheme="minorEastAsia" w:eastAsiaTheme="minorEastAsia" w:hAnsiTheme="minorEastAsia" w:hint="eastAsia"/>
          <w:szCs w:val="21"/>
        </w:rPr>
        <w:t>期间的基金资产估值</w:t>
      </w:r>
      <w:bookmarkEnd w:id="105"/>
    </w:p>
    <w:p w:rsidR="00D21CF5" w:rsidRPr="00FA7BE2" w:rsidRDefault="003349D9" w:rsidP="003349D9">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szCs w:val="21"/>
        </w:rPr>
        <w:t>本基金实施侧袋机制的，应根据本部分的约定对主袋账户资产进行估值并披露主袋账户的基金资产净值和份额净值，暂停披露侧袋账户份额净值。</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b/>
        </w:rPr>
      </w:pPr>
      <w:bookmarkStart w:id="106" w:name="_Toc75870008"/>
      <w:r w:rsidRPr="00FA7BE2">
        <w:rPr>
          <w:rFonts w:asciiTheme="minorEastAsia" w:eastAsiaTheme="minorEastAsia" w:hAnsiTheme="minorEastAsia" w:hint="eastAsia"/>
          <w:b/>
        </w:rPr>
        <w:t>十四、基金的收益与分配</w:t>
      </w:r>
      <w:bookmarkEnd w:id="106"/>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07" w:name="_Toc75870009"/>
      <w:r w:rsidRPr="00FA7BE2">
        <w:rPr>
          <w:rFonts w:asciiTheme="minorEastAsia" w:eastAsiaTheme="minorEastAsia" w:hAnsiTheme="minorEastAsia" w:hint="eastAsia"/>
        </w:rPr>
        <w:t>（一）收益的构成</w:t>
      </w:r>
      <w:bookmarkEnd w:id="107"/>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基金收益包括：基金投资所得红利、股息、债券利息收入、买卖证券差价收入、银行存款利息以及其他收入。因运用基金资产带来的成本或费用的节约计入收益。</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基金净收益为基金收益扣除按照有关规定可以在基金收益中扣除的费用等项目后的余额。</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08" w:name="_Toc75870010"/>
      <w:r w:rsidRPr="00FA7BE2">
        <w:rPr>
          <w:rFonts w:asciiTheme="minorEastAsia" w:eastAsiaTheme="minorEastAsia" w:hAnsiTheme="minorEastAsia" w:hint="eastAsia"/>
        </w:rPr>
        <w:t>（二）收益分配原则</w:t>
      </w:r>
      <w:bookmarkEnd w:id="108"/>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1、基金收益分配采用现金方式，投资者可选择获取现金红利或者将现金红利按红利发放日前一工作日的基金份额净值自动转为</w:t>
      </w:r>
      <w:r w:rsidR="002269BB" w:rsidRPr="00FA7BE2">
        <w:rPr>
          <w:rFonts w:asciiTheme="minorEastAsia" w:eastAsiaTheme="minorEastAsia" w:hAnsiTheme="minorEastAsia" w:hint="eastAsia"/>
        </w:rPr>
        <w:t>对应类别的</w:t>
      </w:r>
      <w:r w:rsidRPr="00FA7BE2">
        <w:rPr>
          <w:rFonts w:asciiTheme="minorEastAsia" w:eastAsiaTheme="minorEastAsia" w:hAnsiTheme="minorEastAsia" w:hint="eastAsia"/>
        </w:rPr>
        <w:t>基金份额进行再投资（下称“再投资方式”）；如果投资者没有明示选择，则视为现金方式；</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2、</w:t>
      </w:r>
      <w:r w:rsidR="002269BB" w:rsidRPr="00FA7BE2">
        <w:rPr>
          <w:rFonts w:asciiTheme="minorEastAsia" w:eastAsiaTheme="minorEastAsia" w:hAnsiTheme="minorEastAsia" w:hint="eastAsia"/>
        </w:rPr>
        <w:t>本基金各基金份额类别在费用收取上不同，其对应的可分配收益可能有所不同。</w:t>
      </w:r>
      <w:r w:rsidRPr="00FA7BE2">
        <w:rPr>
          <w:rFonts w:asciiTheme="minorEastAsia" w:eastAsiaTheme="minorEastAsia" w:hAnsiTheme="minorEastAsia" w:hint="eastAsia"/>
        </w:rPr>
        <w:t>同一</w:t>
      </w:r>
      <w:r w:rsidR="00CD39BB" w:rsidRPr="00FA7BE2">
        <w:rPr>
          <w:rFonts w:asciiTheme="minorEastAsia" w:eastAsiaTheme="minorEastAsia" w:hAnsiTheme="minorEastAsia" w:hint="eastAsia"/>
        </w:rPr>
        <w:t>类别</w:t>
      </w:r>
      <w:r w:rsidRPr="00FA7BE2">
        <w:rPr>
          <w:rFonts w:asciiTheme="minorEastAsia" w:eastAsiaTheme="minorEastAsia" w:hAnsiTheme="minorEastAsia" w:hint="eastAsia"/>
        </w:rPr>
        <w:t>基金份额享有同等分配权；</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3、基金当期收益先弥补上期亏损后，方可进行当期收益分配；</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4、基金收益分配后每基金份额净值不能低于面值；</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5、如果基金投资当期出现亏损，则不进行收益分配；</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6、在符合有关基金分红条件的前提下，本基金每年收益分配次数最多为12次，全年分配比例不低于可分配收益的60%，不足部分于次年补足；若基金合同生效不满3个月可不进行收益分配。</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7、</w:t>
      </w:r>
      <w:r w:rsidRPr="00FA7BE2">
        <w:rPr>
          <w:rFonts w:asciiTheme="minorEastAsia" w:eastAsiaTheme="minorEastAsia" w:hAnsiTheme="minorEastAsia"/>
        </w:rPr>
        <w:t>法律法规或监管机关另有规定的，从其规定。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09" w:name="_Toc75870011"/>
      <w:r w:rsidRPr="00FA7BE2">
        <w:rPr>
          <w:rFonts w:asciiTheme="minorEastAsia" w:eastAsiaTheme="minorEastAsia" w:hAnsiTheme="minorEastAsia" w:hint="eastAsia"/>
        </w:rPr>
        <w:t>（三）</w:t>
      </w:r>
      <w:bookmarkStart w:id="110" w:name="_Toc79236610"/>
      <w:r w:rsidRPr="00FA7BE2">
        <w:rPr>
          <w:rFonts w:asciiTheme="minorEastAsia" w:eastAsiaTheme="minorEastAsia" w:hAnsiTheme="minorEastAsia" w:hint="eastAsia"/>
        </w:rPr>
        <w:t>收益分配方案</w:t>
      </w:r>
      <w:bookmarkEnd w:id="109"/>
      <w:bookmarkEnd w:id="110"/>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基金收益分配方案中载明基金收益分配对象、分配时间、分配数额、分配方式及有关手续费等内容。A、</w:t>
      </w:r>
      <w:r w:rsidR="00CD39BB" w:rsidRPr="00FA7BE2">
        <w:rPr>
          <w:rFonts w:asciiTheme="minorEastAsia" w:eastAsiaTheme="minorEastAsia" w:hAnsiTheme="minorEastAsia" w:hint="eastAsia"/>
        </w:rPr>
        <w:t>B</w:t>
      </w:r>
      <w:r w:rsidR="002269BB" w:rsidRPr="00FA7BE2">
        <w:rPr>
          <w:rFonts w:asciiTheme="minorEastAsia" w:eastAsiaTheme="minorEastAsia" w:hAnsiTheme="minorEastAsia" w:hint="eastAsia"/>
        </w:rPr>
        <w:t>、C类</w:t>
      </w:r>
      <w:r w:rsidRPr="00FA7BE2">
        <w:rPr>
          <w:rFonts w:asciiTheme="minorEastAsia" w:eastAsiaTheme="minorEastAsia" w:hAnsiTheme="minorEastAsia" w:hint="eastAsia"/>
        </w:rPr>
        <w:t>基金份额可以制订不同的基金收益分配方案。</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11" w:name="_Toc75870012"/>
      <w:r w:rsidRPr="00FA7BE2">
        <w:rPr>
          <w:rFonts w:asciiTheme="minorEastAsia" w:eastAsiaTheme="minorEastAsia" w:hAnsiTheme="minorEastAsia" w:hint="eastAsia"/>
        </w:rPr>
        <w:t>（四）收益分配的确定与公告</w:t>
      </w:r>
      <w:bookmarkEnd w:id="111"/>
    </w:p>
    <w:p w:rsidR="00D21CF5" w:rsidRPr="00FA7BE2" w:rsidRDefault="00D21CF5" w:rsidP="00D21CF5">
      <w:pPr>
        <w:pStyle w:val="a8"/>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本基金收益分配方案由基金管理人拟定、基金托管人复核，按有关规定公告。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12" w:name="_Toc75870013"/>
      <w:r w:rsidRPr="00FA7BE2">
        <w:rPr>
          <w:rFonts w:asciiTheme="minorEastAsia" w:eastAsiaTheme="minorEastAsia" w:hAnsiTheme="minorEastAsia" w:hint="eastAsia"/>
        </w:rPr>
        <w:t>（五）</w:t>
      </w:r>
      <w:r w:rsidRPr="00FA7BE2">
        <w:rPr>
          <w:rFonts w:asciiTheme="minorEastAsia" w:eastAsiaTheme="minorEastAsia" w:hAnsiTheme="minorEastAsia"/>
        </w:rPr>
        <w:t>收益分配中发生的费用</w:t>
      </w:r>
      <w:bookmarkEnd w:id="112"/>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rPr>
        <w:t>收益分配采用红利再投资方式免收再投资的费用。</w:t>
      </w:r>
    </w:p>
    <w:p w:rsidR="00D21CF5" w:rsidRPr="00FA7BE2" w:rsidRDefault="00D21CF5" w:rsidP="00D21CF5">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rPr>
        <w:t>2、收益分配时发生的银行转帐等手续费由基金份额持有人自行承担；</w:t>
      </w:r>
      <w:r w:rsidRPr="00FA7BE2">
        <w:rPr>
          <w:rFonts w:asciiTheme="minorEastAsia" w:eastAsiaTheme="minorEastAsia" w:hAnsiTheme="minorEastAsia"/>
        </w:rPr>
        <w:t>如果基金份额持有人所获现金红利不足支付前述银行</w:t>
      </w:r>
      <w:r w:rsidRPr="00FA7BE2">
        <w:rPr>
          <w:rFonts w:asciiTheme="minorEastAsia" w:eastAsiaTheme="minorEastAsia" w:hAnsiTheme="minorEastAsia" w:hint="eastAsia"/>
        </w:rPr>
        <w:t>转帐等</w:t>
      </w:r>
      <w:r w:rsidRPr="00FA7BE2">
        <w:rPr>
          <w:rFonts w:asciiTheme="minorEastAsia" w:eastAsiaTheme="minorEastAsia" w:hAnsiTheme="minorEastAsia"/>
        </w:rPr>
        <w:t>手续费，注册登记</w:t>
      </w:r>
      <w:r w:rsidRPr="00FA7BE2">
        <w:rPr>
          <w:rFonts w:asciiTheme="minorEastAsia" w:eastAsiaTheme="minorEastAsia" w:hAnsiTheme="minorEastAsia" w:hint="eastAsia"/>
        </w:rPr>
        <w:t>机构</w:t>
      </w:r>
      <w:r w:rsidRPr="00FA7BE2">
        <w:rPr>
          <w:rFonts w:asciiTheme="minorEastAsia" w:eastAsiaTheme="minorEastAsia" w:hAnsiTheme="minorEastAsia"/>
        </w:rPr>
        <w:t>自动将该基金份额持有人</w:t>
      </w:r>
      <w:r w:rsidRPr="00FA7BE2">
        <w:rPr>
          <w:rFonts w:asciiTheme="minorEastAsia" w:eastAsiaTheme="minorEastAsia" w:hAnsiTheme="minorEastAsia"/>
        </w:rPr>
        <w:lastRenderedPageBreak/>
        <w:t>的现金红利按红利发放日</w:t>
      </w:r>
      <w:r w:rsidRPr="00FA7BE2">
        <w:rPr>
          <w:rFonts w:asciiTheme="minorEastAsia" w:eastAsiaTheme="minorEastAsia" w:hAnsiTheme="minorEastAsia" w:hint="eastAsia"/>
        </w:rPr>
        <w:t>前一工作日</w:t>
      </w:r>
      <w:r w:rsidRPr="00FA7BE2">
        <w:rPr>
          <w:rFonts w:asciiTheme="minorEastAsia" w:eastAsiaTheme="minorEastAsia" w:hAnsiTheme="minorEastAsia"/>
        </w:rPr>
        <w:t>的基金份额净值转为</w:t>
      </w:r>
      <w:r w:rsidR="002269BB" w:rsidRPr="00FA7BE2">
        <w:rPr>
          <w:rFonts w:asciiTheme="minorEastAsia" w:eastAsiaTheme="minorEastAsia" w:hAnsiTheme="minorEastAsia" w:hint="eastAsia"/>
        </w:rPr>
        <w:t>对应类别的</w:t>
      </w:r>
      <w:r w:rsidRPr="00FA7BE2">
        <w:rPr>
          <w:rFonts w:asciiTheme="minorEastAsia" w:eastAsiaTheme="minorEastAsia" w:hAnsiTheme="minorEastAsia"/>
        </w:rPr>
        <w:t>基金份额。</w:t>
      </w:r>
    </w:p>
    <w:p w:rsidR="003349D9" w:rsidRPr="00FA7BE2" w:rsidRDefault="003349D9" w:rsidP="003349D9">
      <w:pPr>
        <w:spacing w:line="360" w:lineRule="auto"/>
        <w:ind w:firstLineChars="225" w:firstLine="473"/>
        <w:jc w:val="left"/>
        <w:rPr>
          <w:rFonts w:asciiTheme="minorEastAsia" w:eastAsiaTheme="minorEastAsia" w:hAnsiTheme="minorEastAsia"/>
          <w:szCs w:val="21"/>
        </w:rPr>
      </w:pPr>
    </w:p>
    <w:p w:rsidR="003349D9" w:rsidRPr="00FA7BE2" w:rsidRDefault="003349D9" w:rsidP="000D2AA7">
      <w:pPr>
        <w:pStyle w:val="21"/>
        <w:snapToGrid w:val="0"/>
        <w:spacing w:beforeLines="0" w:afterLines="0" w:line="360" w:lineRule="auto"/>
        <w:ind w:firstLine="562"/>
        <w:rPr>
          <w:rFonts w:asciiTheme="minorEastAsia" w:eastAsiaTheme="minorEastAsia" w:hAnsiTheme="minorEastAsia"/>
          <w:szCs w:val="21"/>
        </w:rPr>
      </w:pPr>
      <w:bookmarkStart w:id="113" w:name="_Toc75870014"/>
      <w:r w:rsidRPr="00FA7BE2">
        <w:rPr>
          <w:rFonts w:asciiTheme="minorEastAsia" w:eastAsiaTheme="minorEastAsia" w:hAnsiTheme="minorEastAsia" w:hint="eastAsia"/>
          <w:szCs w:val="21"/>
        </w:rPr>
        <w:t>（六）实施侧袋机制期间的收益分配</w:t>
      </w:r>
      <w:bookmarkEnd w:id="113"/>
    </w:p>
    <w:p w:rsidR="003349D9" w:rsidRPr="00FA7BE2" w:rsidRDefault="003349D9" w:rsidP="003349D9">
      <w:pPr>
        <w:snapToGrid w:val="0"/>
        <w:spacing w:line="360" w:lineRule="auto"/>
        <w:ind w:firstLine="458"/>
        <w:rPr>
          <w:rFonts w:asciiTheme="minorEastAsia" w:eastAsiaTheme="minorEastAsia" w:hAnsiTheme="minorEastAsia"/>
        </w:rPr>
      </w:pPr>
      <w:r w:rsidRPr="00FA7BE2">
        <w:rPr>
          <w:rFonts w:asciiTheme="minorEastAsia" w:eastAsiaTheme="minorEastAsia" w:hAnsiTheme="minorEastAsia" w:hint="eastAsia"/>
          <w:szCs w:val="21"/>
        </w:rPr>
        <w:t>本基金实施侧袋机制的，侧袋账户不进行收益分配。</w:t>
      </w:r>
    </w:p>
    <w:p w:rsidR="003349D9" w:rsidRPr="00FA7BE2" w:rsidRDefault="003349D9">
      <w:pPr>
        <w:widowControl/>
        <w:jc w:val="left"/>
        <w:rPr>
          <w:rFonts w:asciiTheme="minorEastAsia" w:eastAsiaTheme="minorEastAsia" w:hAnsiTheme="minorEastAsia"/>
        </w:rPr>
      </w:pPr>
      <w:r w:rsidRPr="00FA7BE2">
        <w:rPr>
          <w:rFonts w:asciiTheme="minorEastAsia" w:eastAsiaTheme="minorEastAsia" w:hAnsiTheme="minorEastAsia"/>
        </w:rPr>
        <w:br w:type="page"/>
      </w:r>
    </w:p>
    <w:p w:rsidR="00D21CF5" w:rsidRPr="00FA7BE2" w:rsidRDefault="00D21CF5" w:rsidP="00D21CF5">
      <w:pPr>
        <w:snapToGrid w:val="0"/>
        <w:spacing w:line="360" w:lineRule="auto"/>
        <w:ind w:firstLineChars="200" w:firstLine="420"/>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14" w:name="_Toc75870015"/>
      <w:r w:rsidRPr="00FA7BE2">
        <w:rPr>
          <w:rFonts w:asciiTheme="minorEastAsia" w:eastAsiaTheme="minorEastAsia" w:hAnsiTheme="minorEastAsia" w:hint="eastAsia"/>
          <w:b/>
        </w:rPr>
        <w:t>十五、基金的费用与税收</w:t>
      </w:r>
      <w:bookmarkEnd w:id="114"/>
    </w:p>
    <w:p w:rsidR="00D21CF5" w:rsidRPr="00FA7BE2"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rPr>
      </w:pPr>
      <w:bookmarkStart w:id="115" w:name="_Toc75870016"/>
      <w:r w:rsidRPr="00FA7BE2">
        <w:rPr>
          <w:rFonts w:asciiTheme="minorEastAsia" w:eastAsiaTheme="minorEastAsia" w:hAnsiTheme="minorEastAsia" w:hint="eastAsia"/>
        </w:rPr>
        <w:t>（一）与基金运作有关的费用</w:t>
      </w:r>
      <w:bookmarkEnd w:id="115"/>
    </w:p>
    <w:p w:rsidR="00D21CF5" w:rsidRPr="00FA7BE2" w:rsidRDefault="00D21CF5" w:rsidP="00D21CF5">
      <w:pPr>
        <w:snapToGrid w:val="0"/>
        <w:spacing w:line="360" w:lineRule="auto"/>
        <w:ind w:firstLineChars="200" w:firstLine="422"/>
        <w:rPr>
          <w:rFonts w:asciiTheme="minorEastAsia" w:eastAsiaTheme="minorEastAsia" w:hAnsiTheme="minorEastAsia"/>
          <w:b/>
          <w:szCs w:val="21"/>
        </w:rPr>
      </w:pPr>
      <w:r w:rsidRPr="00FA7BE2">
        <w:rPr>
          <w:rFonts w:asciiTheme="minorEastAsia" w:eastAsiaTheme="minorEastAsia" w:hAnsiTheme="minorEastAsia" w:hint="eastAsia"/>
          <w:b/>
          <w:szCs w:val="21"/>
        </w:rPr>
        <w:t>1、基金费用的种类</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（1）基金管理人的管理费；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（2）基金托管人的托管费；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（3）基金销售服务费；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（4）基金合同生效后的信息披露费用；</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（5）基金份额持有人大会费用；</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（6）基金合同生效后的与基金相关的会计师费和律师费；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（7）证券交易费用；</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（8）资金汇划费；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（9）按照国家有关规定和本基金合同规定可以列入的其他费用。</w:t>
      </w:r>
    </w:p>
    <w:p w:rsidR="00D21CF5" w:rsidRPr="00FA7BE2" w:rsidRDefault="00D21CF5" w:rsidP="00D21CF5">
      <w:pPr>
        <w:autoSpaceDE w:val="0"/>
        <w:autoSpaceDN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法律法规另有规定时从其规定。</w:t>
      </w:r>
    </w:p>
    <w:p w:rsidR="00D21CF5" w:rsidRPr="00FA7BE2" w:rsidRDefault="00D21CF5" w:rsidP="00D21CF5">
      <w:pPr>
        <w:snapToGrid w:val="0"/>
        <w:spacing w:line="360" w:lineRule="auto"/>
        <w:ind w:firstLineChars="200" w:firstLine="422"/>
        <w:rPr>
          <w:rFonts w:asciiTheme="minorEastAsia" w:eastAsiaTheme="minorEastAsia" w:hAnsiTheme="minorEastAsia"/>
          <w:b/>
          <w:szCs w:val="21"/>
        </w:rPr>
      </w:pPr>
      <w:r w:rsidRPr="00FA7BE2">
        <w:rPr>
          <w:rFonts w:asciiTheme="minorEastAsia" w:eastAsiaTheme="minorEastAsia" w:hAnsiTheme="minorEastAsia" w:hint="eastAsia"/>
          <w:b/>
          <w:szCs w:val="21"/>
        </w:rPr>
        <w:t>2、基金费用计提方法、计提标准和支付方式</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（1）基金管理人的管理费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基金管理费按基金前一日的资产净值乘以</w:t>
      </w:r>
      <w:r w:rsidRPr="00FA7BE2">
        <w:rPr>
          <w:rFonts w:asciiTheme="minorEastAsia" w:eastAsiaTheme="minorEastAsia" w:hAnsiTheme="minorEastAsia" w:hint="eastAsia"/>
        </w:rPr>
        <w:t>0.6</w:t>
      </w:r>
      <w:r w:rsidRPr="00FA7BE2">
        <w:rPr>
          <w:rFonts w:asciiTheme="minorEastAsia" w:eastAsiaTheme="minorEastAsia" w:hAnsiTheme="minorEastAsia"/>
        </w:rPr>
        <w:t>%的管理费年费率来计算，具体计算方法如下：</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每日应付的基金管理费=前一日该基金资产净值×年管理费率÷</w:t>
      </w:r>
      <w:r w:rsidRPr="00FA7BE2">
        <w:rPr>
          <w:rFonts w:asciiTheme="minorEastAsia" w:eastAsiaTheme="minorEastAsia" w:hAnsiTheme="minorEastAsia" w:hint="eastAsia"/>
        </w:rPr>
        <w:t>当年天数</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rPr>
        <w:t>基金管理费每日计算，逐日累计至每个月月末，按月支付。基金管理人应于次月前两个工作日内向基金托管人发送基金管理费划付指令，基金托管人复核后于次日从基金资产中一次性支付给基金管理人。</w:t>
      </w:r>
    </w:p>
    <w:p w:rsidR="00D21CF5" w:rsidRPr="00FA7BE2" w:rsidRDefault="00D21CF5" w:rsidP="00D21CF5">
      <w:pPr>
        <w:autoSpaceDE w:val="0"/>
        <w:autoSpaceDN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（2）基金托管人的托管费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本基金的托管费按该基金前一日资产净值乘以</w:t>
      </w:r>
      <w:r w:rsidRPr="00FA7BE2">
        <w:rPr>
          <w:rFonts w:asciiTheme="minorEastAsia" w:eastAsiaTheme="minorEastAsia" w:hAnsiTheme="minorEastAsia" w:hint="eastAsia"/>
        </w:rPr>
        <w:t>0.2%</w:t>
      </w:r>
      <w:r w:rsidRPr="00FA7BE2">
        <w:rPr>
          <w:rFonts w:asciiTheme="minorEastAsia" w:eastAsiaTheme="minorEastAsia" w:hAnsiTheme="minorEastAsia"/>
        </w:rPr>
        <w:t>的托管费年费率来计算。计算方法如下：</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每日应支付的基金托管费=前一日该基金资产净值×年托管费率÷</w:t>
      </w:r>
      <w:r w:rsidRPr="00FA7BE2">
        <w:rPr>
          <w:rFonts w:asciiTheme="minorEastAsia" w:eastAsiaTheme="minorEastAsia" w:hAnsiTheme="minorEastAsia" w:hint="eastAsia"/>
        </w:rPr>
        <w:t>当年天数</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rPr>
        <w:t>基金托管费每日计算，逐日累计至每个月月末，按月支付。基金管理人应于次月前两个工作日内向基金托管人发送基金托管费划付指令，基金托管人复核后于次日从基金资产中一次性支付给基金托管人。</w:t>
      </w:r>
    </w:p>
    <w:p w:rsidR="00D21CF5" w:rsidRPr="00FA7BE2" w:rsidRDefault="00D21CF5" w:rsidP="00D21CF5">
      <w:pPr>
        <w:autoSpaceDE w:val="0"/>
        <w:autoSpaceDN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（3）基金的销售服务费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基金销售服务费用于</w:t>
      </w:r>
      <w:r w:rsidRPr="00FA7BE2">
        <w:rPr>
          <w:rFonts w:asciiTheme="minorEastAsia" w:eastAsiaTheme="minorEastAsia" w:hAnsiTheme="minorEastAsia" w:hint="eastAsia"/>
        </w:rPr>
        <w:t>支付销售机构佣金、基金的营销费用以及基金份额持有人服务费等</w:t>
      </w:r>
      <w:r w:rsidRPr="00FA7BE2">
        <w:rPr>
          <w:rFonts w:asciiTheme="minorEastAsia" w:eastAsiaTheme="minorEastAsia" w:hAnsiTheme="minorEastAsia"/>
        </w:rPr>
        <w:t>。</w:t>
      </w:r>
      <w:r w:rsidRPr="00FA7BE2">
        <w:rPr>
          <w:rFonts w:asciiTheme="minorEastAsia" w:eastAsiaTheme="minorEastAsia" w:hAnsiTheme="minorEastAsia" w:hint="eastAsia"/>
        </w:rPr>
        <w:t>本基金管理人将通过定期的审计和监察稽核监督基金销售服务费的支出和使用情况，确保其用于约定的用途。</w:t>
      </w:r>
      <w:r w:rsidRPr="00FA7BE2">
        <w:rPr>
          <w:rFonts w:asciiTheme="minorEastAsia" w:eastAsiaTheme="minorEastAsia" w:hAnsiTheme="minorEastAsia"/>
        </w:rPr>
        <w:t>在通常情况下，</w:t>
      </w:r>
      <w:r w:rsidRPr="00FA7BE2">
        <w:rPr>
          <w:rFonts w:asciiTheme="minorEastAsia" w:eastAsiaTheme="minorEastAsia" w:hAnsiTheme="minorEastAsia" w:hint="eastAsia"/>
        </w:rPr>
        <w:t>本基金</w:t>
      </w:r>
      <w:r w:rsidR="00CD39BB" w:rsidRPr="00FA7BE2">
        <w:rPr>
          <w:rFonts w:asciiTheme="minorEastAsia" w:eastAsiaTheme="minorEastAsia" w:hAnsiTheme="minorEastAsia"/>
        </w:rPr>
        <w:t>A类</w:t>
      </w:r>
      <w:r w:rsidRPr="00FA7BE2">
        <w:rPr>
          <w:rFonts w:asciiTheme="minorEastAsia" w:eastAsiaTheme="minorEastAsia" w:hAnsiTheme="minorEastAsia" w:hint="eastAsia"/>
        </w:rPr>
        <w:t>基金份额的销售服务年费率为</w:t>
      </w:r>
      <w:r w:rsidRPr="00FA7BE2">
        <w:rPr>
          <w:rFonts w:asciiTheme="minorEastAsia" w:eastAsiaTheme="minorEastAsia" w:hAnsiTheme="minorEastAsia"/>
        </w:rPr>
        <w:t>0.</w:t>
      </w:r>
      <w:r w:rsidRPr="00FA7BE2">
        <w:rPr>
          <w:rFonts w:asciiTheme="minorEastAsia" w:eastAsiaTheme="minorEastAsia" w:hAnsiTheme="minorEastAsia" w:hint="eastAsia"/>
        </w:rPr>
        <w:t>3</w:t>
      </w:r>
      <w:r w:rsidRPr="00FA7BE2">
        <w:rPr>
          <w:rFonts w:asciiTheme="minorEastAsia" w:eastAsiaTheme="minorEastAsia" w:hAnsiTheme="minorEastAsia"/>
        </w:rPr>
        <w:t>%</w:t>
      </w:r>
      <w:r w:rsidRPr="00FA7BE2">
        <w:rPr>
          <w:rFonts w:asciiTheme="minorEastAsia" w:eastAsiaTheme="minorEastAsia" w:hAnsiTheme="minorEastAsia" w:hint="eastAsia"/>
        </w:rPr>
        <w:t>，</w:t>
      </w:r>
      <w:r w:rsidR="00CD39BB" w:rsidRPr="00FA7BE2">
        <w:rPr>
          <w:rFonts w:asciiTheme="minorEastAsia" w:eastAsiaTheme="minorEastAsia" w:hAnsiTheme="minorEastAsia"/>
        </w:rPr>
        <w:t>B类</w:t>
      </w:r>
      <w:r w:rsidRPr="00FA7BE2">
        <w:rPr>
          <w:rFonts w:asciiTheme="minorEastAsia" w:eastAsiaTheme="minorEastAsia" w:hAnsiTheme="minorEastAsia" w:hint="eastAsia"/>
        </w:rPr>
        <w:t>基金</w:t>
      </w:r>
      <w:r w:rsidRPr="00FA7BE2">
        <w:rPr>
          <w:rFonts w:asciiTheme="minorEastAsia" w:eastAsiaTheme="minorEastAsia" w:hAnsiTheme="minorEastAsia" w:hint="eastAsia"/>
        </w:rPr>
        <w:lastRenderedPageBreak/>
        <w:t>份额不计提销售服务费</w:t>
      </w:r>
      <w:r w:rsidR="002269BB" w:rsidRPr="00FA7BE2">
        <w:rPr>
          <w:rFonts w:asciiTheme="minorEastAsia" w:eastAsiaTheme="minorEastAsia" w:hAnsiTheme="minorEastAsia" w:hint="eastAsia"/>
        </w:rPr>
        <w:t>，C类基金份额的销售服务年费率为0.28%</w:t>
      </w:r>
      <w:r w:rsidRPr="00FA7BE2">
        <w:rPr>
          <w:rFonts w:asciiTheme="minorEastAsia" w:eastAsiaTheme="minorEastAsia" w:hAnsiTheme="minorEastAsia" w:hint="eastAsia"/>
        </w:rPr>
        <w:t>。</w:t>
      </w:r>
    </w:p>
    <w:p w:rsidR="00D21CF5" w:rsidRPr="00FA7BE2" w:rsidRDefault="00CD39BB"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A类</w:t>
      </w:r>
      <w:r w:rsidR="002269BB" w:rsidRPr="00FA7BE2">
        <w:rPr>
          <w:rFonts w:asciiTheme="minorEastAsia" w:eastAsiaTheme="minorEastAsia" w:hAnsiTheme="minorEastAsia" w:hint="eastAsia"/>
        </w:rPr>
        <w:t>/C类</w:t>
      </w:r>
      <w:r w:rsidR="00D21CF5" w:rsidRPr="00FA7BE2">
        <w:rPr>
          <w:rFonts w:asciiTheme="minorEastAsia" w:eastAsiaTheme="minorEastAsia" w:hAnsiTheme="minorEastAsia" w:hint="eastAsia"/>
        </w:rPr>
        <w:t>基金份额的销售服务费计提的计算公式如下：</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每日应支付的</w:t>
      </w:r>
      <w:r w:rsidR="00CD39BB" w:rsidRPr="00FA7BE2">
        <w:rPr>
          <w:rFonts w:asciiTheme="minorEastAsia" w:eastAsiaTheme="minorEastAsia" w:hAnsiTheme="minorEastAsia" w:hint="eastAsia"/>
        </w:rPr>
        <w:t>A类</w:t>
      </w:r>
      <w:r w:rsidR="002269BB" w:rsidRPr="00FA7BE2">
        <w:rPr>
          <w:rFonts w:asciiTheme="minorEastAsia" w:eastAsiaTheme="minorEastAsia" w:hAnsiTheme="minorEastAsia" w:hint="eastAsia"/>
        </w:rPr>
        <w:t>/C类</w:t>
      </w:r>
      <w:r w:rsidRPr="00FA7BE2">
        <w:rPr>
          <w:rFonts w:asciiTheme="minorEastAsia" w:eastAsiaTheme="minorEastAsia" w:hAnsiTheme="minorEastAsia"/>
        </w:rPr>
        <w:t>基金</w:t>
      </w:r>
      <w:r w:rsidRPr="00FA7BE2">
        <w:rPr>
          <w:rFonts w:asciiTheme="minorEastAsia" w:eastAsiaTheme="minorEastAsia" w:hAnsiTheme="minorEastAsia" w:hint="eastAsia"/>
        </w:rPr>
        <w:t>销售服务</w:t>
      </w:r>
      <w:r w:rsidRPr="00FA7BE2">
        <w:rPr>
          <w:rFonts w:asciiTheme="minorEastAsia" w:eastAsiaTheme="minorEastAsia" w:hAnsiTheme="minorEastAsia"/>
        </w:rPr>
        <w:t>费</w:t>
      </w:r>
      <w:r w:rsidRPr="00FA7BE2">
        <w:rPr>
          <w:rFonts w:asciiTheme="minorEastAsia" w:eastAsiaTheme="minorEastAsia" w:hAnsiTheme="minorEastAsia" w:hint="eastAsia"/>
        </w:rPr>
        <w:t>＝前一日</w:t>
      </w:r>
      <w:r w:rsidR="00CD39BB" w:rsidRPr="00FA7BE2">
        <w:rPr>
          <w:rFonts w:asciiTheme="minorEastAsia" w:eastAsiaTheme="minorEastAsia" w:hAnsiTheme="minorEastAsia" w:hint="eastAsia"/>
        </w:rPr>
        <w:t>A类</w:t>
      </w:r>
      <w:r w:rsidR="002269BB" w:rsidRPr="00FA7BE2">
        <w:rPr>
          <w:rFonts w:asciiTheme="minorEastAsia" w:eastAsiaTheme="minorEastAsia" w:hAnsiTheme="minorEastAsia" w:hint="eastAsia"/>
        </w:rPr>
        <w:t>/C类</w:t>
      </w:r>
      <w:r w:rsidRPr="00FA7BE2">
        <w:rPr>
          <w:rFonts w:asciiTheme="minorEastAsia" w:eastAsiaTheme="minorEastAsia" w:hAnsiTheme="minorEastAsia" w:hint="eastAsia"/>
        </w:rPr>
        <w:t>基金份额的基金资产净值×</w:t>
      </w:r>
      <w:r w:rsidRPr="00FA7BE2">
        <w:rPr>
          <w:rFonts w:asciiTheme="minorEastAsia" w:eastAsiaTheme="minorEastAsia" w:hAnsiTheme="minorEastAsia"/>
        </w:rPr>
        <w:t>R</w:t>
      </w:r>
      <w:r w:rsidRPr="00FA7BE2">
        <w:rPr>
          <w:rFonts w:asciiTheme="minorEastAsia" w:eastAsiaTheme="minorEastAsia" w:hAnsiTheme="minorEastAsia" w:hint="eastAsia"/>
        </w:rPr>
        <w:t>÷当年天数</w:t>
      </w:r>
    </w:p>
    <w:p w:rsidR="00D21CF5" w:rsidRPr="00FA7BE2" w:rsidRDefault="00D21CF5" w:rsidP="00D21CF5">
      <w:pPr>
        <w:snapToGrid w:val="0"/>
        <w:spacing w:line="360" w:lineRule="auto"/>
        <w:ind w:firstLineChars="200" w:firstLine="420"/>
        <w:rPr>
          <w:rFonts w:asciiTheme="minorEastAsia" w:eastAsiaTheme="minorEastAsia" w:hAnsiTheme="minorEastAsia"/>
          <w:kern w:val="0"/>
          <w:sz w:val="20"/>
        </w:rPr>
      </w:pPr>
      <w:r w:rsidRPr="00FA7BE2">
        <w:rPr>
          <w:rFonts w:asciiTheme="minorEastAsia" w:eastAsiaTheme="minorEastAsia" w:hAnsiTheme="minorEastAsia"/>
        </w:rPr>
        <w:t>R</w:t>
      </w:r>
      <w:r w:rsidRPr="00FA7BE2">
        <w:rPr>
          <w:rFonts w:asciiTheme="minorEastAsia" w:eastAsiaTheme="minorEastAsia" w:hAnsiTheme="minorEastAsia" w:hint="eastAsia"/>
        </w:rPr>
        <w:t>为</w:t>
      </w:r>
      <w:r w:rsidR="00CD39BB" w:rsidRPr="00FA7BE2">
        <w:rPr>
          <w:rFonts w:asciiTheme="minorEastAsia" w:eastAsiaTheme="minorEastAsia" w:hAnsiTheme="minorEastAsia" w:hint="eastAsia"/>
        </w:rPr>
        <w:t>A类</w:t>
      </w:r>
      <w:r w:rsidR="002269BB" w:rsidRPr="00FA7BE2">
        <w:rPr>
          <w:rFonts w:asciiTheme="minorEastAsia" w:eastAsiaTheme="minorEastAsia" w:hAnsiTheme="minorEastAsia" w:hint="eastAsia"/>
        </w:rPr>
        <w:t>/C类</w:t>
      </w:r>
      <w:r w:rsidRPr="00FA7BE2">
        <w:rPr>
          <w:rFonts w:asciiTheme="minorEastAsia" w:eastAsiaTheme="minorEastAsia" w:hAnsiTheme="minorEastAsia" w:hint="eastAsia"/>
        </w:rPr>
        <w:t>基金份额的年销售服务费率</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基金销售服务费</w:t>
      </w:r>
      <w:r w:rsidRPr="00FA7BE2">
        <w:rPr>
          <w:rFonts w:asciiTheme="minorEastAsia" w:eastAsiaTheme="minorEastAsia" w:hAnsiTheme="minorEastAsia" w:hint="eastAsia"/>
        </w:rPr>
        <w:t>每日计算，逐日累计至每个月月末，按月支付。基金管理人应于次月前两个工作日内向基金托管人发送</w:t>
      </w:r>
      <w:r w:rsidRPr="00FA7BE2">
        <w:rPr>
          <w:rFonts w:asciiTheme="minorEastAsia" w:eastAsiaTheme="minorEastAsia" w:hAnsiTheme="minorEastAsia"/>
        </w:rPr>
        <w:t>基金销售服务费</w:t>
      </w:r>
      <w:r w:rsidRPr="00FA7BE2">
        <w:rPr>
          <w:rFonts w:asciiTheme="minorEastAsia" w:eastAsiaTheme="minorEastAsia" w:hAnsiTheme="minorEastAsia" w:hint="eastAsia"/>
        </w:rPr>
        <w:t>划付指令，基金托管人复核后于次日从基金资产中一次性支付给基金销售机构。</w:t>
      </w:r>
    </w:p>
    <w:p w:rsidR="00D21CF5" w:rsidRPr="00FA7BE2" w:rsidRDefault="00D21CF5" w:rsidP="00D21CF5">
      <w:pPr>
        <w:autoSpaceDE w:val="0"/>
        <w:autoSpaceDN w:val="0"/>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（4）上述“1.基金费用的种类”中（4）至（8）项费用由基金托管人根据有关法规及相应协议的规定，按费用实际支出金额支付，列入当期基金费用。</w:t>
      </w:r>
    </w:p>
    <w:p w:rsidR="00D21CF5" w:rsidRPr="00FA7BE2" w:rsidRDefault="00D21CF5" w:rsidP="00D21CF5">
      <w:pPr>
        <w:snapToGrid w:val="0"/>
        <w:spacing w:line="360" w:lineRule="auto"/>
        <w:ind w:firstLineChars="200" w:firstLine="422"/>
        <w:rPr>
          <w:rFonts w:asciiTheme="minorEastAsia" w:eastAsiaTheme="minorEastAsia" w:hAnsiTheme="minorEastAsia"/>
          <w:b/>
          <w:szCs w:val="21"/>
        </w:rPr>
      </w:pPr>
      <w:r w:rsidRPr="00FA7BE2">
        <w:rPr>
          <w:rFonts w:asciiTheme="minorEastAsia" w:eastAsiaTheme="minorEastAsia" w:hAnsiTheme="minorEastAsia" w:hint="eastAsia"/>
          <w:b/>
          <w:szCs w:val="21"/>
        </w:rPr>
        <w:t>3、不列入基金费用的项目</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rPr>
        <w:t>基金管理人和基金托管人因未履行或未完全履行义务导致的费用支出或基金财产的损失，以及处理与基金运作无关的事项发生的费用等不列入基金费用。</w:t>
      </w:r>
    </w:p>
    <w:p w:rsidR="00D21CF5" w:rsidRPr="00FA7BE2" w:rsidRDefault="00D21CF5" w:rsidP="00D21CF5">
      <w:pPr>
        <w:snapToGrid w:val="0"/>
        <w:spacing w:line="360" w:lineRule="auto"/>
        <w:ind w:firstLineChars="200" w:firstLine="422"/>
        <w:rPr>
          <w:rFonts w:asciiTheme="minorEastAsia" w:eastAsiaTheme="minorEastAsia" w:hAnsiTheme="minorEastAsia"/>
          <w:b/>
          <w:szCs w:val="21"/>
        </w:rPr>
      </w:pPr>
      <w:r w:rsidRPr="00FA7BE2">
        <w:rPr>
          <w:rFonts w:asciiTheme="minorEastAsia" w:eastAsiaTheme="minorEastAsia" w:hAnsiTheme="minorEastAsia" w:hint="eastAsia"/>
          <w:b/>
          <w:szCs w:val="21"/>
        </w:rPr>
        <w:t>4、基金费用的调整</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基金管理人和基金托管人可磋商酌情调低基金管理费和托管费、销售服务费，经中国证监会核准后公告。此项调整不需要基金份额持有人大会决议通过。</w:t>
      </w:r>
    </w:p>
    <w:p w:rsidR="00D21CF5" w:rsidRPr="00FA7BE2"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rPr>
      </w:pPr>
      <w:bookmarkStart w:id="116" w:name="_Toc75870017"/>
      <w:r w:rsidRPr="00FA7BE2">
        <w:rPr>
          <w:rFonts w:asciiTheme="minorEastAsia" w:eastAsiaTheme="minorEastAsia" w:hAnsiTheme="minorEastAsia" w:hint="eastAsia"/>
        </w:rPr>
        <w:t>（二）与基金销售有关的费用</w:t>
      </w:r>
      <w:bookmarkEnd w:id="116"/>
    </w:p>
    <w:p w:rsidR="00D21CF5" w:rsidRPr="00FA7BE2" w:rsidRDefault="00D21CF5" w:rsidP="00D21CF5">
      <w:pPr>
        <w:autoSpaceDE w:val="0"/>
        <w:autoSpaceDN w:val="0"/>
        <w:snapToGrid w:val="0"/>
        <w:spacing w:line="360" w:lineRule="auto"/>
        <w:ind w:firstLineChars="200" w:firstLine="420"/>
        <w:jc w:val="left"/>
        <w:textAlignment w:val="bottom"/>
        <w:rPr>
          <w:rFonts w:asciiTheme="minorEastAsia" w:eastAsiaTheme="minorEastAsia" w:hAnsiTheme="minorEastAsia"/>
          <w:szCs w:val="20"/>
        </w:rPr>
      </w:pPr>
      <w:r w:rsidRPr="00FA7BE2">
        <w:rPr>
          <w:rFonts w:asciiTheme="minorEastAsia" w:eastAsiaTheme="minorEastAsia" w:hAnsiTheme="minorEastAsia" w:hint="eastAsia"/>
        </w:rPr>
        <w:t>1、</w:t>
      </w:r>
      <w:r w:rsidRPr="00FA7BE2">
        <w:rPr>
          <w:rFonts w:asciiTheme="minorEastAsia" w:eastAsiaTheme="minorEastAsia" w:hAnsiTheme="minorEastAsia" w:hint="eastAsia"/>
          <w:szCs w:val="20"/>
        </w:rPr>
        <w:t>本基金的申购费、赎回费的费率水平、计算公式和收取方式详见本招募说明书</w:t>
      </w:r>
      <w:r w:rsidRPr="00FA7BE2">
        <w:rPr>
          <w:rFonts w:asciiTheme="minorEastAsia" w:eastAsiaTheme="minorEastAsia" w:hAnsiTheme="minorEastAsia" w:hint="eastAsia"/>
        </w:rPr>
        <w:t>“七、基金份额的申购、赎回”的“（八）申购、赎回的费率”以及</w:t>
      </w:r>
      <w:r w:rsidRPr="00FA7BE2">
        <w:rPr>
          <w:rFonts w:asciiTheme="minorEastAsia" w:eastAsiaTheme="minorEastAsia" w:hAnsiTheme="minorEastAsia" w:hint="eastAsia"/>
          <w:szCs w:val="20"/>
        </w:rPr>
        <w:t>“</w:t>
      </w:r>
      <w:r w:rsidRPr="00FA7BE2">
        <w:rPr>
          <w:rFonts w:asciiTheme="minorEastAsia" w:eastAsiaTheme="minorEastAsia" w:hAnsiTheme="minorEastAsia" w:hint="eastAsia"/>
        </w:rPr>
        <w:t>（九）申购份额、赎回金额的计算方式</w:t>
      </w:r>
      <w:r w:rsidRPr="00FA7BE2">
        <w:rPr>
          <w:rFonts w:asciiTheme="minorEastAsia" w:eastAsiaTheme="minorEastAsia" w:hAnsiTheme="minorEastAsia" w:hint="eastAsia"/>
          <w:szCs w:val="20"/>
        </w:rPr>
        <w:t>”的相关规定。</w:t>
      </w:r>
    </w:p>
    <w:p w:rsidR="00D21CF5" w:rsidRPr="00FA7BE2" w:rsidRDefault="00D21CF5" w:rsidP="00D21CF5">
      <w:pPr>
        <w:autoSpaceDE w:val="0"/>
        <w:autoSpaceDN w:val="0"/>
        <w:snapToGrid w:val="0"/>
        <w:spacing w:line="360" w:lineRule="auto"/>
        <w:ind w:firstLineChars="200" w:firstLine="420"/>
        <w:jc w:val="left"/>
        <w:textAlignment w:val="bottom"/>
        <w:rPr>
          <w:rFonts w:asciiTheme="minorEastAsia" w:eastAsiaTheme="minorEastAsia" w:hAnsiTheme="minorEastAsia"/>
        </w:rPr>
      </w:pPr>
      <w:r w:rsidRPr="00FA7BE2">
        <w:rPr>
          <w:rFonts w:asciiTheme="minorEastAsia" w:eastAsiaTheme="minorEastAsia" w:hAnsiTheme="minorEastAsia" w:hint="eastAsia"/>
        </w:rPr>
        <w:t>2、基金转换费</w:t>
      </w:r>
    </w:p>
    <w:p w:rsidR="00D21CF5" w:rsidRPr="00FA7BE2" w:rsidRDefault="00D21CF5"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rPr>
        <w:t>目前，基金管理人已开通了本基金与旗下部分开放式基金之间的转换业务，具体实施办法和转换费率详见相关公告。基金转换费用由投资者承担，基金转换费用由转出基金赎回费用及基金申购补差费用构成，其中赎回费按照各基金</w:t>
      </w:r>
      <w:r w:rsidRPr="00FA7BE2">
        <w:rPr>
          <w:rFonts w:asciiTheme="minorEastAsia" w:eastAsiaTheme="minorEastAsia" w:hAnsiTheme="minorEastAsia"/>
        </w:rPr>
        <w:t>的</w:t>
      </w:r>
      <w:r w:rsidRPr="00FA7BE2">
        <w:rPr>
          <w:rFonts w:asciiTheme="minorEastAsia" w:eastAsiaTheme="minorEastAsia" w:hAnsiTheme="minorEastAsia" w:hint="eastAsia"/>
        </w:rPr>
        <w:t>基金合同、更新的招募说明书及最新的相关公告约定的比例归入基金财产，其余部分用于支付注册登记费等相关手续费，</w:t>
      </w:r>
      <w:r w:rsidRPr="00FA7BE2">
        <w:rPr>
          <w:rFonts w:asciiTheme="minorEastAsia" w:eastAsiaTheme="minorEastAsia" w:hAnsiTheme="minorEastAsia"/>
        </w:rPr>
        <w:t>转换费用以人民币元为单位，计算结果按照四舍五入方法，保留小数点后两位</w:t>
      </w:r>
      <w:r w:rsidRPr="00FA7BE2">
        <w:rPr>
          <w:rFonts w:asciiTheme="minorEastAsia" w:eastAsiaTheme="minorEastAsia" w:hAnsiTheme="minorEastAsia" w:hint="eastAsia"/>
        </w:rPr>
        <w:t>。</w:t>
      </w:r>
    </w:p>
    <w:p w:rsidR="00D21CF5" w:rsidRPr="00FA7BE2"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rPr>
      </w:pPr>
      <w:r w:rsidRPr="00FA7BE2">
        <w:rPr>
          <w:rFonts w:asciiTheme="minorEastAsia" w:eastAsiaTheme="minorEastAsia" w:hAnsiTheme="minorEastAsia" w:hint="eastAsia"/>
        </w:rPr>
        <w:t>3、投资者通过本公司网上交易系统（www.efunds.com.cn）进行申购、赎回和转换的交易费率，请具体参照我公司网站上的相关说明。</w:t>
      </w:r>
    </w:p>
    <w:p w:rsidR="00D21CF5" w:rsidRPr="00FA7BE2"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基金管理人可以在基金合同规定的范围内调整</w:t>
      </w:r>
      <w:r w:rsidRPr="00FA7BE2">
        <w:rPr>
          <w:rFonts w:asciiTheme="minorEastAsia" w:eastAsiaTheme="minorEastAsia" w:hAnsiTheme="minorEastAsia" w:hint="eastAsia"/>
        </w:rPr>
        <w:t>上述</w:t>
      </w:r>
      <w:r w:rsidRPr="00FA7BE2">
        <w:rPr>
          <w:rFonts w:asciiTheme="minorEastAsia" w:eastAsiaTheme="minorEastAsia" w:hAnsiTheme="minorEastAsia"/>
        </w:rPr>
        <w:t>费率</w:t>
      </w:r>
      <w:r w:rsidRPr="00FA7BE2">
        <w:rPr>
          <w:rFonts w:asciiTheme="minorEastAsia" w:eastAsiaTheme="minorEastAsia" w:hAnsiTheme="minorEastAsia" w:hint="eastAsia"/>
        </w:rPr>
        <w:t>。</w:t>
      </w:r>
      <w:r w:rsidRPr="00FA7BE2">
        <w:rPr>
          <w:rFonts w:asciiTheme="minorEastAsia" w:eastAsiaTheme="minorEastAsia" w:hAnsiTheme="minorEastAsia"/>
        </w:rPr>
        <w:t>上述费率如发生变更，基金管理人应最迟于新的费率实施前</w:t>
      </w:r>
      <w:r w:rsidRPr="00FA7BE2">
        <w:rPr>
          <w:rFonts w:asciiTheme="minorEastAsia" w:eastAsiaTheme="minorEastAsia" w:hAnsiTheme="minorEastAsia" w:hint="eastAsia"/>
        </w:rPr>
        <w:t>2</w:t>
      </w:r>
      <w:r w:rsidRPr="00FA7BE2">
        <w:rPr>
          <w:rFonts w:asciiTheme="minorEastAsia" w:eastAsiaTheme="minorEastAsia" w:hAnsiTheme="minorEastAsia"/>
        </w:rPr>
        <w:t>个工作日在至少一种</w:t>
      </w:r>
      <w:r w:rsidR="00B87BA8" w:rsidRPr="00FA7BE2">
        <w:rPr>
          <w:rFonts w:asciiTheme="minorEastAsia" w:eastAsiaTheme="minorEastAsia" w:hAnsiTheme="minorEastAsia"/>
        </w:rPr>
        <w:t>指定媒介</w:t>
      </w:r>
      <w:r w:rsidRPr="00FA7BE2">
        <w:rPr>
          <w:rFonts w:asciiTheme="minorEastAsia" w:eastAsiaTheme="minorEastAsia" w:hAnsiTheme="minorEastAsia"/>
        </w:rPr>
        <w:t>公告。</w:t>
      </w:r>
    </w:p>
    <w:p w:rsidR="00D21CF5" w:rsidRPr="00FA7BE2" w:rsidRDefault="00D21CF5" w:rsidP="00D21CF5">
      <w:pPr>
        <w:autoSpaceDE w:val="0"/>
        <w:autoSpaceDN w:val="0"/>
        <w:snapToGrid w:val="0"/>
        <w:spacing w:line="360" w:lineRule="auto"/>
        <w:ind w:firstLineChars="200" w:firstLine="420"/>
        <w:textAlignment w:val="bottom"/>
        <w:rPr>
          <w:rFonts w:asciiTheme="minorEastAsia" w:eastAsiaTheme="minorEastAsia" w:hAnsiTheme="minorEastAsia"/>
        </w:rPr>
      </w:pPr>
      <w:r w:rsidRPr="00FA7BE2">
        <w:rPr>
          <w:rFonts w:asciiTheme="minorEastAsia" w:eastAsiaTheme="minorEastAsia" w:hAnsiTheme="minorEastAsia" w:hint="eastAsia"/>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349D9" w:rsidRPr="00FA7BE2" w:rsidRDefault="003349D9" w:rsidP="000D2AA7">
      <w:pPr>
        <w:pStyle w:val="21"/>
        <w:tabs>
          <w:tab w:val="left" w:pos="6135"/>
        </w:tabs>
        <w:snapToGrid w:val="0"/>
        <w:spacing w:beforeLines="0" w:afterLines="0" w:line="360" w:lineRule="auto"/>
        <w:ind w:firstLineChars="71"/>
        <w:rPr>
          <w:rStyle w:val="da"/>
          <w:rFonts w:asciiTheme="minorEastAsia" w:eastAsiaTheme="minorEastAsia" w:hAnsiTheme="minorEastAsia"/>
          <w:b w:val="0"/>
        </w:rPr>
      </w:pPr>
      <w:bookmarkStart w:id="117" w:name="_Toc75870018"/>
      <w:r w:rsidRPr="00FA7BE2">
        <w:rPr>
          <w:rStyle w:val="da"/>
          <w:rFonts w:asciiTheme="minorEastAsia" w:eastAsiaTheme="minorEastAsia" w:hAnsiTheme="minorEastAsia" w:hint="eastAsia"/>
        </w:rPr>
        <w:lastRenderedPageBreak/>
        <w:t>（三）实施侧袋机制期间的</w:t>
      </w:r>
      <w:r w:rsidRPr="00FA7BE2">
        <w:rPr>
          <w:rFonts w:asciiTheme="minorEastAsia" w:eastAsiaTheme="minorEastAsia" w:hAnsiTheme="minorEastAsia" w:hint="eastAsia"/>
        </w:rPr>
        <w:t>基金</w:t>
      </w:r>
      <w:r w:rsidRPr="00FA7BE2">
        <w:rPr>
          <w:rStyle w:val="da"/>
          <w:rFonts w:asciiTheme="minorEastAsia" w:eastAsiaTheme="minorEastAsia" w:hAnsiTheme="minorEastAsia" w:hint="eastAsia"/>
        </w:rPr>
        <w:t>费用</w:t>
      </w:r>
      <w:bookmarkEnd w:id="117"/>
    </w:p>
    <w:p w:rsidR="003349D9" w:rsidRPr="00FA7BE2" w:rsidRDefault="003349D9" w:rsidP="003349D9">
      <w:pPr>
        <w:spacing w:line="360" w:lineRule="auto"/>
        <w:ind w:firstLineChars="200" w:firstLine="420"/>
        <w:rPr>
          <w:rStyle w:val="da"/>
          <w:rFonts w:asciiTheme="minorEastAsia" w:eastAsiaTheme="minorEastAsia" w:hAnsiTheme="minorEastAsia"/>
        </w:rPr>
      </w:pPr>
      <w:r w:rsidRPr="00FA7BE2">
        <w:rPr>
          <w:rStyle w:val="da"/>
          <w:rFonts w:asciiTheme="minorEastAsia" w:eastAsiaTheme="minorEastAsia" w:hAnsiTheme="minorEastAsia" w:hint="eastAsia"/>
        </w:rPr>
        <w:t>本基金实施侧袋机制的，与侧袋账户有关的费用可以从侧袋账户中列支，但应待侧袋账户资产变现后方可列支，有关费用可酌情收取或减免，但不得收取管理费。</w:t>
      </w:r>
    </w:p>
    <w:p w:rsidR="003349D9" w:rsidRPr="00FA7BE2" w:rsidRDefault="003349D9" w:rsidP="003349D9">
      <w:pPr>
        <w:autoSpaceDE w:val="0"/>
        <w:autoSpaceDN w:val="0"/>
        <w:snapToGrid w:val="0"/>
        <w:spacing w:line="360" w:lineRule="auto"/>
        <w:ind w:firstLineChars="200" w:firstLine="420"/>
        <w:textAlignment w:val="bottom"/>
        <w:rPr>
          <w:rFonts w:asciiTheme="minorEastAsia" w:eastAsiaTheme="minorEastAsia" w:hAnsiTheme="minorEastAsia"/>
        </w:rPr>
      </w:pPr>
    </w:p>
    <w:p w:rsidR="00D21CF5" w:rsidRPr="00FA7BE2" w:rsidRDefault="00D21CF5" w:rsidP="00D21CF5">
      <w:pPr>
        <w:pStyle w:val="21"/>
        <w:tabs>
          <w:tab w:val="left" w:pos="6135"/>
        </w:tabs>
        <w:snapToGrid w:val="0"/>
        <w:spacing w:beforeLines="0" w:afterLines="0" w:line="360" w:lineRule="auto"/>
        <w:ind w:firstLineChars="71"/>
        <w:rPr>
          <w:rFonts w:asciiTheme="minorEastAsia" w:eastAsiaTheme="minorEastAsia" w:hAnsiTheme="minorEastAsia"/>
        </w:rPr>
      </w:pPr>
      <w:bookmarkStart w:id="118" w:name="_Toc75870019"/>
      <w:r w:rsidRPr="00FA7BE2">
        <w:rPr>
          <w:rFonts w:asciiTheme="minorEastAsia" w:eastAsiaTheme="minorEastAsia" w:hAnsiTheme="minorEastAsia" w:hint="eastAsia"/>
        </w:rPr>
        <w:t>（</w:t>
      </w:r>
      <w:r w:rsidR="003349D9" w:rsidRPr="00FA7BE2">
        <w:rPr>
          <w:rFonts w:asciiTheme="minorEastAsia" w:eastAsiaTheme="minorEastAsia" w:hAnsiTheme="minorEastAsia" w:hint="eastAsia"/>
        </w:rPr>
        <w:t>四</w:t>
      </w:r>
      <w:r w:rsidRPr="00FA7BE2">
        <w:rPr>
          <w:rFonts w:asciiTheme="minorEastAsia" w:eastAsiaTheme="minorEastAsia" w:hAnsiTheme="minorEastAsia" w:hint="eastAsia"/>
        </w:rPr>
        <w:t>）基金税收</w:t>
      </w:r>
      <w:bookmarkEnd w:id="118"/>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本基金运作过程中涉及的各纳税主体，应按国家税收法律、法规履行其纳税义务。</w:t>
      </w: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snapToGrid w:val="0"/>
        <w:spacing w:line="360" w:lineRule="auto"/>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19" w:name="_Toc75870020"/>
      <w:r w:rsidRPr="00FA7BE2">
        <w:rPr>
          <w:rFonts w:asciiTheme="minorEastAsia" w:eastAsiaTheme="minorEastAsia" w:hAnsiTheme="minorEastAsia" w:hint="eastAsia"/>
          <w:b/>
        </w:rPr>
        <w:lastRenderedPageBreak/>
        <w:t>十六、基金的会计与审计</w:t>
      </w:r>
      <w:bookmarkEnd w:id="119"/>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20" w:name="_Toc75870021"/>
      <w:r w:rsidRPr="00FA7BE2">
        <w:rPr>
          <w:rFonts w:asciiTheme="minorEastAsia" w:eastAsiaTheme="minorEastAsia" w:hAnsiTheme="minorEastAsia" w:hint="eastAsia"/>
        </w:rPr>
        <w:t>（一）基金会计政策</w:t>
      </w:r>
      <w:bookmarkEnd w:id="120"/>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1、基金管理人为本基金的基金会计责任方；</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2、基金的会计年度为公历每年1月1日至</w:t>
      </w:r>
      <w:smartTag w:uri="urn:schemas-microsoft-com:office:smarttags" w:element="chsdate">
        <w:smartTagPr>
          <w:attr w:name="IsROCDate" w:val="False"/>
          <w:attr w:name="IsLunarDate" w:val="False"/>
          <w:attr w:name="Day" w:val="31"/>
          <w:attr w:name="Month" w:val="12"/>
          <w:attr w:name="Year" w:val="2013"/>
        </w:smartTagPr>
        <w:r w:rsidRPr="00FA7BE2">
          <w:rPr>
            <w:rFonts w:asciiTheme="minorEastAsia" w:eastAsiaTheme="minorEastAsia" w:hAnsiTheme="minorEastAsia" w:hint="eastAsia"/>
          </w:rPr>
          <w:t>12月31日</w:t>
        </w:r>
      </w:smartTag>
      <w:r w:rsidRPr="00FA7BE2">
        <w:rPr>
          <w:rFonts w:asciiTheme="minorEastAsia" w:eastAsiaTheme="minorEastAsia" w:hAnsiTheme="minorEastAsia" w:hint="eastAsia"/>
        </w:rPr>
        <w:t>；</w:t>
      </w:r>
      <w:r w:rsidRPr="00FA7BE2">
        <w:rPr>
          <w:rFonts w:asciiTheme="minorEastAsia" w:eastAsiaTheme="minorEastAsia" w:hAnsiTheme="minorEastAsia"/>
        </w:rPr>
        <w:t>基金首次募集的会计年度按如下原则：如果基金合同生效少于2个月，可以并入下一个会计年度；</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3、基金核算以人民币为记帐本位币，记帐单位是人民币元；</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4、会计制度执行国家有关的会计制度；</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5、本</w:t>
      </w:r>
      <w:r w:rsidRPr="00FA7BE2">
        <w:rPr>
          <w:rFonts w:asciiTheme="minorEastAsia" w:eastAsiaTheme="minorEastAsia" w:hAnsiTheme="minorEastAsia"/>
        </w:rPr>
        <w:t>基金</w:t>
      </w:r>
      <w:r w:rsidRPr="00FA7BE2">
        <w:rPr>
          <w:rFonts w:asciiTheme="minorEastAsia" w:eastAsiaTheme="minorEastAsia" w:hAnsiTheme="minorEastAsia" w:hint="eastAsia"/>
        </w:rPr>
        <w:t>独立建帐、独立核算；</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6、基金管理人及基金托管人各自保留完整的基金会计帐目、凭证并进行日常的会计核算，按照有关规定编制基金会计报表；</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7、基金托管人每月与基金管理人就基金的会计核算、报表编制等进行核对并以书面方式确认。</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21" w:name="_Toc75870022"/>
      <w:r w:rsidRPr="00FA7BE2">
        <w:rPr>
          <w:rFonts w:asciiTheme="minorEastAsia" w:eastAsiaTheme="minorEastAsia" w:hAnsiTheme="minorEastAsia" w:hint="eastAsia"/>
        </w:rPr>
        <w:t>（二）基金审计</w:t>
      </w:r>
      <w:bookmarkEnd w:id="121"/>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1、基金管理人聘请具有证券</w:t>
      </w:r>
      <w:r w:rsidR="00554091" w:rsidRPr="00FA7BE2">
        <w:rPr>
          <w:rFonts w:asciiTheme="minorEastAsia" w:eastAsiaTheme="minorEastAsia" w:hAnsiTheme="minorEastAsia" w:hint="eastAsia"/>
        </w:rPr>
        <w:t>、期货相关业务资格</w:t>
      </w:r>
      <w:r w:rsidRPr="00FA7BE2">
        <w:rPr>
          <w:rFonts w:asciiTheme="minorEastAsia" w:eastAsiaTheme="minorEastAsia" w:hAnsiTheme="minorEastAsia" w:hint="eastAsia"/>
        </w:rPr>
        <w:t>的会计师事务所及其注册会计师对基金年度财务报表及其它规定事项进行审计。会计师事务所及其注册会计师与基金管理人、基金托管人相互独立。</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2、会计师事务所更换经办注册会计师时，须事先征得基金管理人同意，并报中国证监会备案；</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3、基金管理人（或基金托管人）认为有充足理由更换会计师事务所，经基金托管人（或基金管理人）同意可以更换。基金管理人应当在更换会计师事务所后2日内公告。</w:t>
      </w:r>
    </w:p>
    <w:p w:rsidR="00A345A3" w:rsidRPr="00FA7BE2" w:rsidRDefault="00A345A3" w:rsidP="00D21CF5">
      <w:pPr>
        <w:snapToGrid w:val="0"/>
        <w:spacing w:line="360" w:lineRule="auto"/>
        <w:rPr>
          <w:rFonts w:asciiTheme="minorEastAsia" w:eastAsiaTheme="minorEastAsia" w:hAnsiTheme="minorEastAsia"/>
        </w:rPr>
        <w:sectPr w:rsidR="00A345A3" w:rsidRPr="00FA7BE2" w:rsidSect="004F61AF">
          <w:pgSz w:w="11906" w:h="16838" w:code="9"/>
          <w:pgMar w:top="1440" w:right="1800" w:bottom="1440" w:left="1800" w:header="851" w:footer="992" w:gutter="0"/>
          <w:cols w:space="425"/>
          <w:docGrid w:type="lines" w:linePitch="312"/>
        </w:sect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22" w:name="_Toc75870023"/>
      <w:r w:rsidRPr="00FA7BE2">
        <w:rPr>
          <w:rFonts w:asciiTheme="minorEastAsia" w:eastAsiaTheme="minorEastAsia" w:hAnsiTheme="minorEastAsia" w:hint="eastAsia"/>
          <w:b/>
        </w:rPr>
        <w:lastRenderedPageBreak/>
        <w:t>十七、基金的信息披露</w:t>
      </w:r>
      <w:bookmarkEnd w:id="122"/>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本基金的信息披露将严格按照《基金法》、《运作办法》、《</w:t>
      </w:r>
      <w:r w:rsidR="00554091" w:rsidRPr="00FA7BE2">
        <w:rPr>
          <w:rFonts w:asciiTheme="minorEastAsia" w:eastAsiaTheme="minorEastAsia" w:hAnsiTheme="minorEastAsia" w:hint="eastAsia"/>
        </w:rPr>
        <w:t>公开募集</w:t>
      </w:r>
      <w:r w:rsidRPr="00FA7BE2">
        <w:rPr>
          <w:rFonts w:asciiTheme="minorEastAsia" w:eastAsiaTheme="minorEastAsia" w:hAnsiTheme="minorEastAsia" w:hint="eastAsia"/>
        </w:rPr>
        <w:t>证券投资基金信息披露管理办法》、基金合同及其它有关规定进行。本基金的信息披露事项将至少在中国证监会</w:t>
      </w:r>
      <w:r w:rsidR="0092110D"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上公告。</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23" w:name="_Toc75870024"/>
      <w:r w:rsidRPr="00FA7BE2">
        <w:rPr>
          <w:rFonts w:asciiTheme="minorEastAsia" w:eastAsiaTheme="minorEastAsia" w:hAnsiTheme="minorEastAsia" w:hint="eastAsia"/>
        </w:rPr>
        <w:t>（一）招募说明书</w:t>
      </w:r>
      <w:r w:rsidR="00554091" w:rsidRPr="00FA7BE2">
        <w:rPr>
          <w:rFonts w:asciiTheme="minorEastAsia" w:eastAsiaTheme="minorEastAsia" w:hAnsiTheme="minorEastAsia" w:hint="eastAsia"/>
        </w:rPr>
        <w:t>、基金产品资料概要</w:t>
      </w:r>
      <w:bookmarkEnd w:id="123"/>
    </w:p>
    <w:p w:rsidR="00D21CF5" w:rsidRPr="00FA7BE2" w:rsidRDefault="00D21CF5"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本基金管理人依据《基金法》、《运作办法》、《</w:t>
      </w:r>
      <w:r w:rsidR="00554091" w:rsidRPr="00FA7BE2">
        <w:rPr>
          <w:rFonts w:asciiTheme="minorEastAsia" w:eastAsiaTheme="minorEastAsia" w:hAnsiTheme="minorEastAsia" w:hint="eastAsia"/>
        </w:rPr>
        <w:t>公开募集</w:t>
      </w:r>
      <w:r w:rsidRPr="00FA7BE2">
        <w:rPr>
          <w:rFonts w:asciiTheme="minorEastAsia" w:eastAsiaTheme="minorEastAsia" w:hAnsiTheme="minorEastAsia" w:hint="eastAsia"/>
        </w:rPr>
        <w:t>证券投资基金信息披露管理办法》、基金合同及其它有关规定编制并公告《招募说明书》。</w:t>
      </w:r>
    </w:p>
    <w:p w:rsidR="00554091" w:rsidRPr="00FA7BE2" w:rsidRDefault="00554091" w:rsidP="00D21CF5">
      <w:pPr>
        <w:snapToGrid w:val="0"/>
        <w:spacing w:line="360" w:lineRule="auto"/>
        <w:ind w:firstLine="482"/>
        <w:rPr>
          <w:rFonts w:asciiTheme="minorEastAsia" w:eastAsiaTheme="minorEastAsia" w:hAnsiTheme="minorEastAsia"/>
        </w:rPr>
      </w:pPr>
      <w:r w:rsidRPr="00FA7BE2">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24" w:name="_Toc75870025"/>
      <w:r w:rsidRPr="00FA7BE2">
        <w:rPr>
          <w:rFonts w:asciiTheme="minorEastAsia" w:eastAsiaTheme="minorEastAsia" w:hAnsiTheme="minorEastAsia" w:hint="eastAsia"/>
        </w:rPr>
        <w:t>（二）份额发售公告</w:t>
      </w:r>
      <w:bookmarkEnd w:id="124"/>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rPr>
        <w:t>本基金管理人</w:t>
      </w:r>
      <w:r w:rsidRPr="00FA7BE2">
        <w:rPr>
          <w:rFonts w:asciiTheme="minorEastAsia" w:eastAsiaTheme="minorEastAsia" w:hAnsiTheme="minorEastAsia" w:hint="eastAsia"/>
        </w:rPr>
        <w:t>依据《基金法》、《运作办法》、《</w:t>
      </w:r>
      <w:r w:rsidR="00554091" w:rsidRPr="00FA7BE2">
        <w:rPr>
          <w:rFonts w:asciiTheme="minorEastAsia" w:eastAsiaTheme="minorEastAsia" w:hAnsiTheme="minorEastAsia" w:hint="eastAsia"/>
        </w:rPr>
        <w:t>公开募集</w:t>
      </w:r>
      <w:r w:rsidRPr="00FA7BE2">
        <w:rPr>
          <w:rFonts w:asciiTheme="minorEastAsia" w:eastAsiaTheme="minorEastAsia" w:hAnsiTheme="minorEastAsia" w:hint="eastAsia"/>
        </w:rPr>
        <w:t>证券投资基金信息披露管理办法》、基金合同等</w:t>
      </w:r>
      <w:r w:rsidRPr="00FA7BE2">
        <w:rPr>
          <w:rFonts w:asciiTheme="minorEastAsia" w:eastAsiaTheme="minorEastAsia" w:hAnsiTheme="minorEastAsia"/>
        </w:rPr>
        <w:t>有关规定编制并发布份额发售公告</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sz w:val="24"/>
        </w:rPr>
      </w:pPr>
      <w:bookmarkStart w:id="125" w:name="_Toc75870026"/>
      <w:r w:rsidRPr="00FA7BE2">
        <w:rPr>
          <w:rFonts w:asciiTheme="minorEastAsia" w:eastAsiaTheme="minorEastAsia" w:hAnsiTheme="minorEastAsia" w:hint="eastAsia"/>
        </w:rPr>
        <w:t>（三）定期报告</w:t>
      </w:r>
      <w:bookmarkEnd w:id="125"/>
    </w:p>
    <w:p w:rsidR="00D21CF5" w:rsidRPr="00FA7BE2" w:rsidRDefault="00D21CF5" w:rsidP="00D21CF5">
      <w:pPr>
        <w:snapToGrid w:val="0"/>
        <w:spacing w:line="360" w:lineRule="auto"/>
        <w:ind w:firstLine="420"/>
        <w:rPr>
          <w:rFonts w:asciiTheme="minorEastAsia" w:eastAsiaTheme="minorEastAsia" w:hAnsiTheme="minorEastAsia"/>
          <w:sz w:val="24"/>
        </w:rPr>
      </w:pPr>
      <w:r w:rsidRPr="00FA7BE2">
        <w:rPr>
          <w:rFonts w:asciiTheme="minorEastAsia" w:eastAsiaTheme="minorEastAsia" w:hAnsiTheme="minorEastAsia" w:hint="eastAsia"/>
        </w:rPr>
        <w:t>本基金定期报告由基金管理人和基金托管人按照《基金法》、《运作办法》、《</w:t>
      </w:r>
      <w:r w:rsidR="00554091" w:rsidRPr="00FA7BE2">
        <w:rPr>
          <w:rFonts w:asciiTheme="minorEastAsia" w:eastAsiaTheme="minorEastAsia" w:hAnsiTheme="minorEastAsia" w:hint="eastAsia"/>
        </w:rPr>
        <w:t>公开募集</w:t>
      </w:r>
      <w:r w:rsidRPr="00FA7BE2">
        <w:rPr>
          <w:rFonts w:asciiTheme="minorEastAsia" w:eastAsiaTheme="minorEastAsia" w:hAnsiTheme="minorEastAsia" w:hint="eastAsia"/>
        </w:rPr>
        <w:t>证券投资基金信息披露管理办法》等一系列有关证券投资基金信息披露的法规编制，包括年度报告、</w:t>
      </w:r>
      <w:r w:rsidR="0072095A" w:rsidRPr="00FA7BE2">
        <w:rPr>
          <w:rFonts w:asciiTheme="minorEastAsia" w:eastAsiaTheme="minorEastAsia" w:hAnsiTheme="minorEastAsia" w:hint="eastAsia"/>
        </w:rPr>
        <w:t>中期</w:t>
      </w:r>
      <w:r w:rsidRPr="00FA7BE2">
        <w:rPr>
          <w:rFonts w:asciiTheme="minorEastAsia" w:eastAsiaTheme="minorEastAsia" w:hAnsiTheme="minorEastAsia" w:hint="eastAsia"/>
        </w:rPr>
        <w:t>报告、季度报告、基金</w:t>
      </w:r>
      <w:r w:rsidRPr="00FA7BE2">
        <w:rPr>
          <w:rFonts w:asciiTheme="minorEastAsia" w:eastAsiaTheme="minorEastAsia" w:hAnsiTheme="minorEastAsia"/>
        </w:rPr>
        <w:t>份额净值</w:t>
      </w:r>
      <w:r w:rsidRPr="00FA7BE2">
        <w:rPr>
          <w:rFonts w:asciiTheme="minorEastAsia" w:eastAsiaTheme="minorEastAsia" w:hAnsiTheme="minorEastAsia" w:hint="eastAsia"/>
        </w:rPr>
        <w:t>公告及更新的招募说明书，并在</w:t>
      </w:r>
      <w:r w:rsidR="00B87BA8"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公告。</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年度报告：本基金的年度报告中的财务会计报告应当经过具有证券、期货相关业务资格的会计师事务所审计后在本基金会计年度结束后的三个月内公告。</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中期报告：本基金中期报告在本基金会计年度前6个月结束后的两个月内公告。</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季度报告：本基金季度报告每季度公告一次，于截止日后15个工作日内公告。</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基金份额净值公告：每开放日的次日披露该开放日本基金的基金份额净值、基金份额累计净值。</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更新的招募说明书：基金合同生效后，基金招募说明书的信息发生重大变更的，基金管理人应当在三个工作日内，更新基金招募说明书并登载在指定网站上；基金招募说明书其他信息发生变更的，基金管理人至少每年更新一次。</w:t>
      </w:r>
    </w:p>
    <w:p w:rsidR="0072095A" w:rsidRPr="00FA7BE2" w:rsidRDefault="0072095A" w:rsidP="0072095A">
      <w:pPr>
        <w:snapToGrid w:val="0"/>
        <w:spacing w:line="360" w:lineRule="auto"/>
        <w:ind w:firstLine="420"/>
        <w:rPr>
          <w:rFonts w:asciiTheme="minorEastAsia" w:eastAsiaTheme="minorEastAsia" w:hAnsiTheme="minorEastAsia"/>
          <w:szCs w:val="20"/>
        </w:rPr>
      </w:pPr>
      <w:r w:rsidRPr="00FA7BE2">
        <w:rPr>
          <w:rFonts w:asciiTheme="minorEastAsia" w:eastAsiaTheme="minorEastAsia" w:hAnsiTheme="minorEastAsia" w:hint="eastAsia"/>
          <w:szCs w:val="20"/>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D21CF5" w:rsidRPr="00FA7BE2" w:rsidRDefault="0072095A" w:rsidP="00D21CF5">
      <w:pPr>
        <w:pStyle w:val="23"/>
        <w:snapToGrid w:val="0"/>
        <w:spacing w:before="0" w:beforeAutospacing="0" w:after="0" w:afterAutospacing="0"/>
        <w:ind w:firstLine="420"/>
        <w:rPr>
          <w:rFonts w:asciiTheme="minorEastAsia" w:eastAsiaTheme="minorEastAsia" w:hAnsiTheme="minorEastAsia"/>
        </w:rPr>
      </w:pPr>
      <w:r w:rsidRPr="00FA7BE2">
        <w:rPr>
          <w:rFonts w:asciiTheme="minorEastAsia" w:eastAsiaTheme="minorEastAsia" w:hAnsiTheme="minorEastAsia" w:hint="eastAsia"/>
        </w:rPr>
        <w:t>基金持续运作过程中，基金管理人应当在基金年度报告和中期报告中披露基金组合资产</w:t>
      </w:r>
      <w:r w:rsidRPr="00FA7BE2">
        <w:rPr>
          <w:rFonts w:asciiTheme="minorEastAsia" w:eastAsiaTheme="minorEastAsia" w:hAnsiTheme="minorEastAsia" w:hint="eastAsia"/>
        </w:rPr>
        <w:lastRenderedPageBreak/>
        <w:t>情况及其流动性风险分析等。</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26" w:name="_Toc75870027"/>
      <w:r w:rsidRPr="00FA7BE2">
        <w:rPr>
          <w:rFonts w:asciiTheme="minorEastAsia" w:eastAsiaTheme="minorEastAsia" w:hAnsiTheme="minorEastAsia" w:hint="eastAsia"/>
        </w:rPr>
        <w:t>（四）临时报告</w:t>
      </w:r>
      <w:bookmarkEnd w:id="126"/>
    </w:p>
    <w:p w:rsidR="0072095A" w:rsidRPr="00FA7BE2" w:rsidRDefault="00D21CF5"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本</w:t>
      </w:r>
      <w:r w:rsidR="0072095A" w:rsidRPr="00FA7BE2">
        <w:rPr>
          <w:rFonts w:asciiTheme="minorEastAsia" w:eastAsiaTheme="minorEastAsia" w:hAnsiTheme="minorEastAsia" w:hint="eastAsia"/>
        </w:rPr>
        <w:t>基金发生下列重大事件，有关信息披露义务人应当在两日内编制临时报告书，并登载在指定报刊和指定网站上。</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hint="eastAsia"/>
        </w:rPr>
        <w:tab/>
        <w:t>基金份额持有人大会的召开及决定的事项；</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hint="eastAsia"/>
        </w:rPr>
        <w:tab/>
        <w:t>基金合同终止、基金清算；</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hint="eastAsia"/>
        </w:rPr>
        <w:tab/>
        <w:t>转换基金运作方式、基金合并；</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hint="eastAsia"/>
        </w:rPr>
        <w:tab/>
        <w:t>更换基金管理人、基金托管人、基金份额登记机构，基金改聘会计师事务所；</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5.</w:t>
      </w:r>
      <w:r w:rsidRPr="00FA7BE2">
        <w:rPr>
          <w:rFonts w:asciiTheme="minorEastAsia" w:eastAsiaTheme="minorEastAsia" w:hAnsiTheme="minorEastAsia" w:hint="eastAsia"/>
        </w:rPr>
        <w:tab/>
        <w:t>基金管理人委托基金服务机构代为办理基金的份额登记、核算、估值等事项，基金托管人委托基金服务机构代为办理基金的核算、估值、复核等事项；</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6.</w:t>
      </w:r>
      <w:r w:rsidRPr="00FA7BE2">
        <w:rPr>
          <w:rFonts w:asciiTheme="minorEastAsia" w:eastAsiaTheme="minorEastAsia" w:hAnsiTheme="minorEastAsia" w:hint="eastAsia"/>
        </w:rPr>
        <w:tab/>
        <w:t>基金管理人、基金托管人的法定名称、住所发生变更；</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7.</w:t>
      </w:r>
      <w:r w:rsidRPr="00FA7BE2">
        <w:rPr>
          <w:rFonts w:asciiTheme="minorEastAsia" w:eastAsiaTheme="minorEastAsia" w:hAnsiTheme="minorEastAsia" w:hint="eastAsia"/>
        </w:rPr>
        <w:tab/>
        <w:t>基金管理公司变更持有百分之五以上股权的股东、基金管理人的实际控制人变更；</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8.</w:t>
      </w:r>
      <w:r w:rsidRPr="00FA7BE2">
        <w:rPr>
          <w:rFonts w:asciiTheme="minorEastAsia" w:eastAsiaTheme="minorEastAsia" w:hAnsiTheme="minorEastAsia" w:hint="eastAsia"/>
        </w:rPr>
        <w:tab/>
        <w:t>基金募集期延长或提前结束募集；</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9.</w:t>
      </w:r>
      <w:r w:rsidRPr="00FA7BE2">
        <w:rPr>
          <w:rFonts w:asciiTheme="minorEastAsia" w:eastAsiaTheme="minorEastAsia" w:hAnsiTheme="minorEastAsia" w:hint="eastAsia"/>
        </w:rPr>
        <w:tab/>
        <w:t>基金管理人的高级管理人员、基金经理和基金托管人专门基金托管部门负责人发生变动；</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10.</w:t>
      </w:r>
      <w:r w:rsidRPr="00FA7BE2">
        <w:rPr>
          <w:rFonts w:asciiTheme="minorEastAsia" w:eastAsiaTheme="minorEastAsia" w:hAnsiTheme="minorEastAsia" w:hint="eastAsia"/>
        </w:rPr>
        <w:tab/>
        <w:t>基金管理人的董事在最近12个月内变更超过百分之五十，基金管理人、基金托管人专门基金托管部门的主要业务人员在最近12个月内变动超过百分之三十；</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11.</w:t>
      </w:r>
      <w:r w:rsidRPr="00FA7BE2">
        <w:rPr>
          <w:rFonts w:asciiTheme="minorEastAsia" w:eastAsiaTheme="minorEastAsia" w:hAnsiTheme="minorEastAsia" w:hint="eastAsia"/>
        </w:rPr>
        <w:tab/>
        <w:t>涉及基金财产、基金管理业务、基金托管业务的诉讼或仲裁；</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12.</w:t>
      </w:r>
      <w:r w:rsidRPr="00FA7BE2">
        <w:rPr>
          <w:rFonts w:asciiTheme="minorEastAsia" w:eastAsiaTheme="minorEastAsia" w:hAnsiTheme="minorEastAsia" w:hint="eastAsia"/>
        </w:rPr>
        <w:tab/>
        <w:t>基金管理人或其高级管理人员、基金经理因基金管理业务相关行为受到重大行政处罚、刑事处罚，基金托管人或其专门基金托管部门负责人因基金托管业务相关行为受到重大行政处罚、刑事处罚；</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13.</w:t>
      </w:r>
      <w:r w:rsidRPr="00FA7BE2">
        <w:rPr>
          <w:rFonts w:asciiTheme="minorEastAsia" w:eastAsiaTheme="minorEastAsia" w:hAnsiTheme="minorEastAsia" w:hint="eastAsia"/>
        </w:rPr>
        <w:tab/>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14.</w:t>
      </w:r>
      <w:r w:rsidRPr="00FA7BE2">
        <w:rPr>
          <w:rFonts w:asciiTheme="minorEastAsia" w:eastAsiaTheme="minorEastAsia" w:hAnsiTheme="minorEastAsia" w:hint="eastAsia"/>
        </w:rPr>
        <w:tab/>
        <w:t>基金收益分配事项；</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15.</w:t>
      </w:r>
      <w:r w:rsidRPr="00FA7BE2">
        <w:rPr>
          <w:rFonts w:asciiTheme="minorEastAsia" w:eastAsiaTheme="minorEastAsia" w:hAnsiTheme="minorEastAsia" w:hint="eastAsia"/>
        </w:rPr>
        <w:tab/>
        <w:t>管理费、托管费、销售服务费、申购费、赎回费等费用计提标准、计提方式和费率发生变更；</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16.</w:t>
      </w:r>
      <w:r w:rsidRPr="00FA7BE2">
        <w:rPr>
          <w:rFonts w:asciiTheme="minorEastAsia" w:eastAsiaTheme="minorEastAsia" w:hAnsiTheme="minorEastAsia" w:hint="eastAsia"/>
        </w:rPr>
        <w:tab/>
        <w:t>基金份额净值计价错误达基金份额净值百分之零点五；</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17.</w:t>
      </w:r>
      <w:r w:rsidRPr="00FA7BE2">
        <w:rPr>
          <w:rFonts w:asciiTheme="minorEastAsia" w:eastAsiaTheme="minorEastAsia" w:hAnsiTheme="minorEastAsia" w:hint="eastAsia"/>
        </w:rPr>
        <w:tab/>
        <w:t>本基金开始办理申购、赎回；</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18.</w:t>
      </w:r>
      <w:r w:rsidRPr="00FA7BE2">
        <w:rPr>
          <w:rFonts w:asciiTheme="minorEastAsia" w:eastAsiaTheme="minorEastAsia" w:hAnsiTheme="minorEastAsia" w:hint="eastAsia"/>
        </w:rPr>
        <w:tab/>
        <w:t>本基金暂停接受申购、赎回申请或重新接受申购、赎回申请；</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19.</w:t>
      </w:r>
      <w:r w:rsidRPr="00FA7BE2">
        <w:rPr>
          <w:rFonts w:asciiTheme="minorEastAsia" w:eastAsiaTheme="minorEastAsia" w:hAnsiTheme="minorEastAsia" w:hint="eastAsia"/>
        </w:rPr>
        <w:tab/>
        <w:t>调整基金份额类别的设置；</w:t>
      </w:r>
    </w:p>
    <w:p w:rsidR="0072095A"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20.</w:t>
      </w:r>
      <w:r w:rsidRPr="00FA7BE2">
        <w:rPr>
          <w:rFonts w:asciiTheme="minorEastAsia" w:eastAsiaTheme="minorEastAsia" w:hAnsiTheme="minorEastAsia" w:hint="eastAsia"/>
        </w:rPr>
        <w:tab/>
        <w:t>基金推出新业务或服务；</w:t>
      </w:r>
    </w:p>
    <w:p w:rsidR="00D21CF5" w:rsidRPr="00FA7BE2" w:rsidRDefault="0072095A" w:rsidP="0072095A">
      <w:pPr>
        <w:snapToGrid w:val="0"/>
        <w:spacing w:line="360" w:lineRule="auto"/>
        <w:ind w:left="200" w:firstLine="480"/>
        <w:rPr>
          <w:rFonts w:asciiTheme="minorEastAsia" w:eastAsiaTheme="minorEastAsia" w:hAnsiTheme="minorEastAsia"/>
        </w:rPr>
      </w:pPr>
      <w:r w:rsidRPr="00FA7BE2">
        <w:rPr>
          <w:rFonts w:asciiTheme="minorEastAsia" w:eastAsiaTheme="minorEastAsia" w:hAnsiTheme="minorEastAsia" w:hint="eastAsia"/>
        </w:rPr>
        <w:t>21.</w:t>
      </w:r>
      <w:r w:rsidRPr="00FA7BE2">
        <w:rPr>
          <w:rFonts w:asciiTheme="minorEastAsia" w:eastAsiaTheme="minorEastAsia" w:hAnsiTheme="minorEastAsia" w:hint="eastAsia"/>
        </w:rPr>
        <w:tab/>
        <w:t>基金信息披露义务人认为可能对基金份额持有人权益或者基金份额的价格产</w:t>
      </w:r>
      <w:r w:rsidRPr="00FA7BE2">
        <w:rPr>
          <w:rFonts w:asciiTheme="minorEastAsia" w:eastAsiaTheme="minorEastAsia" w:hAnsiTheme="minorEastAsia" w:hint="eastAsia"/>
        </w:rPr>
        <w:lastRenderedPageBreak/>
        <w:t>生重大影响的其他事项或中国证监会规定的其他事项。</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27" w:name="_Toc75870028"/>
      <w:r w:rsidRPr="00FA7BE2">
        <w:rPr>
          <w:rFonts w:asciiTheme="minorEastAsia" w:eastAsiaTheme="minorEastAsia" w:hAnsiTheme="minorEastAsia" w:hint="eastAsia"/>
        </w:rPr>
        <w:t>（五）信息披露文件的存放与查阅</w:t>
      </w:r>
      <w:bookmarkEnd w:id="127"/>
    </w:p>
    <w:p w:rsidR="0072095A" w:rsidRPr="00FA7BE2" w:rsidRDefault="0072095A" w:rsidP="0072095A">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D21CF5" w:rsidRPr="00FA7BE2" w:rsidRDefault="0072095A" w:rsidP="0072095A">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对投资者按此种方式所获得的文件及其复印件，基金管理人和基金托管人应保证其所提供的文本与所公告文本的内容完全一致。</w:t>
      </w:r>
    </w:p>
    <w:p w:rsidR="003349D9" w:rsidRPr="00FA7BE2" w:rsidRDefault="003349D9" w:rsidP="0072095A">
      <w:pPr>
        <w:snapToGrid w:val="0"/>
        <w:spacing w:line="360" w:lineRule="auto"/>
        <w:ind w:firstLine="480"/>
        <w:rPr>
          <w:rFonts w:asciiTheme="minorEastAsia" w:eastAsiaTheme="minorEastAsia" w:hAnsiTheme="minorEastAsia"/>
        </w:rPr>
      </w:pPr>
    </w:p>
    <w:p w:rsidR="003349D9" w:rsidRPr="00FA7BE2" w:rsidRDefault="003349D9" w:rsidP="003349D9">
      <w:pPr>
        <w:spacing w:line="360" w:lineRule="auto"/>
        <w:ind w:firstLineChars="200" w:firstLine="420"/>
        <w:rPr>
          <w:rFonts w:asciiTheme="minorEastAsia" w:eastAsiaTheme="minorEastAsia" w:hAnsiTheme="minorEastAsia"/>
          <w:kern w:val="0"/>
          <w:szCs w:val="21"/>
        </w:rPr>
      </w:pPr>
    </w:p>
    <w:p w:rsidR="003349D9" w:rsidRPr="00FA7BE2" w:rsidRDefault="003349D9" w:rsidP="003349D9">
      <w:pPr>
        <w:widowControl/>
        <w:jc w:val="left"/>
        <w:rPr>
          <w:rFonts w:asciiTheme="minorEastAsia" w:eastAsiaTheme="minorEastAsia" w:hAnsiTheme="minorEastAsia"/>
          <w:kern w:val="0"/>
          <w:szCs w:val="21"/>
        </w:rPr>
      </w:pPr>
      <w:r w:rsidRPr="00FA7BE2">
        <w:rPr>
          <w:rFonts w:asciiTheme="minorEastAsia" w:eastAsiaTheme="minorEastAsia" w:hAnsiTheme="minorEastAsia"/>
          <w:kern w:val="0"/>
          <w:szCs w:val="21"/>
        </w:rPr>
        <w:br w:type="page"/>
      </w:r>
    </w:p>
    <w:p w:rsidR="003349D9" w:rsidRPr="00FA7BE2" w:rsidRDefault="003349D9" w:rsidP="003349D9">
      <w:pPr>
        <w:pStyle w:val="1"/>
        <w:spacing w:before="312" w:after="312" w:line="360" w:lineRule="auto"/>
        <w:ind w:firstLine="600"/>
        <w:rPr>
          <w:rFonts w:asciiTheme="minorEastAsia" w:eastAsiaTheme="minorEastAsia" w:hAnsiTheme="minorEastAsia"/>
          <w:sz w:val="30"/>
        </w:rPr>
      </w:pPr>
      <w:bookmarkStart w:id="128" w:name="_Toc46676683"/>
      <w:bookmarkStart w:id="129" w:name="_Toc46737675"/>
      <w:bookmarkStart w:id="130" w:name="_Toc47535981"/>
      <w:bookmarkStart w:id="131" w:name="_Toc75870029"/>
      <w:r w:rsidRPr="00FA7BE2">
        <w:rPr>
          <w:rFonts w:asciiTheme="minorEastAsia" w:eastAsiaTheme="minorEastAsia" w:hAnsiTheme="minorEastAsia" w:hint="eastAsia"/>
          <w:sz w:val="30"/>
        </w:rPr>
        <w:lastRenderedPageBreak/>
        <w:t>十八、侧袋机制</w:t>
      </w:r>
      <w:bookmarkEnd w:id="128"/>
      <w:bookmarkEnd w:id="129"/>
      <w:bookmarkEnd w:id="130"/>
      <w:bookmarkEnd w:id="131"/>
    </w:p>
    <w:p w:rsidR="003349D9" w:rsidRPr="00FA7BE2" w:rsidRDefault="003349D9" w:rsidP="003349D9">
      <w:pPr>
        <w:rPr>
          <w:rFonts w:asciiTheme="minorEastAsia" w:eastAsiaTheme="minorEastAsia" w:hAnsiTheme="minorEastAsia"/>
        </w:rPr>
      </w:pPr>
    </w:p>
    <w:p w:rsidR="003349D9" w:rsidRPr="00FA7BE2" w:rsidRDefault="003349D9" w:rsidP="000D2AA7">
      <w:pPr>
        <w:pStyle w:val="21"/>
        <w:snapToGrid w:val="0"/>
        <w:spacing w:beforeLines="0" w:afterLines="0" w:line="360" w:lineRule="auto"/>
        <w:ind w:firstLineChars="71"/>
        <w:rPr>
          <w:rFonts w:asciiTheme="minorEastAsia" w:eastAsiaTheme="minorEastAsia" w:hAnsiTheme="minorEastAsia"/>
          <w:bCs/>
          <w:szCs w:val="21"/>
        </w:rPr>
      </w:pPr>
      <w:bookmarkStart w:id="132" w:name="_Toc75870030"/>
      <w:r w:rsidRPr="00FA7BE2">
        <w:rPr>
          <w:rFonts w:asciiTheme="minorEastAsia" w:eastAsiaTheme="minorEastAsia" w:hAnsiTheme="minorEastAsia" w:hint="eastAsia"/>
          <w:bCs/>
          <w:szCs w:val="21"/>
        </w:rPr>
        <w:t>（一）侧袋机制的实施</w:t>
      </w:r>
      <w:r w:rsidRPr="00FA7BE2">
        <w:rPr>
          <w:rFonts w:asciiTheme="minorEastAsia" w:eastAsiaTheme="minorEastAsia" w:hAnsiTheme="minorEastAsia" w:hint="eastAsia"/>
        </w:rPr>
        <w:t>条件</w:t>
      </w:r>
      <w:r w:rsidRPr="00FA7BE2">
        <w:rPr>
          <w:rFonts w:asciiTheme="minorEastAsia" w:eastAsiaTheme="minorEastAsia" w:hAnsiTheme="minorEastAsia" w:hint="eastAsia"/>
          <w:bCs/>
          <w:szCs w:val="21"/>
        </w:rPr>
        <w:t>和程序</w:t>
      </w:r>
      <w:bookmarkEnd w:id="132"/>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基金管理人应当在启用侧袋机制后及时发布临时公告，并及时聘请符合《证券法》规定的会计师事务所进行审计并披露专项审计意见。</w:t>
      </w:r>
    </w:p>
    <w:p w:rsidR="003349D9" w:rsidRPr="00FA7BE2" w:rsidRDefault="003349D9" w:rsidP="000D2AA7">
      <w:pPr>
        <w:pStyle w:val="21"/>
        <w:snapToGrid w:val="0"/>
        <w:spacing w:beforeLines="0" w:afterLines="0" w:line="360" w:lineRule="auto"/>
        <w:ind w:firstLineChars="71"/>
        <w:rPr>
          <w:rFonts w:asciiTheme="minorEastAsia" w:eastAsiaTheme="minorEastAsia" w:hAnsiTheme="minorEastAsia"/>
          <w:bCs/>
          <w:szCs w:val="21"/>
        </w:rPr>
      </w:pPr>
      <w:bookmarkStart w:id="133" w:name="_Toc75870031"/>
      <w:r w:rsidRPr="00FA7BE2">
        <w:rPr>
          <w:rFonts w:asciiTheme="minorEastAsia" w:eastAsiaTheme="minorEastAsia" w:hAnsiTheme="minorEastAsia" w:hint="eastAsia"/>
          <w:bCs/>
          <w:szCs w:val="21"/>
        </w:rPr>
        <w:t>（二）实施侧袋机制期间基金份额的申购与赎回</w:t>
      </w:r>
      <w:bookmarkEnd w:id="133"/>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1</w:t>
      </w:r>
      <w:r w:rsidRPr="00FA7BE2">
        <w:rPr>
          <w:rFonts w:asciiTheme="minorEastAsia" w:eastAsiaTheme="minorEastAsia" w:hAnsiTheme="minorEastAsia" w:hint="eastAsia"/>
          <w:bCs/>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2</w:t>
      </w:r>
      <w:r w:rsidRPr="00FA7BE2">
        <w:rPr>
          <w:rFonts w:asciiTheme="minorEastAsia" w:eastAsiaTheme="minorEastAsia" w:hAnsiTheme="minorEastAsia"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3</w:t>
      </w:r>
      <w:r w:rsidRPr="00FA7BE2">
        <w:rPr>
          <w:rFonts w:asciiTheme="minorEastAsia" w:eastAsiaTheme="minorEastAsia" w:hAnsiTheme="minorEastAsia" w:hint="eastAsia"/>
          <w:bCs/>
          <w:szCs w:val="21"/>
        </w:rPr>
        <w:t>、基金管理人应按照主袋账户的份额净值办理主袋账户份额的申购和赎回。巨额赎回按照单个开放日内主袋账户份额净赎回申请超过前一开放日主袋账户总份额的</w:t>
      </w:r>
      <w:r w:rsidRPr="00FA7BE2">
        <w:rPr>
          <w:rFonts w:asciiTheme="minorEastAsia" w:eastAsiaTheme="minorEastAsia" w:hAnsiTheme="minorEastAsia"/>
          <w:bCs/>
          <w:szCs w:val="21"/>
        </w:rPr>
        <w:t>10%</w:t>
      </w:r>
      <w:r w:rsidRPr="00FA7BE2">
        <w:rPr>
          <w:rFonts w:asciiTheme="minorEastAsia" w:eastAsiaTheme="minorEastAsia" w:hAnsiTheme="minorEastAsia" w:hint="eastAsia"/>
          <w:bCs/>
          <w:szCs w:val="21"/>
        </w:rPr>
        <w:t>认定。</w:t>
      </w:r>
    </w:p>
    <w:p w:rsidR="003349D9" w:rsidRPr="00FA7BE2" w:rsidRDefault="003349D9" w:rsidP="000D2AA7">
      <w:pPr>
        <w:pStyle w:val="21"/>
        <w:snapToGrid w:val="0"/>
        <w:spacing w:beforeLines="0" w:afterLines="0" w:line="360" w:lineRule="auto"/>
        <w:ind w:firstLineChars="71"/>
        <w:rPr>
          <w:rFonts w:asciiTheme="minorEastAsia" w:eastAsiaTheme="minorEastAsia" w:hAnsiTheme="minorEastAsia"/>
          <w:bCs/>
          <w:szCs w:val="21"/>
        </w:rPr>
      </w:pPr>
      <w:bookmarkStart w:id="134" w:name="_Toc75870032"/>
      <w:r w:rsidRPr="00FA7BE2">
        <w:rPr>
          <w:rFonts w:asciiTheme="minorEastAsia" w:eastAsiaTheme="minorEastAsia" w:hAnsiTheme="minorEastAsia" w:hint="eastAsia"/>
          <w:bCs/>
          <w:szCs w:val="21"/>
        </w:rPr>
        <w:t>（三）实施侧袋机制期间的基金投资</w:t>
      </w:r>
      <w:bookmarkEnd w:id="134"/>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FA7BE2">
        <w:rPr>
          <w:rFonts w:asciiTheme="minorEastAsia" w:eastAsiaTheme="minorEastAsia" w:hAnsiTheme="minorEastAsia"/>
          <w:bCs/>
          <w:szCs w:val="21"/>
        </w:rPr>
        <w:t>为基准</w:t>
      </w:r>
      <w:r w:rsidRPr="00FA7BE2">
        <w:rPr>
          <w:rFonts w:asciiTheme="minorEastAsia" w:eastAsiaTheme="minorEastAsia" w:hAnsiTheme="minorEastAsia" w:hint="eastAsia"/>
          <w:bCs/>
          <w:szCs w:val="21"/>
        </w:rPr>
        <w:t>。</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基金管理人原则上应当在侧袋机制启动后</w:t>
      </w:r>
      <w:r w:rsidRPr="00FA7BE2">
        <w:rPr>
          <w:rFonts w:asciiTheme="minorEastAsia" w:eastAsiaTheme="minorEastAsia" w:hAnsiTheme="minorEastAsia"/>
          <w:bCs/>
          <w:szCs w:val="21"/>
        </w:rPr>
        <w:t>20</w:t>
      </w:r>
      <w:r w:rsidRPr="00FA7BE2">
        <w:rPr>
          <w:rFonts w:asciiTheme="minorEastAsia" w:eastAsiaTheme="minorEastAsia" w:hAnsiTheme="minorEastAsia" w:hint="eastAsia"/>
          <w:bCs/>
          <w:szCs w:val="21"/>
        </w:rPr>
        <w:t>个交易日内完成对主袋账户投资组合的调整，因资产流动性受限等中国证监会规定的情形除外。</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基金管理人不得在侧袋账户中进行除特定资产处置变现以外的其他投资操作。</w:t>
      </w:r>
    </w:p>
    <w:p w:rsidR="003349D9" w:rsidRPr="00FA7BE2" w:rsidRDefault="003349D9" w:rsidP="000D2AA7">
      <w:pPr>
        <w:pStyle w:val="21"/>
        <w:snapToGrid w:val="0"/>
        <w:spacing w:beforeLines="0" w:afterLines="0" w:line="360" w:lineRule="auto"/>
        <w:ind w:firstLineChars="71"/>
        <w:rPr>
          <w:rFonts w:asciiTheme="minorEastAsia" w:eastAsiaTheme="minorEastAsia" w:hAnsiTheme="minorEastAsia"/>
          <w:bCs/>
          <w:szCs w:val="21"/>
        </w:rPr>
      </w:pPr>
      <w:bookmarkStart w:id="135" w:name="_Toc75870033"/>
      <w:r w:rsidRPr="00FA7BE2">
        <w:rPr>
          <w:rFonts w:asciiTheme="minorEastAsia" w:eastAsiaTheme="minorEastAsia" w:hAnsiTheme="minorEastAsia" w:hint="eastAsia"/>
          <w:bCs/>
          <w:szCs w:val="21"/>
        </w:rPr>
        <w:t>（四）侧袋账户中特定资产的处置变现和支付</w:t>
      </w:r>
      <w:bookmarkEnd w:id="135"/>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特定资产以可出售、可转让、恢复交易等方式恢复流动性后，基金管理人应当按照基金份额持有人利益最大化原则，采取将特定资产予以处置变现等方式，及时向侧袋账户份额持</w:t>
      </w:r>
      <w:r w:rsidRPr="00FA7BE2">
        <w:rPr>
          <w:rFonts w:asciiTheme="minorEastAsia" w:eastAsiaTheme="minorEastAsia" w:hAnsiTheme="minorEastAsia" w:hint="eastAsia"/>
          <w:bCs/>
          <w:szCs w:val="21"/>
        </w:rPr>
        <w:lastRenderedPageBreak/>
        <w:t>有人支付对应款项。</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终止侧袋机制后，基金管理人及时聘请符合《证券法》规定的会计师事务所进行审计并披露专项审计意见。</w:t>
      </w:r>
    </w:p>
    <w:p w:rsidR="003349D9" w:rsidRPr="00FA7BE2" w:rsidRDefault="003349D9" w:rsidP="000D2AA7">
      <w:pPr>
        <w:pStyle w:val="21"/>
        <w:snapToGrid w:val="0"/>
        <w:spacing w:beforeLines="0" w:afterLines="0" w:line="360" w:lineRule="auto"/>
        <w:ind w:firstLineChars="71"/>
        <w:rPr>
          <w:rFonts w:asciiTheme="minorEastAsia" w:eastAsiaTheme="minorEastAsia" w:hAnsiTheme="minorEastAsia"/>
          <w:bCs/>
          <w:szCs w:val="21"/>
        </w:rPr>
      </w:pPr>
      <w:bookmarkStart w:id="136" w:name="_Toc75870034"/>
      <w:r w:rsidRPr="00FA7BE2">
        <w:rPr>
          <w:rFonts w:asciiTheme="minorEastAsia" w:eastAsiaTheme="minorEastAsia" w:hAnsiTheme="minorEastAsia" w:hint="eastAsia"/>
          <w:bCs/>
          <w:szCs w:val="21"/>
        </w:rPr>
        <w:t>（五）侧袋机制的信息披露</w:t>
      </w:r>
      <w:bookmarkEnd w:id="136"/>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1</w:t>
      </w:r>
      <w:r w:rsidRPr="00FA7BE2">
        <w:rPr>
          <w:rFonts w:asciiTheme="minorEastAsia" w:eastAsiaTheme="minorEastAsia" w:hAnsiTheme="minorEastAsia" w:hint="eastAsia"/>
          <w:bCs/>
          <w:szCs w:val="21"/>
        </w:rPr>
        <w:t>、临时公告</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在启用侧袋机制、处置特定资产、终止侧袋机制以及发生其他可能对投资者利益产生重大影响的事项后，基金管理人应及时发布临时公告。</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2</w:t>
      </w:r>
      <w:r w:rsidRPr="00FA7BE2">
        <w:rPr>
          <w:rFonts w:asciiTheme="minorEastAsia" w:eastAsiaTheme="minorEastAsia" w:hAnsiTheme="minorEastAsia" w:hint="eastAsia"/>
          <w:bCs/>
          <w:szCs w:val="21"/>
        </w:rPr>
        <w:t>、基金净值信息</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3349D9" w:rsidRPr="00FA7BE2" w:rsidRDefault="003349D9" w:rsidP="003349D9">
      <w:pPr>
        <w:spacing w:line="360" w:lineRule="auto"/>
        <w:ind w:firstLineChars="200" w:firstLine="420"/>
        <w:rPr>
          <w:rFonts w:asciiTheme="minorEastAsia" w:eastAsiaTheme="minorEastAsia" w:hAnsiTheme="minorEastAsia"/>
          <w:bCs/>
          <w:szCs w:val="21"/>
        </w:rPr>
      </w:pPr>
      <w:r w:rsidRPr="00FA7BE2">
        <w:rPr>
          <w:rFonts w:asciiTheme="minorEastAsia" w:eastAsiaTheme="minorEastAsia" w:hAnsiTheme="minorEastAsia"/>
          <w:bCs/>
          <w:szCs w:val="21"/>
        </w:rPr>
        <w:t>3</w:t>
      </w:r>
      <w:r w:rsidRPr="00FA7BE2">
        <w:rPr>
          <w:rFonts w:asciiTheme="minorEastAsia" w:eastAsiaTheme="minorEastAsia" w:hAnsiTheme="minorEastAsia" w:hint="eastAsia"/>
          <w:bCs/>
          <w:szCs w:val="21"/>
        </w:rPr>
        <w:t>、定期报告</w:t>
      </w:r>
    </w:p>
    <w:p w:rsidR="003349D9" w:rsidRPr="00FA7BE2" w:rsidRDefault="003349D9" w:rsidP="003349D9">
      <w:pPr>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3349D9" w:rsidRPr="00FA7BE2" w:rsidRDefault="003349D9" w:rsidP="003349D9">
      <w:pPr>
        <w:spacing w:line="360" w:lineRule="auto"/>
        <w:ind w:firstLineChars="200" w:firstLine="420"/>
        <w:rPr>
          <w:rFonts w:asciiTheme="minorEastAsia" w:eastAsiaTheme="minorEastAsia" w:hAnsiTheme="minorEastAsia"/>
          <w:kern w:val="0"/>
          <w:szCs w:val="21"/>
        </w:rPr>
      </w:pPr>
    </w:p>
    <w:p w:rsidR="003349D9" w:rsidRPr="00FA7BE2" w:rsidRDefault="003349D9" w:rsidP="003349D9">
      <w:pPr>
        <w:spacing w:line="360" w:lineRule="auto"/>
        <w:ind w:firstLineChars="200" w:firstLine="420"/>
        <w:rPr>
          <w:rFonts w:asciiTheme="minorEastAsia" w:eastAsiaTheme="minorEastAsia" w:hAnsiTheme="minorEastAsia"/>
          <w:kern w:val="0"/>
          <w:szCs w:val="21"/>
        </w:rPr>
      </w:pPr>
    </w:p>
    <w:p w:rsidR="003349D9" w:rsidRPr="00FA7BE2" w:rsidRDefault="003349D9" w:rsidP="003349D9">
      <w:pPr>
        <w:spacing w:line="360" w:lineRule="auto"/>
        <w:ind w:firstLineChars="200" w:firstLine="420"/>
        <w:rPr>
          <w:rFonts w:asciiTheme="minorEastAsia" w:eastAsiaTheme="minorEastAsia" w:hAnsiTheme="minorEastAsia"/>
          <w:kern w:val="0"/>
          <w:szCs w:val="21"/>
        </w:rPr>
      </w:pPr>
    </w:p>
    <w:p w:rsidR="003349D9" w:rsidRPr="00FA7BE2" w:rsidRDefault="003349D9" w:rsidP="003349D9">
      <w:pPr>
        <w:spacing w:line="360" w:lineRule="auto"/>
        <w:ind w:firstLineChars="200" w:firstLine="420"/>
        <w:rPr>
          <w:rFonts w:asciiTheme="minorEastAsia" w:eastAsiaTheme="minorEastAsia" w:hAnsiTheme="minorEastAsia"/>
          <w:kern w:val="0"/>
          <w:szCs w:val="21"/>
        </w:rPr>
      </w:pPr>
    </w:p>
    <w:p w:rsidR="003349D9" w:rsidRPr="00FA7BE2" w:rsidRDefault="003349D9" w:rsidP="0072095A">
      <w:pPr>
        <w:snapToGrid w:val="0"/>
        <w:spacing w:line="360" w:lineRule="auto"/>
        <w:ind w:firstLine="480"/>
        <w:rPr>
          <w:rFonts w:asciiTheme="minorEastAsia" w:eastAsiaTheme="minorEastAsia" w:hAnsiTheme="minorEastAsia"/>
        </w:rPr>
      </w:pPr>
    </w:p>
    <w:p w:rsidR="00D21CF5" w:rsidRPr="00FA7BE2" w:rsidRDefault="00D21CF5" w:rsidP="00D21CF5">
      <w:pPr>
        <w:widowControl/>
        <w:jc w:val="left"/>
        <w:rPr>
          <w:rFonts w:asciiTheme="minorEastAsia" w:eastAsiaTheme="minorEastAsia" w:hAnsiTheme="minorEastAsia"/>
          <w:b/>
          <w:sz w:val="32"/>
          <w:szCs w:val="32"/>
        </w:rPr>
      </w:pPr>
      <w:r w:rsidRPr="00FA7BE2">
        <w:rPr>
          <w:rFonts w:asciiTheme="minorEastAsia" w:eastAsiaTheme="minorEastAsia" w:hAnsiTheme="minorEastAsia"/>
          <w:b/>
        </w:rPr>
        <w:br w:type="page"/>
      </w: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37" w:name="_Toc75870035"/>
      <w:r w:rsidRPr="00FA7BE2">
        <w:rPr>
          <w:rFonts w:asciiTheme="minorEastAsia" w:eastAsiaTheme="minorEastAsia" w:hAnsiTheme="minorEastAsia" w:hint="eastAsia"/>
          <w:b/>
        </w:rPr>
        <w:lastRenderedPageBreak/>
        <w:t>十</w:t>
      </w:r>
      <w:r w:rsidR="003349D9" w:rsidRPr="00FA7BE2">
        <w:rPr>
          <w:rFonts w:asciiTheme="minorEastAsia" w:eastAsiaTheme="minorEastAsia" w:hAnsiTheme="minorEastAsia" w:hint="eastAsia"/>
          <w:b/>
        </w:rPr>
        <w:t>九</w:t>
      </w:r>
      <w:r w:rsidRPr="00FA7BE2">
        <w:rPr>
          <w:rFonts w:asciiTheme="minorEastAsia" w:eastAsiaTheme="minorEastAsia" w:hAnsiTheme="minorEastAsia" w:hint="eastAsia"/>
          <w:b/>
        </w:rPr>
        <w:t>、风险揭示</w:t>
      </w:r>
      <w:bookmarkEnd w:id="137"/>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38" w:name="_Toc75870036"/>
      <w:r w:rsidRPr="00FA7BE2">
        <w:rPr>
          <w:rFonts w:asciiTheme="minorEastAsia" w:eastAsiaTheme="minorEastAsia" w:hAnsiTheme="minorEastAsia" w:hint="eastAsia"/>
        </w:rPr>
        <w:t>（一）市场风险</w:t>
      </w:r>
      <w:bookmarkEnd w:id="138"/>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本基金主要投资于证券市场，而证券市场价格因受到经济因素、政治因素、投资者心理和交易制度等各种因素的影响而产生波动，从而导致基金收益水平发生变化，产生风险。主要的风险因素包括：</w:t>
      </w:r>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1、政策风险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因国家宏观政策（如货币政策、财政政策、行业政策、地区发展政策等）发生变化，导致市场价格波动而产生风险。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2、利率风险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利率风险主要是指因金融市场利率的波动而导致证券市场价格和收益率变动的风险。利率直接影响着债券的价格和收益率，</w:t>
      </w:r>
      <w:r w:rsidRPr="00FA7BE2">
        <w:rPr>
          <w:rFonts w:asciiTheme="minorEastAsia" w:eastAsiaTheme="minorEastAsia" w:hAnsiTheme="minorEastAsia" w:hint="eastAsia"/>
        </w:rPr>
        <w:t>同时还</w:t>
      </w:r>
      <w:r w:rsidRPr="00FA7BE2">
        <w:rPr>
          <w:rFonts w:asciiTheme="minorEastAsia" w:eastAsiaTheme="minorEastAsia" w:hAnsiTheme="minorEastAsia"/>
        </w:rPr>
        <w:t>影响着企业的融资成本和利润。</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3、再投资风险</w:t>
      </w:r>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债券</w:t>
      </w:r>
      <w:r w:rsidRPr="00FA7BE2">
        <w:rPr>
          <w:rFonts w:asciiTheme="minorEastAsia" w:eastAsiaTheme="minorEastAsia" w:hAnsiTheme="minorEastAsia" w:hint="eastAsia"/>
        </w:rPr>
        <w:t>、票据</w:t>
      </w:r>
      <w:r w:rsidRPr="00FA7BE2">
        <w:rPr>
          <w:rFonts w:asciiTheme="minorEastAsia" w:eastAsiaTheme="minorEastAsia" w:hAnsiTheme="minorEastAsia"/>
        </w:rPr>
        <w:t>偿付本息后以及回购到期后可能由于市场利率的下降面临资金再投资的收益率低于原来利率，由此本基金面临再投资风险。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4、信用风险</w:t>
      </w:r>
    </w:p>
    <w:p w:rsidR="00D21CF5" w:rsidRPr="00FA7BE2" w:rsidRDefault="00D21CF5" w:rsidP="00D21CF5">
      <w:pPr>
        <w:autoSpaceDE w:val="0"/>
        <w:autoSpaceDN w:val="0"/>
        <w:adjustRightInd w:val="0"/>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债券发行人不能按期还本付息或回购交易中交易对手在回购到期履行交割责任时，不能偿还全部或部分证券或价款，都可能使本基金面临信用风险。</w:t>
      </w:r>
    </w:p>
    <w:p w:rsidR="00D21CF5" w:rsidRPr="00FA7BE2" w:rsidRDefault="00D21CF5" w:rsidP="00D21CF5">
      <w:pPr>
        <w:widowControl/>
        <w:tabs>
          <w:tab w:val="num" w:pos="1065"/>
        </w:tabs>
        <w:snapToGrid w:val="0"/>
        <w:spacing w:line="360" w:lineRule="auto"/>
        <w:ind w:left="1065" w:hanging="645"/>
        <w:jc w:val="left"/>
        <w:rPr>
          <w:rFonts w:asciiTheme="minorEastAsia" w:eastAsiaTheme="minorEastAsia" w:hAnsiTheme="minorEastAsia" w:cs="宋体"/>
          <w:kern w:val="0"/>
          <w:szCs w:val="21"/>
        </w:rPr>
      </w:pPr>
      <w:r w:rsidRPr="00FA7BE2">
        <w:rPr>
          <w:rFonts w:asciiTheme="minorEastAsia" w:eastAsiaTheme="minorEastAsia" w:hAnsiTheme="minorEastAsia" w:hint="eastAsia"/>
        </w:rPr>
        <w:t>5、</w:t>
      </w:r>
      <w:r w:rsidRPr="00FA7BE2">
        <w:rPr>
          <w:rFonts w:asciiTheme="minorEastAsia" w:eastAsiaTheme="minorEastAsia" w:hAnsiTheme="minorEastAsia" w:cs="宋体" w:hint="eastAsia"/>
          <w:kern w:val="0"/>
          <w:szCs w:val="21"/>
        </w:rPr>
        <w:t>公司经营风险</w:t>
      </w:r>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cs="宋体"/>
          <w:kern w:val="0"/>
          <w:szCs w:val="21"/>
        </w:rPr>
      </w:pPr>
      <w:r w:rsidRPr="00FA7BE2">
        <w:rPr>
          <w:rFonts w:asciiTheme="minorEastAsia" w:eastAsiaTheme="minorEastAsia" w:hAnsiTheme="minorEastAsia" w:cs="宋体" w:hint="eastAsia"/>
          <w:kern w:val="0"/>
          <w:szCs w:val="21"/>
        </w:rPr>
        <w:t>公司的经营状况受多种因素的影响，如管理能力、行业竞争、市场前景、技术更新、新产品研究开发等都会导致公司盈利发生变化。如果公司经营不善，其股票价格或债券价格可能下跌；</w:t>
      </w:r>
      <w:r w:rsidRPr="00FA7BE2">
        <w:rPr>
          <w:rFonts w:asciiTheme="minorEastAsia" w:eastAsiaTheme="minorEastAsia" w:hAnsiTheme="minorEastAsia" w:hint="eastAsia"/>
          <w:kern w:val="0"/>
          <w:szCs w:val="21"/>
        </w:rPr>
        <w:t>同时，其偿债能力也会受到影响，基金投资收益将受到不良影响</w:t>
      </w:r>
      <w:r w:rsidRPr="00FA7BE2">
        <w:rPr>
          <w:rFonts w:asciiTheme="minorEastAsia" w:eastAsiaTheme="minorEastAsia" w:hAnsiTheme="minorEastAsia" w:cs="宋体" w:hint="eastAsia"/>
          <w:kern w:val="0"/>
          <w:szCs w:val="21"/>
        </w:rPr>
        <w:t>。虽然基金可以通过投资多样化来分散这种非系统风险，但不能完全避免。</w:t>
      </w:r>
    </w:p>
    <w:p w:rsidR="00D21CF5" w:rsidRPr="00FA7BE2" w:rsidRDefault="00D21CF5" w:rsidP="00D21CF5">
      <w:pPr>
        <w:snapToGrid w:val="0"/>
        <w:spacing w:line="360" w:lineRule="auto"/>
        <w:ind w:firstLineChars="200" w:firstLine="420"/>
        <w:rPr>
          <w:rFonts w:asciiTheme="minorEastAsia" w:eastAsiaTheme="minorEastAsia" w:hAnsiTheme="minorEastAsia"/>
          <w:kern w:val="0"/>
          <w:szCs w:val="21"/>
        </w:rPr>
      </w:pPr>
      <w:r w:rsidRPr="00FA7BE2">
        <w:rPr>
          <w:rFonts w:asciiTheme="minorEastAsia" w:eastAsiaTheme="minorEastAsia" w:hAnsiTheme="minorEastAsia" w:cs="宋体" w:hint="eastAsia"/>
          <w:kern w:val="0"/>
          <w:szCs w:val="21"/>
        </w:rPr>
        <w:t>6、</w:t>
      </w:r>
      <w:r w:rsidRPr="00FA7BE2">
        <w:rPr>
          <w:rFonts w:asciiTheme="minorEastAsia" w:eastAsiaTheme="minorEastAsia" w:hAnsiTheme="minorEastAsia" w:hint="eastAsia"/>
        </w:rPr>
        <w:t>经济周期风险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D21CF5" w:rsidRPr="00FA7BE2" w:rsidRDefault="00D21CF5" w:rsidP="00D21CF5">
      <w:pPr>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rPr>
        <w:t>7</w:t>
      </w:r>
      <w:r w:rsidRPr="00FA7BE2">
        <w:rPr>
          <w:rFonts w:asciiTheme="minorEastAsia" w:eastAsiaTheme="minorEastAsia" w:hAnsiTheme="minorEastAsia" w:hint="eastAsia"/>
        </w:rPr>
        <w:t>、</w:t>
      </w:r>
      <w:r w:rsidRPr="00FA7BE2">
        <w:rPr>
          <w:rFonts w:asciiTheme="minorEastAsia" w:eastAsiaTheme="minorEastAsia" w:hAnsiTheme="minorEastAsia" w:hint="eastAsia"/>
          <w:kern w:val="0"/>
          <w:szCs w:val="21"/>
        </w:rPr>
        <w:t>购买力风险</w:t>
      </w:r>
    </w:p>
    <w:p w:rsidR="00D21CF5" w:rsidRPr="00FA7BE2" w:rsidRDefault="00D21CF5" w:rsidP="00D21CF5">
      <w:pPr>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hint="eastAsia"/>
          <w:kern w:val="0"/>
          <w:szCs w:val="21"/>
        </w:rPr>
        <w:t>如果发生通货膨胀，基金投资于证券所获得的收益可能会被通货膨胀抵消，从而影响基金资产的实际收益率。</w:t>
      </w:r>
    </w:p>
    <w:p w:rsidR="00D21CF5" w:rsidRPr="00FA7BE2" w:rsidRDefault="00D21CF5" w:rsidP="00D21CF5">
      <w:pPr>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kern w:val="0"/>
          <w:szCs w:val="21"/>
        </w:rPr>
        <w:t>8、</w:t>
      </w:r>
      <w:r w:rsidRPr="00FA7BE2">
        <w:rPr>
          <w:rFonts w:asciiTheme="minorEastAsia" w:eastAsiaTheme="minorEastAsia" w:hAnsiTheme="minorEastAsia" w:hint="eastAsia"/>
          <w:kern w:val="0"/>
          <w:szCs w:val="21"/>
        </w:rPr>
        <w:t>股票市场风险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kern w:val="0"/>
          <w:szCs w:val="21"/>
        </w:rPr>
        <w:t>如果股票市场下跌，本基金持有股票部分将面临下跌风险。</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39" w:name="_Toc75870037"/>
      <w:r w:rsidRPr="00FA7BE2">
        <w:rPr>
          <w:rFonts w:asciiTheme="minorEastAsia" w:eastAsiaTheme="minorEastAsia" w:hAnsiTheme="minorEastAsia" w:hint="eastAsia"/>
        </w:rPr>
        <w:t>（二）管理风险</w:t>
      </w:r>
      <w:bookmarkEnd w:id="139"/>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1、在基金管理运作过程中，基金管理人的知识、经验、判断、决策、技能等，会影响其对信息的占有以及对经济形势、证券价格走势的判断，从而影响基金收益水平；</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2、基金管理人和基金托管人的管理手段和管理技术等因素的变化也会影响基金收益水平。</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40" w:name="_Toc75870038"/>
      <w:r w:rsidRPr="00FA7BE2">
        <w:rPr>
          <w:rFonts w:asciiTheme="minorEastAsia" w:eastAsiaTheme="minorEastAsia" w:hAnsiTheme="minorEastAsia" w:hint="eastAsia"/>
        </w:rPr>
        <w:t>（三）流动性风险</w:t>
      </w:r>
      <w:bookmarkEnd w:id="140"/>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、流动性风险评估</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本基金为债券型基金，可</w:t>
      </w:r>
      <w:r w:rsidRPr="00FA7BE2">
        <w:rPr>
          <w:rFonts w:asciiTheme="minorEastAsia" w:eastAsiaTheme="minorEastAsia" w:hAnsiTheme="minorEastAsia"/>
        </w:rPr>
        <w:t>投资于</w:t>
      </w:r>
      <w:r w:rsidRPr="00FA7BE2">
        <w:rPr>
          <w:rFonts w:asciiTheme="minorEastAsia" w:eastAsiaTheme="minorEastAsia" w:hAnsiTheme="minorEastAsia" w:hint="eastAsia"/>
          <w:szCs w:val="21"/>
        </w:rPr>
        <w:t>国内依法发行、上市的股票、债券、货币市场工具等</w:t>
      </w:r>
      <w:r w:rsidRPr="00FA7BE2">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rPr>
        <w:t>2、</w:t>
      </w:r>
      <w:r w:rsidRPr="00FA7BE2">
        <w:rPr>
          <w:rFonts w:asciiTheme="minorEastAsia" w:eastAsiaTheme="minorEastAsia" w:hAnsiTheme="minorEastAsia" w:hint="eastAsia"/>
        </w:rPr>
        <w:t>巨额赎回情形下的流动性风险管理措施</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当本基金出现巨额赎回时，基金管理人可以根据基金当时的资产组合状况决定接受全额赎回或部分延期赎回；此外，如</w:t>
      </w:r>
      <w:r w:rsidRPr="00FA7BE2">
        <w:rPr>
          <w:rFonts w:asciiTheme="minorEastAsia" w:eastAsiaTheme="minorEastAsia" w:hAnsiTheme="minorEastAsia" w:hint="eastAsia"/>
          <w:szCs w:val="21"/>
        </w:rPr>
        <w:t>本基金连续两日以上</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含本数</w:t>
      </w:r>
      <w:r w:rsidRPr="00FA7BE2">
        <w:rPr>
          <w:rFonts w:asciiTheme="minorEastAsia" w:eastAsiaTheme="minorEastAsia" w:hAnsiTheme="minorEastAsia"/>
          <w:szCs w:val="21"/>
        </w:rPr>
        <w:t>)</w:t>
      </w:r>
      <w:r w:rsidRPr="00FA7BE2">
        <w:rPr>
          <w:rFonts w:asciiTheme="minorEastAsia" w:eastAsiaTheme="minorEastAsia" w:hAnsiTheme="minorEastAsia" w:hint="eastAsia"/>
          <w:szCs w:val="21"/>
        </w:rPr>
        <w:t>发生巨额赎回时，如基金管理人认为有必要，可暂停接受赎回和转出申请；已经接受的赎回申请可以延缓支付赎回款项，但延缓期限不得超过</w:t>
      </w:r>
      <w:r w:rsidRPr="00FA7BE2">
        <w:rPr>
          <w:rFonts w:asciiTheme="minorEastAsia" w:eastAsiaTheme="minorEastAsia" w:hAnsiTheme="minorEastAsia"/>
          <w:szCs w:val="21"/>
        </w:rPr>
        <w:t>20</w:t>
      </w:r>
      <w:r w:rsidRPr="00FA7BE2">
        <w:rPr>
          <w:rFonts w:asciiTheme="minorEastAsia" w:eastAsiaTheme="minorEastAsia" w:hAnsiTheme="minorEastAsia" w:hint="eastAsia"/>
          <w:szCs w:val="21"/>
        </w:rPr>
        <w:t>个工作日</w:t>
      </w:r>
      <w:r w:rsidRPr="00FA7BE2">
        <w:rPr>
          <w:rFonts w:asciiTheme="minorEastAsia" w:eastAsiaTheme="minorEastAsia" w:hAnsiTheme="minorEastAsia" w:hint="eastAsia"/>
        </w:rPr>
        <w:t>。当本基金发生巨额赎回且单个基金份额持有人的赎回申请超过上一开放日基金总份额10%的，基金管理人有权对该单个基金份额持有人超出该比例的赎回申请实施延期办理。具体情形、程序见招募说明书“七、基金份额的申购、赎回”之“（十一）巨额赎回的认定及处理方式”</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3.除巨额赎回情形外实施备用的流动性风险管理工具的情形、程序及对投资者的潜在影响</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暂停接受赎回申请、延缓支付赎回款项等工具的情形、程序见招募说明书“七、基金份额的申购、赎回”之“（十二）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3349D9" w:rsidRPr="00FA7BE2" w:rsidRDefault="00D21CF5" w:rsidP="003349D9">
      <w:pPr>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暂停基金估值的情形、程序见招募说明书“十三、基金资产估值”之“（六）暂停估值</w:t>
      </w:r>
      <w:r w:rsidRPr="00FA7BE2">
        <w:rPr>
          <w:rFonts w:asciiTheme="minorEastAsia" w:eastAsiaTheme="minorEastAsia" w:hAnsiTheme="minorEastAsia" w:hint="eastAsia"/>
        </w:rPr>
        <w:lastRenderedPageBreak/>
        <w:t>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3349D9" w:rsidRPr="00FA7BE2" w:rsidRDefault="003349D9" w:rsidP="003349D9">
      <w:pPr>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3、实施侧袋机制对投资者的影响</w:t>
      </w:r>
    </w:p>
    <w:p w:rsidR="003349D9" w:rsidRPr="00FA7BE2" w:rsidRDefault="003349D9" w:rsidP="003349D9">
      <w:pPr>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3349D9" w:rsidRPr="00FA7BE2" w:rsidRDefault="003349D9" w:rsidP="003349D9">
      <w:pPr>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B87BA8" w:rsidRPr="00FA7BE2" w:rsidRDefault="003349D9" w:rsidP="003349D9">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基金管理人将根据主袋账户运作情况合理确定申购政策，因此实施侧袋机制后主袋账户份额存在暂停申购的可能。</w:t>
      </w:r>
    </w:p>
    <w:p w:rsidR="00B87BA8" w:rsidRPr="00FA7BE2" w:rsidRDefault="00B87BA8" w:rsidP="00B87BA8">
      <w:pPr>
        <w:pStyle w:val="21"/>
        <w:snapToGrid w:val="0"/>
        <w:spacing w:beforeLines="0" w:afterLines="0" w:line="360" w:lineRule="auto"/>
        <w:ind w:firstLineChars="71"/>
        <w:rPr>
          <w:rFonts w:asciiTheme="minorEastAsia" w:eastAsiaTheme="minorEastAsia" w:hAnsiTheme="minorEastAsia"/>
        </w:rPr>
      </w:pPr>
      <w:bookmarkStart w:id="141" w:name="_Toc75870039"/>
      <w:r w:rsidRPr="00FA7BE2">
        <w:rPr>
          <w:rFonts w:asciiTheme="minorEastAsia" w:eastAsiaTheme="minorEastAsia" w:hAnsiTheme="minorEastAsia" w:hint="eastAsia"/>
        </w:rPr>
        <w:t>（四）本基金法律文件中涉及基金风险特征的表述与销售机构对基金的风险评级可能不一致的风险</w:t>
      </w:r>
      <w:bookmarkEnd w:id="141"/>
    </w:p>
    <w:p w:rsidR="00B87BA8" w:rsidRPr="00FA7BE2" w:rsidRDefault="00B87BA8" w:rsidP="00B87BA8">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kern w:val="0"/>
          <w:szCs w:val="21"/>
        </w:rPr>
      </w:pPr>
      <w:bookmarkStart w:id="142" w:name="_Toc75870040"/>
      <w:r w:rsidRPr="00FA7BE2">
        <w:rPr>
          <w:rFonts w:asciiTheme="minorEastAsia" w:eastAsiaTheme="minorEastAsia" w:hAnsiTheme="minorEastAsia" w:hint="eastAsia"/>
        </w:rPr>
        <w:lastRenderedPageBreak/>
        <w:t>（</w:t>
      </w:r>
      <w:r w:rsidR="00B87BA8" w:rsidRPr="00FA7BE2">
        <w:rPr>
          <w:rFonts w:asciiTheme="minorEastAsia" w:eastAsiaTheme="minorEastAsia" w:hAnsiTheme="minorEastAsia" w:hint="eastAsia"/>
        </w:rPr>
        <w:t>五</w:t>
      </w:r>
      <w:r w:rsidRPr="00FA7BE2">
        <w:rPr>
          <w:rFonts w:asciiTheme="minorEastAsia" w:eastAsiaTheme="minorEastAsia" w:hAnsiTheme="minorEastAsia" w:hint="eastAsia"/>
        </w:rPr>
        <w:t>）</w:t>
      </w:r>
      <w:r w:rsidRPr="00FA7BE2">
        <w:rPr>
          <w:rFonts w:asciiTheme="minorEastAsia" w:eastAsiaTheme="minorEastAsia" w:hAnsiTheme="minorEastAsia" w:hint="eastAsia"/>
          <w:kern w:val="0"/>
          <w:szCs w:val="21"/>
        </w:rPr>
        <w:t>本基金的特有风险</w:t>
      </w:r>
      <w:bookmarkEnd w:id="142"/>
    </w:p>
    <w:p w:rsidR="00D21CF5" w:rsidRPr="00FA7BE2" w:rsidRDefault="00D21CF5" w:rsidP="00D21CF5">
      <w:pPr>
        <w:snapToGrid w:val="0"/>
        <w:spacing w:line="360" w:lineRule="auto"/>
        <w:ind w:firstLine="200"/>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本基金投资于债券等固定收益品种不低于基金资产的80%。因此，本基金需要承担由于市场利率波动造成的利率风险以及如企业债、公司债等信用品种的发债主体信用恶化造成的信用风险；如果债券市场出现整体下跌，将无法完全避免债券市场系统性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rPr>
        <w:t>、</w:t>
      </w:r>
      <w:r w:rsidRPr="00FA7BE2">
        <w:rPr>
          <w:rFonts w:asciiTheme="minorEastAsia" w:eastAsiaTheme="minorEastAsia" w:hAnsiTheme="minorEastAsia" w:hint="eastAsia"/>
        </w:rPr>
        <w:t>本基金投资于债券等固定收益品种不低于基金资产的80%；投资于股票等权益类品种不高于基金资产的20%。因此，本基金除承担利率风险、信用风险和债券市场系统性风险外，还将面临股票市场下跌的风险。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3、</w:t>
      </w:r>
      <w:r w:rsidRPr="00FA7BE2">
        <w:rPr>
          <w:rFonts w:asciiTheme="minorEastAsia" w:eastAsiaTheme="minorEastAsia" w:hAnsiTheme="minorEastAsia" w:hint="eastAsia"/>
        </w:rPr>
        <w:t>本基金的投资范围包括资产支持证券，资产支持证券可能面临的信用风险、利率风险、流动性风险、提前偿付风险等风险、操作风险和法律风险，由此可能增加本基金净值的波动性。</w:t>
      </w:r>
    </w:p>
    <w:p w:rsidR="00AD4514" w:rsidRPr="00FA7BE2" w:rsidRDefault="00AD4514"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43" w:name="_Toc75870041"/>
      <w:r w:rsidRPr="00FA7BE2">
        <w:rPr>
          <w:rFonts w:asciiTheme="minorEastAsia" w:eastAsiaTheme="minorEastAsia" w:hAnsiTheme="minorEastAsia" w:hint="eastAsia"/>
        </w:rPr>
        <w:t>（</w:t>
      </w:r>
      <w:r w:rsidR="00B87BA8" w:rsidRPr="00FA7BE2">
        <w:rPr>
          <w:rFonts w:asciiTheme="minorEastAsia" w:eastAsiaTheme="minorEastAsia" w:hAnsiTheme="minorEastAsia" w:hint="eastAsia"/>
        </w:rPr>
        <w:t>六</w:t>
      </w:r>
      <w:r w:rsidRPr="00FA7BE2">
        <w:rPr>
          <w:rFonts w:asciiTheme="minorEastAsia" w:eastAsiaTheme="minorEastAsia" w:hAnsiTheme="minorEastAsia"/>
        </w:rPr>
        <w:t>）</w:t>
      </w:r>
      <w:r w:rsidRPr="00FA7BE2">
        <w:rPr>
          <w:rFonts w:asciiTheme="minorEastAsia" w:eastAsiaTheme="minorEastAsia" w:hAnsiTheme="minorEastAsia" w:hint="eastAsia"/>
        </w:rPr>
        <w:t>其他风险</w:t>
      </w:r>
      <w:bookmarkEnd w:id="143"/>
    </w:p>
    <w:p w:rsidR="00D21CF5" w:rsidRPr="00FA7BE2" w:rsidRDefault="00D21CF5" w:rsidP="00D21CF5">
      <w:pPr>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hint="eastAsia"/>
        </w:rPr>
        <w:t>1、</w:t>
      </w:r>
      <w:r w:rsidRPr="00FA7BE2">
        <w:rPr>
          <w:rFonts w:asciiTheme="minorEastAsia" w:eastAsiaTheme="minorEastAsia" w:hAnsiTheme="minorEastAsia" w:hint="eastAsia"/>
          <w:kern w:val="0"/>
          <w:szCs w:val="21"/>
        </w:rPr>
        <w:t>本基金力争战胜业绩比较基准，但本基金的收益水平有可能不能达到或超过业绩比较基准，基金份额持有人面临无法获得目标收益率甚至本金亏损的风险；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2、因技术因素而产生的风险，如电脑系统不可靠产生的风险；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3、因战争、自然灾害等不可抗力导致的基金管理人、基金销售机构等机构无法正常工作，从而影响基金运作的风险；</w:t>
      </w:r>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hint="eastAsia"/>
        </w:rPr>
        <w:t>4、</w:t>
      </w:r>
      <w:r w:rsidRPr="00FA7BE2">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pPr>
      <w:r w:rsidRPr="00FA7BE2">
        <w:rPr>
          <w:rFonts w:asciiTheme="minorEastAsia" w:eastAsiaTheme="minorEastAsia" w:hAnsiTheme="minorEastAsia"/>
          <w:kern w:val="0"/>
          <w:szCs w:val="21"/>
        </w:rPr>
        <w:t>5、</w:t>
      </w:r>
      <w:r w:rsidRPr="00FA7BE2">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bookmarkStart w:id="144" w:name="_Toc13148331"/>
      <w:bookmarkStart w:id="145" w:name="_Toc13150559"/>
      <w:bookmarkStart w:id="146" w:name="_Toc13291944"/>
      <w:bookmarkStart w:id="147" w:name="_Toc13504670"/>
      <w:bookmarkStart w:id="148" w:name="_Toc13504786"/>
      <w:bookmarkStart w:id="149" w:name="_Toc13556279"/>
      <w:bookmarkStart w:id="150" w:name="_Toc14337401"/>
      <w:bookmarkEnd w:id="144"/>
      <w:bookmarkEnd w:id="145"/>
      <w:bookmarkEnd w:id="146"/>
      <w:bookmarkEnd w:id="147"/>
      <w:bookmarkEnd w:id="148"/>
      <w:bookmarkEnd w:id="149"/>
      <w:bookmarkEnd w:id="150"/>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pPr>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pPr>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pPr>
    </w:p>
    <w:p w:rsidR="00D21CF5" w:rsidRPr="00FA7BE2" w:rsidRDefault="00D21CF5" w:rsidP="00D21CF5">
      <w:pPr>
        <w:autoSpaceDE w:val="0"/>
        <w:autoSpaceDN w:val="0"/>
        <w:snapToGrid w:val="0"/>
        <w:spacing w:line="360" w:lineRule="auto"/>
        <w:ind w:firstLine="420"/>
        <w:rPr>
          <w:rFonts w:asciiTheme="minorEastAsia" w:eastAsiaTheme="minorEastAsia" w:hAnsiTheme="minorEastAsia"/>
          <w:kern w:val="0"/>
          <w:szCs w:val="21"/>
        </w:rPr>
        <w:sectPr w:rsidR="00D21CF5" w:rsidRPr="00FA7BE2" w:rsidSect="004F61AF">
          <w:pgSz w:w="11906" w:h="16838" w:code="9"/>
          <w:pgMar w:top="1440" w:right="1800" w:bottom="1440" w:left="1800" w:header="851" w:footer="992" w:gutter="0"/>
          <w:cols w:space="425"/>
          <w:docGrid w:type="lines" w:linePitch="312"/>
        </w:sectPr>
      </w:pPr>
    </w:p>
    <w:p w:rsidR="00D21CF5" w:rsidRPr="00FA7BE2" w:rsidRDefault="003349D9" w:rsidP="00D21CF5">
      <w:pPr>
        <w:pStyle w:val="1"/>
        <w:snapToGrid w:val="0"/>
        <w:spacing w:beforeLines="0" w:afterLines="0" w:line="360" w:lineRule="auto"/>
        <w:ind w:firstLine="643"/>
        <w:rPr>
          <w:rFonts w:asciiTheme="minorEastAsia" w:eastAsiaTheme="minorEastAsia" w:hAnsiTheme="minorEastAsia"/>
        </w:rPr>
      </w:pPr>
      <w:bookmarkStart w:id="151" w:name="_Toc86722616"/>
      <w:bookmarkStart w:id="152" w:name="_Toc86737198"/>
      <w:bookmarkStart w:id="153" w:name="_Toc75870042"/>
      <w:r w:rsidRPr="00FA7BE2">
        <w:rPr>
          <w:rFonts w:asciiTheme="minorEastAsia" w:eastAsiaTheme="minorEastAsia" w:hAnsiTheme="minorEastAsia" w:hint="eastAsia"/>
          <w:b/>
        </w:rPr>
        <w:lastRenderedPageBreak/>
        <w:t>二十</w:t>
      </w:r>
      <w:r w:rsidR="00D21CF5" w:rsidRPr="00FA7BE2">
        <w:rPr>
          <w:rFonts w:asciiTheme="minorEastAsia" w:eastAsiaTheme="minorEastAsia" w:hAnsiTheme="minorEastAsia" w:hint="eastAsia"/>
          <w:b/>
        </w:rPr>
        <w:t>、差错处理</w:t>
      </w:r>
      <w:bookmarkEnd w:id="151"/>
      <w:bookmarkEnd w:id="152"/>
      <w:bookmarkEnd w:id="153"/>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54" w:name="_Toc79236623"/>
      <w:bookmarkStart w:id="155" w:name="_Toc86584654"/>
      <w:bookmarkStart w:id="156" w:name="_Toc86722617"/>
      <w:bookmarkStart w:id="157" w:name="_Toc86737199"/>
      <w:bookmarkStart w:id="158" w:name="_Toc75870043"/>
      <w:r w:rsidRPr="00FA7BE2">
        <w:rPr>
          <w:rFonts w:asciiTheme="minorEastAsia" w:eastAsiaTheme="minorEastAsia" w:hAnsiTheme="minorEastAsia" w:hint="eastAsia"/>
        </w:rPr>
        <w:t>（一）差错类型</w:t>
      </w:r>
      <w:bookmarkEnd w:id="154"/>
      <w:bookmarkEnd w:id="155"/>
      <w:bookmarkEnd w:id="156"/>
      <w:bookmarkEnd w:id="157"/>
      <w:bookmarkEnd w:id="158"/>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运作过程中，如果由于基金管理人或基金托管人或投资者自身的过错造成差错，导致其他当事人遭受损失的，过错的责任人应当对由于该差错遭受损失的当事人（“受损方”）按下述“差错处理原则”给予赔偿承担赔偿责任。</w:t>
      </w:r>
    </w:p>
    <w:p w:rsidR="00D21CF5" w:rsidRPr="00FA7BE2" w:rsidRDefault="00D21CF5" w:rsidP="00D21CF5">
      <w:pPr>
        <w:pStyle w:val="aff8"/>
        <w:snapToGrid w:val="0"/>
        <w:spacing w:after="0" w:line="360" w:lineRule="auto"/>
        <w:ind w:firstLine="210"/>
        <w:rPr>
          <w:rFonts w:asciiTheme="minorEastAsia" w:eastAsiaTheme="minorEastAsia" w:hAnsiTheme="minorEastAsia"/>
        </w:rPr>
      </w:pPr>
      <w:r w:rsidRPr="00FA7BE2">
        <w:rPr>
          <w:rFonts w:asciiTheme="minorEastAsia" w:eastAsiaTheme="minorEastAsia" w:hAnsiTheme="minorEastAsia"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59" w:name="_Toc79236624"/>
      <w:bookmarkStart w:id="160" w:name="_Toc86584655"/>
      <w:bookmarkStart w:id="161" w:name="_Toc86722618"/>
      <w:bookmarkStart w:id="162" w:name="_Toc86737200"/>
      <w:bookmarkStart w:id="163" w:name="_Toc75870044"/>
      <w:r w:rsidRPr="00FA7BE2">
        <w:rPr>
          <w:rFonts w:asciiTheme="minorEastAsia" w:eastAsiaTheme="minorEastAsia" w:hAnsiTheme="minorEastAsia" w:hint="eastAsia"/>
        </w:rPr>
        <w:t>（二）差错处理原则</w:t>
      </w:r>
      <w:bookmarkEnd w:id="159"/>
      <w:bookmarkEnd w:id="160"/>
      <w:bookmarkEnd w:id="161"/>
      <w:bookmarkEnd w:id="162"/>
      <w:bookmarkEnd w:id="163"/>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w:t>
      </w:r>
      <w:r w:rsidRPr="00FA7BE2">
        <w:rPr>
          <w:rFonts w:asciiTheme="minorEastAsia" w:eastAsiaTheme="minorEastAsia" w:hAnsiTheme="minorEastAsia" w:hint="eastAsia"/>
          <w:kern w:val="0"/>
        </w:rPr>
        <w:t>由此造成或扩大的损失由差错责任方和未更正方根据各自的过错程度分别各自承担相应的赔偿责任。</w:t>
      </w:r>
      <w:r w:rsidRPr="00FA7BE2">
        <w:rPr>
          <w:rFonts w:asciiTheme="minorEastAsia" w:eastAsiaTheme="minorEastAsia" w:hAnsiTheme="minorEastAsia" w:hint="eastAsia"/>
        </w:rPr>
        <w:t>则其应当承担相应赔偿责任。差错责任方应对更正的情况向有关当事人进行确认，确保差错已得到更正。</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2、差错的责任方对可能导致有关当事人的直接损失负责，不对间接损失负责，并且仅对差错的有关直接当事人负责，不对第三方负责；</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4、差错调整采用尽量恢复至假设未发生差错的正确情形的方式；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w:t>
      </w:r>
      <w:r w:rsidRPr="00FA7BE2">
        <w:rPr>
          <w:rFonts w:asciiTheme="minorEastAsia" w:eastAsiaTheme="minorEastAsia" w:hAnsiTheme="minorEastAsia" w:hint="eastAsia"/>
          <w:kern w:val="0"/>
        </w:rPr>
        <w:t>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由基金管理人负责向差错方追偿；</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6、如果出现差错的当事人未按规定对受损方进行赔偿，并且依据法律、行政法规、《基金合同》或其他规定，基金管理人或基金托管人自行或依据法院判决、仲裁裁决对受损方承</w:t>
      </w:r>
      <w:r w:rsidRPr="00FA7BE2">
        <w:rPr>
          <w:rFonts w:asciiTheme="minorEastAsia" w:eastAsiaTheme="minorEastAsia" w:hAnsiTheme="minorEastAsia" w:hint="eastAsia"/>
        </w:rPr>
        <w:lastRenderedPageBreak/>
        <w:t>担了赔偿责任，则基金管理人或基金托管人有权向出现过错的当事人进行追索，并有权要求其赔偿或补偿由此发生的费用和遭受的损失。</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7、按法律法规规定的其他原则处理差错。</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64" w:name="_Toc79236625"/>
      <w:bookmarkStart w:id="165" w:name="_Toc86584656"/>
      <w:bookmarkStart w:id="166" w:name="_Toc86722619"/>
      <w:bookmarkStart w:id="167" w:name="_Toc86737201"/>
      <w:bookmarkStart w:id="168" w:name="_Toc75870045"/>
      <w:r w:rsidRPr="00FA7BE2">
        <w:rPr>
          <w:rFonts w:asciiTheme="minorEastAsia" w:eastAsiaTheme="minorEastAsia" w:hAnsiTheme="minorEastAsia" w:hint="eastAsia"/>
        </w:rPr>
        <w:t>（三）差错处理程序</w:t>
      </w:r>
      <w:bookmarkEnd w:id="164"/>
      <w:bookmarkEnd w:id="165"/>
      <w:bookmarkEnd w:id="166"/>
      <w:bookmarkEnd w:id="167"/>
      <w:bookmarkEnd w:id="168"/>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差错被发现后，有关的当事人应当及时进行处理，处理的程序如下：</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1、查明差错发生的原因，列明所有的当事人，并根据差错发生的原因确定差错的责任方；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2、根据差错处理原则或当事人协商的方法对因差错造成的损失进行评估；</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3、根据差错处理原则或当事人协商的方法由差错的责任方进行更正和赔偿损失；</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4、根据差错处理的方法，需要修改基金注册登记机构的交易数据的，由基金注册登记机构进行更正，并就差错的更正向有关当事人进行确认；</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5、基金管理人及基金托管人基金资产估值错误偏差达到基金份额净值0.5%时，基金管理人应当公告，并报中国证监会备案。</w:t>
      </w:r>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69" w:name="_Toc107665741"/>
      <w:bookmarkStart w:id="170" w:name="_Toc75870046"/>
      <w:r w:rsidRPr="00FA7BE2">
        <w:rPr>
          <w:rFonts w:asciiTheme="minorEastAsia" w:eastAsiaTheme="minorEastAsia" w:hAnsiTheme="minorEastAsia" w:hint="eastAsia"/>
        </w:rPr>
        <w:t>（四）特殊情形的处理</w:t>
      </w:r>
      <w:bookmarkEnd w:id="169"/>
      <w:bookmarkEnd w:id="170"/>
    </w:p>
    <w:p w:rsidR="00D21CF5" w:rsidRPr="00FA7BE2" w:rsidRDefault="00D21CF5" w:rsidP="00D21CF5">
      <w:pPr>
        <w:snapToGrid w:val="0"/>
        <w:spacing w:line="360" w:lineRule="auto"/>
        <w:ind w:firstLine="420"/>
        <w:rPr>
          <w:rFonts w:asciiTheme="minorEastAsia" w:eastAsiaTheme="minorEastAsia" w:hAnsiTheme="minorEastAsia"/>
          <w:kern w:val="0"/>
        </w:rPr>
      </w:pPr>
      <w:r w:rsidRPr="00FA7BE2">
        <w:rPr>
          <w:rFonts w:asciiTheme="minorEastAsia" w:eastAsiaTheme="minorEastAsia" w:hAnsiTheme="minorEastAsia" w:hint="eastAsia"/>
          <w:kern w:val="0"/>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kern w:val="0"/>
        </w:rPr>
      </w:pPr>
    </w:p>
    <w:p w:rsidR="00D21CF5" w:rsidRPr="00FA7BE2" w:rsidRDefault="00D21CF5" w:rsidP="00D21CF5">
      <w:pPr>
        <w:snapToGrid w:val="0"/>
        <w:spacing w:line="360" w:lineRule="auto"/>
        <w:ind w:firstLine="420"/>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71" w:name="_Toc75870047"/>
      <w:r w:rsidRPr="00FA7BE2">
        <w:rPr>
          <w:rFonts w:asciiTheme="minorEastAsia" w:eastAsiaTheme="minorEastAsia" w:hAnsiTheme="minorEastAsia" w:hint="eastAsia"/>
          <w:b/>
        </w:rPr>
        <w:lastRenderedPageBreak/>
        <w:t>二十</w:t>
      </w:r>
      <w:r w:rsidR="003349D9" w:rsidRPr="00FA7BE2">
        <w:rPr>
          <w:rFonts w:asciiTheme="minorEastAsia" w:eastAsiaTheme="minorEastAsia" w:hAnsiTheme="minorEastAsia" w:hint="eastAsia"/>
          <w:b/>
        </w:rPr>
        <w:t>一</w:t>
      </w:r>
      <w:r w:rsidRPr="00FA7BE2">
        <w:rPr>
          <w:rFonts w:asciiTheme="minorEastAsia" w:eastAsiaTheme="minorEastAsia" w:hAnsiTheme="minorEastAsia" w:hint="eastAsia"/>
          <w:b/>
        </w:rPr>
        <w:t>、基金合同的终止与基金财产的清算</w:t>
      </w:r>
      <w:bookmarkEnd w:id="171"/>
    </w:p>
    <w:p w:rsidR="00D21CF5" w:rsidRPr="00FA7BE2" w:rsidRDefault="00D21CF5" w:rsidP="00D21CF5">
      <w:pPr>
        <w:pStyle w:val="21"/>
        <w:snapToGrid w:val="0"/>
        <w:spacing w:beforeLines="0" w:afterLines="0" w:line="360" w:lineRule="auto"/>
        <w:ind w:firstLineChars="71"/>
        <w:rPr>
          <w:rFonts w:asciiTheme="minorEastAsia" w:eastAsiaTheme="minorEastAsia" w:hAnsiTheme="minorEastAsia"/>
        </w:rPr>
      </w:pPr>
      <w:bookmarkStart w:id="172" w:name="_Toc75870048"/>
      <w:r w:rsidRPr="00FA7BE2">
        <w:rPr>
          <w:rFonts w:asciiTheme="minorEastAsia" w:eastAsiaTheme="minorEastAsia" w:hAnsiTheme="minorEastAsia" w:hint="eastAsia"/>
        </w:rPr>
        <w:t>（一）基金合同的终止</w:t>
      </w:r>
      <w:bookmarkEnd w:id="172"/>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出现下列情形之一的，经中国证监会批准后基金合同终止：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1、经基金份额持有人大会表决终止的；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2、因重大违法、违规行为，被中国证监会责令终止的；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3、基金管理人因解散、破产、撤销、丧失基金管理资格、停止营业等事由，不能继续担任本基金管理人的职务，而在六个月内无其它基金管理公司承受其原有权利及义务；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4、基金托管人因解散、破产、撤销、丧失基金托管资格、停止营业等事由，不能继续担任本基金托管人的职务，而在六个月内无其它托管机构承受其原有权利及义务；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5、法律法规和中国证监会规定的其他事由。</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基金合同终止后，基金管理人和基金托管人依照《基金法》、《运作办法》、《销售办法》、基金合同及其他有关规定，行使请求给付报酬、从基金财产中获得补偿的权利时，可以留置基金财产或者对基金财产的权利归属人提出请求。</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3" w:name="_Toc75870049"/>
      <w:r w:rsidRPr="00FA7BE2">
        <w:rPr>
          <w:rFonts w:asciiTheme="minorEastAsia" w:eastAsiaTheme="minorEastAsia" w:hAnsiTheme="minorEastAsia" w:hint="eastAsia"/>
        </w:rPr>
        <w:t>（二）基金财产的清算</w:t>
      </w:r>
      <w:bookmarkEnd w:id="173"/>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1、基金财产清算小组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（1）自基金合同终止之日起30个工作日内成立清算小组，基金财产清算小组在中国证监会的监督下进行清算。</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财产清算小组成员由基金管理人、基金托管人、具有从事相关业务资格的注册会计师、律师以及中国证监会指定的人员组成。基金财产清算小组可以聘用必要的工作人员。基金财产清算小组在成立后五个工作日内应当公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（3）基金财产清算小组负责基金财产的保管、清理、估价、变现和分配。基金财产清算小组可以依法以基金的名义进行必要的民事活动。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2、清算程序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（1）基金合同终止后，由基金财产清算小组统一接管基金财产；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（2）对基金财产进行清理和确认；</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（3）对基金财产进行估值和变现；</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（4）将基金财产清算结果报告中国证监会；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（5）公布基金财产清算公告；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（6）对基金财产进行分配。</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3、清算费用</w:t>
      </w:r>
    </w:p>
    <w:p w:rsidR="00D21CF5" w:rsidRPr="00FA7BE2" w:rsidRDefault="00D21CF5" w:rsidP="00D21CF5">
      <w:pPr>
        <w:pStyle w:val="aff8"/>
        <w:snapToGrid w:val="0"/>
        <w:spacing w:after="0"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清算费用是指基金财产清算小组在进行基金财产清算过程中发生的所有合理费用，清算费用由基金财产清算小组优先从基金财产中支付。</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4、基金财产清算剩余财产的分配</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lastRenderedPageBreak/>
        <w:t>基金</w:t>
      </w:r>
      <w:r w:rsidRPr="00FA7BE2">
        <w:rPr>
          <w:rFonts w:asciiTheme="minorEastAsia" w:eastAsiaTheme="minorEastAsia" w:hAnsiTheme="minorEastAsia" w:hint="eastAsia"/>
        </w:rPr>
        <w:t>财</w:t>
      </w:r>
      <w:r w:rsidRPr="00FA7BE2">
        <w:rPr>
          <w:rFonts w:asciiTheme="minorEastAsia" w:eastAsiaTheme="minorEastAsia" w:hAnsiTheme="minorEastAsia" w:hint="eastAsia"/>
          <w:kern w:val="0"/>
        </w:rPr>
        <w:t>产按下列顺序清偿：</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1</w:t>
      </w:r>
      <w:r w:rsidRPr="00FA7BE2">
        <w:rPr>
          <w:rFonts w:asciiTheme="minorEastAsia" w:eastAsiaTheme="minorEastAsia" w:hAnsiTheme="minorEastAsia" w:hint="eastAsia"/>
          <w:kern w:val="0"/>
        </w:rPr>
        <w:t>）支付清算费用；</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2</w:t>
      </w:r>
      <w:r w:rsidRPr="00FA7BE2">
        <w:rPr>
          <w:rFonts w:asciiTheme="minorEastAsia" w:eastAsiaTheme="minorEastAsia" w:hAnsiTheme="minorEastAsia" w:hint="eastAsia"/>
          <w:kern w:val="0"/>
        </w:rPr>
        <w:t>）交纳所欠税款；</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3</w:t>
      </w:r>
      <w:r w:rsidRPr="00FA7BE2">
        <w:rPr>
          <w:rFonts w:asciiTheme="minorEastAsia" w:eastAsiaTheme="minorEastAsia" w:hAnsiTheme="minorEastAsia" w:hint="eastAsia"/>
          <w:kern w:val="0"/>
        </w:rPr>
        <w:t>）清偿基金债务；</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t>（</w:t>
      </w:r>
      <w:r w:rsidRPr="00FA7BE2">
        <w:rPr>
          <w:rFonts w:asciiTheme="minorEastAsia" w:eastAsiaTheme="minorEastAsia" w:hAnsiTheme="minorEastAsia"/>
          <w:kern w:val="0"/>
        </w:rPr>
        <w:t>4</w:t>
      </w:r>
      <w:r w:rsidRPr="00FA7BE2">
        <w:rPr>
          <w:rFonts w:asciiTheme="minorEastAsia" w:eastAsiaTheme="minorEastAsia" w:hAnsiTheme="minorEastAsia" w:hint="eastAsia"/>
          <w:kern w:val="0"/>
        </w:rPr>
        <w:t>）按基金份额持有人持有的基金份额比例进行分配。</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kern w:val="0"/>
        </w:rPr>
      </w:pPr>
      <w:r w:rsidRPr="00FA7BE2">
        <w:rPr>
          <w:rFonts w:asciiTheme="minorEastAsia" w:eastAsiaTheme="minorEastAsia" w:hAnsiTheme="minorEastAsia" w:hint="eastAsia"/>
          <w:kern w:val="0"/>
        </w:rPr>
        <w:t>基金财产未按前款（</w:t>
      </w:r>
      <w:r w:rsidRPr="00FA7BE2">
        <w:rPr>
          <w:rFonts w:asciiTheme="minorEastAsia" w:eastAsiaTheme="minorEastAsia" w:hAnsiTheme="minorEastAsia"/>
          <w:kern w:val="0"/>
        </w:rPr>
        <w:t>1</w:t>
      </w:r>
      <w:r w:rsidRPr="00FA7BE2">
        <w:rPr>
          <w:rFonts w:asciiTheme="minorEastAsia" w:eastAsiaTheme="minorEastAsia" w:hAnsiTheme="minorEastAsia" w:hint="eastAsia"/>
          <w:kern w:val="0"/>
        </w:rPr>
        <w:t>）至（</w:t>
      </w:r>
      <w:r w:rsidRPr="00FA7BE2">
        <w:rPr>
          <w:rFonts w:asciiTheme="minorEastAsia" w:eastAsiaTheme="minorEastAsia" w:hAnsiTheme="minorEastAsia"/>
          <w:kern w:val="0"/>
        </w:rPr>
        <w:t>3</w:t>
      </w:r>
      <w:r w:rsidRPr="00FA7BE2">
        <w:rPr>
          <w:rFonts w:asciiTheme="minorEastAsia" w:eastAsiaTheme="minorEastAsia" w:hAnsiTheme="minorEastAsia" w:hint="eastAsia"/>
          <w:kern w:val="0"/>
        </w:rPr>
        <w:t>）项规定清偿前，不分配给基金份额持有人。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5、基金财产清算的公告</w:t>
      </w:r>
    </w:p>
    <w:p w:rsidR="00D21CF5" w:rsidRPr="00FA7BE2" w:rsidRDefault="00D21CF5" w:rsidP="00D21CF5">
      <w:pPr>
        <w:autoSpaceDE w:val="0"/>
        <w:autoSpaceDN w:val="0"/>
        <w:snapToGrid w:val="0"/>
        <w:spacing w:line="360" w:lineRule="auto"/>
        <w:ind w:firstLineChars="200" w:firstLine="420"/>
        <w:jc w:val="left"/>
        <w:rPr>
          <w:rFonts w:asciiTheme="minorEastAsia" w:eastAsiaTheme="minorEastAsia" w:hAnsiTheme="minorEastAsia"/>
        </w:rPr>
      </w:pPr>
      <w:r w:rsidRPr="00FA7BE2">
        <w:rPr>
          <w:rFonts w:asciiTheme="minorEastAsia" w:eastAsiaTheme="minorEastAsia" w:hAnsiTheme="minorEastAsia" w:hint="eastAsia"/>
        </w:rPr>
        <w:t>基金合同终止并报中国证监会备案后</w:t>
      </w:r>
      <w:r w:rsidRPr="00FA7BE2">
        <w:rPr>
          <w:rFonts w:asciiTheme="minorEastAsia" w:eastAsiaTheme="minorEastAsia" w:hAnsiTheme="minorEastAsia"/>
        </w:rPr>
        <w:t>5</w:t>
      </w:r>
      <w:r w:rsidRPr="00FA7BE2">
        <w:rPr>
          <w:rFonts w:asciiTheme="minorEastAsia" w:eastAsiaTheme="minorEastAsia" w:hAnsiTheme="minorEastAsia" w:hint="eastAsia"/>
        </w:rPr>
        <w:t>个工作日内由基金财产清算小组公告；清算过程中的有关重大事项须及时公告；基金财产清算结果由基金财产清算小组经中国证监会批准后3个工作日内公告。</w:t>
      </w:r>
    </w:p>
    <w:p w:rsidR="00D21CF5" w:rsidRPr="00FA7BE2" w:rsidRDefault="00D21CF5" w:rsidP="00D21CF5">
      <w:pPr>
        <w:snapToGrid w:val="0"/>
        <w:spacing w:line="360" w:lineRule="auto"/>
        <w:ind w:left="420"/>
        <w:rPr>
          <w:rFonts w:asciiTheme="minorEastAsia" w:eastAsiaTheme="minorEastAsia" w:hAnsiTheme="minorEastAsia"/>
        </w:rPr>
      </w:pPr>
      <w:r w:rsidRPr="00FA7BE2">
        <w:rPr>
          <w:rFonts w:asciiTheme="minorEastAsia" w:eastAsiaTheme="minorEastAsia" w:hAnsiTheme="minorEastAsia" w:hint="eastAsia"/>
        </w:rPr>
        <w:t>6、清算帐册及文件的保存</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清算帐册及有关文件由基金托管人保存</w:t>
      </w:r>
      <w:r w:rsidRPr="00FA7BE2">
        <w:rPr>
          <w:rFonts w:asciiTheme="minorEastAsia" w:eastAsiaTheme="minorEastAsia" w:hAnsiTheme="minorEastAsia"/>
        </w:rPr>
        <w:t>15</w:t>
      </w:r>
      <w:r w:rsidRPr="00FA7BE2">
        <w:rPr>
          <w:rFonts w:asciiTheme="minorEastAsia" w:eastAsiaTheme="minorEastAsia" w:hAnsiTheme="minorEastAsia" w:hint="eastAsia"/>
        </w:rPr>
        <w:t>年以上。</w:t>
      </w: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ind w:firstLine="458"/>
        <w:rPr>
          <w:rFonts w:asciiTheme="minorEastAsia" w:eastAsiaTheme="minorEastAsia" w:hAnsiTheme="minorEastAsia"/>
        </w:rPr>
      </w:pPr>
    </w:p>
    <w:p w:rsidR="00D21CF5" w:rsidRPr="00FA7BE2" w:rsidRDefault="00D21CF5" w:rsidP="00D21CF5">
      <w:pPr>
        <w:autoSpaceDE w:val="0"/>
        <w:autoSpaceDN w:val="0"/>
        <w:snapToGrid w:val="0"/>
        <w:spacing w:line="360" w:lineRule="auto"/>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74" w:name="_Toc75870050"/>
      <w:r w:rsidRPr="00FA7BE2">
        <w:rPr>
          <w:rFonts w:asciiTheme="minorEastAsia" w:eastAsiaTheme="minorEastAsia" w:hAnsiTheme="minorEastAsia" w:hint="eastAsia"/>
          <w:b/>
        </w:rPr>
        <w:lastRenderedPageBreak/>
        <w:t>二十</w:t>
      </w:r>
      <w:r w:rsidR="003349D9" w:rsidRPr="00FA7BE2">
        <w:rPr>
          <w:rFonts w:asciiTheme="minorEastAsia" w:eastAsiaTheme="minorEastAsia" w:hAnsiTheme="minorEastAsia" w:hint="eastAsia"/>
          <w:b/>
        </w:rPr>
        <w:t>二</w:t>
      </w:r>
      <w:r w:rsidRPr="00FA7BE2">
        <w:rPr>
          <w:rFonts w:asciiTheme="minorEastAsia" w:eastAsiaTheme="minorEastAsia" w:hAnsiTheme="minorEastAsia" w:hint="eastAsia"/>
          <w:b/>
        </w:rPr>
        <w:t>、基金合同内容摘要</w:t>
      </w:r>
      <w:bookmarkEnd w:id="174"/>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5" w:name="_Toc75870051"/>
      <w:r w:rsidRPr="00FA7BE2">
        <w:rPr>
          <w:rFonts w:asciiTheme="minorEastAsia" w:eastAsiaTheme="minorEastAsia" w:hAnsiTheme="minorEastAsia" w:hint="eastAsia"/>
        </w:rPr>
        <w:t>（一）基金管理人的权利与义务</w:t>
      </w:r>
      <w:bookmarkEnd w:id="175"/>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1、基金管理人的权利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（1）自本基金合同生效之日起，基金管理人根据基金合同的规定，独立运用并管理基金财产；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（2）根据基金合同的规定获得基金管理费；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（3）在符合有关法律法规和基金合同的前提下，制订和调整开放式基金业务规则，决定基金的相关费率结构和收费方式；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（4）根据基金合同规定销售基金份额，并收取基金申购费、赎回费及其他法律法规规定的费用；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（5）担任基金的注册登记机构并获得基金合同规定的注册登记费用；选择和更换注册登记代理机构,并对其注册登记代理行为进行必要的监督；</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（6）根据有关法律法规和基金合同的规定，决定开展认购、赎回、基金转换等业务；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（7）在基金存续期内，根据有关法律法规和基金合同的规定，决定拒绝和暂停受理基金份额的申购、赎回和转换申请；</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（8）依据基金合同的规定，制定基金收益的分配方案；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（9）提议召开基金份额持有人大会；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（10）在基金托管人更换时，提名新的基金托管人；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（11）</w:t>
      </w:r>
      <w:r w:rsidRPr="00FA7BE2">
        <w:rPr>
          <w:rFonts w:asciiTheme="minorEastAsia" w:eastAsiaTheme="minorEastAsia" w:hAnsiTheme="minorEastAsia"/>
        </w:rPr>
        <w:t>依据</w:t>
      </w:r>
      <w:r w:rsidRPr="00FA7BE2">
        <w:rPr>
          <w:rFonts w:asciiTheme="minorEastAsia" w:eastAsiaTheme="minorEastAsia" w:hAnsiTheme="minorEastAsia" w:hint="eastAsia"/>
        </w:rPr>
        <w:t>基金合同</w:t>
      </w:r>
      <w:r w:rsidRPr="00FA7BE2">
        <w:rPr>
          <w:rFonts w:asciiTheme="minorEastAsia" w:eastAsiaTheme="minorEastAsia" w:hAnsiTheme="minorEastAsia"/>
        </w:rPr>
        <w:t>及有关法律规定监督基金托管人，如认为基金托管人违反了本基金合同或国家有关法律规定对基金</w:t>
      </w:r>
      <w:r w:rsidRPr="00FA7BE2">
        <w:rPr>
          <w:rFonts w:asciiTheme="minorEastAsia" w:eastAsiaTheme="minorEastAsia" w:hAnsiTheme="minorEastAsia" w:hint="eastAsia"/>
        </w:rPr>
        <w:t>财</w:t>
      </w:r>
      <w:r w:rsidRPr="00FA7BE2">
        <w:rPr>
          <w:rFonts w:asciiTheme="minorEastAsia" w:eastAsiaTheme="minorEastAsia" w:hAnsiTheme="minorEastAsia"/>
        </w:rPr>
        <w:t>产或基金份额持有人利益造成重大损失的，应呈报中国证监会和中国银监会，</w:t>
      </w:r>
      <w:r w:rsidRPr="00FA7BE2">
        <w:rPr>
          <w:rFonts w:asciiTheme="minorEastAsia" w:eastAsiaTheme="minorEastAsia" w:hAnsiTheme="minorEastAsia" w:hint="eastAsia"/>
        </w:rPr>
        <w:t>并有权提议召开基金份额持有人大会，由基金份额持有人大会表决更换基金托管人，或</w:t>
      </w:r>
      <w:r w:rsidRPr="00FA7BE2">
        <w:rPr>
          <w:rFonts w:asciiTheme="minorEastAsia" w:eastAsiaTheme="minorEastAsia" w:hAnsiTheme="minorEastAsia"/>
        </w:rPr>
        <w:t>采取</w:t>
      </w:r>
      <w:r w:rsidRPr="00FA7BE2">
        <w:rPr>
          <w:rFonts w:asciiTheme="minorEastAsia" w:eastAsiaTheme="minorEastAsia" w:hAnsiTheme="minorEastAsia" w:hint="eastAsia"/>
        </w:rPr>
        <w:t>其它</w:t>
      </w:r>
      <w:r w:rsidRPr="00FA7BE2">
        <w:rPr>
          <w:rFonts w:asciiTheme="minorEastAsia" w:eastAsiaTheme="minorEastAsia" w:hAnsiTheme="minorEastAsia"/>
        </w:rPr>
        <w:t>必要措施保护基金投资者的利益；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12）选择、更换基金代销机构，对基金代销机构行为进行必要的监督和检查；如果基金管理人认为基金代销机构的作为或不作为违反了法律法规、基金合同或基金销售代理协议，基金管理人应行使法律法规、基金合同或基金销售代理协议赋予、给予、规定的基金管理人的任何及所有权利和救济措施，以保护基金财产的安全和基金投资者的利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（13）按照法律法规或基金合同应由基金财产负担的因处理基金事务所支出的其他费用以及对第三人所负的债务，若基金管理人以其自有财产先行支付的，对基金财产有优先受偿的权利；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（14）按照《基金法》、《运作办法》，代表基金份额持有人利益对其所投资的企业依法行使诉讼权利或行使因投资于其他证券产生的权利；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（15）本基金合同终止时，组建或参加清算小组，参与基金财产的保管、清理、估价、变现和分配；</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（16）法律、法规、本基金合同以及依据本基金合同制定的其他法律文件所规定的其他权利。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2、基金管理人的义务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管理人将遵守《基金法》、《运作办法》、《销售办法》、基金合同及其他有关规定，为基金份额持有人的最大利益处理基金事务；自基金合同生效之日起，基金管理人保证恪尽职守，依照诚实信用、勤勉尽责的原则，谨慎、有效管理和运用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rPr>
        <w:t>设置相应的部门并</w:t>
      </w:r>
      <w:r w:rsidRPr="00FA7BE2">
        <w:rPr>
          <w:rFonts w:asciiTheme="minorEastAsia" w:eastAsiaTheme="minorEastAsia" w:hAnsiTheme="minorEastAsia" w:hint="eastAsia"/>
        </w:rPr>
        <w:t>配备足够的具有专业资格的人员进行基金投资分析、决策，以专业化的经营方式管理和运作基金财产；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rPr>
        <w:t>设置相应的部门并配备足够的专业人员办理基金份额的认购、申购、赎回和其它业务或委托其它机构代理这些业务</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设置相应的部门并配备足够的专业人员办理基金的注册与过户登记工作或委托其它机构代理该项业务</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建立健全内部控制制度，监察与稽核、财务管理及人事管理等制度，保证所管理的基金财产和基金管理人的固有财产相互独立，确保分别管理、分别计账；保证本基金与基金管理人管理的其他基金之间在资产运作、财务管理等方面相互独立，确保分别管理、分别计账。</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除依据《基金法》、《运作办法》、《销售办法》、基金合同及其他有关规定外,不得为自己及任何第三方谋取利益，基金管理人违反此义务，利用基金财产为自己及任何第三方谋取利益，所得利益归于基金财产，造成基金财产损失的，承担赔偿责任；</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基金管理人不得将基金财产转为其自有财产，违背此款规定的，将承担相应的责任，包括但不限于恢复基金财产的原状、承担赔偿责任；</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（7）除依据《基金法》、《运作办法》、《销售办法》、基金合同及其他有关规定外，基金管理人不得委托第三人管理、运作基金财产；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（8）接受基金托管人依据法律法规、本基金合同和《托管协议》对基金管理人履行本基金合同和托管协议的情况进行的监督；</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（9）采取适当合理的措施使计算开放式基金资产净值的方法符合基金合同等法律文件的规定；</w:t>
      </w:r>
    </w:p>
    <w:p w:rsidR="00D21CF5" w:rsidRPr="00FA7BE2" w:rsidRDefault="00D21CF5" w:rsidP="00D21CF5">
      <w:pPr>
        <w:autoSpaceDE w:val="0"/>
        <w:autoSpaceDN w:val="0"/>
        <w:adjustRightInd w:val="0"/>
        <w:snapToGrid w:val="0"/>
        <w:spacing w:line="360" w:lineRule="auto"/>
        <w:ind w:firstLine="420"/>
        <w:jc w:val="left"/>
        <w:rPr>
          <w:rFonts w:asciiTheme="minorEastAsia" w:eastAsiaTheme="minorEastAsia" w:hAnsiTheme="minorEastAsia"/>
        </w:rPr>
      </w:pPr>
      <w:r w:rsidRPr="00FA7BE2">
        <w:rPr>
          <w:rFonts w:asciiTheme="minorEastAsia" w:eastAsiaTheme="minorEastAsia" w:hAnsiTheme="minorEastAsia" w:hint="eastAsia"/>
        </w:rPr>
        <w:t>（10）按规定</w:t>
      </w:r>
      <w:r w:rsidRPr="00FA7BE2">
        <w:rPr>
          <w:rFonts w:asciiTheme="minorEastAsia" w:eastAsiaTheme="minorEastAsia" w:hAnsiTheme="minorEastAsia"/>
        </w:rPr>
        <w:t>计算并公告</w:t>
      </w:r>
      <w:r w:rsidRPr="00FA7BE2">
        <w:rPr>
          <w:rFonts w:asciiTheme="minorEastAsia" w:eastAsiaTheme="minorEastAsia" w:hAnsiTheme="minorEastAsia" w:hint="eastAsia"/>
        </w:rPr>
        <w:t>基金净值</w:t>
      </w:r>
      <w:r w:rsidR="00277F8B" w:rsidRPr="00FA7BE2">
        <w:rPr>
          <w:rFonts w:asciiTheme="minorEastAsia" w:eastAsiaTheme="minorEastAsia" w:hAnsiTheme="minorEastAsia" w:hint="eastAsia"/>
        </w:rPr>
        <w:t>信息</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（11）按照法律和本基金合同的规定受理认、申购和赎回申请，及时、足额支付赎回款项；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（12）严格按照《基金法》、《运作办法》、《销售办法》、基金合同及其他有关规定，</w:t>
      </w:r>
      <w:r w:rsidRPr="00FA7BE2">
        <w:rPr>
          <w:rFonts w:asciiTheme="minorEastAsia" w:eastAsiaTheme="minorEastAsia" w:hAnsiTheme="minorEastAsia"/>
        </w:rPr>
        <w:t>编制</w:t>
      </w:r>
      <w:r w:rsidR="00277F8B" w:rsidRPr="00FA7BE2">
        <w:rPr>
          <w:rFonts w:asciiTheme="minorEastAsia" w:eastAsiaTheme="minorEastAsia" w:hAnsiTheme="minorEastAsia" w:hint="eastAsia"/>
        </w:rPr>
        <w:t>中期报告</w:t>
      </w:r>
      <w:r w:rsidRPr="00FA7BE2">
        <w:rPr>
          <w:rFonts w:asciiTheme="minorEastAsia" w:eastAsiaTheme="minorEastAsia" w:hAnsiTheme="minorEastAsia"/>
        </w:rPr>
        <w:t>和年度报告</w:t>
      </w:r>
      <w:r w:rsidRPr="00FA7BE2">
        <w:rPr>
          <w:rFonts w:asciiTheme="minorEastAsia" w:eastAsiaTheme="minorEastAsia" w:hAnsiTheme="minorEastAsia" w:hint="eastAsia"/>
        </w:rPr>
        <w:t>，履行信息披露及报告义务；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（13）保守基金的商业秘密，不得泄露基金投资计划、投资意向等；除法律法规、基金合同及其他有关规定另有规定外，在基金信息公开披露前应予保密，不向他人泄露，但因遵</w:t>
      </w:r>
      <w:r w:rsidRPr="00FA7BE2">
        <w:rPr>
          <w:rFonts w:asciiTheme="minorEastAsia" w:eastAsiaTheme="minorEastAsia" w:hAnsiTheme="minorEastAsia" w:hint="eastAsia"/>
        </w:rPr>
        <w:lastRenderedPageBreak/>
        <w:t>守和服从司法机构、中国证监会或其他监管机构的判决、裁决、决定、命令而作出的披露不应视为基金管理人违反本基金合同规定的保密义务；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14）依据《基金法》、《运作办法》、《销售办法》、基金合同及其他有关规定召集基金份额持有人大会或配合基金托管人、基金份额持有人依法召集基金份额持有人大会，并执行生效的基金份额持有人大会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（15）组织并参加基金财产清算小组，参与基金财产的保管、清理、估价、变现和分配；</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（16）基金管理人因违反基金合同导致基金财产的损失或损害基金份额持有人合法权益，应当承担赔偿责任，其过错责任不因其退任而免除；</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17）监督基金托管人按法律法规和合同规定履行自己的义务，基金托管人违反基金合同造成基金财产损失时，基金管理人应为基金份额持有人利益向基金托管人追偿，但除法律法规另有规定外，不连带承担基金托管人的责任；</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（18）依据基金合同的约定确定基金收益分配方案，并及时向基金份额持有人分配基金收益；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（19）进行基金会计核算并编制基金财务会计报告；</w:t>
      </w:r>
    </w:p>
    <w:p w:rsidR="00D21CF5" w:rsidRPr="00FA7BE2" w:rsidRDefault="00D21CF5" w:rsidP="00D21CF5">
      <w:pPr>
        <w:autoSpaceDE w:val="0"/>
        <w:autoSpaceDN w:val="0"/>
        <w:adjustRightInd w:val="0"/>
        <w:snapToGrid w:val="0"/>
        <w:spacing w:line="360" w:lineRule="auto"/>
        <w:ind w:firstLine="420"/>
        <w:jc w:val="left"/>
        <w:rPr>
          <w:rFonts w:asciiTheme="minorEastAsia" w:eastAsiaTheme="minorEastAsia" w:hAnsiTheme="minorEastAsia"/>
        </w:rPr>
      </w:pPr>
      <w:r w:rsidRPr="00FA7BE2">
        <w:rPr>
          <w:rFonts w:asciiTheme="minorEastAsia" w:eastAsiaTheme="minorEastAsia" w:hAnsiTheme="minorEastAsia" w:hint="eastAsia"/>
        </w:rPr>
        <w:t>（20）保存基金财产管理业务活动的记录、帐册、报表和其他相关资料15年以上；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21）当基金管理人将其义务委托第三方处理时，应当对第三方处理有关基金事务的行为承担责任；但因第三方过错导致基金财产或基金份额持有人的利益受到损失，而基金管理人首先承担了责任的情况下，基金管理人有权向第三方行使追偿权；</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（22）面临解散、依法被撤销、破产或者由接管人接管其资产时，及时报告中国证监会并通知基金托管人；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（23）确保向基金投资人提供的各项文件或资料在规定时间内发出；保证投资人能够按照本基金合同规定的时间和方式，查阅到与基金有关的公开资料，并得到有关资料的复印件；</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（24）负责为基金聘请注册会计师和律师；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（25）不从事任何有损基金及本基金其他当事人利益的活动；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（26）依法募集基金，办理基金备案手续；</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（27）以基金管理人名义，代表基金份额持有人利益行使诉讼权利或者实施其他法律行为；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（28）法律、法规、本基金合同以及依据本基金合同制定的其他法律文件所规定的其他义务。</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6" w:name="_Toc75870052"/>
      <w:r w:rsidRPr="00FA7BE2">
        <w:rPr>
          <w:rFonts w:asciiTheme="minorEastAsia" w:eastAsiaTheme="minorEastAsia" w:hAnsiTheme="minorEastAsia" w:hint="eastAsia"/>
        </w:rPr>
        <w:t>（二）基金托管人的权利与义务</w:t>
      </w:r>
      <w:bookmarkEnd w:id="176"/>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1、基金托管人的权利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（1）依法持有并保管基金的资产；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（2）依照基金合同的约定获得基金托管费；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（3）监督基金管理人对本基金的投资运作,如认为基金管理人的投资指令违反基金合同</w:t>
      </w:r>
      <w:r w:rsidRPr="00FA7BE2">
        <w:rPr>
          <w:rFonts w:asciiTheme="minorEastAsia" w:eastAsiaTheme="minorEastAsia" w:hAnsiTheme="minorEastAsia" w:hint="eastAsia"/>
        </w:rPr>
        <w:lastRenderedPageBreak/>
        <w:t>或有关法律法规的规定，应呈报中国证监会和其他监管部门，并采取必要措施保护基金投资者的利益；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（4）在基金管理人更换时，提名新的基金管理人；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（5）法律、法规、基金合同以及依据基金合同制定的其他法律文件所规定的其他权利。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2、基金托管人的义务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w:t>
      </w:r>
      <w:r w:rsidRPr="00FA7BE2">
        <w:rPr>
          <w:rFonts w:asciiTheme="minorEastAsia" w:eastAsiaTheme="minorEastAsia" w:hAnsiTheme="minorEastAsia" w:hint="eastAsia"/>
        </w:rPr>
        <w:t>）遵守基金合同；</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w:t>
      </w:r>
      <w:r w:rsidRPr="00FA7BE2">
        <w:rPr>
          <w:rFonts w:asciiTheme="minorEastAsia" w:eastAsiaTheme="minorEastAsia" w:hAnsiTheme="minorEastAsia" w:hint="eastAsia"/>
        </w:rPr>
        <w:t>）以诚实信用、勤勉尽责的原则安全保管基金财产；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3</w:t>
      </w:r>
      <w:r w:rsidRPr="00FA7BE2">
        <w:rPr>
          <w:rFonts w:asciiTheme="minorEastAsia" w:eastAsiaTheme="minorEastAsia" w:hAnsiTheme="minorEastAsia" w:hint="eastAsia"/>
        </w:rPr>
        <w:t>）设有专门的基金托管部门，具有符合要求的营业场所，配备足够的、合格的熟悉基金托管业务的专职人员，负责基金财产托管事宜；</w:t>
      </w:r>
    </w:p>
    <w:p w:rsidR="00D21CF5" w:rsidRPr="00FA7BE2" w:rsidRDefault="00D21CF5" w:rsidP="00D21CF5">
      <w:pPr>
        <w:autoSpaceDE w:val="0"/>
        <w:autoSpaceDN w:val="0"/>
        <w:adjustRightInd w:val="0"/>
        <w:snapToGrid w:val="0"/>
        <w:spacing w:line="360" w:lineRule="auto"/>
        <w:ind w:firstLine="420"/>
        <w:jc w:val="left"/>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4</w:t>
      </w:r>
      <w:r w:rsidRPr="00FA7BE2">
        <w:rPr>
          <w:rFonts w:asciiTheme="minorEastAsia" w:eastAsiaTheme="minorEastAsia" w:hAnsiTheme="minorEastAsia" w:hint="eastAsia"/>
        </w:rPr>
        <w:t>）除依据《基金法》、《运作办法》、《基金合同》及其他有关规定外，不得为自己及任何第三人谋取利益，不得委托其他人托管基金财产；</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5</w:t>
      </w:r>
      <w:r w:rsidRPr="00FA7BE2">
        <w:rPr>
          <w:rFonts w:asciiTheme="minorEastAsia" w:eastAsiaTheme="minorEastAsia" w:hAnsiTheme="minorEastAsia" w:hint="eastAsia"/>
        </w:rPr>
        <w:t>）复核、审查基金管理人计算的基金资产净值</w:t>
      </w:r>
      <w:r w:rsidR="005835D8" w:rsidRPr="00FA7BE2">
        <w:rPr>
          <w:rFonts w:asciiTheme="minorEastAsia" w:eastAsiaTheme="minorEastAsia" w:hAnsiTheme="minorEastAsia" w:hint="eastAsia"/>
        </w:rPr>
        <w:t>、基金份额净值</w:t>
      </w:r>
      <w:r w:rsidRPr="00FA7BE2">
        <w:rPr>
          <w:rFonts w:asciiTheme="minorEastAsia" w:eastAsiaTheme="minorEastAsia" w:hAnsiTheme="minorEastAsia" w:hint="eastAsia"/>
        </w:rPr>
        <w:t>和基金收益；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6</w:t>
      </w:r>
      <w:r w:rsidRPr="00FA7BE2">
        <w:rPr>
          <w:rFonts w:asciiTheme="minorEastAsia" w:eastAsiaTheme="minorEastAsia" w:hAnsiTheme="minorEastAsia" w:hint="eastAsia"/>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确保基金财产的完整,保证不同基金之间在账户设置、资金划拨、账册记录等方面相互独立,进行证券投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7</w:t>
      </w:r>
      <w:r w:rsidRPr="00FA7BE2">
        <w:rPr>
          <w:rFonts w:asciiTheme="minorEastAsia" w:eastAsiaTheme="minorEastAsia" w:hAnsiTheme="minorEastAsia" w:hint="eastAsia"/>
        </w:rPr>
        <w:t>）保管由基金管理人代表基金签订的与基金有关的重大合同及有关凭证；</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8</w:t>
      </w:r>
      <w:r w:rsidRPr="00FA7BE2">
        <w:rPr>
          <w:rFonts w:asciiTheme="minorEastAsia" w:eastAsiaTheme="minorEastAsia" w:hAnsiTheme="minorEastAsia" w:hint="eastAsia"/>
        </w:rPr>
        <w:t>）设立证券账户、银行存款账户等基金财产账户，负责基金投资于证券的清算交割，执行基金管理人的投资指令，负责基金名下的资金往来；</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9</w:t>
      </w:r>
      <w:r w:rsidRPr="00FA7BE2">
        <w:rPr>
          <w:rFonts w:asciiTheme="minorEastAsia" w:eastAsiaTheme="minorEastAsia" w:hAnsiTheme="minorEastAsia" w:hint="eastAsia"/>
        </w:rPr>
        <w:t>）保守基金商业秘密，除《基金法》、《运作办法》、《基金合同》及其他有关规定另有规定外，在基金信息公开披露前予以保密，不得向他人泄露；</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10</w:t>
      </w:r>
      <w:r w:rsidRPr="00FA7BE2">
        <w:rPr>
          <w:rFonts w:asciiTheme="minorEastAsia" w:eastAsiaTheme="minorEastAsia" w:hAnsiTheme="minorEastAsia" w:hint="eastAsia"/>
        </w:rPr>
        <w:t>）按规定出具基金业绩和基金托管情况的报告，并报中国证监会和中国银监会；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11</w:t>
      </w:r>
      <w:r w:rsidRPr="00FA7BE2">
        <w:rPr>
          <w:rFonts w:asciiTheme="minorEastAsia" w:eastAsiaTheme="minorEastAsia" w:hAnsiTheme="minorEastAsia" w:hint="eastAsia"/>
        </w:rPr>
        <w:t>）采取适当、合理的措施，使基金份额的认购、申购、赎回等事项符合《基金合同》等有关法律文件的规定；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12</w:t>
      </w:r>
      <w:r w:rsidRPr="00FA7BE2">
        <w:rPr>
          <w:rFonts w:asciiTheme="minorEastAsia" w:eastAsiaTheme="minorEastAsia" w:hAnsiTheme="minorEastAsia" w:hint="eastAsia"/>
        </w:rPr>
        <w:t>）采取适当、合理的措施，使基金管理人用以计算基金资产净值的方法符合《基金合同》等法律文件的规定；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13</w:t>
      </w:r>
      <w:r w:rsidRPr="00FA7BE2">
        <w:rPr>
          <w:rFonts w:asciiTheme="minorEastAsia" w:eastAsiaTheme="minorEastAsia" w:hAnsiTheme="minorEastAsia" w:hint="eastAsia"/>
        </w:rPr>
        <w:t>）采取适当、合理的措施，使基金投资和融资符合《基金合同》等法律文件的规定；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14</w:t>
      </w:r>
      <w:r w:rsidRPr="00FA7BE2">
        <w:rPr>
          <w:rFonts w:asciiTheme="minorEastAsia" w:eastAsiaTheme="minorEastAsia" w:hAnsiTheme="minorEastAsia" w:hint="eastAsia"/>
        </w:rPr>
        <w:t>）依法履行信息披露义务，负责与基金托管业务活动有关的信息披露事项；对基金财务会计报告、</w:t>
      </w:r>
      <w:r w:rsidR="005835D8" w:rsidRPr="00FA7BE2">
        <w:rPr>
          <w:rFonts w:asciiTheme="minorEastAsia" w:eastAsiaTheme="minorEastAsia" w:hAnsiTheme="minorEastAsia" w:hint="eastAsia"/>
        </w:rPr>
        <w:t>中期报告</w:t>
      </w:r>
      <w:r w:rsidRPr="00FA7BE2">
        <w:rPr>
          <w:rFonts w:asciiTheme="minorEastAsia" w:eastAsiaTheme="minorEastAsia" w:hAnsiTheme="minorEastAsia" w:hint="eastAsia"/>
        </w:rPr>
        <w:t>和年度报告等基金定期报告出具基金托管人意见，说明基金管理人在各重要方面的运作是否严格按照《基金合同》的规定进行；如果基金管理人有未执行《基金合同》规定的行为，还应当说明基金托管人是否采取了适当的措施；</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15</w:t>
      </w:r>
      <w:r w:rsidRPr="00FA7BE2">
        <w:rPr>
          <w:rFonts w:asciiTheme="minorEastAsia" w:eastAsiaTheme="minorEastAsia" w:hAnsiTheme="minorEastAsia" w:hint="eastAsia"/>
        </w:rPr>
        <w:t>）按有关规定，保存基金的会计账册、报表和记录、基金份额持有人名册等</w:t>
      </w:r>
      <w:r w:rsidRPr="00FA7BE2">
        <w:rPr>
          <w:rFonts w:asciiTheme="minorEastAsia" w:eastAsiaTheme="minorEastAsia" w:hAnsiTheme="minorEastAsia"/>
        </w:rPr>
        <w:t>15</w:t>
      </w:r>
      <w:r w:rsidRPr="00FA7BE2">
        <w:rPr>
          <w:rFonts w:asciiTheme="minorEastAsia" w:eastAsiaTheme="minorEastAsia" w:hAnsiTheme="minorEastAsia" w:hint="eastAsia"/>
        </w:rPr>
        <w:t>年以上；</w:t>
      </w:r>
    </w:p>
    <w:p w:rsidR="00D21CF5" w:rsidRPr="00FA7BE2" w:rsidRDefault="00D21CF5" w:rsidP="00D21CF5">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16</w:t>
      </w:r>
      <w:r w:rsidRPr="00FA7BE2">
        <w:rPr>
          <w:rFonts w:asciiTheme="minorEastAsia" w:eastAsiaTheme="minorEastAsia" w:hAnsiTheme="minorEastAsia" w:hint="eastAsia"/>
        </w:rPr>
        <w:t>）按规定制作相关账册并与基金管理人核对；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w:t>
      </w:r>
      <w:r w:rsidRPr="00FA7BE2">
        <w:rPr>
          <w:rFonts w:asciiTheme="minorEastAsia" w:eastAsiaTheme="minorEastAsia" w:hAnsiTheme="minorEastAsia"/>
        </w:rPr>
        <w:t>17</w:t>
      </w:r>
      <w:r w:rsidRPr="00FA7BE2">
        <w:rPr>
          <w:rFonts w:asciiTheme="minorEastAsia" w:eastAsiaTheme="minorEastAsia" w:hAnsiTheme="minorEastAsia" w:hint="eastAsia"/>
        </w:rPr>
        <w:t>）依据基金管理人的指令或有关规定支付基金份额持有人的收益和赎回款项；</w:t>
      </w:r>
    </w:p>
    <w:p w:rsidR="00D21CF5" w:rsidRPr="00FA7BE2" w:rsidRDefault="00D21CF5" w:rsidP="00D21CF5">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18</w:t>
      </w:r>
      <w:r w:rsidRPr="00FA7BE2">
        <w:rPr>
          <w:rFonts w:asciiTheme="minorEastAsia" w:eastAsiaTheme="minorEastAsia" w:hAnsiTheme="minorEastAsia" w:hint="eastAsia"/>
        </w:rPr>
        <w:t>）参加基金清算小组，参与基金财产的保管、清理、估价、变现和分配；</w:t>
      </w:r>
    </w:p>
    <w:p w:rsidR="00D21CF5" w:rsidRPr="00FA7BE2" w:rsidRDefault="00D21CF5" w:rsidP="00D21CF5">
      <w:pPr>
        <w:snapToGrid w:val="0"/>
        <w:spacing w:line="360" w:lineRule="auto"/>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19</w:t>
      </w:r>
      <w:r w:rsidRPr="00FA7BE2">
        <w:rPr>
          <w:rFonts w:asciiTheme="minorEastAsia" w:eastAsiaTheme="minorEastAsia" w:hAnsiTheme="minorEastAsia" w:hint="eastAsia"/>
        </w:rPr>
        <w:t>）面临解散、依法被撤销、破产或者由接管人接管其资产时，及时报告中国证监会和中国银监会，并通知基金管理人；</w:t>
      </w:r>
    </w:p>
    <w:p w:rsidR="00D21CF5" w:rsidRPr="00FA7BE2" w:rsidRDefault="00D21CF5" w:rsidP="00D21CF5">
      <w:pPr>
        <w:snapToGrid w:val="0"/>
        <w:spacing w:line="360" w:lineRule="auto"/>
        <w:ind w:firstLine="178"/>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20</w:t>
      </w:r>
      <w:r w:rsidRPr="00FA7BE2">
        <w:rPr>
          <w:rFonts w:asciiTheme="minorEastAsia" w:eastAsiaTheme="minorEastAsia" w:hAnsiTheme="minorEastAsia" w:hint="eastAsia"/>
        </w:rPr>
        <w:t>）因违反基金合同导致基金财产的损失，承担赔偿责任，其过错责任不因其退任而免除；</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21</w:t>
      </w:r>
      <w:r w:rsidRPr="00FA7BE2">
        <w:rPr>
          <w:rFonts w:asciiTheme="minorEastAsia" w:eastAsiaTheme="minorEastAsia" w:hAnsiTheme="minorEastAsia" w:hint="eastAsia"/>
        </w:rPr>
        <w:t>）基金管理人因违反基金合同造成基金财产损失时，基金托管人应为基金向基金管理人追偿；</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(22)依据《基金法》、《运作办法》、《销售办法》、基金合同及其他有关规定召集基金份额持有人大会或配合基金管理人、基金份额持有人依法召集基金份额持有人大会，并执行生效的基金份额持有人大会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（23）按照规定和基金合同等协议监督基金管理人的投资运作；</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w:t>
      </w:r>
      <w:r w:rsidRPr="00FA7BE2">
        <w:rPr>
          <w:rFonts w:asciiTheme="minorEastAsia" w:eastAsiaTheme="minorEastAsia" w:hAnsiTheme="minorEastAsia" w:hint="eastAsia"/>
        </w:rPr>
        <w:t>4）不从事任何有损基金及本基金其他当事人利益的活动；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w:t>
      </w:r>
      <w:r w:rsidRPr="00FA7BE2">
        <w:rPr>
          <w:rFonts w:asciiTheme="minorEastAsia" w:eastAsiaTheme="minorEastAsia" w:hAnsiTheme="minorEastAsia" w:hint="eastAsia"/>
        </w:rPr>
        <w:t>5）法律法规及基金合同规定的其他义务。</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7" w:name="_Toc75870053"/>
      <w:r w:rsidRPr="00FA7BE2">
        <w:rPr>
          <w:rFonts w:asciiTheme="minorEastAsia" w:eastAsiaTheme="minorEastAsia" w:hAnsiTheme="minorEastAsia" w:hint="eastAsia"/>
        </w:rPr>
        <w:t>（三）基金份额持有人的权利与义务</w:t>
      </w:r>
      <w:bookmarkEnd w:id="177"/>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基金投资者依据基金合同的规定取得本基金份额，即成为基金份额持有人。</w:t>
      </w:r>
      <w:r w:rsidR="00D83876" w:rsidRPr="00FA7BE2">
        <w:rPr>
          <w:rFonts w:asciiTheme="minorEastAsia" w:eastAsiaTheme="minorEastAsia" w:hAnsiTheme="minorEastAsia" w:hint="eastAsia"/>
        </w:rPr>
        <w:t>同一类别</w:t>
      </w:r>
      <w:r w:rsidRPr="00FA7BE2">
        <w:rPr>
          <w:rFonts w:asciiTheme="minorEastAsia" w:eastAsiaTheme="minorEastAsia" w:hAnsiTheme="minorEastAsia" w:hint="eastAsia"/>
        </w:rPr>
        <w:t>每份基金份额具有同等的合法权益。</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1、基金份额持有人的权利</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基金份额持有人有权按法律法规、本基金合同以及依据本基金合同制定的其他法律文件的规定：</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（1）分享基金财产收益；</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（2）参与分配基金财产清算后的剩余财产；</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（3）依法转让或者申请赎回其持有的基金份额；</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（4）按照规定要求召开基金份额持有人大会；</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（5）出席或者委派代表出席基金份额持有人大会，对基金份额持有人大会审议事项行使表决权；</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（6）查阅或者复制公开披露的基金信息资料；</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（7）监督基金管理人的投资运作；</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（8）对基金管理人、基金托管人、基金份额发售机构损害其合法权益的行为依法提起诉讼；</w:t>
      </w:r>
    </w:p>
    <w:p w:rsidR="00D21CF5" w:rsidRPr="00FA7BE2" w:rsidRDefault="00D21CF5" w:rsidP="00D21CF5">
      <w:pPr>
        <w:snapToGrid w:val="0"/>
        <w:spacing w:line="360" w:lineRule="auto"/>
        <w:ind w:firstLineChars="200" w:firstLine="420"/>
        <w:rPr>
          <w:rFonts w:asciiTheme="minorEastAsia" w:eastAsiaTheme="minorEastAsia" w:hAnsiTheme="minorEastAsia"/>
        </w:rPr>
      </w:pPr>
      <w:r w:rsidRPr="00FA7BE2">
        <w:rPr>
          <w:rFonts w:asciiTheme="minorEastAsia" w:eastAsiaTheme="minorEastAsia" w:hAnsiTheme="minorEastAsia" w:hint="eastAsia"/>
        </w:rPr>
        <w:t>（9）要求基金管理人或基金托管人按法律法规、本基金合同以及依据本基金合同制定的其他法律文件的规定履行其义务；</w:t>
      </w:r>
    </w:p>
    <w:p w:rsidR="00D21CF5" w:rsidRPr="00FA7BE2" w:rsidRDefault="00D21CF5" w:rsidP="00D21CF5">
      <w:pPr>
        <w:snapToGrid w:val="0"/>
        <w:spacing w:line="360" w:lineRule="auto"/>
        <w:ind w:firstLine="420"/>
        <w:rPr>
          <w:rFonts w:asciiTheme="minorEastAsia" w:eastAsiaTheme="minorEastAsia" w:hAnsiTheme="minorEastAsia"/>
          <w:kern w:val="0"/>
          <w:sz w:val="20"/>
        </w:rPr>
      </w:pPr>
      <w:r w:rsidRPr="00FA7BE2">
        <w:rPr>
          <w:rFonts w:asciiTheme="minorEastAsia" w:eastAsiaTheme="minorEastAsia" w:hAnsiTheme="minorEastAsia" w:hint="eastAsia"/>
        </w:rPr>
        <w:t>（10）法律、法规、本基金合同以及依据本基金合同制定的其他法律文件规定的其他权利。</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2、基金份额持有人的义务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（1）遵守本基金合同及根据本基金合同制订的相关业务规则；</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（2）交纳基金认购、申购款项及规定的费用；</w:t>
      </w:r>
    </w:p>
    <w:p w:rsidR="00D21CF5" w:rsidRPr="00FA7BE2" w:rsidRDefault="00D21CF5" w:rsidP="00D21CF5">
      <w:pPr>
        <w:snapToGrid w:val="0"/>
        <w:spacing w:line="360" w:lineRule="auto"/>
        <w:ind w:firstLine="409"/>
        <w:rPr>
          <w:rFonts w:asciiTheme="minorEastAsia" w:eastAsiaTheme="minorEastAsia" w:hAnsiTheme="minorEastAsia"/>
        </w:rPr>
      </w:pPr>
      <w:r w:rsidRPr="00FA7BE2">
        <w:rPr>
          <w:rFonts w:asciiTheme="minorEastAsia" w:eastAsiaTheme="minorEastAsia" w:hAnsiTheme="minorEastAsia" w:hint="eastAsia"/>
        </w:rPr>
        <w:t>（3）在持有的基金份额范围内，承担基金财产亏损或者基金合同终止的有限责任；</w:t>
      </w:r>
    </w:p>
    <w:p w:rsidR="00D21CF5" w:rsidRPr="00FA7BE2" w:rsidRDefault="00D21CF5" w:rsidP="00D21CF5">
      <w:pPr>
        <w:snapToGrid w:val="0"/>
        <w:spacing w:line="360" w:lineRule="auto"/>
        <w:ind w:firstLine="409"/>
        <w:rPr>
          <w:rFonts w:asciiTheme="minorEastAsia" w:eastAsiaTheme="minorEastAsia" w:hAnsiTheme="minorEastAsia"/>
        </w:rPr>
      </w:pPr>
      <w:r w:rsidRPr="00FA7BE2">
        <w:rPr>
          <w:rFonts w:asciiTheme="minorEastAsia" w:eastAsiaTheme="minorEastAsia" w:hAnsiTheme="minorEastAsia" w:hint="eastAsia"/>
        </w:rPr>
        <w:t>（4）返还持有基金过程中获得的不当得利；</w:t>
      </w:r>
    </w:p>
    <w:p w:rsidR="00D21CF5" w:rsidRPr="00FA7BE2" w:rsidRDefault="00D21CF5" w:rsidP="00D21CF5">
      <w:pPr>
        <w:snapToGrid w:val="0"/>
        <w:spacing w:line="360" w:lineRule="auto"/>
        <w:ind w:firstLine="409"/>
        <w:rPr>
          <w:rFonts w:asciiTheme="minorEastAsia" w:eastAsiaTheme="minorEastAsia" w:hAnsiTheme="minorEastAsia"/>
        </w:rPr>
      </w:pPr>
      <w:r w:rsidRPr="00FA7BE2">
        <w:rPr>
          <w:rFonts w:asciiTheme="minorEastAsia" w:eastAsiaTheme="minorEastAsia" w:hAnsiTheme="minorEastAsia" w:hint="eastAsia"/>
        </w:rPr>
        <w:t>（5）不从事任何有损基金及其他基金份额持有人合法权益的活动；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（6）法律、法规、本基金合同以及依据本基金合同制定的其他法律文件所规定的其他义务。</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8" w:name="_Toc75870054"/>
      <w:r w:rsidRPr="00FA7BE2">
        <w:rPr>
          <w:rFonts w:asciiTheme="minorEastAsia" w:eastAsiaTheme="minorEastAsia" w:hAnsiTheme="minorEastAsia" w:hint="eastAsia"/>
        </w:rPr>
        <w:t>（四）基金份额持有人大会</w:t>
      </w:r>
      <w:bookmarkEnd w:id="178"/>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1、基金份额持有人大会由基金份额持有人共同组成。基金份额持有人持有的每一基金份额拥有平等的投票权。</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2、召开事由</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（1）有以下事由情形之一的，应当召开基金份额持有人大会：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1）终止基金合同，但基金合同另有约定的除外；</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2）转换基金运作方式；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3）提高基金管理人、基金托管人的报酬标准或基金销售服务费；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4）更换基金托管人、基金管理人；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5）变更基金类别；</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6）变更基金投资目标、范围或策略；</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7）变更基金份额持有人大会程序；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8）基金管理人或基金托管人要求召开基金份额持有人大会；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9）单独或合计持有本基金总份额10％以上（含10％）基金份额的基金份额持有人（以基金管理人收到提议当日的基金份额计算，下同）就涉及本基金的同一事项书面要求召开基金份额持有人大会；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10）法律法规和本基金合同规定的其他情形。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（2）需要决定下列事项之一时，不需召开基金份额持有人大会：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1）调低基金管理费、基金托管费、基金销售服务费；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2）在本基金合同规定的范围内变更本基金的申购费率、赎回费率</w:t>
      </w:r>
      <w:r w:rsidR="00D83876" w:rsidRPr="00FA7BE2">
        <w:rPr>
          <w:rFonts w:asciiTheme="minorEastAsia" w:eastAsiaTheme="minorEastAsia" w:hAnsiTheme="minorEastAsia" w:hint="eastAsia"/>
        </w:rPr>
        <w:t>、</w:t>
      </w:r>
      <w:r w:rsidRPr="00FA7BE2">
        <w:rPr>
          <w:rFonts w:asciiTheme="minorEastAsia" w:eastAsiaTheme="minorEastAsia" w:hAnsiTheme="minorEastAsia" w:hint="eastAsia"/>
        </w:rPr>
        <w:t>收费方式</w:t>
      </w:r>
      <w:r w:rsidR="00D83876" w:rsidRPr="00FA7BE2">
        <w:rPr>
          <w:rFonts w:asciiTheme="minorEastAsia" w:eastAsiaTheme="minorEastAsia" w:hAnsiTheme="minorEastAsia" w:hint="eastAsia"/>
        </w:rPr>
        <w:t>或调整基金份额类别</w:t>
      </w:r>
      <w:r w:rsidRPr="00FA7BE2">
        <w:rPr>
          <w:rFonts w:asciiTheme="minorEastAsia" w:eastAsiaTheme="minorEastAsia" w:hAnsiTheme="minorEastAsia" w:hint="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3）因相应的法律、法规发生变动必须对基金合同进行修改；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4）基金合同的修改对基金份额持有人利益无实质性不利影响；</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5）按照法律法规或本基金合同规定不需召开基金份额持有人大会的其它情形。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3、召集</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（1）在正常情况下，基金份额持有人大会由基金管理人召集，开会时间及地点由基金</w:t>
      </w:r>
      <w:r w:rsidRPr="00FA7BE2">
        <w:rPr>
          <w:rFonts w:asciiTheme="minorEastAsia" w:eastAsiaTheme="minorEastAsia" w:hAnsiTheme="minorEastAsia" w:hint="eastAsia"/>
        </w:rPr>
        <w:lastRenderedPageBreak/>
        <w:t>管理人选择确定。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w:t>
      </w:r>
      <w:r w:rsidRPr="00FA7BE2">
        <w:rPr>
          <w:rFonts w:asciiTheme="minorEastAsia" w:eastAsiaTheme="minorEastAsia" w:hAnsiTheme="minorEastAsia"/>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rPr>
        <w:t>代表基金份额</w:t>
      </w:r>
      <w:r w:rsidRPr="00FA7BE2">
        <w:rPr>
          <w:rFonts w:asciiTheme="minorEastAsia" w:eastAsiaTheme="minorEastAsia" w:hAnsiTheme="minorEastAsia" w:hint="eastAsia"/>
        </w:rPr>
        <w:t>10％（含10％）</w:t>
      </w:r>
      <w:r w:rsidRPr="00FA7BE2">
        <w:rPr>
          <w:rFonts w:asciiTheme="minorEastAsia" w:eastAsiaTheme="minorEastAsia" w:hAnsiTheme="minorEastAsia"/>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基金管理人决定召集的，应当自出具书面决定之日起六十日内召开；基金管理人决定不召集，代表基金份额</w:t>
      </w:r>
      <w:r w:rsidRPr="00FA7BE2">
        <w:rPr>
          <w:rFonts w:asciiTheme="minorEastAsia" w:eastAsiaTheme="minorEastAsia" w:hAnsiTheme="minorEastAsia" w:hint="eastAsia"/>
        </w:rPr>
        <w:t>10％（含10％）</w:t>
      </w:r>
      <w:r w:rsidRPr="00FA7BE2">
        <w:rPr>
          <w:rFonts w:asciiTheme="minorEastAsia" w:eastAsiaTheme="minorEastAsia" w:hAnsiTheme="minorEastAsia"/>
        </w:rPr>
        <w:t>以上的基金份额持有人仍认为有必要召开的，应当向基金托管人提出书面提议。</w:t>
      </w:r>
      <w:r w:rsidRPr="00FA7BE2">
        <w:rPr>
          <w:rFonts w:asciiTheme="minorEastAsia" w:eastAsiaTheme="minorEastAsia" w:hAnsiTheme="minorEastAsia"/>
        </w:rPr>
        <w:br/>
        <w:t>基金托管人应当自收到书面提议之日起十日内决定是否召集，并书面告知提出提议的基金份额持有人代表和基金管理人；基金托管人决定召集的，应当自出具书面决定之日起六十日内召开。</w:t>
      </w:r>
      <w:r w:rsidRPr="00FA7BE2">
        <w:rPr>
          <w:rFonts w:asciiTheme="minorEastAsia" w:eastAsiaTheme="minorEastAsia" w:hAnsiTheme="minorEastAsia"/>
        </w:rPr>
        <w:br/>
      </w:r>
      <w:r w:rsidRPr="00FA7BE2">
        <w:rPr>
          <w:rFonts w:asciiTheme="minorEastAsia" w:eastAsiaTheme="minorEastAsia" w:hAnsiTheme="minorEastAsia" w:hint="eastAsia"/>
        </w:rPr>
        <w:t>代表基金总份额10％以上（含10％）的基金份额持有人就同一事项要求召开基金份额持有人大会，而基金管理人、基金托管人都不召集或均无法行使召集权的，代表基金总份额10％以上（含10％）的基金份额持有人有权自行召集。</w:t>
      </w:r>
      <w:r w:rsidRPr="00FA7BE2">
        <w:rPr>
          <w:rFonts w:asciiTheme="minorEastAsia" w:eastAsiaTheme="minorEastAsia" w:hAnsiTheme="minorEastAsia"/>
        </w:rPr>
        <w:t>基金份额持有人自行召集基金份额持有人大会的，应当至少提前三十日向中国证监会备案。基金份额持有人依法自行召集基金份额持有人大会的，基金管理人、基金托管人应当配合，不得阻碍、干扰。</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4、通知</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召开基金份额持有人大会，召集人应当至少提前三十日通过</w:t>
      </w:r>
      <w:r w:rsidR="00B87BA8" w:rsidRPr="00FA7BE2">
        <w:rPr>
          <w:rFonts w:asciiTheme="minorEastAsia" w:eastAsiaTheme="minorEastAsia" w:hAnsiTheme="minorEastAsia" w:hint="eastAsia"/>
        </w:rPr>
        <w:t>指定媒介</w:t>
      </w:r>
      <w:r w:rsidRPr="00FA7BE2">
        <w:rPr>
          <w:rFonts w:asciiTheme="minorEastAsia" w:eastAsiaTheme="minorEastAsia" w:hAnsiTheme="minorEastAsia" w:hint="eastAsia"/>
        </w:rPr>
        <w:t>公告会议通知。</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基金份额持有人大会通知将至少载明以下内容：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（1）会议召开的时间、地点、方式；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（2）会议拟审议的主要事项、议事程序、表决方式；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（3）权益登记日；</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（4）投票委托书送达时间和地点；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（5）会务常设联系人姓名、电话；</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（6）其他注意事项。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如采用通讯方式开会并进行表决的情况下，</w:t>
      </w:r>
      <w:r w:rsidRPr="00FA7BE2">
        <w:rPr>
          <w:rFonts w:asciiTheme="minorEastAsia" w:eastAsiaTheme="minorEastAsia" w:hAnsiTheme="minorEastAsia"/>
        </w:rPr>
        <w:t>会议通知</w:t>
      </w:r>
      <w:r w:rsidRPr="00FA7BE2">
        <w:rPr>
          <w:rFonts w:asciiTheme="minorEastAsia" w:eastAsiaTheme="minorEastAsia" w:hAnsiTheme="minorEastAsia" w:hint="eastAsia"/>
        </w:rPr>
        <w:t>应</w:t>
      </w:r>
      <w:r w:rsidRPr="00FA7BE2">
        <w:rPr>
          <w:rFonts w:asciiTheme="minorEastAsia" w:eastAsiaTheme="minorEastAsia" w:hAnsiTheme="minorEastAsia"/>
        </w:rPr>
        <w:t>报中国证监会备案</w:t>
      </w:r>
      <w:r w:rsidRPr="00FA7BE2">
        <w:rPr>
          <w:rFonts w:asciiTheme="minorEastAsia" w:eastAsiaTheme="minorEastAsia" w:hAnsiTheme="minorEastAsia" w:hint="eastAsia"/>
        </w:rPr>
        <w:t>，且除上述内容外还要在会议通知中说明具体通讯方式、委托的公证机关及其联系方式和联系人、书面表决意见的寄交和收取的方式、投票表决的截止日以及表决票的送达地址等。</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5、召开方式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基金份额持有人大会的召开方式包括现场开会和通讯方式开会，具体由召集人确定，但更换基金管理人和基金托管人、转换基金运作方式和提前终止基金合同必须采取现场开会方</w:t>
      </w:r>
      <w:r w:rsidRPr="00FA7BE2">
        <w:rPr>
          <w:rFonts w:asciiTheme="minorEastAsia" w:eastAsiaTheme="minorEastAsia" w:hAnsiTheme="minorEastAsia" w:hint="eastAsia"/>
        </w:rPr>
        <w:lastRenderedPageBreak/>
        <w:t>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（1）现场开会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1）本基金合同所指现场开会系指由基金份额持有人本人出席或出具授权委托书委派其代理人出席参加基金份额持有人大会。现场开会时基金管理人和基金托管人的授权代表应当出席。</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份额持有人本人在出席基金份额持有人大会时，应向召集人出具符合法律、法规和规章、本基金合同及会议通知规定的有关证明文件。基金份额持有人的代理人在出席基金份额持有人大会时，除应向召集人提交上述证明文件外，还应提交有关基金份额持有人出具的有效书面授权书。</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rPr>
        <w:t>现场开会</w:t>
      </w:r>
      <w:r w:rsidRPr="00FA7BE2">
        <w:rPr>
          <w:rFonts w:asciiTheme="minorEastAsia" w:eastAsiaTheme="minorEastAsia" w:hAnsiTheme="minorEastAsia" w:hint="eastAsia"/>
        </w:rPr>
        <w:t>须</w:t>
      </w:r>
      <w:r w:rsidRPr="00FA7BE2">
        <w:rPr>
          <w:rFonts w:asciiTheme="minorEastAsia" w:eastAsiaTheme="minorEastAsia" w:hAnsiTheme="minorEastAsia"/>
        </w:rPr>
        <w:t>符合以下条件时</w:t>
      </w:r>
      <w:r w:rsidRPr="00FA7BE2">
        <w:rPr>
          <w:rFonts w:asciiTheme="minorEastAsia" w:eastAsiaTheme="minorEastAsia" w:hAnsiTheme="minorEastAsia" w:hint="eastAsia"/>
        </w:rPr>
        <w:t>，方</w:t>
      </w:r>
      <w:r w:rsidRPr="00FA7BE2">
        <w:rPr>
          <w:rFonts w:asciiTheme="minorEastAsia" w:eastAsiaTheme="minorEastAsia" w:hAnsiTheme="minorEastAsia"/>
        </w:rPr>
        <w:t>可进行基金份额持有人大会议程</w:t>
      </w:r>
      <w:r w:rsidRPr="00FA7BE2">
        <w:rPr>
          <w:rFonts w:asciiTheme="minorEastAsia" w:eastAsiaTheme="minorEastAsia" w:hAnsiTheme="minorEastAsia" w:hint="eastAsia"/>
        </w:rPr>
        <w:t>：</w:t>
      </w:r>
      <w:r w:rsidRPr="00FA7BE2">
        <w:rPr>
          <w:rFonts w:asciiTheme="minorEastAsia" w:eastAsiaTheme="minorEastAsia" w:hAnsiTheme="minorEastAsia"/>
        </w:rPr>
        <w:t>经核对</w:t>
      </w:r>
      <w:r w:rsidRPr="00FA7BE2">
        <w:rPr>
          <w:rFonts w:asciiTheme="minorEastAsia" w:eastAsiaTheme="minorEastAsia" w:hAnsiTheme="minorEastAsia" w:hint="eastAsia"/>
        </w:rPr>
        <w:t>，</w:t>
      </w:r>
      <w:r w:rsidRPr="00FA7BE2">
        <w:rPr>
          <w:rFonts w:asciiTheme="minorEastAsia" w:eastAsiaTheme="minorEastAsia" w:hAnsiTheme="minorEastAsia"/>
        </w:rPr>
        <w:t>汇总到会者出示的在权</w:t>
      </w:r>
      <w:r w:rsidRPr="00FA7BE2">
        <w:rPr>
          <w:rFonts w:asciiTheme="minorEastAsia" w:eastAsiaTheme="minorEastAsia" w:hAnsiTheme="minorEastAsia" w:hint="eastAsia"/>
        </w:rPr>
        <w:t>益</w:t>
      </w:r>
      <w:r w:rsidRPr="00FA7BE2">
        <w:rPr>
          <w:rFonts w:asciiTheme="minorEastAsia" w:eastAsiaTheme="minorEastAsia" w:hAnsiTheme="minorEastAsia"/>
        </w:rPr>
        <w:t>登记日持有基金份额的凭证显示</w:t>
      </w:r>
      <w:r w:rsidRPr="00FA7BE2">
        <w:rPr>
          <w:rFonts w:asciiTheme="minorEastAsia" w:eastAsiaTheme="minorEastAsia" w:hAnsiTheme="minorEastAsia" w:hint="eastAsia"/>
        </w:rPr>
        <w:t>，到会的基金份额持有人代表</w:t>
      </w:r>
      <w:r w:rsidRPr="00FA7BE2">
        <w:rPr>
          <w:rFonts w:asciiTheme="minorEastAsia" w:eastAsiaTheme="minorEastAsia" w:hAnsiTheme="minorEastAsia"/>
        </w:rPr>
        <w:t>的基金份额不少于</w:t>
      </w:r>
      <w:r w:rsidRPr="00FA7BE2">
        <w:rPr>
          <w:rFonts w:asciiTheme="minorEastAsia" w:eastAsiaTheme="minorEastAsia" w:hAnsiTheme="minorEastAsia" w:hint="eastAsia"/>
        </w:rPr>
        <w:t>本基金在权益登记日基金总份额的50％。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（2）通讯方式开会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1）本基金合同所指通讯方式开会系指基金份额持有人将其对表决事项的投票以书面形式在表决截至日以前送达至召集人指定的地址。</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2）召集人按本基金合同规定公布会议通知后，在2个工作日内连续公布相关提示性公告。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份额持有人本人在以书面通讯方式进行表决时，应向召集人以书面方式提交符合法律、法规和规章、本基金合同及会议通知规定的有关证明文件。基金份额持有人的代理人在以书面通讯方式进行表决时，应向召集人以书面方式提交有关基金份额持有人出具的有效的书面授权委托书和基金份额持有人应当提交的上述有关证明文件。不能满足上述要求的基金份额持有人或基金份额持有人的代理人所提交的书面表决意见被视为无效，其代表的基金份额不计入参加表决的总份额。</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召集人在公证机关的监督下按照会议通知规定的方式收取基金份额持有人的书面表决意见；在表决截止日以前实际送达召集人指定的地址的投票视为有效投票。表决意见模糊不清或相互矛盾的视为弃权表决，但应当计入出具书面意见的基金份额持有人所代表的基金份额总数。</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4）以通讯方式开会须符合下列条件方视为有效：本人直接或委托授权代表出具有效书面意见的基金份额持有人</w:t>
      </w:r>
      <w:r w:rsidRPr="00FA7BE2">
        <w:rPr>
          <w:rFonts w:asciiTheme="minorEastAsia" w:eastAsiaTheme="minorEastAsia" w:hAnsiTheme="minorEastAsia"/>
        </w:rPr>
        <w:t>所持有的基金份额不少于</w:t>
      </w:r>
      <w:r w:rsidRPr="00FA7BE2">
        <w:rPr>
          <w:rFonts w:asciiTheme="minorEastAsia" w:eastAsiaTheme="minorEastAsia" w:hAnsiTheme="minorEastAsia" w:hint="eastAsia"/>
        </w:rPr>
        <w:t>本基金在权益登记日基金份额总数的50％。</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6、议事内容与程序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（1）议事内容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w:t>
      </w:r>
      <w:r w:rsidRPr="00FA7BE2">
        <w:rPr>
          <w:rFonts w:asciiTheme="minorEastAsia" w:eastAsiaTheme="minorEastAsia" w:hAnsiTheme="minorEastAsia"/>
        </w:rPr>
        <w:t>议事内容</w:t>
      </w:r>
      <w:r w:rsidRPr="00FA7BE2">
        <w:rPr>
          <w:rFonts w:asciiTheme="minorEastAsia" w:eastAsiaTheme="minorEastAsia" w:hAnsiTheme="minorEastAsia" w:hint="eastAsia"/>
        </w:rPr>
        <w:t>包括“召开事由”所规定的事项；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2）基金管理人、基金托管人、单独或合计持有本基金</w:t>
      </w:r>
      <w:r w:rsidRPr="00FA7BE2">
        <w:rPr>
          <w:rFonts w:asciiTheme="minorEastAsia" w:eastAsiaTheme="minorEastAsia" w:hAnsiTheme="minorEastAsia"/>
        </w:rPr>
        <w:t>10%</w:t>
      </w:r>
      <w:r w:rsidRPr="00FA7BE2">
        <w:rPr>
          <w:rFonts w:asciiTheme="minorEastAsia" w:eastAsiaTheme="minorEastAsia" w:hAnsiTheme="minorEastAsia" w:hint="eastAsia"/>
        </w:rPr>
        <w:t>以上</w:t>
      </w:r>
      <w:r w:rsidRPr="00FA7BE2">
        <w:rPr>
          <w:rFonts w:asciiTheme="minorEastAsia" w:eastAsiaTheme="minorEastAsia" w:hAnsiTheme="minorEastAsia"/>
        </w:rPr>
        <w:t>(</w:t>
      </w:r>
      <w:r w:rsidRPr="00FA7BE2">
        <w:rPr>
          <w:rFonts w:asciiTheme="minorEastAsia" w:eastAsiaTheme="minorEastAsia" w:hAnsiTheme="minorEastAsia" w:hint="eastAsia"/>
        </w:rPr>
        <w:t>含</w:t>
      </w:r>
      <w:r w:rsidRPr="00FA7BE2">
        <w:rPr>
          <w:rFonts w:asciiTheme="minorEastAsia" w:eastAsiaTheme="minorEastAsia" w:hAnsiTheme="minorEastAsia"/>
        </w:rPr>
        <w:t>10%)</w:t>
      </w:r>
      <w:r w:rsidRPr="00FA7BE2">
        <w:rPr>
          <w:rFonts w:asciiTheme="minorEastAsia" w:eastAsiaTheme="minorEastAsia" w:hAnsiTheme="minorEastAsia" w:hint="eastAsia"/>
        </w:rPr>
        <w:t>基金总份额的基</w:t>
      </w:r>
      <w:r w:rsidRPr="00FA7BE2">
        <w:rPr>
          <w:rFonts w:asciiTheme="minorEastAsia" w:eastAsiaTheme="minorEastAsia" w:hAnsiTheme="minorEastAsia" w:hint="eastAsia"/>
        </w:rPr>
        <w:lastRenderedPageBreak/>
        <w:t>金份额持有人可以在基金份额持有人大会召集人发出会议通知前向大会召集人提交需审议表决的议案</w:t>
      </w:r>
      <w:r w:rsidRPr="00FA7BE2">
        <w:rPr>
          <w:rFonts w:asciiTheme="minorEastAsia" w:eastAsiaTheme="minorEastAsia" w:hAnsiTheme="minorEastAsia"/>
        </w:rPr>
        <w:t>。</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w:t>
      </w:r>
      <w:r w:rsidRPr="00FA7BE2">
        <w:rPr>
          <w:rFonts w:asciiTheme="minorEastAsia" w:eastAsiaTheme="minorEastAsia" w:hAnsiTheme="minorEastAsia"/>
        </w:rPr>
        <w:t>基金份额持有人大会的召集人发出召集会议的通知后，对原有提案的修改应当在基金份额持有人大会召开日前10天公告，否则会议的召开日期应当顺延并保证至少有10天的间隔期。</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w:t>
      </w:r>
      <w:r w:rsidRPr="00FA7BE2">
        <w:rPr>
          <w:rFonts w:asciiTheme="minorEastAsia" w:eastAsiaTheme="minorEastAsia" w:hAnsiTheme="minorEastAsia"/>
        </w:rPr>
        <w:t>基金份额持有人大会不得对未事先公告的议事内容进行表决。</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（2）议事程序</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现场开会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在现场开会的方式下</w:t>
      </w:r>
      <w:r w:rsidRPr="00FA7BE2">
        <w:rPr>
          <w:rFonts w:asciiTheme="minorEastAsia" w:eastAsiaTheme="minorEastAsia" w:hAnsiTheme="minorEastAsia"/>
        </w:rPr>
        <w:t>,</w:t>
      </w:r>
      <w:r w:rsidRPr="00FA7BE2">
        <w:rPr>
          <w:rFonts w:asciiTheme="minorEastAsia" w:eastAsiaTheme="minorEastAsia" w:hAnsiTheme="minorEastAsia" w:hint="eastAsia"/>
        </w:rPr>
        <w:t>首先由大会主持人按照规定程序宣布会议议事程序及注意事项</w:t>
      </w:r>
      <w:r w:rsidRPr="00FA7BE2">
        <w:rPr>
          <w:rFonts w:asciiTheme="minorEastAsia" w:eastAsiaTheme="minorEastAsia" w:hAnsiTheme="minorEastAsia"/>
        </w:rPr>
        <w:t>,</w:t>
      </w:r>
      <w:r w:rsidRPr="00FA7BE2">
        <w:rPr>
          <w:rFonts w:asciiTheme="minorEastAsia" w:eastAsiaTheme="minorEastAsia" w:hAnsiTheme="minorEastAsia" w:hint="eastAsia"/>
        </w:rPr>
        <w:t>确定和公布监票人</w:t>
      </w:r>
      <w:r w:rsidRPr="00FA7BE2">
        <w:rPr>
          <w:rFonts w:asciiTheme="minorEastAsia" w:eastAsiaTheme="minorEastAsia" w:hAnsiTheme="minorEastAsia"/>
        </w:rPr>
        <w:t>,</w:t>
      </w:r>
      <w:r w:rsidRPr="00FA7BE2">
        <w:rPr>
          <w:rFonts w:asciiTheme="minorEastAsia" w:eastAsiaTheme="minorEastAsia" w:hAnsiTheme="minorEastAsia" w:hint="eastAsia"/>
        </w:rPr>
        <w:t>然后由大会主持人宣读提案</w:t>
      </w:r>
      <w:r w:rsidRPr="00FA7BE2">
        <w:rPr>
          <w:rFonts w:asciiTheme="minorEastAsia" w:eastAsiaTheme="minorEastAsia" w:hAnsiTheme="minorEastAsia"/>
        </w:rPr>
        <w:t>,</w:t>
      </w:r>
      <w:r w:rsidRPr="00FA7BE2">
        <w:rPr>
          <w:rFonts w:asciiTheme="minorEastAsia" w:eastAsiaTheme="minorEastAsia" w:hAnsiTheme="minorEastAsia" w:hint="eastAsia"/>
        </w:rPr>
        <w:t>经讨论后进行表决，经律师见证或公证员公证后形成大会决议。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基金份额持有人大会由基金管理人授权代表主持。在基金管理人授权代表未能主持大会的情况下</w:t>
      </w:r>
      <w:r w:rsidRPr="00FA7BE2">
        <w:rPr>
          <w:rFonts w:asciiTheme="minorEastAsia" w:eastAsiaTheme="minorEastAsia" w:hAnsiTheme="minorEastAsia"/>
        </w:rPr>
        <w:t>,</w:t>
      </w:r>
      <w:r w:rsidRPr="00FA7BE2">
        <w:rPr>
          <w:rFonts w:asciiTheme="minorEastAsia" w:eastAsiaTheme="minorEastAsia" w:hAnsiTheme="minorEastAsia" w:hint="eastAsia"/>
        </w:rPr>
        <w:t>由基金托管人授权代表主持；如果基金管理人和基金托管人授权代表均未能主持大会，则由出席大会的基金份额持有人或其代理人以所代表的基金份额</w:t>
      </w:r>
      <w:r w:rsidRPr="00FA7BE2">
        <w:rPr>
          <w:rFonts w:asciiTheme="minorEastAsia" w:eastAsiaTheme="minorEastAsia" w:hAnsiTheme="minorEastAsia"/>
        </w:rPr>
        <w:t>50%</w:t>
      </w:r>
      <w:r w:rsidRPr="00FA7BE2">
        <w:rPr>
          <w:rFonts w:asciiTheme="minorEastAsia" w:eastAsiaTheme="minorEastAsia" w:hAnsiTheme="minorEastAsia" w:hint="eastAsia"/>
        </w:rPr>
        <w:t>以上多数</w:t>
      </w:r>
      <w:r w:rsidRPr="00FA7BE2">
        <w:rPr>
          <w:rFonts w:asciiTheme="minorEastAsia" w:eastAsiaTheme="minorEastAsia" w:hAnsiTheme="minorEastAsia"/>
        </w:rPr>
        <w:t>(</w:t>
      </w:r>
      <w:r w:rsidRPr="00FA7BE2">
        <w:rPr>
          <w:rFonts w:asciiTheme="minorEastAsia" w:eastAsiaTheme="minorEastAsia" w:hAnsiTheme="minorEastAsia" w:hint="eastAsia"/>
        </w:rPr>
        <w:t>不含</w:t>
      </w:r>
      <w:r w:rsidRPr="00FA7BE2">
        <w:rPr>
          <w:rFonts w:asciiTheme="minorEastAsia" w:eastAsiaTheme="minorEastAsia" w:hAnsiTheme="minorEastAsia"/>
        </w:rPr>
        <w:t>50%)</w:t>
      </w:r>
      <w:r w:rsidRPr="00FA7BE2">
        <w:rPr>
          <w:rFonts w:asciiTheme="minorEastAsia" w:eastAsiaTheme="minorEastAsia" w:hAnsiTheme="minorEastAsia" w:hint="eastAsia"/>
        </w:rPr>
        <w:t>选举产生一名代表作为该次基金份额持有人大会的主持人。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召集人应当制作出席会议人员的签名册。签名册载明参加会议人员姓名</w:t>
      </w:r>
      <w:r w:rsidRPr="00FA7BE2">
        <w:rPr>
          <w:rFonts w:asciiTheme="minorEastAsia" w:eastAsiaTheme="minorEastAsia" w:hAnsiTheme="minorEastAsia"/>
        </w:rPr>
        <w:t>(</w:t>
      </w:r>
      <w:r w:rsidRPr="00FA7BE2">
        <w:rPr>
          <w:rFonts w:asciiTheme="minorEastAsia" w:eastAsiaTheme="minorEastAsia" w:hAnsiTheme="minorEastAsia" w:hint="eastAsia"/>
        </w:rPr>
        <w:t>或单位名称</w:t>
      </w:r>
      <w:r w:rsidRPr="00FA7BE2">
        <w:rPr>
          <w:rFonts w:asciiTheme="minorEastAsia" w:eastAsiaTheme="minorEastAsia" w:hAnsiTheme="minorEastAsia"/>
        </w:rPr>
        <w:t>)</w:t>
      </w:r>
      <w:r w:rsidRPr="00FA7BE2">
        <w:rPr>
          <w:rFonts w:asciiTheme="minorEastAsia" w:eastAsiaTheme="minorEastAsia" w:hAnsiTheme="minorEastAsia" w:hint="eastAsia"/>
        </w:rPr>
        <w:t>、身份证号码、住所地址、持有或者代表有表决权的基金份额、委托人姓名</w:t>
      </w:r>
      <w:r w:rsidRPr="00FA7BE2">
        <w:rPr>
          <w:rFonts w:asciiTheme="minorEastAsia" w:eastAsiaTheme="minorEastAsia" w:hAnsiTheme="minorEastAsia"/>
        </w:rPr>
        <w:t>(</w:t>
      </w:r>
      <w:r w:rsidRPr="00FA7BE2">
        <w:rPr>
          <w:rFonts w:asciiTheme="minorEastAsia" w:eastAsiaTheme="minorEastAsia" w:hAnsiTheme="minorEastAsia" w:hint="eastAsia"/>
        </w:rPr>
        <w:t>或单位名称</w:t>
      </w:r>
      <w:r w:rsidRPr="00FA7BE2">
        <w:rPr>
          <w:rFonts w:asciiTheme="minorEastAsia" w:eastAsiaTheme="minorEastAsia" w:hAnsiTheme="minorEastAsia"/>
        </w:rPr>
        <w:t>)</w:t>
      </w:r>
      <w:r w:rsidRPr="00FA7BE2">
        <w:rPr>
          <w:rFonts w:asciiTheme="minorEastAsia" w:eastAsiaTheme="minorEastAsia" w:hAnsiTheme="minorEastAsia" w:hint="eastAsia"/>
        </w:rPr>
        <w:t>等事项。</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2）通讯方式开会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在通讯方式开会的情况下，</w:t>
      </w:r>
      <w:r w:rsidRPr="00FA7BE2">
        <w:rPr>
          <w:rFonts w:asciiTheme="minorEastAsia" w:eastAsiaTheme="minorEastAsia" w:hAnsiTheme="minorEastAsia"/>
        </w:rPr>
        <w:t>公告会议通知时应当同时公布提案</w:t>
      </w:r>
      <w:r w:rsidRPr="00FA7BE2">
        <w:rPr>
          <w:rFonts w:asciiTheme="minorEastAsia" w:eastAsiaTheme="minorEastAsia" w:hAnsiTheme="minorEastAsia" w:hint="eastAsia"/>
        </w:rPr>
        <w:t>；在通知载明的表决截止日期后第二天在公证机构监督下统计全部有效表决，形成决议，报中国证监会备案。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7、表决</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（1）基金份额持有人所持每一份基金份额具有一票表决权，基金份额持有人可以委托代理人出席基金份额持有人大会并行使表决权；</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（2）基金份额持有人大会决议分为一般决议和特别决议。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1）一般决议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一般决议须经参加会议的基金份额持有人或其代理人所持表决权的50％（含50%）以上通过方为有效。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除下列2）所规定的须以特别决议通过的事项以外的其他事项均应以一般决议的方式通过。法律法规另有规定时从其规定。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2）特别决议</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须经基金份额持有人大会通过的特别决议应当经参加会议的基金份额持有人或其代理人所持表决权的三分之二（含三分之二）以上通过方为有效。涉及转换本基金运作方式、本基金合同的提前终止、更换基金管理人、更换基金托管人等事由必须以特别决议通过方为有</w:t>
      </w:r>
      <w:r w:rsidRPr="00FA7BE2">
        <w:rPr>
          <w:rFonts w:asciiTheme="minorEastAsia" w:eastAsiaTheme="minorEastAsia" w:hAnsiTheme="minorEastAsia" w:hint="eastAsia"/>
        </w:rPr>
        <w:lastRenderedPageBreak/>
        <w:t>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（3）基金份额持有人大会采取记名方式进行投票表决。</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采取书面通讯方式进行表决时，除非在计票时有充分的相反证据证明，否则表面符合法律、法规和会议通知规定的书面表决意见即视为有效的表决；表决意见模糊不清或相互矛盾的视为无效表决，但应当计入出具书面意见的基金份额持有人所代表的基金份额总数。</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（5）基金份额持有人大会的各项提案或同一项提案内并列的各项议题应当分开审议、逐项表决。</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8、计票</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1</w:t>
      </w:r>
      <w:r w:rsidRPr="00FA7BE2">
        <w:rPr>
          <w:rFonts w:asciiTheme="minorEastAsia" w:eastAsiaTheme="minorEastAsia" w:hAnsiTheme="minorEastAsia" w:hint="eastAsia"/>
        </w:rPr>
        <w:t>）现场开会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如基金份额持有人大会由基金管理人或基金托管人召集</w:t>
      </w:r>
      <w:r w:rsidRPr="00FA7BE2">
        <w:rPr>
          <w:rFonts w:asciiTheme="minorEastAsia" w:eastAsiaTheme="minorEastAsia" w:hAnsiTheme="minorEastAsia"/>
        </w:rPr>
        <w:t>,</w:t>
      </w:r>
      <w:r w:rsidRPr="00FA7BE2">
        <w:rPr>
          <w:rFonts w:asciiTheme="minorEastAsia" w:eastAsiaTheme="minorEastAsia" w:hAnsiTheme="minorEastAsia" w:hint="eastAsia"/>
        </w:rPr>
        <w:t>则基金份额持有人大会的主持人应当在会议开始后宣布在出席会议的基金份额持有人和代理人中选举两名代表与大会召集人授权的一名监督员共同担任监票人；如大会由基金份额持有人自行召集</w:t>
      </w:r>
      <w:r w:rsidRPr="00FA7BE2">
        <w:rPr>
          <w:rFonts w:asciiTheme="minorEastAsia" w:eastAsiaTheme="minorEastAsia" w:hAnsiTheme="minorEastAsia"/>
        </w:rPr>
        <w:t>,</w:t>
      </w:r>
      <w:r w:rsidRPr="00FA7BE2">
        <w:rPr>
          <w:rFonts w:asciiTheme="minorEastAsia" w:eastAsiaTheme="minorEastAsia" w:hAnsiTheme="minorEastAsia" w:hint="eastAsia"/>
        </w:rPr>
        <w:t>基金份额持有人大会的主持人应当在会议开始后宣布在出席会议的基金份额持有人和代理人中选举三名代表担任监票人。</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2)</w:t>
      </w:r>
      <w:r w:rsidRPr="00FA7BE2">
        <w:rPr>
          <w:rFonts w:asciiTheme="minorEastAsia" w:eastAsiaTheme="minorEastAsia" w:hAnsiTheme="minorEastAsia" w:hint="eastAsia"/>
        </w:rPr>
        <w:t>监票人应当在基金份额持有人表决后立即进行清点并由大会主持人当场公布计票结果。</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3)</w:t>
      </w:r>
      <w:r w:rsidRPr="00FA7BE2">
        <w:rPr>
          <w:rFonts w:asciiTheme="minorEastAsia" w:eastAsiaTheme="minorEastAsia" w:hAnsiTheme="minorEastAsia" w:hint="eastAsia"/>
        </w:rPr>
        <w:t>如果大会主持人对于提交的表决结果有怀疑</w:t>
      </w:r>
      <w:r w:rsidRPr="00FA7BE2">
        <w:rPr>
          <w:rFonts w:asciiTheme="minorEastAsia" w:eastAsiaTheme="minorEastAsia" w:hAnsiTheme="minorEastAsia"/>
        </w:rPr>
        <w:t>,</w:t>
      </w:r>
      <w:r w:rsidRPr="00FA7BE2">
        <w:rPr>
          <w:rFonts w:asciiTheme="minorEastAsia" w:eastAsiaTheme="minorEastAsia" w:hAnsiTheme="minorEastAsia" w:hint="eastAsia"/>
        </w:rPr>
        <w:t>可以对所投票数进行重新清点；如果大会主持人未进行重新清点</w:t>
      </w:r>
      <w:r w:rsidRPr="00FA7BE2">
        <w:rPr>
          <w:rFonts w:asciiTheme="minorEastAsia" w:eastAsiaTheme="minorEastAsia" w:hAnsiTheme="minorEastAsia"/>
        </w:rPr>
        <w:t>,</w:t>
      </w:r>
      <w:r w:rsidRPr="00FA7BE2">
        <w:rPr>
          <w:rFonts w:asciiTheme="minorEastAsia" w:eastAsiaTheme="minorEastAsia" w:hAnsiTheme="minorEastAsia" w:hint="eastAsia"/>
        </w:rPr>
        <w:t>而出席会议的基金份额持有人或者代理人对大会主持人宣布的表决结果有异议</w:t>
      </w:r>
      <w:r w:rsidRPr="00FA7BE2">
        <w:rPr>
          <w:rFonts w:asciiTheme="minorEastAsia" w:eastAsiaTheme="minorEastAsia" w:hAnsiTheme="minorEastAsia"/>
        </w:rPr>
        <w:t>,</w:t>
      </w:r>
      <w:r w:rsidRPr="00FA7BE2">
        <w:rPr>
          <w:rFonts w:asciiTheme="minorEastAsia" w:eastAsiaTheme="minorEastAsia" w:hAnsiTheme="minorEastAsia" w:hint="eastAsia"/>
        </w:rPr>
        <w:t>有权在宣布表决结果后立即要求重新清点</w:t>
      </w:r>
      <w:r w:rsidRPr="00FA7BE2">
        <w:rPr>
          <w:rFonts w:asciiTheme="minorEastAsia" w:eastAsiaTheme="minorEastAsia" w:hAnsiTheme="minorEastAsia"/>
        </w:rPr>
        <w:t>,</w:t>
      </w:r>
      <w:r w:rsidRPr="00FA7BE2">
        <w:rPr>
          <w:rFonts w:asciiTheme="minorEastAsia" w:eastAsiaTheme="minorEastAsia" w:hAnsiTheme="minorEastAsia" w:hint="eastAsia"/>
        </w:rPr>
        <w:t>大会主持人应当立即重新清点并公布重新清点结果，重新清点仅限一次。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w:t>
      </w:r>
      <w:r w:rsidRPr="00FA7BE2">
        <w:rPr>
          <w:rFonts w:asciiTheme="minorEastAsia" w:eastAsiaTheme="minorEastAsia" w:hAnsiTheme="minorEastAsia" w:hint="eastAsia"/>
        </w:rPr>
        <w:t>）通讯方式开会</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在通讯方式开会的情况下</w:t>
      </w:r>
      <w:r w:rsidRPr="00FA7BE2">
        <w:rPr>
          <w:rFonts w:asciiTheme="minorEastAsia" w:eastAsiaTheme="minorEastAsia" w:hAnsiTheme="minorEastAsia"/>
        </w:rPr>
        <w:t>,</w:t>
      </w:r>
      <w:r w:rsidRPr="00FA7BE2">
        <w:rPr>
          <w:rFonts w:asciiTheme="minorEastAsia" w:eastAsiaTheme="minorEastAsia" w:hAnsiTheme="minorEastAsia" w:hint="eastAsia"/>
        </w:rPr>
        <w:t>计票方式为：由大会召集人授权的两名监督员在基金托管人授权代表（如果基金托管人为召集人，则为基金管理人授权代表）的监督下进行计票</w:t>
      </w:r>
      <w:r w:rsidRPr="00FA7BE2">
        <w:rPr>
          <w:rFonts w:asciiTheme="minorEastAsia" w:eastAsiaTheme="minorEastAsia" w:hAnsiTheme="minorEastAsia"/>
        </w:rPr>
        <w:t>,</w:t>
      </w:r>
      <w:r w:rsidRPr="00FA7BE2">
        <w:rPr>
          <w:rFonts w:asciiTheme="minorEastAsia" w:eastAsiaTheme="minorEastAsia" w:hAnsiTheme="minorEastAsia" w:hint="eastAsia"/>
        </w:rPr>
        <w:t>并由公证机关对其计票过程予以公证。</w:t>
      </w:r>
    </w:p>
    <w:p w:rsidR="003349D9" w:rsidRPr="00FA7BE2" w:rsidRDefault="00D21CF5"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9、</w:t>
      </w:r>
      <w:r w:rsidR="003349D9" w:rsidRPr="00FA7BE2">
        <w:rPr>
          <w:rFonts w:asciiTheme="minorEastAsia" w:eastAsiaTheme="minorEastAsia" w:hAnsiTheme="minorEastAsia" w:hint="eastAsia"/>
        </w:rPr>
        <w:t>实施侧袋机制期间基金份额持有人大会的特殊约定</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1</w:t>
      </w:r>
      <w:r w:rsidRPr="00FA7BE2">
        <w:rPr>
          <w:rFonts w:asciiTheme="minorEastAsia" w:eastAsiaTheme="minorEastAsia" w:hAnsiTheme="minorEastAsia" w:hint="eastAsia"/>
        </w:rPr>
        <w:t>、基金份额持有人行使提议权、召集权、提名权所需单独或合计代表相关基金份额</w:t>
      </w:r>
      <w:r w:rsidRPr="00FA7BE2">
        <w:rPr>
          <w:rFonts w:asciiTheme="minorEastAsia" w:eastAsiaTheme="minorEastAsia" w:hAnsiTheme="minorEastAsia"/>
        </w:rPr>
        <w:t>10%</w:t>
      </w:r>
      <w:r w:rsidRPr="00FA7BE2">
        <w:rPr>
          <w:rFonts w:asciiTheme="minorEastAsia" w:eastAsiaTheme="minorEastAsia" w:hAnsiTheme="minorEastAsia" w:hint="eastAsia"/>
        </w:rPr>
        <w:t>以上（含</w:t>
      </w:r>
      <w:r w:rsidRPr="00FA7BE2">
        <w:rPr>
          <w:rFonts w:asciiTheme="minorEastAsia" w:eastAsiaTheme="minorEastAsia" w:hAnsiTheme="minorEastAsia"/>
        </w:rPr>
        <w:t>10%</w:t>
      </w:r>
      <w:r w:rsidRPr="00FA7BE2">
        <w:rPr>
          <w:rFonts w:asciiTheme="minorEastAsia" w:eastAsiaTheme="minorEastAsia" w:hAnsiTheme="minorEastAsia" w:hint="eastAsia"/>
        </w:rPr>
        <w:t>）；</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2</w:t>
      </w:r>
      <w:r w:rsidRPr="00FA7BE2">
        <w:rPr>
          <w:rFonts w:asciiTheme="minorEastAsia" w:eastAsiaTheme="minorEastAsia" w:hAnsiTheme="minorEastAsia" w:hint="eastAsia"/>
        </w:rPr>
        <w:t>、现场开会的到会者在权益登记日代表的基金份额不少于本基金在权益登记日相关基金份额的二分之一（含二分之一）；</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lastRenderedPageBreak/>
        <w:t>3</w:t>
      </w:r>
      <w:r w:rsidRPr="00FA7BE2">
        <w:rPr>
          <w:rFonts w:asciiTheme="minorEastAsia" w:eastAsiaTheme="minorEastAsia" w:hAnsiTheme="minorEastAsia" w:hint="eastAsia"/>
        </w:rPr>
        <w:t>、通讯开会的直接出具书面意见或授权他人代表出具书面意见的基金份额持有人所持有的基金份额不小于在权益登记日相关基金份额的二分之一（含二分之一）；</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4</w:t>
      </w:r>
      <w:r w:rsidRPr="00FA7BE2">
        <w:rPr>
          <w:rFonts w:asciiTheme="minorEastAsia" w:eastAsiaTheme="minorEastAsia" w:hAnsiTheme="minorEastAsia" w:hint="eastAsia"/>
        </w:rPr>
        <w:t>、在参与基金份额持有人大会投票的基金份额持有人所持有的基金份额小于在权益登记日相关基金份额的二分之一、召集人在原公告的基金份额持有人大会召开时间的</w:t>
      </w:r>
      <w:r w:rsidRPr="00FA7BE2">
        <w:rPr>
          <w:rFonts w:asciiTheme="minorEastAsia" w:eastAsiaTheme="minorEastAsia" w:hAnsiTheme="minorEastAsia"/>
        </w:rPr>
        <w:t>3</w:t>
      </w:r>
      <w:r w:rsidRPr="00FA7BE2">
        <w:rPr>
          <w:rFonts w:asciiTheme="minorEastAsia" w:eastAsiaTheme="minorEastAsia" w:hAnsiTheme="minorEastAsia" w:hint="eastAsia"/>
        </w:rPr>
        <w:t>个月以后、</w:t>
      </w:r>
      <w:r w:rsidRPr="00FA7BE2">
        <w:rPr>
          <w:rFonts w:asciiTheme="minorEastAsia" w:eastAsiaTheme="minorEastAsia" w:hAnsiTheme="minorEastAsia"/>
        </w:rPr>
        <w:t>6</w:t>
      </w:r>
      <w:r w:rsidRPr="00FA7BE2">
        <w:rPr>
          <w:rFonts w:asciiTheme="minorEastAsia" w:eastAsiaTheme="minorEastAsia" w:hAnsiTheme="minorEastAsia" w:hint="eastAsia"/>
        </w:rPr>
        <w:t>个月以内就原定审议事项重新召集的基金份额持有人大会应当有代表三分之一以上（含三分之一）相关基金份额的持有人参与或授权他人参与基金份额持有人大会投票；</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5</w:t>
      </w:r>
      <w:r w:rsidRPr="00FA7BE2">
        <w:rPr>
          <w:rFonts w:asciiTheme="minorEastAsia" w:eastAsiaTheme="minorEastAsia" w:hAnsiTheme="minorEastAsia" w:hint="eastAsia"/>
        </w:rPr>
        <w:t>、现场开会由出席大会的基金份额持有人和代理人所持表决权的</w:t>
      </w:r>
      <w:r w:rsidRPr="00FA7BE2">
        <w:rPr>
          <w:rFonts w:asciiTheme="minorEastAsia" w:eastAsiaTheme="minorEastAsia" w:hAnsiTheme="minorEastAsia"/>
        </w:rPr>
        <w:t>50%</w:t>
      </w:r>
      <w:r w:rsidRPr="00FA7BE2">
        <w:rPr>
          <w:rFonts w:asciiTheme="minorEastAsia" w:eastAsiaTheme="minorEastAsia" w:hAnsiTheme="minorEastAsia" w:hint="eastAsia"/>
        </w:rPr>
        <w:t>以上（含</w:t>
      </w:r>
      <w:r w:rsidRPr="00FA7BE2">
        <w:rPr>
          <w:rFonts w:asciiTheme="minorEastAsia" w:eastAsiaTheme="minorEastAsia" w:hAnsiTheme="minorEastAsia"/>
        </w:rPr>
        <w:t>50%</w:t>
      </w:r>
      <w:r w:rsidRPr="00FA7BE2">
        <w:rPr>
          <w:rFonts w:asciiTheme="minorEastAsia" w:eastAsiaTheme="minorEastAsia" w:hAnsiTheme="minorEastAsia" w:hint="eastAsia"/>
        </w:rPr>
        <w:t>）选举产生一名基金份额持有人作为该次基金份额持有人大会的主持人；</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6</w:t>
      </w:r>
      <w:r w:rsidRPr="00FA7BE2">
        <w:rPr>
          <w:rFonts w:asciiTheme="minorEastAsia" w:eastAsiaTheme="minorEastAsia" w:hAnsiTheme="minorEastAsia" w:hint="eastAsia"/>
        </w:rPr>
        <w:t>、一般决议须经参加大会的基金份额持有人或其代理人所持表决权的二分之一以上（含二分之一）通过；</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rPr>
        <w:t>7</w:t>
      </w:r>
      <w:r w:rsidRPr="00FA7BE2">
        <w:rPr>
          <w:rFonts w:asciiTheme="minorEastAsia" w:eastAsiaTheme="minorEastAsia" w:hAnsiTheme="minorEastAsia" w:hint="eastAsia"/>
        </w:rPr>
        <w:t>、特别决议应当经参加大会的基金份额持有人或其代理人所持表决权的三分之二以上（含三分之二）通过。</w:t>
      </w:r>
    </w:p>
    <w:p w:rsidR="003349D9" w:rsidRPr="00FA7BE2" w:rsidRDefault="003349D9" w:rsidP="000D2AA7">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同一主侧袋账户内的每份基金份额具有平等的表决权。</w:t>
      </w:r>
    </w:p>
    <w:p w:rsidR="00D21CF5" w:rsidRPr="00FA7BE2" w:rsidRDefault="003349D9" w:rsidP="003349D9">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10、</w:t>
      </w:r>
      <w:r w:rsidR="00D21CF5" w:rsidRPr="00FA7BE2">
        <w:rPr>
          <w:rFonts w:asciiTheme="minorEastAsia" w:eastAsiaTheme="minorEastAsia" w:hAnsiTheme="minorEastAsia" w:hint="eastAsia"/>
        </w:rPr>
        <w:t>生效与公告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基金</w:t>
      </w:r>
      <w:r w:rsidRPr="00FA7BE2">
        <w:rPr>
          <w:rFonts w:asciiTheme="minorEastAsia" w:eastAsiaTheme="minorEastAsia" w:hAnsiTheme="minorEastAsia"/>
        </w:rPr>
        <w:t>份额</w:t>
      </w:r>
      <w:r w:rsidRPr="00FA7BE2">
        <w:rPr>
          <w:rFonts w:asciiTheme="minorEastAsia" w:eastAsiaTheme="minorEastAsia" w:hAnsiTheme="minorEastAsia" w:hint="eastAsia"/>
        </w:rPr>
        <w:t>持有人大会的召集人自决议事项通过之日起五日内报中国证监会核准或备案，自经中国证监会依法核准或者出具无异议意见之日起生效。</w:t>
      </w:r>
      <w:r w:rsidRPr="00FA7BE2">
        <w:rPr>
          <w:rFonts w:asciiTheme="minorEastAsia" w:eastAsiaTheme="minorEastAsia" w:hAnsiTheme="minorEastAsia"/>
        </w:rPr>
        <w:t>基金份额持有人大会决议自生效之日起2日内由相关信息披露义务人在至少一种中国证监会指定</w:t>
      </w:r>
      <w:r w:rsidR="0092110D" w:rsidRPr="00FA7BE2">
        <w:rPr>
          <w:rFonts w:asciiTheme="minorEastAsia" w:eastAsiaTheme="minorEastAsia" w:hAnsiTheme="minorEastAsia"/>
        </w:rPr>
        <w:t>媒介</w:t>
      </w:r>
      <w:r w:rsidRPr="00FA7BE2">
        <w:rPr>
          <w:rFonts w:asciiTheme="minorEastAsia" w:eastAsiaTheme="minorEastAsia" w:hAnsiTheme="minorEastAsia"/>
        </w:rPr>
        <w:t>予以公告。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除非法律法规、本基金合同另有规定，生效的基金份额持有人大会决议对全体基金份额持有人、基金管理人、基金托管人均具有法律约束力，</w:t>
      </w:r>
      <w:r w:rsidRPr="00FA7BE2">
        <w:rPr>
          <w:rFonts w:asciiTheme="minorEastAsia" w:eastAsiaTheme="minorEastAsia" w:hAnsiTheme="minorEastAsia"/>
        </w:rPr>
        <w:t>基金管理人、基金托管人和基金份额持有人应当执行</w:t>
      </w:r>
      <w:r w:rsidRPr="00FA7BE2">
        <w:rPr>
          <w:rFonts w:asciiTheme="minorEastAsia" w:eastAsiaTheme="minorEastAsia" w:hAnsiTheme="minorEastAsia" w:hint="eastAsia"/>
        </w:rPr>
        <w:t>。</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79" w:name="_Toc75870055"/>
      <w:r w:rsidRPr="00FA7BE2">
        <w:rPr>
          <w:rFonts w:asciiTheme="minorEastAsia" w:eastAsiaTheme="minorEastAsia" w:hAnsiTheme="minorEastAsia" w:hint="eastAsia"/>
        </w:rPr>
        <w:t>（五）基金合同的变更和终止</w:t>
      </w:r>
      <w:bookmarkEnd w:id="179"/>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1、基金合同的变更</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（1）本基金合同的变更应经当事人同意，经基金份额持有人大会决议通过，并经中国证监会核准或备案，并自中国证监会核准或出具无异议之日起生效。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w:t>
      </w:r>
      <w:r w:rsidRPr="00FA7BE2">
        <w:rPr>
          <w:rFonts w:asciiTheme="minorEastAsia" w:eastAsiaTheme="minorEastAsia" w:hAnsiTheme="minorEastAsia"/>
        </w:rPr>
        <w:t>2</w:t>
      </w:r>
      <w:r w:rsidRPr="00FA7BE2">
        <w:rPr>
          <w:rFonts w:asciiTheme="minorEastAsia" w:eastAsiaTheme="minorEastAsia" w:hAnsiTheme="minorEastAsia" w:hint="eastAsia"/>
        </w:rPr>
        <w:t>）但在下列情况下，基金管理人和基金托管人协商后可直接变更基金合同，无须召开基金份额持有人大会通过，但应进行公告，并报中国证监会备案：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1）因法律、法规及中国证监会颁布之规定的相应修改而导致本基金合同的部分条款与之不符的，则基金合同自行适用法律、法规及中国证监会颁布之规定的相应变更；</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2）因基金管理人、基金托管人的基本情况发生变更，包括但不限于住所、法定代表人、组织形式、注册资本等情况的变更；</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3）不涉及本基金合同当事人权利义务关系发生变化，并不涉及基金份额持有人利益的基金合同的变更。</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（3）本基金合同规定基金管理人有权修改的事项，一经公告，即构成对基金合同的变更，变更后的基金合同应报中国证监会备案。</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lastRenderedPageBreak/>
        <w:t>2、基金合同的终止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本基金出现下列情形之一的，经中国证监会批准后将本基金合同终止：</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（1）经基金份额持有人大会表决终止的；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（2）因重大违法、违规行为，被中国证监会责令终止的；</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（3）基金管理人因解散、破产、撤销、丧失基金管理资格、停止营业等事由，不能继续担任本基金管理人的职务，而在六个月内无其它基金管理公司承受其原有权利及义务；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（4）基金托管人因解散、破产、撤销、丧失基金托管资格、停止营业等事由，不能继续担任本基金托管人的职务，而在六个月内无其它托管机构承受其原有权利及义务；</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（5）法律法规和中国证监会规定的其他事由。</w:t>
      </w:r>
    </w:p>
    <w:p w:rsidR="00D21CF5" w:rsidRPr="00FA7BE2" w:rsidRDefault="00D21CF5" w:rsidP="00D21CF5">
      <w:pPr>
        <w:autoSpaceDE w:val="0"/>
        <w:autoSpaceDN w:val="0"/>
        <w:snapToGrid w:val="0"/>
        <w:spacing w:line="360" w:lineRule="auto"/>
        <w:ind w:firstLine="420"/>
        <w:textAlignment w:val="bottom"/>
        <w:rPr>
          <w:rFonts w:asciiTheme="minorEastAsia" w:eastAsiaTheme="minorEastAsia" w:hAnsiTheme="minorEastAsia"/>
        </w:rPr>
      </w:pPr>
      <w:r w:rsidRPr="00FA7BE2">
        <w:rPr>
          <w:rFonts w:asciiTheme="minorEastAsia" w:eastAsiaTheme="minorEastAsia" w:hAnsiTheme="minorEastAsia" w:hint="eastAsia"/>
        </w:rPr>
        <w:t>基金合同终止后，基金管理人和基金托管人依照《基金法》、《运作办法》、《销售办法》、基金合同及其他有关规定，行使请求给付报酬、从基金财产中获得补偿的权利时，可以留置基金财产或者对基金财产的权利归属人提出请求。</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180" w:name="_Toc38437218"/>
      <w:bookmarkStart w:id="181" w:name="_Toc38437354"/>
      <w:bookmarkStart w:id="182" w:name="_Toc38437490"/>
      <w:bookmarkStart w:id="183" w:name="_Toc38437626"/>
      <w:bookmarkStart w:id="184" w:name="_Toc38437772"/>
      <w:bookmarkStart w:id="185" w:name="_Toc38437918"/>
      <w:bookmarkStart w:id="186" w:name="_Toc38438064"/>
      <w:bookmarkStart w:id="187" w:name="_Toc38438210"/>
      <w:bookmarkStart w:id="188" w:name="_Toc38438547"/>
      <w:bookmarkStart w:id="189" w:name="_Toc38438884"/>
      <w:bookmarkStart w:id="190" w:name="_Toc38439221"/>
      <w:bookmarkStart w:id="191" w:name="_Toc38439558"/>
      <w:bookmarkStart w:id="192" w:name="_Toc38439895"/>
      <w:bookmarkStart w:id="193" w:name="_Toc38440232"/>
      <w:bookmarkStart w:id="194" w:name="_Toc38440569"/>
      <w:bookmarkStart w:id="195" w:name="_Toc38440768"/>
      <w:bookmarkStart w:id="196" w:name="_Toc38441101"/>
      <w:bookmarkStart w:id="197" w:name="_Toc38441433"/>
      <w:bookmarkStart w:id="198" w:name="_Toc38441765"/>
      <w:bookmarkStart w:id="199" w:name="_Toc38442093"/>
      <w:bookmarkStart w:id="200" w:name="_Toc38442425"/>
      <w:bookmarkStart w:id="201" w:name="_Toc38442757"/>
      <w:bookmarkStart w:id="202" w:name="_Toc38443088"/>
      <w:bookmarkStart w:id="203" w:name="_Toc38443419"/>
      <w:bookmarkStart w:id="204" w:name="_Toc38443750"/>
      <w:bookmarkStart w:id="205" w:name="_Toc38433500"/>
      <w:bookmarkStart w:id="206" w:name="_Toc38433635"/>
      <w:bookmarkStart w:id="207" w:name="_Toc38433769"/>
      <w:bookmarkStart w:id="208" w:name="_Toc38433919"/>
      <w:bookmarkStart w:id="209" w:name="_Toc38434067"/>
      <w:bookmarkStart w:id="210" w:name="_Toc38434215"/>
      <w:bookmarkStart w:id="211" w:name="_Toc38434361"/>
      <w:bookmarkStart w:id="212" w:name="_Toc38434504"/>
      <w:bookmarkStart w:id="213" w:name="_Toc38434647"/>
      <w:bookmarkStart w:id="214" w:name="_Toc38434790"/>
      <w:bookmarkStart w:id="215" w:name="_Toc38434934"/>
      <w:bookmarkStart w:id="216" w:name="_Toc38437630"/>
      <w:bookmarkStart w:id="217" w:name="_Toc38437776"/>
      <w:bookmarkStart w:id="218" w:name="_Toc38437922"/>
      <w:bookmarkStart w:id="219" w:name="_Toc38438068"/>
      <w:bookmarkStart w:id="220" w:name="_Toc38438214"/>
      <w:bookmarkStart w:id="221" w:name="_Toc38438551"/>
      <w:bookmarkStart w:id="222" w:name="_Toc38438888"/>
      <w:bookmarkStart w:id="223" w:name="_Toc38439225"/>
      <w:bookmarkStart w:id="224" w:name="_Toc38439562"/>
      <w:bookmarkStart w:id="225" w:name="_Toc38439899"/>
      <w:bookmarkStart w:id="226" w:name="_Toc38440236"/>
      <w:bookmarkStart w:id="227" w:name="_Toc38440573"/>
      <w:bookmarkStart w:id="228" w:name="_Toc38440772"/>
      <w:bookmarkStart w:id="229" w:name="_Toc38441105"/>
      <w:bookmarkStart w:id="230" w:name="_Toc38441437"/>
      <w:bookmarkStart w:id="231" w:name="_Toc38441769"/>
      <w:bookmarkStart w:id="232" w:name="_Toc38442097"/>
      <w:bookmarkStart w:id="233" w:name="_Toc38442429"/>
      <w:bookmarkStart w:id="234" w:name="_Toc38442761"/>
      <w:bookmarkStart w:id="235" w:name="_Toc38443092"/>
      <w:bookmarkStart w:id="236" w:name="_Toc38443423"/>
      <w:bookmarkStart w:id="237" w:name="_Toc38443754"/>
      <w:bookmarkStart w:id="238" w:name="_Toc38433501"/>
      <w:bookmarkStart w:id="239" w:name="_Toc38433636"/>
      <w:bookmarkStart w:id="240" w:name="_Toc38433770"/>
      <w:bookmarkStart w:id="241" w:name="_Toc38433920"/>
      <w:bookmarkStart w:id="242" w:name="_Toc38434068"/>
      <w:bookmarkStart w:id="243" w:name="_Toc38434216"/>
      <w:bookmarkStart w:id="244" w:name="_Toc38434362"/>
      <w:bookmarkStart w:id="245" w:name="_Toc38434505"/>
      <w:bookmarkStart w:id="246" w:name="_Toc38434648"/>
      <w:bookmarkStart w:id="247" w:name="_Toc38434791"/>
      <w:bookmarkStart w:id="248" w:name="_Toc38434935"/>
      <w:bookmarkStart w:id="249" w:name="_Toc38437631"/>
      <w:bookmarkStart w:id="250" w:name="_Toc38437777"/>
      <w:bookmarkStart w:id="251" w:name="_Toc38437923"/>
      <w:bookmarkStart w:id="252" w:name="_Toc38438069"/>
      <w:bookmarkStart w:id="253" w:name="_Toc38438215"/>
      <w:bookmarkStart w:id="254" w:name="_Toc38438552"/>
      <w:bookmarkStart w:id="255" w:name="_Toc38438889"/>
      <w:bookmarkStart w:id="256" w:name="_Toc38439226"/>
      <w:bookmarkStart w:id="257" w:name="_Toc38439563"/>
      <w:bookmarkStart w:id="258" w:name="_Toc38439900"/>
      <w:bookmarkStart w:id="259" w:name="_Toc38440237"/>
      <w:bookmarkStart w:id="260" w:name="_Toc38440574"/>
      <w:bookmarkStart w:id="261" w:name="_Toc38440773"/>
      <w:bookmarkStart w:id="262" w:name="_Toc38441106"/>
      <w:bookmarkStart w:id="263" w:name="_Toc38441438"/>
      <w:bookmarkStart w:id="264" w:name="_Toc38441770"/>
      <w:bookmarkStart w:id="265" w:name="_Toc38442098"/>
      <w:bookmarkStart w:id="266" w:name="_Toc38442430"/>
      <w:bookmarkStart w:id="267" w:name="_Toc38442762"/>
      <w:bookmarkStart w:id="268" w:name="_Toc38443093"/>
      <w:bookmarkStart w:id="269" w:name="_Toc38443424"/>
      <w:bookmarkStart w:id="270" w:name="_Toc38443755"/>
      <w:bookmarkStart w:id="271" w:name="_Toc38433502"/>
      <w:bookmarkStart w:id="272" w:name="_Toc38433637"/>
      <w:bookmarkStart w:id="273" w:name="_Toc38433771"/>
      <w:bookmarkStart w:id="274" w:name="_Toc38433921"/>
      <w:bookmarkStart w:id="275" w:name="_Toc38434069"/>
      <w:bookmarkStart w:id="276" w:name="_Toc38434217"/>
      <w:bookmarkStart w:id="277" w:name="_Toc38434363"/>
      <w:bookmarkStart w:id="278" w:name="_Toc38434506"/>
      <w:bookmarkStart w:id="279" w:name="_Toc38434649"/>
      <w:bookmarkStart w:id="280" w:name="_Toc38434792"/>
      <w:bookmarkStart w:id="281" w:name="_Toc38434936"/>
      <w:bookmarkStart w:id="282" w:name="_Toc38437632"/>
      <w:bookmarkStart w:id="283" w:name="_Toc38437778"/>
      <w:bookmarkStart w:id="284" w:name="_Toc38437924"/>
      <w:bookmarkStart w:id="285" w:name="_Toc38438070"/>
      <w:bookmarkStart w:id="286" w:name="_Toc38438216"/>
      <w:bookmarkStart w:id="287" w:name="_Toc38438553"/>
      <w:bookmarkStart w:id="288" w:name="_Toc38438890"/>
      <w:bookmarkStart w:id="289" w:name="_Toc38439227"/>
      <w:bookmarkStart w:id="290" w:name="_Toc38439564"/>
      <w:bookmarkStart w:id="291" w:name="_Toc38439901"/>
      <w:bookmarkStart w:id="292" w:name="_Toc38440238"/>
      <w:bookmarkStart w:id="293" w:name="_Toc38440575"/>
      <w:bookmarkStart w:id="294" w:name="_Toc38440774"/>
      <w:bookmarkStart w:id="295" w:name="_Toc38441107"/>
      <w:bookmarkStart w:id="296" w:name="_Toc38441439"/>
      <w:bookmarkStart w:id="297" w:name="_Toc38441771"/>
      <w:bookmarkStart w:id="298" w:name="_Toc38442099"/>
      <w:bookmarkStart w:id="299" w:name="_Toc38442431"/>
      <w:bookmarkStart w:id="300" w:name="_Toc38442763"/>
      <w:bookmarkStart w:id="301" w:name="_Toc38443094"/>
      <w:bookmarkStart w:id="302" w:name="_Toc38443425"/>
      <w:bookmarkStart w:id="303" w:name="_Toc38443756"/>
      <w:bookmarkStart w:id="304" w:name="_Toc38433503"/>
      <w:bookmarkStart w:id="305" w:name="_Toc38433638"/>
      <w:bookmarkStart w:id="306" w:name="_Toc38433772"/>
      <w:bookmarkStart w:id="307" w:name="_Toc38433922"/>
      <w:bookmarkStart w:id="308" w:name="_Toc38434070"/>
      <w:bookmarkStart w:id="309" w:name="_Toc38434218"/>
      <w:bookmarkStart w:id="310" w:name="_Toc38434364"/>
      <w:bookmarkStart w:id="311" w:name="_Toc38434507"/>
      <w:bookmarkStart w:id="312" w:name="_Toc38434650"/>
      <w:bookmarkStart w:id="313" w:name="_Toc38434793"/>
      <w:bookmarkStart w:id="314" w:name="_Toc38434937"/>
      <w:bookmarkStart w:id="315" w:name="_Toc38437633"/>
      <w:bookmarkStart w:id="316" w:name="_Toc38437779"/>
      <w:bookmarkStart w:id="317" w:name="_Toc38437925"/>
      <w:bookmarkStart w:id="318" w:name="_Toc38438071"/>
      <w:bookmarkStart w:id="319" w:name="_Toc38438217"/>
      <w:bookmarkStart w:id="320" w:name="_Toc38438554"/>
      <w:bookmarkStart w:id="321" w:name="_Toc38438891"/>
      <w:bookmarkStart w:id="322" w:name="_Toc38439228"/>
      <w:bookmarkStart w:id="323" w:name="_Toc38439565"/>
      <w:bookmarkStart w:id="324" w:name="_Toc38439902"/>
      <w:bookmarkStart w:id="325" w:name="_Toc38440239"/>
      <w:bookmarkStart w:id="326" w:name="_Toc38440576"/>
      <w:bookmarkStart w:id="327" w:name="_Toc38440775"/>
      <w:bookmarkStart w:id="328" w:name="_Toc38441108"/>
      <w:bookmarkStart w:id="329" w:name="_Toc38441440"/>
      <w:bookmarkStart w:id="330" w:name="_Toc38441772"/>
      <w:bookmarkStart w:id="331" w:name="_Toc38442100"/>
      <w:bookmarkStart w:id="332" w:name="_Toc38442432"/>
      <w:bookmarkStart w:id="333" w:name="_Toc38442764"/>
      <w:bookmarkStart w:id="334" w:name="_Toc38443095"/>
      <w:bookmarkStart w:id="335" w:name="_Toc38443426"/>
      <w:bookmarkStart w:id="336" w:name="_Toc38443757"/>
      <w:bookmarkStart w:id="337" w:name="_Toc38433504"/>
      <w:bookmarkStart w:id="338" w:name="_Toc38433639"/>
      <w:bookmarkStart w:id="339" w:name="_Toc38433773"/>
      <w:bookmarkStart w:id="340" w:name="_Toc38433923"/>
      <w:bookmarkStart w:id="341" w:name="_Toc38434071"/>
      <w:bookmarkStart w:id="342" w:name="_Toc38434219"/>
      <w:bookmarkStart w:id="343" w:name="_Toc38434365"/>
      <w:bookmarkStart w:id="344" w:name="_Toc38434508"/>
      <w:bookmarkStart w:id="345" w:name="_Toc38434651"/>
      <w:bookmarkStart w:id="346" w:name="_Toc38434794"/>
      <w:bookmarkStart w:id="347" w:name="_Toc38434938"/>
      <w:bookmarkStart w:id="348" w:name="_Toc38437634"/>
      <w:bookmarkStart w:id="349" w:name="_Toc38437780"/>
      <w:bookmarkStart w:id="350" w:name="_Toc38437926"/>
      <w:bookmarkStart w:id="351" w:name="_Toc38438072"/>
      <w:bookmarkStart w:id="352" w:name="_Toc38438218"/>
      <w:bookmarkStart w:id="353" w:name="_Toc38438555"/>
      <w:bookmarkStart w:id="354" w:name="_Toc38438892"/>
      <w:bookmarkStart w:id="355" w:name="_Toc38439229"/>
      <w:bookmarkStart w:id="356" w:name="_Toc38439566"/>
      <w:bookmarkStart w:id="357" w:name="_Toc38439903"/>
      <w:bookmarkStart w:id="358" w:name="_Toc38440240"/>
      <w:bookmarkStart w:id="359" w:name="_Toc38440577"/>
      <w:bookmarkStart w:id="360" w:name="_Toc38440776"/>
      <w:bookmarkStart w:id="361" w:name="_Toc38441109"/>
      <w:bookmarkStart w:id="362" w:name="_Toc38441441"/>
      <w:bookmarkStart w:id="363" w:name="_Toc38441773"/>
      <w:bookmarkStart w:id="364" w:name="_Toc38442101"/>
      <w:bookmarkStart w:id="365" w:name="_Toc38442433"/>
      <w:bookmarkStart w:id="366" w:name="_Toc38442765"/>
      <w:bookmarkStart w:id="367" w:name="_Toc38443096"/>
      <w:bookmarkStart w:id="368" w:name="_Toc38443427"/>
      <w:bookmarkStart w:id="369" w:name="_Toc38443758"/>
      <w:bookmarkStart w:id="370" w:name="_Toc38433505"/>
      <w:bookmarkStart w:id="371" w:name="_Toc38433640"/>
      <w:bookmarkStart w:id="372" w:name="_Toc38433774"/>
      <w:bookmarkStart w:id="373" w:name="_Toc38433924"/>
      <w:bookmarkStart w:id="374" w:name="_Toc38434072"/>
      <w:bookmarkStart w:id="375" w:name="_Toc38434220"/>
      <w:bookmarkStart w:id="376" w:name="_Toc38434366"/>
      <w:bookmarkStart w:id="377" w:name="_Toc38434509"/>
      <w:bookmarkStart w:id="378" w:name="_Toc38434652"/>
      <w:bookmarkStart w:id="379" w:name="_Toc38434795"/>
      <w:bookmarkStart w:id="380" w:name="_Toc38434939"/>
      <w:bookmarkStart w:id="381" w:name="_Toc38437635"/>
      <w:bookmarkStart w:id="382" w:name="_Toc38437781"/>
      <w:bookmarkStart w:id="383" w:name="_Toc38437927"/>
      <w:bookmarkStart w:id="384" w:name="_Toc38438073"/>
      <w:bookmarkStart w:id="385" w:name="_Toc38438219"/>
      <w:bookmarkStart w:id="386" w:name="_Toc38438556"/>
      <w:bookmarkStart w:id="387" w:name="_Toc38438893"/>
      <w:bookmarkStart w:id="388" w:name="_Toc38439230"/>
      <w:bookmarkStart w:id="389" w:name="_Toc38439567"/>
      <w:bookmarkStart w:id="390" w:name="_Toc38439904"/>
      <w:bookmarkStart w:id="391" w:name="_Toc38440241"/>
      <w:bookmarkStart w:id="392" w:name="_Toc38440578"/>
      <w:bookmarkStart w:id="393" w:name="_Toc38440777"/>
      <w:bookmarkStart w:id="394" w:name="_Toc38441110"/>
      <w:bookmarkStart w:id="395" w:name="_Toc38441442"/>
      <w:bookmarkStart w:id="396" w:name="_Toc38441774"/>
      <w:bookmarkStart w:id="397" w:name="_Toc38442102"/>
      <w:bookmarkStart w:id="398" w:name="_Toc38442434"/>
      <w:bookmarkStart w:id="399" w:name="_Toc38442766"/>
      <w:bookmarkStart w:id="400" w:name="_Toc38443097"/>
      <w:bookmarkStart w:id="401" w:name="_Toc38443428"/>
      <w:bookmarkStart w:id="402" w:name="_Toc38443759"/>
      <w:bookmarkStart w:id="403" w:name="_Toc38433506"/>
      <w:bookmarkStart w:id="404" w:name="_Toc38433641"/>
      <w:bookmarkStart w:id="405" w:name="_Toc38433775"/>
      <w:bookmarkStart w:id="406" w:name="_Toc38433925"/>
      <w:bookmarkStart w:id="407" w:name="_Toc38434073"/>
      <w:bookmarkStart w:id="408" w:name="_Toc38434221"/>
      <w:bookmarkStart w:id="409" w:name="_Toc38434367"/>
      <w:bookmarkStart w:id="410" w:name="_Toc38434510"/>
      <w:bookmarkStart w:id="411" w:name="_Toc38434653"/>
      <w:bookmarkStart w:id="412" w:name="_Toc38434796"/>
      <w:bookmarkStart w:id="413" w:name="_Toc38434940"/>
      <w:bookmarkStart w:id="414" w:name="_Toc38437636"/>
      <w:bookmarkStart w:id="415" w:name="_Toc38437782"/>
      <w:bookmarkStart w:id="416" w:name="_Toc38437928"/>
      <w:bookmarkStart w:id="417" w:name="_Toc38438074"/>
      <w:bookmarkStart w:id="418" w:name="_Toc38438220"/>
      <w:bookmarkStart w:id="419" w:name="_Toc38438557"/>
      <w:bookmarkStart w:id="420" w:name="_Toc38438894"/>
      <w:bookmarkStart w:id="421" w:name="_Toc38439231"/>
      <w:bookmarkStart w:id="422" w:name="_Toc38439568"/>
      <w:bookmarkStart w:id="423" w:name="_Toc38439905"/>
      <w:bookmarkStart w:id="424" w:name="_Toc38440242"/>
      <w:bookmarkStart w:id="425" w:name="_Toc38440579"/>
      <w:bookmarkStart w:id="426" w:name="_Toc38440778"/>
      <w:bookmarkStart w:id="427" w:name="_Toc38441111"/>
      <w:bookmarkStart w:id="428" w:name="_Toc38441443"/>
      <w:bookmarkStart w:id="429" w:name="_Toc38441775"/>
      <w:bookmarkStart w:id="430" w:name="_Toc38442103"/>
      <w:bookmarkStart w:id="431" w:name="_Toc38442435"/>
      <w:bookmarkStart w:id="432" w:name="_Toc38442767"/>
      <w:bookmarkStart w:id="433" w:name="_Toc38443098"/>
      <w:bookmarkStart w:id="434" w:name="_Toc38443429"/>
      <w:bookmarkStart w:id="435" w:name="_Toc38443760"/>
      <w:bookmarkStart w:id="436" w:name="_Toc38433507"/>
      <w:bookmarkStart w:id="437" w:name="_Toc38433642"/>
      <w:bookmarkStart w:id="438" w:name="_Toc38433776"/>
      <w:bookmarkStart w:id="439" w:name="_Toc38433926"/>
      <w:bookmarkStart w:id="440" w:name="_Toc38434074"/>
      <w:bookmarkStart w:id="441" w:name="_Toc38434222"/>
      <w:bookmarkStart w:id="442" w:name="_Toc38434368"/>
      <w:bookmarkStart w:id="443" w:name="_Toc38434511"/>
      <w:bookmarkStart w:id="444" w:name="_Toc38434654"/>
      <w:bookmarkStart w:id="445" w:name="_Toc38434797"/>
      <w:bookmarkStart w:id="446" w:name="_Toc38434941"/>
      <w:bookmarkStart w:id="447" w:name="_Toc38437637"/>
      <w:bookmarkStart w:id="448" w:name="_Toc38437783"/>
      <w:bookmarkStart w:id="449" w:name="_Toc38437929"/>
      <w:bookmarkStart w:id="450" w:name="_Toc38438075"/>
      <w:bookmarkStart w:id="451" w:name="_Toc38438221"/>
      <w:bookmarkStart w:id="452" w:name="_Toc38438558"/>
      <w:bookmarkStart w:id="453" w:name="_Toc38438895"/>
      <w:bookmarkStart w:id="454" w:name="_Toc38439232"/>
      <w:bookmarkStart w:id="455" w:name="_Toc38439569"/>
      <w:bookmarkStart w:id="456" w:name="_Toc38439906"/>
      <w:bookmarkStart w:id="457" w:name="_Toc38440243"/>
      <w:bookmarkStart w:id="458" w:name="_Toc38440580"/>
      <w:bookmarkStart w:id="459" w:name="_Toc38440779"/>
      <w:bookmarkStart w:id="460" w:name="_Toc38441112"/>
      <w:bookmarkStart w:id="461" w:name="_Toc38441444"/>
      <w:bookmarkStart w:id="462" w:name="_Toc38441776"/>
      <w:bookmarkStart w:id="463" w:name="_Toc38442104"/>
      <w:bookmarkStart w:id="464" w:name="_Toc38442436"/>
      <w:bookmarkStart w:id="465" w:name="_Toc38442768"/>
      <w:bookmarkStart w:id="466" w:name="_Toc38443099"/>
      <w:bookmarkStart w:id="467" w:name="_Toc38443430"/>
      <w:bookmarkStart w:id="468" w:name="_Toc38443761"/>
      <w:bookmarkStart w:id="469" w:name="_Toc38433508"/>
      <w:bookmarkStart w:id="470" w:name="_Toc38433643"/>
      <w:bookmarkStart w:id="471" w:name="_Toc38433777"/>
      <w:bookmarkStart w:id="472" w:name="_Toc38433927"/>
      <w:bookmarkStart w:id="473" w:name="_Toc38434075"/>
      <w:bookmarkStart w:id="474" w:name="_Toc38434223"/>
      <w:bookmarkStart w:id="475" w:name="_Toc38434369"/>
      <w:bookmarkStart w:id="476" w:name="_Toc38434512"/>
      <w:bookmarkStart w:id="477" w:name="_Toc38434655"/>
      <w:bookmarkStart w:id="478" w:name="_Toc38434798"/>
      <w:bookmarkStart w:id="479" w:name="_Toc38434942"/>
      <w:bookmarkStart w:id="480" w:name="_Toc38437638"/>
      <w:bookmarkStart w:id="481" w:name="_Toc38437784"/>
      <w:bookmarkStart w:id="482" w:name="_Toc38437930"/>
      <w:bookmarkStart w:id="483" w:name="_Toc38438076"/>
      <w:bookmarkStart w:id="484" w:name="_Toc38438222"/>
      <w:bookmarkStart w:id="485" w:name="_Toc38438559"/>
      <w:bookmarkStart w:id="486" w:name="_Toc38438896"/>
      <w:bookmarkStart w:id="487" w:name="_Toc38439233"/>
      <w:bookmarkStart w:id="488" w:name="_Toc38439570"/>
      <w:bookmarkStart w:id="489" w:name="_Toc38439907"/>
      <w:bookmarkStart w:id="490" w:name="_Toc38440244"/>
      <w:bookmarkStart w:id="491" w:name="_Toc38440581"/>
      <w:bookmarkStart w:id="492" w:name="_Toc38440780"/>
      <w:bookmarkStart w:id="493" w:name="_Toc38441113"/>
      <w:bookmarkStart w:id="494" w:name="_Toc38441445"/>
      <w:bookmarkStart w:id="495" w:name="_Toc38441777"/>
      <w:bookmarkStart w:id="496" w:name="_Toc38442105"/>
      <w:bookmarkStart w:id="497" w:name="_Toc38442437"/>
      <w:bookmarkStart w:id="498" w:name="_Toc38442769"/>
      <w:bookmarkStart w:id="499" w:name="_Toc38443100"/>
      <w:bookmarkStart w:id="500" w:name="_Toc38443431"/>
      <w:bookmarkStart w:id="501" w:name="_Toc38443762"/>
      <w:bookmarkStart w:id="502" w:name="_Toc38433510"/>
      <w:bookmarkStart w:id="503" w:name="_Toc38433645"/>
      <w:bookmarkStart w:id="504" w:name="_Toc38433779"/>
      <w:bookmarkStart w:id="505" w:name="_Toc38433929"/>
      <w:bookmarkStart w:id="506" w:name="_Toc38434077"/>
      <w:bookmarkStart w:id="507" w:name="_Toc38434225"/>
      <w:bookmarkStart w:id="508" w:name="_Toc38434371"/>
      <w:bookmarkStart w:id="509" w:name="_Toc38434514"/>
      <w:bookmarkStart w:id="510" w:name="_Toc38434657"/>
      <w:bookmarkStart w:id="511" w:name="_Toc38434800"/>
      <w:bookmarkStart w:id="512" w:name="_Toc38434944"/>
      <w:bookmarkStart w:id="513" w:name="_Toc38437640"/>
      <w:bookmarkStart w:id="514" w:name="_Toc38437786"/>
      <w:bookmarkStart w:id="515" w:name="_Toc38437932"/>
      <w:bookmarkStart w:id="516" w:name="_Toc38438078"/>
      <w:bookmarkStart w:id="517" w:name="_Toc38438224"/>
      <w:bookmarkStart w:id="518" w:name="_Toc38438561"/>
      <w:bookmarkStart w:id="519" w:name="_Toc38438898"/>
      <w:bookmarkStart w:id="520" w:name="_Toc38439235"/>
      <w:bookmarkStart w:id="521" w:name="_Toc38439572"/>
      <w:bookmarkStart w:id="522" w:name="_Toc38439909"/>
      <w:bookmarkStart w:id="523" w:name="_Toc38440246"/>
      <w:bookmarkStart w:id="524" w:name="_Toc38440583"/>
      <w:bookmarkStart w:id="525" w:name="_Toc38440782"/>
      <w:bookmarkStart w:id="526" w:name="_Toc38441115"/>
      <w:bookmarkStart w:id="527" w:name="_Toc38441447"/>
      <w:bookmarkStart w:id="528" w:name="_Toc38441779"/>
      <w:bookmarkStart w:id="529" w:name="_Toc38442107"/>
      <w:bookmarkStart w:id="530" w:name="_Toc38442439"/>
      <w:bookmarkStart w:id="531" w:name="_Toc38442771"/>
      <w:bookmarkStart w:id="532" w:name="_Toc38443102"/>
      <w:bookmarkStart w:id="533" w:name="_Toc38443433"/>
      <w:bookmarkStart w:id="534" w:name="_Toc38443764"/>
      <w:bookmarkStart w:id="535" w:name="_Toc13148353"/>
      <w:bookmarkStart w:id="536" w:name="_Toc13150581"/>
      <w:bookmarkStart w:id="537" w:name="_Toc13291966"/>
      <w:bookmarkStart w:id="538" w:name="_Toc13504692"/>
      <w:bookmarkStart w:id="539" w:name="_Toc13504808"/>
      <w:bookmarkStart w:id="540" w:name="_Toc13556301"/>
      <w:bookmarkStart w:id="541" w:name="_Toc14337423"/>
      <w:bookmarkStart w:id="542" w:name="_Toc13148354"/>
      <w:bookmarkStart w:id="543" w:name="_Toc13150582"/>
      <w:bookmarkStart w:id="544" w:name="_Toc13291967"/>
      <w:bookmarkStart w:id="545" w:name="_Toc13504693"/>
      <w:bookmarkStart w:id="546" w:name="_Toc13504809"/>
      <w:bookmarkStart w:id="547" w:name="_Toc13556302"/>
      <w:bookmarkStart w:id="548" w:name="_Toc14337424"/>
      <w:bookmarkStart w:id="549" w:name="_Toc13148355"/>
      <w:bookmarkStart w:id="550" w:name="_Toc13150583"/>
      <w:bookmarkStart w:id="551" w:name="_Toc13291968"/>
      <w:bookmarkStart w:id="552" w:name="_Toc13504694"/>
      <w:bookmarkStart w:id="553" w:name="_Toc13504810"/>
      <w:bookmarkStart w:id="554" w:name="_Toc13556303"/>
      <w:bookmarkStart w:id="555" w:name="_Toc14337425"/>
      <w:bookmarkStart w:id="556" w:name="_Toc13148356"/>
      <w:bookmarkStart w:id="557" w:name="_Toc13150584"/>
      <w:bookmarkStart w:id="558" w:name="_Toc13291969"/>
      <w:bookmarkStart w:id="559" w:name="_Toc13504695"/>
      <w:bookmarkStart w:id="560" w:name="_Toc13504811"/>
      <w:bookmarkStart w:id="561" w:name="_Toc13556304"/>
      <w:bookmarkStart w:id="562" w:name="_Toc14337426"/>
      <w:bookmarkStart w:id="563" w:name="_Toc13148357"/>
      <w:bookmarkStart w:id="564" w:name="_Toc13150585"/>
      <w:bookmarkStart w:id="565" w:name="_Toc13291970"/>
      <w:bookmarkStart w:id="566" w:name="_Toc13504696"/>
      <w:bookmarkStart w:id="567" w:name="_Toc13504812"/>
      <w:bookmarkStart w:id="568" w:name="_Toc13556305"/>
      <w:bookmarkStart w:id="569" w:name="_Toc14337427"/>
      <w:bookmarkStart w:id="570" w:name="_Toc13148358"/>
      <w:bookmarkStart w:id="571" w:name="_Toc13150586"/>
      <w:bookmarkStart w:id="572" w:name="_Toc13291971"/>
      <w:bookmarkStart w:id="573" w:name="_Toc13504697"/>
      <w:bookmarkStart w:id="574" w:name="_Toc13504813"/>
      <w:bookmarkStart w:id="575" w:name="_Toc13556306"/>
      <w:bookmarkStart w:id="576" w:name="_Toc14337428"/>
      <w:bookmarkStart w:id="577" w:name="_Toc13148359"/>
      <w:bookmarkStart w:id="578" w:name="_Toc13150587"/>
      <w:bookmarkStart w:id="579" w:name="_Toc13291972"/>
      <w:bookmarkStart w:id="580" w:name="_Toc13504698"/>
      <w:bookmarkStart w:id="581" w:name="_Toc13504814"/>
      <w:bookmarkStart w:id="582" w:name="_Toc13556307"/>
      <w:bookmarkStart w:id="583" w:name="_Toc14337429"/>
      <w:bookmarkStart w:id="584" w:name="_Toc13148360"/>
      <w:bookmarkStart w:id="585" w:name="_Toc13150588"/>
      <w:bookmarkStart w:id="586" w:name="_Toc13291973"/>
      <w:bookmarkStart w:id="587" w:name="_Toc13504699"/>
      <w:bookmarkStart w:id="588" w:name="_Toc13504815"/>
      <w:bookmarkStart w:id="589" w:name="_Toc13556308"/>
      <w:bookmarkStart w:id="590" w:name="_Toc14337430"/>
      <w:bookmarkStart w:id="591" w:name="_Toc13148361"/>
      <w:bookmarkStart w:id="592" w:name="_Toc13150589"/>
      <w:bookmarkStart w:id="593" w:name="_Toc13291974"/>
      <w:bookmarkStart w:id="594" w:name="_Toc13504700"/>
      <w:bookmarkStart w:id="595" w:name="_Toc13504816"/>
      <w:bookmarkStart w:id="596" w:name="_Toc13556309"/>
      <w:bookmarkStart w:id="597" w:name="_Toc14337431"/>
      <w:bookmarkStart w:id="598" w:name="_Toc13148362"/>
      <w:bookmarkStart w:id="599" w:name="_Toc13150590"/>
      <w:bookmarkStart w:id="600" w:name="_Toc13291975"/>
      <w:bookmarkStart w:id="601" w:name="_Toc13504701"/>
      <w:bookmarkStart w:id="602" w:name="_Toc13504817"/>
      <w:bookmarkStart w:id="603" w:name="_Toc13556310"/>
      <w:bookmarkStart w:id="604" w:name="_Toc14337432"/>
      <w:bookmarkStart w:id="605" w:name="_Toc13148369"/>
      <w:bookmarkStart w:id="606" w:name="_Toc13150597"/>
      <w:bookmarkStart w:id="607" w:name="_Toc13291982"/>
      <w:bookmarkStart w:id="608" w:name="_Toc13504708"/>
      <w:bookmarkStart w:id="609" w:name="_Toc13504824"/>
      <w:bookmarkStart w:id="610" w:name="_Toc13556317"/>
      <w:bookmarkStart w:id="611" w:name="_Toc14337439"/>
      <w:bookmarkStart w:id="612" w:name="_Toc13148370"/>
      <w:bookmarkStart w:id="613" w:name="_Toc13150598"/>
      <w:bookmarkStart w:id="614" w:name="_Toc13291983"/>
      <w:bookmarkStart w:id="615" w:name="_Toc13504709"/>
      <w:bookmarkStart w:id="616" w:name="_Toc13504825"/>
      <w:bookmarkStart w:id="617" w:name="_Toc13556318"/>
      <w:bookmarkStart w:id="618" w:name="_Toc14337440"/>
      <w:bookmarkStart w:id="619" w:name="_Toc13148371"/>
      <w:bookmarkStart w:id="620" w:name="_Toc13150599"/>
      <w:bookmarkStart w:id="621" w:name="_Toc13291984"/>
      <w:bookmarkStart w:id="622" w:name="_Toc13504710"/>
      <w:bookmarkStart w:id="623" w:name="_Toc13504826"/>
      <w:bookmarkStart w:id="624" w:name="_Toc13556319"/>
      <w:bookmarkStart w:id="625" w:name="_Toc14337441"/>
      <w:bookmarkStart w:id="626" w:name="_Toc13148372"/>
      <w:bookmarkStart w:id="627" w:name="_Toc13150600"/>
      <w:bookmarkStart w:id="628" w:name="_Toc13291985"/>
      <w:bookmarkStart w:id="629" w:name="_Toc13504711"/>
      <w:bookmarkStart w:id="630" w:name="_Toc13504827"/>
      <w:bookmarkStart w:id="631" w:name="_Toc13556320"/>
      <w:bookmarkStart w:id="632" w:name="_Toc14337442"/>
      <w:bookmarkStart w:id="633" w:name="_Toc13148373"/>
      <w:bookmarkStart w:id="634" w:name="_Toc13150601"/>
      <w:bookmarkStart w:id="635" w:name="_Toc13291986"/>
      <w:bookmarkStart w:id="636" w:name="_Toc13504712"/>
      <w:bookmarkStart w:id="637" w:name="_Toc13504828"/>
      <w:bookmarkStart w:id="638" w:name="_Toc13556321"/>
      <w:bookmarkStart w:id="639" w:name="_Toc14337443"/>
      <w:bookmarkStart w:id="640" w:name="_Toc13148374"/>
      <w:bookmarkStart w:id="641" w:name="_Toc13150602"/>
      <w:bookmarkStart w:id="642" w:name="_Toc13291987"/>
      <w:bookmarkStart w:id="643" w:name="_Toc13504713"/>
      <w:bookmarkStart w:id="644" w:name="_Toc13504829"/>
      <w:bookmarkStart w:id="645" w:name="_Toc13556322"/>
      <w:bookmarkStart w:id="646" w:name="_Toc14337444"/>
      <w:bookmarkStart w:id="647" w:name="_Toc13148376"/>
      <w:bookmarkStart w:id="648" w:name="_Toc13150604"/>
      <w:bookmarkStart w:id="649" w:name="_Toc13291989"/>
      <w:bookmarkStart w:id="650" w:name="_Toc13504715"/>
      <w:bookmarkStart w:id="651" w:name="_Toc13504831"/>
      <w:bookmarkStart w:id="652" w:name="_Toc13556324"/>
      <w:bookmarkStart w:id="653" w:name="_Toc14337446"/>
      <w:bookmarkStart w:id="654" w:name="_Toc13148377"/>
      <w:bookmarkStart w:id="655" w:name="_Toc13150605"/>
      <w:bookmarkStart w:id="656" w:name="_Toc13291990"/>
      <w:bookmarkStart w:id="657" w:name="_Toc13504716"/>
      <w:bookmarkStart w:id="658" w:name="_Toc13504832"/>
      <w:bookmarkStart w:id="659" w:name="_Toc13556325"/>
      <w:bookmarkStart w:id="660" w:name="_Toc14337447"/>
      <w:bookmarkStart w:id="661" w:name="_Toc13148379"/>
      <w:bookmarkStart w:id="662" w:name="_Toc13150607"/>
      <w:bookmarkStart w:id="663" w:name="_Toc13291992"/>
      <w:bookmarkStart w:id="664" w:name="_Toc13504718"/>
      <w:bookmarkStart w:id="665" w:name="_Toc13504834"/>
      <w:bookmarkStart w:id="666" w:name="_Toc13556327"/>
      <w:bookmarkStart w:id="667" w:name="_Toc14337449"/>
      <w:bookmarkStart w:id="668" w:name="_Toc13148381"/>
      <w:bookmarkStart w:id="669" w:name="_Toc13150609"/>
      <w:bookmarkStart w:id="670" w:name="_Toc13291994"/>
      <w:bookmarkStart w:id="671" w:name="_Toc13504720"/>
      <w:bookmarkStart w:id="672" w:name="_Toc13504836"/>
      <w:bookmarkStart w:id="673" w:name="_Toc13556329"/>
      <w:bookmarkStart w:id="674" w:name="_Toc14337451"/>
      <w:bookmarkStart w:id="675" w:name="_Toc13148384"/>
      <w:bookmarkStart w:id="676" w:name="_Toc13150612"/>
      <w:bookmarkStart w:id="677" w:name="_Toc13291997"/>
      <w:bookmarkStart w:id="678" w:name="_Toc13504723"/>
      <w:bookmarkStart w:id="679" w:name="_Toc13504839"/>
      <w:bookmarkStart w:id="680" w:name="_Toc13556332"/>
      <w:bookmarkStart w:id="681" w:name="_Toc14337454"/>
      <w:bookmarkStart w:id="682" w:name="_Toc13148385"/>
      <w:bookmarkStart w:id="683" w:name="_Toc13150613"/>
      <w:bookmarkStart w:id="684" w:name="_Toc13291998"/>
      <w:bookmarkStart w:id="685" w:name="_Toc13504724"/>
      <w:bookmarkStart w:id="686" w:name="_Toc13504840"/>
      <w:bookmarkStart w:id="687" w:name="_Toc13556333"/>
      <w:bookmarkStart w:id="688" w:name="_Toc14337455"/>
      <w:bookmarkStart w:id="689" w:name="_Toc13148390"/>
      <w:bookmarkStart w:id="690" w:name="_Toc13150618"/>
      <w:bookmarkStart w:id="691" w:name="_Toc13292003"/>
      <w:bookmarkStart w:id="692" w:name="_Toc13504729"/>
      <w:bookmarkStart w:id="693" w:name="_Toc13504845"/>
      <w:bookmarkStart w:id="694" w:name="_Toc13556338"/>
      <w:bookmarkStart w:id="695" w:name="_Toc14337460"/>
      <w:bookmarkStart w:id="696" w:name="_Toc13148391"/>
      <w:bookmarkStart w:id="697" w:name="_Toc13150619"/>
      <w:bookmarkStart w:id="698" w:name="_Toc13292004"/>
      <w:bookmarkStart w:id="699" w:name="_Toc13504730"/>
      <w:bookmarkStart w:id="700" w:name="_Toc13504846"/>
      <w:bookmarkStart w:id="701" w:name="_Toc13556339"/>
      <w:bookmarkStart w:id="702" w:name="_Toc14337461"/>
      <w:bookmarkStart w:id="703" w:name="_Toc13148392"/>
      <w:bookmarkStart w:id="704" w:name="_Toc13150620"/>
      <w:bookmarkStart w:id="705" w:name="_Toc13292005"/>
      <w:bookmarkStart w:id="706" w:name="_Toc13504731"/>
      <w:bookmarkStart w:id="707" w:name="_Toc13504847"/>
      <w:bookmarkStart w:id="708" w:name="_Toc13556340"/>
      <w:bookmarkStart w:id="709" w:name="_Toc14337462"/>
      <w:bookmarkStart w:id="710" w:name="_Toc13148393"/>
      <w:bookmarkStart w:id="711" w:name="_Toc13150621"/>
      <w:bookmarkStart w:id="712" w:name="_Toc13292006"/>
      <w:bookmarkStart w:id="713" w:name="_Toc13504732"/>
      <w:bookmarkStart w:id="714" w:name="_Toc13504848"/>
      <w:bookmarkStart w:id="715" w:name="_Toc13556341"/>
      <w:bookmarkStart w:id="716" w:name="_Toc14337463"/>
      <w:bookmarkStart w:id="717" w:name="_Toc13148394"/>
      <w:bookmarkStart w:id="718" w:name="_Toc13150622"/>
      <w:bookmarkStart w:id="719" w:name="_Toc13292007"/>
      <w:bookmarkStart w:id="720" w:name="_Toc13504733"/>
      <w:bookmarkStart w:id="721" w:name="_Toc13504849"/>
      <w:bookmarkStart w:id="722" w:name="_Toc13556342"/>
      <w:bookmarkStart w:id="723" w:name="_Toc14337464"/>
      <w:bookmarkStart w:id="724" w:name="_Toc13148395"/>
      <w:bookmarkStart w:id="725" w:name="_Toc13150623"/>
      <w:bookmarkStart w:id="726" w:name="_Toc13292008"/>
      <w:bookmarkStart w:id="727" w:name="_Toc13504734"/>
      <w:bookmarkStart w:id="728" w:name="_Toc13504850"/>
      <w:bookmarkStart w:id="729" w:name="_Toc13556343"/>
      <w:bookmarkStart w:id="730" w:name="_Toc14337465"/>
      <w:bookmarkStart w:id="731" w:name="_Toc13148396"/>
      <w:bookmarkStart w:id="732" w:name="_Toc13150624"/>
      <w:bookmarkStart w:id="733" w:name="_Toc13292009"/>
      <w:bookmarkStart w:id="734" w:name="_Toc13504735"/>
      <w:bookmarkStart w:id="735" w:name="_Toc13504851"/>
      <w:bookmarkStart w:id="736" w:name="_Toc13556344"/>
      <w:bookmarkStart w:id="737" w:name="_Toc14337466"/>
      <w:bookmarkStart w:id="738" w:name="_Toc13148397"/>
      <w:bookmarkStart w:id="739" w:name="_Toc13150625"/>
      <w:bookmarkStart w:id="740" w:name="_Toc13292010"/>
      <w:bookmarkStart w:id="741" w:name="_Toc13504736"/>
      <w:bookmarkStart w:id="742" w:name="_Toc13504852"/>
      <w:bookmarkStart w:id="743" w:name="_Toc13556345"/>
      <w:bookmarkStart w:id="744" w:name="_Toc14337467"/>
      <w:bookmarkStart w:id="745" w:name="_Toc13148398"/>
      <w:bookmarkStart w:id="746" w:name="_Toc13150626"/>
      <w:bookmarkStart w:id="747" w:name="_Toc13292011"/>
      <w:bookmarkStart w:id="748" w:name="_Toc13504737"/>
      <w:bookmarkStart w:id="749" w:name="_Toc13504853"/>
      <w:bookmarkStart w:id="750" w:name="_Toc13556346"/>
      <w:bookmarkStart w:id="751" w:name="_Toc14337468"/>
      <w:bookmarkStart w:id="752" w:name="_Toc13148399"/>
      <w:bookmarkStart w:id="753" w:name="_Toc13150627"/>
      <w:bookmarkStart w:id="754" w:name="_Toc13292012"/>
      <w:bookmarkStart w:id="755" w:name="_Toc13504738"/>
      <w:bookmarkStart w:id="756" w:name="_Toc13504854"/>
      <w:bookmarkStart w:id="757" w:name="_Toc13556347"/>
      <w:bookmarkStart w:id="758" w:name="_Toc14337469"/>
      <w:bookmarkStart w:id="759" w:name="_Toc13148400"/>
      <w:bookmarkStart w:id="760" w:name="_Toc13150628"/>
      <w:bookmarkStart w:id="761" w:name="_Toc13292013"/>
      <w:bookmarkStart w:id="762" w:name="_Toc13504739"/>
      <w:bookmarkStart w:id="763" w:name="_Toc13504855"/>
      <w:bookmarkStart w:id="764" w:name="_Toc13556348"/>
      <w:bookmarkStart w:id="765" w:name="_Toc14337470"/>
      <w:bookmarkStart w:id="766" w:name="_Toc13148401"/>
      <w:bookmarkStart w:id="767" w:name="_Toc13150629"/>
      <w:bookmarkStart w:id="768" w:name="_Toc13292014"/>
      <w:bookmarkStart w:id="769" w:name="_Toc13504740"/>
      <w:bookmarkStart w:id="770" w:name="_Toc13504856"/>
      <w:bookmarkStart w:id="771" w:name="_Toc13556349"/>
      <w:bookmarkStart w:id="772" w:name="_Toc14337471"/>
      <w:bookmarkStart w:id="773" w:name="_Toc13148402"/>
      <w:bookmarkStart w:id="774" w:name="_Toc13150630"/>
      <w:bookmarkStart w:id="775" w:name="_Toc13292015"/>
      <w:bookmarkStart w:id="776" w:name="_Toc13504741"/>
      <w:bookmarkStart w:id="777" w:name="_Toc13504857"/>
      <w:bookmarkStart w:id="778" w:name="_Toc13556350"/>
      <w:bookmarkStart w:id="779" w:name="_Toc14337472"/>
      <w:bookmarkStart w:id="780" w:name="_Toc13148408"/>
      <w:bookmarkStart w:id="781" w:name="_Toc13150636"/>
      <w:bookmarkStart w:id="782" w:name="_Toc13292021"/>
      <w:bookmarkStart w:id="783" w:name="_Toc13504747"/>
      <w:bookmarkStart w:id="784" w:name="_Toc13504863"/>
      <w:bookmarkStart w:id="785" w:name="_Toc13556356"/>
      <w:bookmarkStart w:id="786" w:name="_Toc14337478"/>
      <w:bookmarkStart w:id="787" w:name="_Toc13148409"/>
      <w:bookmarkStart w:id="788" w:name="_Toc13150637"/>
      <w:bookmarkStart w:id="789" w:name="_Toc13292022"/>
      <w:bookmarkStart w:id="790" w:name="_Toc13504748"/>
      <w:bookmarkStart w:id="791" w:name="_Toc13504864"/>
      <w:bookmarkStart w:id="792" w:name="_Toc13556357"/>
      <w:bookmarkStart w:id="793" w:name="_Toc14337479"/>
      <w:bookmarkStart w:id="794" w:name="_Toc13148411"/>
      <w:bookmarkStart w:id="795" w:name="_Toc13150639"/>
      <w:bookmarkStart w:id="796" w:name="_Toc13292024"/>
      <w:bookmarkStart w:id="797" w:name="_Toc13504750"/>
      <w:bookmarkStart w:id="798" w:name="_Toc13504866"/>
      <w:bookmarkStart w:id="799" w:name="_Toc13556359"/>
      <w:bookmarkStart w:id="800" w:name="_Toc14337481"/>
      <w:bookmarkStart w:id="801" w:name="_Toc13148412"/>
      <w:bookmarkStart w:id="802" w:name="_Toc13150640"/>
      <w:bookmarkStart w:id="803" w:name="_Toc13292025"/>
      <w:bookmarkStart w:id="804" w:name="_Toc13504751"/>
      <w:bookmarkStart w:id="805" w:name="_Toc13504867"/>
      <w:bookmarkStart w:id="806" w:name="_Toc13556360"/>
      <w:bookmarkStart w:id="807" w:name="_Toc14337482"/>
      <w:bookmarkStart w:id="808" w:name="_Toc13148413"/>
      <w:bookmarkStart w:id="809" w:name="_Toc13150641"/>
      <w:bookmarkStart w:id="810" w:name="_Toc13292026"/>
      <w:bookmarkStart w:id="811" w:name="_Toc13504752"/>
      <w:bookmarkStart w:id="812" w:name="_Toc13504868"/>
      <w:bookmarkStart w:id="813" w:name="_Toc13556361"/>
      <w:bookmarkStart w:id="814" w:name="_Toc14337483"/>
      <w:bookmarkStart w:id="815" w:name="_Toc7587005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FA7BE2">
        <w:rPr>
          <w:rFonts w:asciiTheme="minorEastAsia" w:eastAsiaTheme="minorEastAsia" w:hAnsiTheme="minorEastAsia" w:hint="eastAsia"/>
        </w:rPr>
        <w:t>（六）争议的处理</w:t>
      </w:r>
      <w:bookmarkStart w:id="816" w:name="_Toc38438236"/>
      <w:bookmarkStart w:id="817" w:name="_Toc38438573"/>
      <w:bookmarkStart w:id="818" w:name="_Toc38438910"/>
      <w:bookmarkStart w:id="819" w:name="_Toc38439247"/>
      <w:bookmarkStart w:id="820" w:name="_Toc38439584"/>
      <w:bookmarkStart w:id="821" w:name="_Toc38439921"/>
      <w:bookmarkStart w:id="822" w:name="_Toc38440258"/>
      <w:bookmarkStart w:id="823" w:name="_Toc38440595"/>
      <w:bookmarkStart w:id="824" w:name="_Toc38440794"/>
      <w:bookmarkStart w:id="825" w:name="_Toc38441127"/>
      <w:bookmarkStart w:id="826" w:name="_Toc38441459"/>
      <w:bookmarkStart w:id="827" w:name="_Toc38441791"/>
      <w:bookmarkStart w:id="828" w:name="_Toc38442119"/>
      <w:bookmarkStart w:id="829" w:name="_Toc38442451"/>
      <w:bookmarkStart w:id="830" w:name="_Toc38442783"/>
      <w:bookmarkStart w:id="831" w:name="_Toc38443114"/>
      <w:bookmarkStart w:id="832" w:name="_Toc38443445"/>
      <w:bookmarkStart w:id="833" w:name="_Toc38443776"/>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1、本基金合同适用中华人民共和国法律并从其解释。</w:t>
      </w:r>
    </w:p>
    <w:p w:rsidR="00D21CF5" w:rsidRPr="00FA7BE2" w:rsidRDefault="00D21CF5" w:rsidP="00D21CF5">
      <w:pPr>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2、基金合同当事人之间因本基金合同产生的或与本基金合同有关的争议可首先通过友好协商解决，自一方书面要求协商解决争议之日起60日内如果争议未能以协商方式解决，则任何一方有权将争议提交位于北京的中国国际经济贸易仲裁委员会根据当时时有效的仲裁规则进行仲裁。仲裁裁决是终局的，对仲裁各方当事人均具有约束力。除提交仲裁的争议之外，各方当事人仍应履行本基金合同的其他规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34" w:name="_Toc75870057"/>
      <w:r w:rsidRPr="00FA7BE2">
        <w:rPr>
          <w:rFonts w:asciiTheme="minorEastAsia" w:eastAsiaTheme="minorEastAsia" w:hAnsiTheme="minorEastAsia" w:hint="eastAsia"/>
        </w:rPr>
        <w:t>（七）基金合同的存放及查阅方式</w:t>
      </w:r>
      <w:bookmarkEnd w:id="834"/>
    </w:p>
    <w:p w:rsidR="00E87053" w:rsidRPr="00FA7BE2" w:rsidRDefault="00D21CF5" w:rsidP="00D21CF5">
      <w:pPr>
        <w:snapToGrid w:val="0"/>
        <w:spacing w:line="360" w:lineRule="auto"/>
        <w:ind w:firstLine="420"/>
        <w:rPr>
          <w:rFonts w:asciiTheme="minorEastAsia" w:eastAsiaTheme="minorEastAsia" w:hAnsiTheme="minorEastAsia"/>
        </w:rPr>
        <w:sectPr w:rsidR="00E87053" w:rsidRPr="00FA7BE2" w:rsidSect="004F61AF">
          <w:pgSz w:w="11906" w:h="16838" w:code="9"/>
          <w:pgMar w:top="1440" w:right="1800" w:bottom="1440" w:left="1800" w:header="851" w:footer="992" w:gutter="0"/>
          <w:cols w:space="425"/>
          <w:docGrid w:type="lines" w:linePitch="312"/>
        </w:sectPr>
      </w:pPr>
      <w:r w:rsidRPr="00FA7BE2">
        <w:rPr>
          <w:rFonts w:asciiTheme="minorEastAsia" w:eastAsiaTheme="minorEastAsia" w:hAnsiTheme="minorEastAsia" w:hint="eastAsia"/>
        </w:rPr>
        <w:t>本基金合同可印制成册，供投资者在基金管理人、基金托管人、代销机构的住所查阅；投资者也可在支付一定工本费后获得本基金合同复印件或复制件，但应以基金合同正本为准。</w:t>
      </w: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835" w:name="_Toc87929368"/>
      <w:bookmarkStart w:id="836" w:name="_Toc87929499"/>
      <w:bookmarkStart w:id="837" w:name="_Toc87929620"/>
      <w:bookmarkStart w:id="838" w:name="_Toc87932334"/>
      <w:bookmarkStart w:id="839" w:name="_Toc88038982"/>
      <w:bookmarkStart w:id="840" w:name="_Toc88039121"/>
      <w:bookmarkStart w:id="841" w:name="_Toc88039257"/>
      <w:bookmarkStart w:id="842" w:name="_Toc87929369"/>
      <w:bookmarkStart w:id="843" w:name="_Toc87929500"/>
      <w:bookmarkStart w:id="844" w:name="_Toc87929621"/>
      <w:bookmarkStart w:id="845" w:name="_Toc87932335"/>
      <w:bookmarkStart w:id="846" w:name="_Toc88038983"/>
      <w:bookmarkStart w:id="847" w:name="_Toc88039122"/>
      <w:bookmarkStart w:id="848" w:name="_Toc88039258"/>
      <w:bookmarkStart w:id="849" w:name="_Toc87929370"/>
      <w:bookmarkStart w:id="850" w:name="_Toc87929501"/>
      <w:bookmarkStart w:id="851" w:name="_Toc87929622"/>
      <w:bookmarkStart w:id="852" w:name="_Toc87932336"/>
      <w:bookmarkStart w:id="853" w:name="_Toc88038984"/>
      <w:bookmarkStart w:id="854" w:name="_Toc88039123"/>
      <w:bookmarkStart w:id="855" w:name="_Toc88039259"/>
      <w:bookmarkStart w:id="856" w:name="_Toc87929371"/>
      <w:bookmarkStart w:id="857" w:name="_Toc87929502"/>
      <w:bookmarkStart w:id="858" w:name="_Toc87929623"/>
      <w:bookmarkStart w:id="859" w:name="_Toc87932337"/>
      <w:bookmarkStart w:id="860" w:name="_Toc88038985"/>
      <w:bookmarkStart w:id="861" w:name="_Toc88039124"/>
      <w:bookmarkStart w:id="862" w:name="_Toc88039260"/>
      <w:bookmarkStart w:id="863" w:name="_Toc87929372"/>
      <w:bookmarkStart w:id="864" w:name="_Toc87929503"/>
      <w:bookmarkStart w:id="865" w:name="_Toc87929624"/>
      <w:bookmarkStart w:id="866" w:name="_Toc87932338"/>
      <w:bookmarkStart w:id="867" w:name="_Toc88038986"/>
      <w:bookmarkStart w:id="868" w:name="_Toc88039125"/>
      <w:bookmarkStart w:id="869" w:name="_Toc88039261"/>
      <w:bookmarkStart w:id="870" w:name="_Toc75870058"/>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FA7BE2">
        <w:rPr>
          <w:rFonts w:asciiTheme="minorEastAsia" w:eastAsiaTheme="minorEastAsia" w:hAnsiTheme="minorEastAsia" w:hint="eastAsia"/>
          <w:b/>
        </w:rPr>
        <w:lastRenderedPageBreak/>
        <w:t>二十</w:t>
      </w:r>
      <w:r w:rsidR="003349D9" w:rsidRPr="00FA7BE2">
        <w:rPr>
          <w:rFonts w:asciiTheme="minorEastAsia" w:eastAsiaTheme="minorEastAsia" w:hAnsiTheme="minorEastAsia" w:hint="eastAsia"/>
          <w:b/>
        </w:rPr>
        <w:t>三</w:t>
      </w:r>
      <w:r w:rsidRPr="00FA7BE2">
        <w:rPr>
          <w:rFonts w:asciiTheme="minorEastAsia" w:eastAsiaTheme="minorEastAsia" w:hAnsiTheme="minorEastAsia" w:hint="eastAsia"/>
          <w:b/>
        </w:rPr>
        <w:t>、基金托管协议的内容摘要</w:t>
      </w:r>
      <w:bookmarkEnd w:id="870"/>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71" w:name="_Toc40511576"/>
      <w:bookmarkStart w:id="872" w:name="_Toc75870059"/>
      <w:r w:rsidRPr="00FA7BE2">
        <w:rPr>
          <w:rFonts w:asciiTheme="minorEastAsia" w:eastAsiaTheme="minorEastAsia" w:hAnsiTheme="minorEastAsia" w:hint="eastAsia"/>
        </w:rPr>
        <w:t>（一）托管协议当事人</w:t>
      </w:r>
      <w:bookmarkEnd w:id="871"/>
      <w:bookmarkEnd w:id="872"/>
    </w:p>
    <w:p w:rsidR="00D21CF5" w:rsidRPr="00FA7BE2" w:rsidRDefault="00D21CF5" w:rsidP="00D21CF5">
      <w:pPr>
        <w:snapToGrid w:val="0"/>
        <w:spacing w:line="360" w:lineRule="auto"/>
        <w:ind w:right="26" w:firstLine="422"/>
        <w:rPr>
          <w:rFonts w:asciiTheme="minorEastAsia" w:eastAsiaTheme="minorEastAsia" w:hAnsiTheme="minorEastAsia"/>
          <w:b/>
        </w:rPr>
      </w:pPr>
      <w:r w:rsidRPr="00FA7BE2">
        <w:rPr>
          <w:rFonts w:asciiTheme="minorEastAsia" w:eastAsiaTheme="minorEastAsia" w:hAnsiTheme="minorEastAsia" w:hint="eastAsia"/>
          <w:b/>
        </w:rPr>
        <w:t>1、基金管理人（或简称“管理人”）</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名称：易方达基金管理有限公司</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注册地址：</w:t>
      </w:r>
      <w:r w:rsidRPr="00FA7BE2">
        <w:rPr>
          <w:rFonts w:asciiTheme="minorEastAsia" w:eastAsiaTheme="minorEastAsia" w:hAnsiTheme="minorEastAsia" w:hint="eastAsia"/>
          <w:szCs w:val="21"/>
        </w:rPr>
        <w:t>广东省珠海市横琴新区宝华路6号105室-42891（集中办公区）</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办公地址：广州市天河区珠江新城珠江东路30号广州银行大厦40-43楼</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法定代表人:刘晓艳</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注册资本：</w:t>
      </w:r>
      <w:r w:rsidR="008A5A59" w:rsidRPr="00FA7BE2">
        <w:rPr>
          <w:rFonts w:asciiTheme="minorEastAsia" w:eastAsiaTheme="minorEastAsia" w:hAnsiTheme="minorEastAsia" w:hint="eastAsia"/>
        </w:rPr>
        <w:t>13,244.2万元人民币</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经营范围：公开募集证券投资基金管理、基金销售、特定客户资产管理</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组织形式：有限责任公司</w:t>
      </w:r>
    </w:p>
    <w:p w:rsidR="00D21CF5" w:rsidRPr="00FA7BE2" w:rsidRDefault="00D21CF5" w:rsidP="00D21CF5">
      <w:pPr>
        <w:snapToGrid w:val="0"/>
        <w:spacing w:line="360" w:lineRule="auto"/>
        <w:ind w:right="26" w:firstLine="420"/>
        <w:rPr>
          <w:rFonts w:asciiTheme="minorEastAsia" w:eastAsiaTheme="minorEastAsia" w:hAnsiTheme="minorEastAsia"/>
          <w:sz w:val="24"/>
        </w:rPr>
      </w:pPr>
      <w:r w:rsidRPr="00FA7BE2">
        <w:rPr>
          <w:rFonts w:asciiTheme="minorEastAsia" w:eastAsiaTheme="minorEastAsia" w:hAnsiTheme="minorEastAsia" w:hint="eastAsia"/>
        </w:rPr>
        <w:t>营业期限：持续经营</w:t>
      </w:r>
    </w:p>
    <w:p w:rsidR="00D21CF5" w:rsidRPr="00FA7BE2" w:rsidRDefault="00D21CF5" w:rsidP="00D21CF5">
      <w:pPr>
        <w:snapToGrid w:val="0"/>
        <w:spacing w:line="360" w:lineRule="auto"/>
        <w:ind w:right="26" w:firstLine="422"/>
        <w:rPr>
          <w:rFonts w:asciiTheme="minorEastAsia" w:eastAsiaTheme="minorEastAsia" w:hAnsiTheme="minorEastAsia"/>
          <w:b/>
        </w:rPr>
      </w:pPr>
      <w:r w:rsidRPr="00FA7BE2">
        <w:rPr>
          <w:rFonts w:asciiTheme="minorEastAsia" w:eastAsiaTheme="minorEastAsia" w:hAnsiTheme="minorEastAsia" w:hint="eastAsia"/>
          <w:b/>
        </w:rPr>
        <w:t>2、基金托管人（或简称“托管人”）</w:t>
      </w:r>
    </w:p>
    <w:p w:rsidR="00D21CF5" w:rsidRPr="00FA7BE2" w:rsidRDefault="00D21CF5" w:rsidP="00D21CF5">
      <w:pPr>
        <w:snapToGrid w:val="0"/>
        <w:spacing w:line="360" w:lineRule="auto"/>
        <w:ind w:right="26" w:firstLine="403"/>
        <w:rPr>
          <w:rFonts w:asciiTheme="minorEastAsia" w:eastAsiaTheme="minorEastAsia" w:hAnsiTheme="minorEastAsia"/>
        </w:rPr>
      </w:pPr>
      <w:bookmarkStart w:id="873" w:name="_Toc40511578"/>
      <w:r w:rsidRPr="00FA7BE2">
        <w:rPr>
          <w:rFonts w:asciiTheme="minorEastAsia" w:eastAsiaTheme="minorEastAsia" w:hAnsiTheme="minorEastAsia" w:hint="eastAsia"/>
        </w:rPr>
        <w:t>名称：</w:t>
      </w:r>
      <w:r w:rsidRPr="00FA7BE2">
        <w:rPr>
          <w:rFonts w:asciiTheme="minorEastAsia" w:eastAsiaTheme="minorEastAsia" w:hAnsiTheme="minorEastAsia" w:hint="eastAsia"/>
        </w:rPr>
        <w:tab/>
      </w:r>
      <w:r w:rsidRPr="00FA7BE2">
        <w:rPr>
          <w:rFonts w:asciiTheme="minorEastAsia" w:eastAsiaTheme="minorEastAsia" w:hAnsiTheme="minorEastAsia" w:hint="eastAsia"/>
        </w:rPr>
        <w:tab/>
        <w:t>中国银行股份有限公司</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住所：</w:t>
      </w:r>
      <w:r w:rsidRPr="00FA7BE2">
        <w:rPr>
          <w:rFonts w:asciiTheme="minorEastAsia" w:eastAsiaTheme="minorEastAsia" w:hAnsiTheme="minorEastAsia" w:hint="eastAsia"/>
        </w:rPr>
        <w:tab/>
      </w:r>
      <w:r w:rsidRPr="00FA7BE2">
        <w:rPr>
          <w:rFonts w:asciiTheme="minorEastAsia" w:eastAsiaTheme="minorEastAsia" w:hAnsiTheme="minorEastAsia" w:hint="eastAsia"/>
        </w:rPr>
        <w:tab/>
        <w:t>北京市复兴门内大街1号</w:t>
      </w:r>
    </w:p>
    <w:p w:rsidR="00D21CF5" w:rsidRPr="00FA7BE2" w:rsidRDefault="00D21CF5" w:rsidP="00D21CF5">
      <w:pPr>
        <w:snapToGrid w:val="0"/>
        <w:spacing w:line="360" w:lineRule="auto"/>
        <w:ind w:right="26" w:firstLine="403"/>
        <w:rPr>
          <w:rFonts w:asciiTheme="minorEastAsia" w:eastAsiaTheme="minorEastAsia" w:hAnsiTheme="minorEastAsia"/>
        </w:rPr>
      </w:pPr>
      <w:r w:rsidRPr="00FA7BE2">
        <w:rPr>
          <w:rFonts w:asciiTheme="minorEastAsia" w:eastAsiaTheme="minorEastAsia" w:hAnsiTheme="minorEastAsia" w:hint="eastAsia"/>
        </w:rPr>
        <w:t>法定代表人:</w:t>
      </w:r>
      <w:r w:rsidR="005835D8" w:rsidRPr="00FA7BE2">
        <w:rPr>
          <w:rFonts w:asciiTheme="minorEastAsia" w:eastAsiaTheme="minorEastAsia" w:hAnsiTheme="minorEastAsia" w:hint="eastAsia"/>
        </w:rPr>
        <w:t>刘连舸</w:t>
      </w:r>
    </w:p>
    <w:p w:rsidR="00D21CF5" w:rsidRPr="00FA7BE2" w:rsidRDefault="00D21CF5" w:rsidP="00D21CF5">
      <w:pPr>
        <w:snapToGrid w:val="0"/>
        <w:spacing w:line="360" w:lineRule="auto"/>
        <w:ind w:leftChars="200" w:left="1430" w:hangingChars="481" w:hanging="1010"/>
        <w:rPr>
          <w:rFonts w:asciiTheme="minorEastAsia" w:eastAsiaTheme="minorEastAsia" w:hAnsiTheme="minorEastAsia"/>
          <w:shd w:val="pct15" w:color="auto" w:fill="FFFFFF"/>
        </w:rPr>
      </w:pPr>
      <w:r w:rsidRPr="00FA7BE2">
        <w:rPr>
          <w:rFonts w:asciiTheme="minorEastAsia" w:eastAsiaTheme="minorEastAsia" w:hAnsiTheme="minorEastAsia" w:hint="eastAsia"/>
        </w:rPr>
        <w:t>经营范围：</w:t>
      </w:r>
      <w:r w:rsidRPr="00FA7BE2">
        <w:rPr>
          <w:rFonts w:asciiTheme="minorEastAsia" w:eastAsiaTheme="minorEastAsia" w:hAnsiTheme="minorEastAsia" w:hint="eastAsia"/>
          <w:szCs w:val="21"/>
        </w:rPr>
        <w:t>中国银行业务涵盖商业银行、投资银行和保险三大领域，其中，商业银行业务是中国银行的传统主营业务，包括公司金融业务、个人金融业务及金融市场业务。中国银行提供的公司金融业务包括存款业务、贷款业务、国际结算及贸易融资业务，以及银行汇票、本票、支票、汇兑、银行承兑汇票、委托收款、托收承付、集中支付、支票圈存及票据托管等其他公司金融业务；个人金融业务包括储蓄存款业务、个人贷款业务、个人中间业务、“中银理财”服务、私人银行业务和银行卡业务等；金融市场业务主要包括本外币金融工具的自营与代客业务、本外币各类证券或指数投资业务、债务资本市场业务、代客理财和资产管理业务、金融代理及托管业务等。</w:t>
      </w:r>
    </w:p>
    <w:p w:rsidR="00D21CF5" w:rsidRPr="00FA7BE2" w:rsidRDefault="00D21CF5" w:rsidP="00D21CF5">
      <w:pPr>
        <w:tabs>
          <w:tab w:val="left" w:pos="1110"/>
        </w:tabs>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企业类型：</w:t>
      </w:r>
      <w:r w:rsidRPr="00FA7BE2">
        <w:rPr>
          <w:rFonts w:asciiTheme="minorEastAsia" w:eastAsiaTheme="minorEastAsia" w:hAnsiTheme="minorEastAsia" w:hint="eastAsia"/>
        </w:rPr>
        <w:tab/>
        <w:t>股份有限公司</w:t>
      </w:r>
    </w:p>
    <w:p w:rsidR="00D21CF5" w:rsidRPr="00FA7BE2" w:rsidRDefault="00D21CF5" w:rsidP="00D21CF5">
      <w:pPr>
        <w:tabs>
          <w:tab w:val="left" w:pos="1110"/>
        </w:tabs>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注册资本：</w:t>
      </w:r>
      <w:r w:rsidRPr="00FA7BE2">
        <w:rPr>
          <w:rFonts w:asciiTheme="minorEastAsia" w:eastAsiaTheme="minorEastAsia" w:hAnsiTheme="minorEastAsia" w:hint="eastAsia"/>
        </w:rPr>
        <w:tab/>
      </w:r>
      <w:r w:rsidRPr="00FA7BE2">
        <w:rPr>
          <w:rFonts w:asciiTheme="minorEastAsia" w:eastAsiaTheme="minorEastAsia" w:hAnsiTheme="minorEastAsia" w:hint="eastAsia"/>
          <w:szCs w:val="21"/>
        </w:rPr>
        <w:t>人民币贰仟玖佰肆拾叁亿捌仟柒佰柒拾玖万壹仟贰佰肆拾壹元整</w:t>
      </w:r>
    </w:p>
    <w:p w:rsidR="00D21CF5" w:rsidRPr="00FA7BE2" w:rsidRDefault="00D21CF5" w:rsidP="00D21CF5">
      <w:pPr>
        <w:tabs>
          <w:tab w:val="left" w:pos="1110"/>
        </w:tabs>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rPr>
        <w:t>存续期间：</w:t>
      </w:r>
      <w:r w:rsidRPr="00FA7BE2">
        <w:rPr>
          <w:rFonts w:asciiTheme="minorEastAsia" w:eastAsiaTheme="minorEastAsia" w:hAnsiTheme="minorEastAsia" w:hint="eastAsia"/>
        </w:rPr>
        <w:tab/>
        <w:t>持续经营</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4"/>
        </w:rPr>
      </w:pPr>
      <w:bookmarkStart w:id="874" w:name="_Toc75870060"/>
      <w:r w:rsidRPr="00FA7BE2">
        <w:rPr>
          <w:rFonts w:asciiTheme="minorEastAsia" w:eastAsiaTheme="minorEastAsia" w:hAnsiTheme="minorEastAsia" w:hint="eastAsia"/>
        </w:rPr>
        <w:t>（二）基金托管人和基金管理人之间的业务监督、核查</w:t>
      </w:r>
      <w:bookmarkEnd w:id="873"/>
      <w:bookmarkEnd w:id="874"/>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1、基金托管人对基金管理人的业务监督、核查</w:t>
      </w:r>
    </w:p>
    <w:p w:rsidR="00D21CF5" w:rsidRPr="00FA7BE2" w:rsidRDefault="00D21CF5" w:rsidP="00D21CF5">
      <w:pPr>
        <w:adjustRightInd w:val="0"/>
        <w:snapToGrid w:val="0"/>
        <w:spacing w:line="360" w:lineRule="auto"/>
        <w:ind w:firstLineChars="200" w:firstLine="420"/>
        <w:rPr>
          <w:rFonts w:asciiTheme="minorEastAsia" w:eastAsiaTheme="minorEastAsia" w:hAnsiTheme="minorEastAsia" w:cs="方正仿宋简体"/>
          <w:szCs w:val="21"/>
        </w:rPr>
      </w:pPr>
      <w:r w:rsidRPr="00FA7BE2">
        <w:rPr>
          <w:rFonts w:asciiTheme="minorEastAsia" w:eastAsiaTheme="minorEastAsia" w:hAnsiTheme="minorEastAsia" w:hint="eastAsia"/>
        </w:rPr>
        <w:t>（1）</w:t>
      </w:r>
      <w:r w:rsidRPr="00FA7BE2">
        <w:rPr>
          <w:rFonts w:asciiTheme="minorEastAsia" w:eastAsiaTheme="minorEastAsia" w:hAnsiTheme="minorEastAsia" w:cs="方正仿宋简体" w:hint="eastAsia"/>
          <w:szCs w:val="21"/>
        </w:rPr>
        <w:t>基金托管人根据有关法律法规的规定及</w:t>
      </w:r>
      <w:r w:rsidRPr="00FA7BE2">
        <w:rPr>
          <w:rFonts w:asciiTheme="minorEastAsia" w:eastAsiaTheme="minorEastAsia" w:hAnsiTheme="minorEastAsia" w:hint="eastAsia"/>
        </w:rPr>
        <w:t>《基金合同》</w:t>
      </w:r>
      <w:r w:rsidRPr="00FA7BE2">
        <w:rPr>
          <w:rFonts w:asciiTheme="minorEastAsia" w:eastAsiaTheme="minorEastAsia" w:hAnsiTheme="minorEastAsia" w:cs="方正仿宋简体" w:hint="eastAsia"/>
          <w:szCs w:val="21"/>
        </w:rPr>
        <w:t>的约定，建立相关的技术系统，对基金管理人的投资运作进行监督。主要包括以下方面：</w:t>
      </w:r>
    </w:p>
    <w:p w:rsidR="00D21CF5" w:rsidRPr="00FA7BE2" w:rsidRDefault="00D21CF5" w:rsidP="00D21CF5">
      <w:pPr>
        <w:adjustRightInd w:val="0"/>
        <w:snapToGrid w:val="0"/>
        <w:spacing w:line="360" w:lineRule="auto"/>
        <w:ind w:firstLineChars="200" w:firstLine="420"/>
        <w:rPr>
          <w:rFonts w:asciiTheme="minorEastAsia" w:eastAsiaTheme="minorEastAsia" w:hAnsiTheme="minorEastAsia" w:cs="方正仿宋简体"/>
          <w:szCs w:val="21"/>
        </w:rPr>
      </w:pPr>
      <w:r w:rsidRPr="00FA7BE2">
        <w:rPr>
          <w:rFonts w:asciiTheme="minorEastAsia" w:eastAsiaTheme="minorEastAsia" w:hAnsiTheme="minorEastAsia" w:cs="方正仿宋简体" w:hint="eastAsia"/>
          <w:szCs w:val="21"/>
        </w:rPr>
        <w:t>1）对基金的投资范围、投资对象进行监督。基金管理人应将拟投资的股票库、债券库等各投资品种的具体范围提供给基金托管人。基金</w:t>
      </w:r>
      <w:r w:rsidRPr="00FA7BE2">
        <w:rPr>
          <w:rFonts w:asciiTheme="minorEastAsia" w:eastAsiaTheme="minorEastAsia" w:hAnsiTheme="minorEastAsia" w:hint="eastAsia"/>
          <w:szCs w:val="21"/>
        </w:rPr>
        <w:t>管理人可以根据实际情况的变化，对各投</w:t>
      </w:r>
      <w:r w:rsidRPr="00FA7BE2">
        <w:rPr>
          <w:rFonts w:asciiTheme="minorEastAsia" w:eastAsiaTheme="minorEastAsia" w:hAnsiTheme="minorEastAsia" w:hint="eastAsia"/>
          <w:szCs w:val="21"/>
        </w:rPr>
        <w:lastRenderedPageBreak/>
        <w:t>资品种的具体范围予以更新和调整，并通知基金托管人。基金托管人根据上述投资范围对基金的投资进行监督；</w:t>
      </w:r>
    </w:p>
    <w:p w:rsidR="00D21CF5" w:rsidRPr="00FA7BE2" w:rsidRDefault="00D21CF5" w:rsidP="00D21CF5">
      <w:pPr>
        <w:adjustRightInd w:val="0"/>
        <w:snapToGrid w:val="0"/>
        <w:spacing w:line="360" w:lineRule="auto"/>
        <w:ind w:firstLineChars="200" w:firstLine="420"/>
        <w:rPr>
          <w:rFonts w:asciiTheme="minorEastAsia" w:eastAsiaTheme="minorEastAsia" w:hAnsiTheme="minorEastAsia" w:cs="方正仿宋简体"/>
          <w:szCs w:val="21"/>
        </w:rPr>
      </w:pPr>
      <w:r w:rsidRPr="00FA7BE2">
        <w:rPr>
          <w:rFonts w:asciiTheme="minorEastAsia" w:eastAsiaTheme="minorEastAsia" w:hAnsiTheme="minorEastAsia" w:cs="方正仿宋简体" w:hint="eastAsia"/>
          <w:szCs w:val="21"/>
        </w:rPr>
        <w:t>2）对基金投融资比例进行监督；</w:t>
      </w:r>
    </w:p>
    <w:p w:rsidR="00D21CF5" w:rsidRPr="00FA7BE2" w:rsidRDefault="00D21CF5" w:rsidP="00D21CF5">
      <w:pPr>
        <w:adjustRightInd w:val="0"/>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cs="方正仿宋简体" w:hint="eastAsia"/>
          <w:szCs w:val="21"/>
        </w:rPr>
        <w:t>3）对基金投资禁止行为进行监督。为对基金禁止从事的关联交易进行监督，基金管理人和基金托管人应相互提供与本机构有控股关系的股东或与本机构有其他重大利害关系的公司名单；</w:t>
      </w:r>
    </w:p>
    <w:p w:rsidR="00D21CF5" w:rsidRPr="00FA7BE2" w:rsidRDefault="00D21CF5" w:rsidP="00D21CF5">
      <w:pPr>
        <w:snapToGrid w:val="0"/>
        <w:spacing w:line="360" w:lineRule="auto"/>
        <w:ind w:firstLine="420"/>
        <w:rPr>
          <w:rFonts w:asciiTheme="minorEastAsia" w:eastAsiaTheme="minorEastAsia" w:hAnsiTheme="minorEastAsia" w:cs="方正仿宋简体"/>
          <w:szCs w:val="21"/>
        </w:rPr>
      </w:pPr>
      <w:r w:rsidRPr="00FA7BE2">
        <w:rPr>
          <w:rFonts w:asciiTheme="minorEastAsia" w:eastAsiaTheme="minorEastAsia" w:hAnsiTheme="minorEastAsia" w:cs="方正仿宋简体" w:hint="eastAsia"/>
          <w:szCs w:val="21"/>
        </w:rPr>
        <w:t>4）基金管理人应按照审慎的风险控制原则，对银行间交易对手的资信状况进行评估，</w:t>
      </w:r>
      <w:r w:rsidRPr="00FA7BE2">
        <w:rPr>
          <w:rFonts w:asciiTheme="minorEastAsia" w:eastAsiaTheme="minorEastAsia" w:hAnsiTheme="minorEastAsia" w:hint="eastAsia"/>
          <w:szCs w:val="21"/>
        </w:rPr>
        <w:t>控制交易对手的资信风险，</w:t>
      </w:r>
      <w:r w:rsidRPr="00FA7BE2">
        <w:rPr>
          <w:rFonts w:asciiTheme="minorEastAsia" w:eastAsiaTheme="minorEastAsia" w:hAnsiTheme="minorEastAsia" w:cs="方正仿宋简体" w:hint="eastAsia"/>
          <w:szCs w:val="21"/>
        </w:rPr>
        <w:t>确定与各类交易对手所适用的交易结算方式，在具体的交易中，应尽力争取对基金有利的交易方式。</w:t>
      </w:r>
      <w:r w:rsidRPr="00FA7BE2">
        <w:rPr>
          <w:rFonts w:asciiTheme="minorEastAsia" w:eastAsiaTheme="minorEastAsia" w:hAnsiTheme="minorEastAsia" w:hint="eastAsia"/>
          <w:szCs w:val="21"/>
        </w:rPr>
        <w:t>由于交易对手资信风险引起的损失，基金托管人不承担赔偿责任</w:t>
      </w:r>
      <w:r w:rsidRPr="00FA7BE2">
        <w:rPr>
          <w:rFonts w:asciiTheme="minorEastAsia" w:eastAsiaTheme="minorEastAsia" w:hAnsiTheme="minorEastAsia" w:cs="方正仿宋简体" w:hint="eastAsia"/>
          <w:szCs w:val="21"/>
        </w:rPr>
        <w:t>。</w:t>
      </w:r>
    </w:p>
    <w:p w:rsidR="00D21CF5" w:rsidRPr="00FA7BE2" w:rsidRDefault="00D21CF5" w:rsidP="00D21CF5">
      <w:pPr>
        <w:snapToGrid w:val="0"/>
        <w:spacing w:line="360" w:lineRule="auto"/>
        <w:ind w:firstLine="420"/>
        <w:rPr>
          <w:rFonts w:asciiTheme="minorEastAsia" w:eastAsiaTheme="minorEastAsia" w:hAnsiTheme="minorEastAsia"/>
          <w:szCs w:val="21"/>
        </w:rPr>
      </w:pPr>
      <w:r w:rsidRPr="00FA7BE2">
        <w:rPr>
          <w:rFonts w:asciiTheme="minorEastAsia" w:eastAsiaTheme="minorEastAsia" w:hAnsiTheme="minorEastAsia" w:hint="eastAsia"/>
          <w:szCs w:val="21"/>
        </w:rPr>
        <w:t>5</w:t>
      </w:r>
      <w:r w:rsidRPr="00FA7BE2">
        <w:rPr>
          <w:rFonts w:asciiTheme="minorEastAsia" w:eastAsiaTheme="minorEastAsia" w:hAnsiTheme="minorEastAsia" w:cs="方正仿宋简体" w:hint="eastAsia"/>
          <w:szCs w:val="21"/>
        </w:rPr>
        <w:t>）</w:t>
      </w:r>
      <w:r w:rsidRPr="00FA7BE2">
        <w:rPr>
          <w:rFonts w:asciiTheme="minorEastAsia" w:eastAsiaTheme="minorEastAsia" w:hAnsiTheme="minorEastAsia" w:hint="eastAsia"/>
          <w:szCs w:val="21"/>
        </w:rPr>
        <w:t>基金管理人向基金托管人提供其银行间债券市场交易的交易对手库，交易对手库由银行间交易会员中财务状况较好、实力雄厚、信用等级高的交易对手组成。基金管理人可以根据实际情况的变化，及时对交易对手库予以更新和调整，并通知基金托管人。基金管理人参与银行间债券市场交易的交易对手应符合交易对手库的范围。基金托管人对基金管理人参与银行间债券市场交易的交易对手是否符合交易对手库进行监督；</w:t>
      </w:r>
    </w:p>
    <w:p w:rsidR="00D21CF5" w:rsidRPr="00FA7BE2" w:rsidRDefault="00D21CF5" w:rsidP="00D21CF5">
      <w:pPr>
        <w:adjustRightInd w:val="0"/>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6）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基金管理人可以根据实际情况的变化，及时对存款银行名单予以更新和调整，并通知基金托管人。</w:t>
      </w:r>
    </w:p>
    <w:p w:rsidR="009E2EF4" w:rsidRPr="00FA7BE2" w:rsidRDefault="00D21CF5" w:rsidP="009E2EF4">
      <w:pPr>
        <w:adjustRightInd w:val="0"/>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7）</w:t>
      </w:r>
      <w:r w:rsidR="009E2EF4" w:rsidRPr="00FA7BE2">
        <w:rPr>
          <w:rFonts w:asciiTheme="minorEastAsia" w:eastAsiaTheme="minorEastAsia" w:hAnsiTheme="minorEastAsia" w:hint="eastAsia"/>
          <w:szCs w:val="21"/>
        </w:rPr>
        <w:t>本基金投资存托凭证的比例限制依照境内上市交易的股票执行，与境内上市交易的股票合并计算；</w:t>
      </w:r>
    </w:p>
    <w:p w:rsidR="00D21CF5" w:rsidRPr="00FA7BE2" w:rsidRDefault="009E2EF4" w:rsidP="009E2EF4">
      <w:pPr>
        <w:adjustRightInd w:val="0"/>
        <w:snapToGrid w:val="0"/>
        <w:spacing w:line="360" w:lineRule="auto"/>
        <w:ind w:firstLineChars="200" w:firstLine="420"/>
        <w:rPr>
          <w:rFonts w:asciiTheme="minorEastAsia" w:eastAsiaTheme="minorEastAsia" w:hAnsiTheme="minorEastAsia"/>
          <w:szCs w:val="21"/>
        </w:rPr>
      </w:pPr>
      <w:r w:rsidRPr="00FA7BE2">
        <w:rPr>
          <w:rFonts w:asciiTheme="minorEastAsia" w:eastAsiaTheme="minorEastAsia" w:hAnsiTheme="minorEastAsia" w:hint="eastAsia"/>
          <w:szCs w:val="21"/>
        </w:rPr>
        <w:t>8）</w:t>
      </w:r>
      <w:r w:rsidR="00D21CF5" w:rsidRPr="00FA7BE2">
        <w:rPr>
          <w:rFonts w:asciiTheme="minorEastAsia" w:eastAsiaTheme="minorEastAsia" w:hAnsiTheme="minorEastAsia" w:hint="eastAsia"/>
          <w:szCs w:val="21"/>
        </w:rPr>
        <w:t>对法律法规规定及《基金合同》约定的基金投资的其他方面进行监督。</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根据《基金法》、《管理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基金托管人在上述第（1）、（2）项的监督和核查发现基金管理人有违反《基金法》、《管理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（4）基金托管人发现基金管理人的投资指令违反《基金法》、《管理办法》、《基金合同》和有关法律、法规规定的行为，应当拒绝执行，并通知基金管理人，向中国证监会报告。</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（5）基金托管人发现基金管理人依据交易程序已经生效的投资指令违反法律、行政法</w:t>
      </w:r>
      <w:r w:rsidRPr="00FA7BE2">
        <w:rPr>
          <w:rFonts w:asciiTheme="minorEastAsia" w:eastAsiaTheme="minorEastAsia" w:hAnsiTheme="minorEastAsia" w:hint="eastAsia"/>
          <w:sz w:val="21"/>
        </w:rPr>
        <w:lastRenderedPageBreak/>
        <w:t>规和其他有关规定，或者违反《基金合同》约定的，应当立即通知基金管理人，并及时向中国证监会报告。按照规定监督基金管理人的投资运作。</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6）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财产的安全和基金投资者的利益，包括但不限于就更换基金管理人事宜召集基金份额持有人大会、代表基金对因基金管理人的过错造成的基金财产的损失向基金管理人索赔。</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（7）</w:t>
      </w:r>
      <w:r w:rsidRPr="00FA7BE2">
        <w:rPr>
          <w:rFonts w:asciiTheme="minorEastAsia" w:eastAsiaTheme="minorEastAsia" w:hAnsiTheme="minorEastAsia" w:cs="方正仿宋简体" w:hint="eastAsia"/>
          <w:sz w:val="21"/>
          <w:szCs w:val="21"/>
        </w:rPr>
        <w:t>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2、基金管理人对基金托管人的业务监督、核查</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在不违反公平、合理原则以及不妨碍基金托管人遵守相关法律法规及其行业监管要求的基础上，基金管理人有权对基金托管人是否及时执行基金管理人的指令、是否将基金财产和自有财产分账管理、是否擅自动用基金财产、是否按时将分配给基金份额持有人的收益划入分红派息账户等事项，对基金托管人进行监督和核查。</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管理人定期对基金托管人保管的基金财产进行核查。基金管理人发现基金托管人未对基金财产实行分账管理、擅自挪用基金财产、因基金托管人的过错导致基金财产灭失、减损、或处于危险状态的，基金管理人应立即以书面的方式要求基金托管人予以纠正和采取必要的补救措施。</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管理人发现基金托管人的行为违反《基金法》《管理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财产的安全和基金投资者的利益，包括但不限于就更换基金托管人事宜召集基金份额持有人大会、代表基金对因基金托管人的过错造成的基金财产的损失向基金托管人索赔。</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3、基金管理人和基金托管人有义务配合和协助对方依照本协议对基金业务执行监督、核查。基金管理人或基金托管人无正当理由，拒绝、阻挠对方根据本协议规定行使监督权，</w:t>
      </w:r>
      <w:r w:rsidRPr="00FA7BE2">
        <w:rPr>
          <w:rFonts w:asciiTheme="minorEastAsia" w:eastAsiaTheme="minorEastAsia" w:hAnsiTheme="minorEastAsia" w:hint="eastAsia"/>
          <w:sz w:val="21"/>
        </w:rPr>
        <w:lastRenderedPageBreak/>
        <w:t>或采取拖延、欺诈等手段妨碍对方进行有效监督，情节严重或经监督方提出警告仍不改正的，监督方应报告中国证监会。</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4"/>
        </w:rPr>
      </w:pPr>
      <w:bookmarkStart w:id="875" w:name="_Toc40511579"/>
      <w:bookmarkStart w:id="876" w:name="_Toc75870061"/>
      <w:r w:rsidRPr="00FA7BE2">
        <w:rPr>
          <w:rFonts w:asciiTheme="minorEastAsia" w:eastAsiaTheme="minorEastAsia" w:hAnsiTheme="minorEastAsia" w:hint="eastAsia"/>
        </w:rPr>
        <w:t>（三）基金财产保管</w:t>
      </w:r>
      <w:bookmarkEnd w:id="875"/>
      <w:bookmarkEnd w:id="876"/>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1、基金财产保管的原则</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1）基金托管人保证恪尽职守，依照诚实信用、勤勉尽责的原则，谨慎、有效的持有并保管基金财产。</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除依据《基金法》、《管理办法》、本《基金合同》及其他有关规定外，不为自己及任何第三人谋取利益，基金托管人违反此义务，利用基金财产为自己及任何第三方谋取利益，所得利益归于该基金财产；基金托管人不得将基金财产转为其固有财产。</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基金托管人必须将基金财产与自有财产严格分开，将基金财产与其托管的其他基金财产严格分开；基金托管人应当为基金设立独立的账户，建立独立的账簿，与基金托管人的其他业务和其他基金的托管业务实行严格的分账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4）除依据《基金法》、《管理办法》、《基金合同》及其他有关规定外，基金托管人不得委托第三人托管基金财产；</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5）基金托管人应安全、完整地保管基金财产；未经基金管理人的正当指令，不得自行运用、处分、分配基金的任何资产。</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2、基金合同生效时募集资金的验证和入账</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1）基金募集期满或基金宣布停止募集时，由基金管理人聘请具有从事相关业务资格的会计师事务所对基金进行验资，并分别出具验资报告，出具的验资报告应由参加验资的</w:t>
      </w:r>
      <w:r w:rsidRPr="00FA7BE2">
        <w:rPr>
          <w:rFonts w:asciiTheme="minorEastAsia" w:eastAsiaTheme="minorEastAsia" w:hAnsiTheme="minorEastAsia"/>
          <w:sz w:val="21"/>
        </w:rPr>
        <w:t>2</w:t>
      </w:r>
      <w:r w:rsidRPr="00FA7BE2">
        <w:rPr>
          <w:rFonts w:asciiTheme="minorEastAsia" w:eastAsiaTheme="minorEastAsia" w:hAnsiTheme="minorEastAsia" w:hint="eastAsia"/>
          <w:sz w:val="21"/>
        </w:rPr>
        <w:t>名以上（含</w:t>
      </w:r>
      <w:r w:rsidRPr="00FA7BE2">
        <w:rPr>
          <w:rFonts w:asciiTheme="minorEastAsia" w:eastAsiaTheme="minorEastAsia" w:hAnsiTheme="minorEastAsia"/>
          <w:sz w:val="21"/>
        </w:rPr>
        <w:t>2</w:t>
      </w:r>
      <w:r w:rsidRPr="00FA7BE2">
        <w:rPr>
          <w:rFonts w:asciiTheme="minorEastAsia" w:eastAsiaTheme="minorEastAsia" w:hAnsiTheme="minorEastAsia" w:hint="eastAsia"/>
          <w:sz w:val="21"/>
        </w:rPr>
        <w:t>名）中国注册会计师签字方为有效。</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2）基金管理人应将属于本基金资产的全部资金划入基金托管人开立的基金银行账户中，并确保划入的资金与验资确认金额相一致。</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3、基金的银行账户的开设和管理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1）基金托管人应负责本基金的银行账户的开设和管理。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3）本基金银行账户的开立和使用，限于满足开展本基金业务的需要。基金托管人和基金管理人不得假借本基金的名义开立其他任何银行账户；亦不得使用基金的任何银行账户进行本基金业务以外的活动。</w:t>
      </w:r>
    </w:p>
    <w:p w:rsidR="00D21CF5" w:rsidRPr="00FA7BE2" w:rsidRDefault="00D21CF5" w:rsidP="00D21CF5">
      <w:pPr>
        <w:pStyle w:val="aa"/>
        <w:snapToGrid w:val="0"/>
        <w:spacing w:line="360" w:lineRule="auto"/>
        <w:ind w:firstLine="420"/>
        <w:rPr>
          <w:rFonts w:asciiTheme="minorEastAsia" w:eastAsiaTheme="minorEastAsia" w:hAnsiTheme="minorEastAsia"/>
        </w:rPr>
      </w:pPr>
      <w:r w:rsidRPr="00FA7BE2">
        <w:rPr>
          <w:rFonts w:asciiTheme="minorEastAsia" w:eastAsiaTheme="minorEastAsia" w:hAnsiTheme="minorEastAsia" w:hint="eastAsia"/>
          <w:sz w:val="21"/>
        </w:rPr>
        <w:t>4）基金银行账户的管理应符合《中华人民共和国票据法》、《人民币银行结算账户管理办法》、《现金管理条例》、《人民币利率管理规定》、《关于大额现金支付管理的通知》、《支付结算办法》以及其他有关规定。</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4、基金证券账户和资金账户的开设和管理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lastRenderedPageBreak/>
        <w:t>1）基金托管人应当代表本基金，以托管人和本基金联名的方式在中国证券登记结算有限责任公司开设证券账户。</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w:t>
      </w:r>
      <w:r w:rsidRPr="00FA7BE2">
        <w:rPr>
          <w:rFonts w:asciiTheme="minorEastAsia" w:eastAsiaTheme="minorEastAsia" w:hAnsiTheme="minorEastAsia"/>
          <w:sz w:val="21"/>
        </w:rPr>
        <w:t>基金托管人以自身法人名义在中国证券登记结算</w:t>
      </w:r>
      <w:r w:rsidRPr="00FA7BE2">
        <w:rPr>
          <w:rFonts w:asciiTheme="minorEastAsia" w:eastAsiaTheme="minorEastAsia" w:hAnsiTheme="minorEastAsia" w:hint="eastAsia"/>
          <w:sz w:val="21"/>
        </w:rPr>
        <w:t>有限责任</w:t>
      </w:r>
      <w:r w:rsidRPr="00FA7BE2">
        <w:rPr>
          <w:rFonts w:asciiTheme="minorEastAsia" w:eastAsiaTheme="minorEastAsia" w:hAnsiTheme="minorEastAsia"/>
          <w:sz w:val="21"/>
        </w:rPr>
        <w:t>公司开立结算备付金账户，用于办理基金托管人所托管的</w:t>
      </w:r>
      <w:r w:rsidRPr="00FA7BE2">
        <w:rPr>
          <w:rFonts w:asciiTheme="minorEastAsia" w:eastAsiaTheme="minorEastAsia" w:hAnsiTheme="minorEastAsia" w:hint="eastAsia"/>
          <w:sz w:val="21"/>
        </w:rPr>
        <w:t>包括本基金在内的</w:t>
      </w:r>
      <w:r w:rsidRPr="00FA7BE2">
        <w:rPr>
          <w:rFonts w:asciiTheme="minorEastAsia" w:eastAsiaTheme="minorEastAsia" w:hAnsiTheme="minorEastAsia"/>
          <w:sz w:val="21"/>
        </w:rPr>
        <w:t>全部基金在证券交易所进行证券投资所涉及的资金结算业务。结算备付金的收取按照中国证券登记结算</w:t>
      </w:r>
      <w:r w:rsidRPr="00FA7BE2">
        <w:rPr>
          <w:rFonts w:asciiTheme="minorEastAsia" w:eastAsiaTheme="minorEastAsia" w:hAnsiTheme="minorEastAsia" w:hint="eastAsia"/>
          <w:sz w:val="21"/>
        </w:rPr>
        <w:t>有限责任</w:t>
      </w:r>
      <w:r w:rsidRPr="00FA7BE2">
        <w:rPr>
          <w:rFonts w:asciiTheme="minorEastAsia" w:eastAsiaTheme="minorEastAsia" w:hAnsiTheme="minorEastAsia"/>
          <w:sz w:val="21"/>
        </w:rPr>
        <w:t>公司的规定执行。</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4）基金证券账户和资金账户的开设和管理可以根据当时市场的通行做法办理，而不限于上述关于账户开设、使用的规定。</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5）在本托管协议生效日之后，本基金被允许从事其他投资品种的投资业务的，涉及相关账户的开设、使用的，若无相关规定，则基金托管人应当比照并遵守上述关于账户开设、使用的规定。</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5、国债托管专户的开设和管理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中国人民银行进行报备。</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6、基金进行定期存款投资的账户开设和管理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基金托管人根据基金管理人的指令以基金名义在符合相关法律法规规定的存款银行的指定营业网点开立存款账户，并负责该账户的日常管理以及银行预留印鉴的保管和使用。基金管理人应派专人协助办理开户事宜。在上述账户开立和账户相关信息变更过程中，基金管理人应提前向基金托管人提供开户或账户变更所需的相关资料，并对基金托管人给予积极配合和协助。</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7、基金资产投资的有关实物证券的保管</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实物证券由基金托管人存放于托管银行的保管库，但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8、与基金财产有关的重大合同的保管</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rPr>
      </w:pPr>
      <w:bookmarkStart w:id="877" w:name="_Toc75870062"/>
      <w:r w:rsidRPr="00FA7BE2">
        <w:rPr>
          <w:rFonts w:asciiTheme="minorEastAsia" w:eastAsiaTheme="minorEastAsia" w:hAnsiTheme="minorEastAsia" w:hint="eastAsia"/>
        </w:rPr>
        <w:lastRenderedPageBreak/>
        <w:t>（四）基金资产的财务处理</w:t>
      </w:r>
      <w:bookmarkEnd w:id="877"/>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1、基金资产净值的计算和复核</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（1）基金资产净值的计算应该按照《基金合同》的规定进行。</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2）基金管理人应每个开放日对基金资产估值。估值原则应符合《基金合同》、《关于证券投资基金执行&lt;企业会计准则&gt;估值业务及份额净值计价有关事项的通知》及其他法律、法规的规定。用于基金信息披露的基金净值数据由基金管理人负责计算，基金托管人复核。基金管理人应于每个开放日结束后计算得出当日的</w:t>
      </w:r>
      <w:r w:rsidR="00DC478D" w:rsidRPr="00FA7BE2">
        <w:rPr>
          <w:rFonts w:asciiTheme="minorEastAsia" w:eastAsiaTheme="minorEastAsia" w:hAnsiTheme="minorEastAsia" w:hint="eastAsia"/>
          <w:color w:val="auto"/>
          <w:sz w:val="21"/>
        </w:rPr>
        <w:t>各类</w:t>
      </w:r>
      <w:r w:rsidRPr="00FA7BE2">
        <w:rPr>
          <w:rFonts w:asciiTheme="minorEastAsia" w:eastAsiaTheme="minorEastAsia" w:hAnsiTheme="minorEastAsia" w:hint="eastAsia"/>
          <w:color w:val="auto"/>
          <w:sz w:val="21"/>
        </w:rPr>
        <w:t>基金份额净值和基金份额累计净值，并在盖章后以加密传真方式发送给基金托管人。基金托管人应在收到上述传真后对净值计算结果进行复核，并在盖章后以加密传真方式将复核结果传送给相应的基金管理人；如果基金托管人的复核结果与基金管理人的计算结果存在差异，且双方经协商未能达成一致，基金管理人可以按照其对基金净值的计算结果对外予以公布，基金托管人可以将相关情况报中国证监会备案。</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2、基金账册的建账和对账</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1）基金管理人和基金托管人在本基金《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（2）双方应每日核对账目，如发现双方的账目存在不符的，基金管理人和基金托管人必须及时查明原因并纠正，保证双方平行登录的账册记录完全相符。</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3、基金财务报表与报告的编制和复核</w:t>
      </w:r>
    </w:p>
    <w:p w:rsidR="005835D8" w:rsidRPr="00FA7BE2" w:rsidRDefault="005835D8" w:rsidP="005835D8">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1）基金财务报表由基金管理人和基金托管人每月分别独立编制。月度报表的编制，应于每月终了后5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10个工作日内编制完毕并于每个季度结束之日起15个工作日内予以公告；中期报告在会计年度半年终了后两个月内编制完毕予以公告；年度报告在会计年度结束后三个月内编制完毕并予以公告。</w:t>
      </w:r>
    </w:p>
    <w:p w:rsidR="00D21CF5" w:rsidRPr="00FA7BE2" w:rsidRDefault="005835D8"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2）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w:t>
      </w:r>
      <w:r w:rsidRPr="00FA7BE2">
        <w:rPr>
          <w:rFonts w:asciiTheme="minorEastAsia" w:eastAsiaTheme="minorEastAsia" w:hAnsiTheme="minorEastAsia" w:hint="eastAsia"/>
          <w:color w:val="auto"/>
          <w:sz w:val="21"/>
        </w:rPr>
        <w:lastRenderedPageBreak/>
        <w:t>人和基金托管人之间的上述文件往来均以加密传真的方式或双方商定的其他方式进行。</w:t>
      </w:r>
    </w:p>
    <w:p w:rsidR="00D21CF5" w:rsidRPr="00FA7BE2" w:rsidRDefault="00D21CF5" w:rsidP="00D21CF5">
      <w:pPr>
        <w:pStyle w:val="32"/>
        <w:snapToGrid w:val="0"/>
        <w:spacing w:line="360" w:lineRule="auto"/>
        <w:ind w:right="28"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3）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9E2EF4" w:rsidRPr="00FA7BE2" w:rsidRDefault="009E2EF4" w:rsidP="009E2EF4">
      <w:pPr>
        <w:pStyle w:val="32"/>
        <w:spacing w:line="400" w:lineRule="exact"/>
        <w:ind w:right="26" w:firstLine="420"/>
        <w:rPr>
          <w:rFonts w:asciiTheme="minorEastAsia" w:eastAsiaTheme="minorEastAsia" w:hAnsiTheme="minorEastAsia"/>
          <w:color w:val="auto"/>
          <w:sz w:val="21"/>
        </w:rPr>
      </w:pPr>
      <w:r w:rsidRPr="00FA7BE2">
        <w:rPr>
          <w:rFonts w:asciiTheme="minorEastAsia" w:eastAsiaTheme="minorEastAsia" w:hAnsiTheme="minorEastAsia" w:hint="eastAsia"/>
          <w:color w:val="auto"/>
          <w:sz w:val="21"/>
        </w:rPr>
        <w:t>4、实施侧袋机制期间的基金资产估值</w:t>
      </w:r>
    </w:p>
    <w:p w:rsidR="009E2EF4" w:rsidRPr="00FA7BE2" w:rsidRDefault="009E2EF4" w:rsidP="009E2EF4">
      <w:pPr>
        <w:pStyle w:val="32"/>
        <w:spacing w:line="400" w:lineRule="exact"/>
        <w:ind w:right="26" w:firstLine="420"/>
        <w:rPr>
          <w:rFonts w:asciiTheme="minorEastAsia" w:eastAsiaTheme="minorEastAsia" w:hAnsiTheme="minorEastAsia"/>
          <w:color w:val="auto"/>
          <w:szCs w:val="21"/>
        </w:rPr>
      </w:pPr>
      <w:r w:rsidRPr="00FA7BE2">
        <w:rPr>
          <w:rFonts w:asciiTheme="minorEastAsia" w:eastAsiaTheme="minorEastAsia" w:hAnsiTheme="minorEastAsia" w:hint="eastAsia"/>
          <w:color w:val="auto"/>
          <w:sz w:val="21"/>
        </w:rPr>
        <w:t>本基金实施侧袋机制的，应根据本部分的约定对主袋账户资产进行估值并披露主袋账户的基金资产净值和份额净值，暂停披露侧袋账户份额净值。</w:t>
      </w:r>
    </w:p>
    <w:p w:rsidR="009E2EF4" w:rsidRPr="00FA7BE2" w:rsidRDefault="009E2EF4" w:rsidP="00D21CF5">
      <w:pPr>
        <w:pStyle w:val="32"/>
        <w:snapToGrid w:val="0"/>
        <w:spacing w:line="360" w:lineRule="auto"/>
        <w:ind w:right="28" w:firstLine="420"/>
        <w:rPr>
          <w:rFonts w:asciiTheme="minorEastAsia" w:eastAsiaTheme="minorEastAsia" w:hAnsiTheme="minorEastAsia"/>
          <w:color w:val="auto"/>
          <w:sz w:val="21"/>
        </w:rPr>
      </w:pP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b w:val="0"/>
          <w:sz w:val="21"/>
        </w:rPr>
      </w:pPr>
      <w:bookmarkStart w:id="878" w:name="_Toc75870063"/>
      <w:r w:rsidRPr="00FA7BE2">
        <w:rPr>
          <w:rFonts w:asciiTheme="minorEastAsia" w:eastAsiaTheme="minorEastAsia" w:hAnsiTheme="minorEastAsia" w:hint="eastAsia"/>
        </w:rPr>
        <w:t>（五）基金份额持有人名册的登记与保管</w:t>
      </w:r>
      <w:bookmarkEnd w:id="878"/>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基金份额持有人名册的内容包括但不限于基金份额持有人的名称和持有的基金份额。</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基金份额持有人名册包括以下几类：</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1、基金募集期结束时的基金份额持有人名册；</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2、基金权益登记日的基金份额持有人名册；</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3、基金份额持有人大会登记日的基金份额持有人名册；</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4、每半年度最后一个交易日的基金份额持有人名册。</w:t>
      </w:r>
    </w:p>
    <w:p w:rsidR="00D21CF5" w:rsidRPr="00FA7BE2" w:rsidRDefault="00D21CF5" w:rsidP="00D21CF5">
      <w:pPr>
        <w:pStyle w:val="aa"/>
        <w:snapToGrid w:val="0"/>
        <w:spacing w:line="360" w:lineRule="auto"/>
        <w:ind w:firstLine="420"/>
        <w:rPr>
          <w:rFonts w:asciiTheme="minorEastAsia" w:eastAsiaTheme="minorEastAsia" w:hAnsiTheme="minorEastAsia"/>
          <w:b/>
          <w:sz w:val="21"/>
        </w:rPr>
      </w:pPr>
      <w:r w:rsidRPr="00FA7BE2">
        <w:rPr>
          <w:rFonts w:asciiTheme="minorEastAsia" w:eastAsiaTheme="minorEastAsia" w:hAnsiTheme="minorEastAsia" w:hint="eastAsia"/>
          <w:sz w:val="21"/>
        </w:rPr>
        <w:t>基金托管人应妥善保管基金份额持有人名册。如</w:t>
      </w:r>
      <w:r w:rsidRPr="00FA7BE2">
        <w:rPr>
          <w:rFonts w:asciiTheme="minorEastAsia" w:eastAsiaTheme="minorEastAsia" w:hAnsiTheme="minorEastAsia" w:cs="方正仿宋简体" w:hint="eastAsia"/>
          <w:sz w:val="21"/>
          <w:szCs w:val="21"/>
        </w:rPr>
        <w:t>基金托管人无法妥善保存持有人名册，基金管理人应及时向中国证监会报告，并代为履行保管基金份额持有人名册的职责。基金托管人应对基金管理人由此产生的保管费给予补偿。</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1"/>
        </w:rPr>
      </w:pPr>
      <w:bookmarkStart w:id="879" w:name="_Toc75870064"/>
      <w:r w:rsidRPr="00FA7BE2">
        <w:rPr>
          <w:rFonts w:asciiTheme="minorEastAsia" w:eastAsiaTheme="minorEastAsia" w:hAnsiTheme="minorEastAsia" w:hint="eastAsia"/>
        </w:rPr>
        <w:t>（六）适用法律与争议解决</w:t>
      </w:r>
      <w:bookmarkEnd w:id="879"/>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1、本协议适用中华人民共和国法律并从其解释。</w:t>
      </w:r>
    </w:p>
    <w:p w:rsidR="00D21CF5" w:rsidRPr="00FA7BE2" w:rsidRDefault="00D21CF5" w:rsidP="00D21CF5">
      <w:pPr>
        <w:autoSpaceDE w:val="0"/>
        <w:autoSpaceDN w:val="0"/>
        <w:adjustRightInd w:val="0"/>
        <w:snapToGrid w:val="0"/>
        <w:spacing w:line="360" w:lineRule="auto"/>
        <w:ind w:firstLine="420"/>
        <w:rPr>
          <w:rFonts w:asciiTheme="minorEastAsia" w:eastAsiaTheme="minorEastAsia" w:hAnsiTheme="minorEastAsia"/>
          <w:b/>
        </w:rPr>
      </w:pPr>
      <w:r w:rsidRPr="00FA7BE2">
        <w:rPr>
          <w:rFonts w:asciiTheme="minorEastAsia" w:eastAsiaTheme="minorEastAsia" w:hAnsiTheme="minorEastAsia" w:hint="eastAsia"/>
        </w:rPr>
        <w:t>2、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当时该会有效的仲裁规则进行仲裁。仲裁裁决是终局的，对仲裁各方当事人均具有约束力。除提交仲裁的争议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rsidR="00D21CF5" w:rsidRPr="00FA7BE2" w:rsidRDefault="00D21CF5" w:rsidP="00D21CF5">
      <w:pPr>
        <w:pStyle w:val="21"/>
        <w:snapToGrid w:val="0"/>
        <w:spacing w:beforeLines="0" w:afterLines="0" w:line="360" w:lineRule="auto"/>
        <w:ind w:firstLine="562"/>
        <w:rPr>
          <w:rFonts w:asciiTheme="minorEastAsia" w:eastAsiaTheme="minorEastAsia" w:hAnsiTheme="minorEastAsia"/>
          <w:sz w:val="21"/>
        </w:rPr>
      </w:pPr>
      <w:bookmarkStart w:id="880" w:name="_Toc75870065"/>
      <w:r w:rsidRPr="00FA7BE2">
        <w:rPr>
          <w:rFonts w:asciiTheme="minorEastAsia" w:eastAsiaTheme="minorEastAsia" w:hAnsiTheme="minorEastAsia" w:hint="eastAsia"/>
        </w:rPr>
        <w:t>（七）托管协议的修改与终止</w:t>
      </w:r>
      <w:bookmarkEnd w:id="880"/>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1、本协议双方当事人经协商一致，可以对协议进行修改。修改后的新协议，其内容不得与《基金合同》的规定有任何冲突。修改后的新协议，报中国证监会批准后生效。</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lastRenderedPageBreak/>
        <w:t>2、发生以下情况，本托管协议终止：</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1）《基金合同》终止；</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2）本基金更换基金托管人；</w:t>
      </w:r>
    </w:p>
    <w:p w:rsidR="00D21CF5" w:rsidRPr="00FA7BE2" w:rsidRDefault="00D21CF5" w:rsidP="00D21CF5">
      <w:pPr>
        <w:pStyle w:val="aa"/>
        <w:snapToGrid w:val="0"/>
        <w:spacing w:line="360" w:lineRule="auto"/>
        <w:ind w:firstLine="420"/>
        <w:rPr>
          <w:rFonts w:asciiTheme="minorEastAsia" w:eastAsiaTheme="minorEastAsia" w:hAnsiTheme="minorEastAsia"/>
          <w:sz w:val="21"/>
        </w:rPr>
      </w:pPr>
      <w:r w:rsidRPr="00FA7BE2">
        <w:rPr>
          <w:rFonts w:asciiTheme="minorEastAsia" w:eastAsiaTheme="minorEastAsia" w:hAnsiTheme="minorEastAsia" w:hint="eastAsia"/>
          <w:sz w:val="21"/>
        </w:rPr>
        <w:t>3）本基金更换基金管理人；</w:t>
      </w:r>
    </w:p>
    <w:p w:rsidR="00E87053" w:rsidRPr="00FA7BE2" w:rsidRDefault="00D21CF5" w:rsidP="00D21CF5">
      <w:pPr>
        <w:pStyle w:val="aa"/>
        <w:snapToGrid w:val="0"/>
        <w:spacing w:line="360" w:lineRule="auto"/>
        <w:ind w:firstLine="420"/>
        <w:rPr>
          <w:rFonts w:asciiTheme="minorEastAsia" w:eastAsiaTheme="minorEastAsia" w:hAnsiTheme="minorEastAsia"/>
          <w:sz w:val="21"/>
        </w:rPr>
        <w:sectPr w:rsidR="00E87053" w:rsidRPr="00FA7BE2" w:rsidSect="004F61AF">
          <w:pgSz w:w="11906" w:h="16838" w:code="9"/>
          <w:pgMar w:top="1440" w:right="1800" w:bottom="1440" w:left="1800" w:header="851" w:footer="992" w:gutter="0"/>
          <w:cols w:space="425"/>
          <w:docGrid w:type="lines" w:linePitch="312"/>
        </w:sectPr>
      </w:pPr>
      <w:r w:rsidRPr="00FA7BE2">
        <w:rPr>
          <w:rFonts w:asciiTheme="minorEastAsia" w:eastAsiaTheme="minorEastAsia" w:hAnsiTheme="minorEastAsia" w:hint="eastAsia"/>
          <w:sz w:val="21"/>
        </w:rPr>
        <w:t>4）发生《基金法》、《运作办法》或其他法律法规规定的终止事项。</w:t>
      </w: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881" w:name="_Toc75870066"/>
      <w:r w:rsidRPr="00FA7BE2">
        <w:rPr>
          <w:rFonts w:asciiTheme="minorEastAsia" w:eastAsiaTheme="minorEastAsia" w:hAnsiTheme="minorEastAsia" w:hint="eastAsia"/>
          <w:b/>
        </w:rPr>
        <w:lastRenderedPageBreak/>
        <w:t>二十</w:t>
      </w:r>
      <w:r w:rsidR="009E2EF4" w:rsidRPr="00FA7BE2">
        <w:rPr>
          <w:rFonts w:asciiTheme="minorEastAsia" w:eastAsiaTheme="minorEastAsia" w:hAnsiTheme="minorEastAsia" w:hint="eastAsia"/>
          <w:b/>
        </w:rPr>
        <w:t>四</w:t>
      </w:r>
      <w:r w:rsidRPr="00FA7BE2">
        <w:rPr>
          <w:rFonts w:asciiTheme="minorEastAsia" w:eastAsiaTheme="minorEastAsia" w:hAnsiTheme="minorEastAsia" w:hint="eastAsia"/>
          <w:b/>
        </w:rPr>
        <w:t>、对基金份额持有人的服务</w:t>
      </w:r>
      <w:bookmarkStart w:id="882" w:name="_Toc38186634"/>
      <w:bookmarkEnd w:id="881"/>
    </w:p>
    <w:p w:rsidR="00D21CF5" w:rsidRPr="00FA7BE2" w:rsidRDefault="00D21CF5" w:rsidP="00D21CF5">
      <w:pPr>
        <w:pStyle w:val="affc"/>
        <w:snapToGrid w:val="0"/>
        <w:spacing w:line="360" w:lineRule="auto"/>
        <w:ind w:firstLineChars="200"/>
        <w:rPr>
          <w:rFonts w:asciiTheme="minorEastAsia" w:eastAsiaTheme="minorEastAsia" w:hAnsiTheme="minorEastAsia"/>
          <w:b/>
        </w:rPr>
      </w:pPr>
      <w:r w:rsidRPr="00FA7BE2">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D21CF5" w:rsidRPr="00FA7BE2"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szCs w:val="20"/>
        </w:rPr>
      </w:pPr>
      <w:r w:rsidRPr="00FA7BE2">
        <w:rPr>
          <w:rFonts w:asciiTheme="minorEastAsia" w:eastAsiaTheme="minorEastAsia" w:hAnsiTheme="minorEastAsia" w:hint="eastAsia"/>
          <w:b/>
          <w:bCs/>
        </w:rPr>
        <w:t>基金份额持有人投资交易确认服务</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注册登记机构保留基金份额持有人名册上列明的所有基金份额持有人的基金交易记录。</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基金管理人直销网点应根据在基金管理人直销网点进行交易的投资者的要求提供成交确认单。基金非直销销售机构应根据在销售网点进行交易的投资者的要求提供成交确认单。</w:t>
      </w:r>
    </w:p>
    <w:p w:rsidR="00D21CF5" w:rsidRPr="00FA7BE2"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szCs w:val="20"/>
        </w:rPr>
      </w:pPr>
      <w:r w:rsidRPr="00FA7BE2">
        <w:rPr>
          <w:rFonts w:asciiTheme="minorEastAsia" w:eastAsiaTheme="minorEastAsia" w:hAnsiTheme="minorEastAsia" w:hint="eastAsia"/>
          <w:b/>
          <w:bCs/>
        </w:rPr>
        <w:t>基金份额持有人交易记录查询服务</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本基金份额持有人可通过基金管理人的客户服务中心查询历史交易记录。</w:t>
      </w:r>
    </w:p>
    <w:p w:rsidR="00D21CF5" w:rsidRPr="00FA7BE2"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rPr>
      </w:pPr>
      <w:r w:rsidRPr="00FA7BE2">
        <w:rPr>
          <w:rFonts w:asciiTheme="minorEastAsia" w:eastAsiaTheme="minorEastAsia" w:hAnsiTheme="minorEastAsia" w:hint="eastAsia"/>
          <w:b/>
          <w:bCs/>
        </w:rPr>
        <w:t>基金份额持有人对账单服务</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1、基金份额持有人可登录本公司网站（</w:t>
      </w:r>
      <w:hyperlink r:id="rId17" w:history="1">
        <w:r w:rsidRPr="00FA7BE2">
          <w:rPr>
            <w:rFonts w:asciiTheme="minorEastAsia" w:eastAsiaTheme="minorEastAsia" w:hAnsiTheme="minorEastAsia" w:hint="eastAsia"/>
          </w:rPr>
          <w:t>http://www.efunds.com.cn</w:t>
        </w:r>
      </w:hyperlink>
      <w:r w:rsidRPr="00FA7BE2">
        <w:rPr>
          <w:rFonts w:asciiTheme="minorEastAsia" w:eastAsiaTheme="minorEastAsia" w:hAnsiTheme="minorEastAsia" w:hint="eastAsia"/>
        </w:rPr>
        <w:t>）查阅对账单。</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D21CF5" w:rsidRPr="00FA7BE2" w:rsidRDefault="00D21CF5" w:rsidP="00D21CF5">
      <w:pPr>
        <w:pStyle w:val="affc"/>
        <w:snapToGrid w:val="0"/>
        <w:spacing w:line="360" w:lineRule="auto"/>
        <w:ind w:firstLine="0"/>
        <w:rPr>
          <w:rFonts w:asciiTheme="minorEastAsia" w:eastAsiaTheme="minorEastAsia" w:hAnsiTheme="minorEastAsia"/>
        </w:rPr>
      </w:pPr>
      <w:r w:rsidRPr="00FA7BE2">
        <w:rPr>
          <w:rFonts w:asciiTheme="minorEastAsia" w:eastAsiaTheme="minorEastAsia" w:hAnsiTheme="minorEastAsia" w:hint="eastAsia"/>
          <w:szCs w:val="21"/>
        </w:rPr>
        <w:t>具体查阅和定制账单的方法可参见本公司网站或拨打客服热线咨询。</w:t>
      </w:r>
    </w:p>
    <w:p w:rsidR="00D21CF5" w:rsidRPr="00FA7BE2"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szCs w:val="20"/>
        </w:rPr>
      </w:pPr>
      <w:r w:rsidRPr="00FA7BE2">
        <w:rPr>
          <w:rFonts w:asciiTheme="minorEastAsia" w:eastAsiaTheme="minorEastAsia" w:hAnsiTheme="minorEastAsia" w:hint="eastAsia"/>
          <w:b/>
          <w:bCs/>
        </w:rPr>
        <w:t>定期定额投资计划</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D21CF5" w:rsidRPr="00FA7BE2" w:rsidRDefault="00D21CF5" w:rsidP="00D21CF5">
      <w:pPr>
        <w:numPr>
          <w:ilvl w:val="0"/>
          <w:numId w:val="17"/>
        </w:numPr>
        <w:autoSpaceDE w:val="0"/>
        <w:autoSpaceDN w:val="0"/>
        <w:adjustRightInd w:val="0"/>
        <w:snapToGrid w:val="0"/>
        <w:spacing w:line="360" w:lineRule="auto"/>
        <w:ind w:firstLineChars="200" w:firstLine="422"/>
        <w:rPr>
          <w:rFonts w:asciiTheme="minorEastAsia" w:eastAsiaTheme="minorEastAsia" w:hAnsiTheme="minorEastAsia"/>
          <w:b/>
          <w:bCs/>
          <w:szCs w:val="20"/>
        </w:rPr>
      </w:pPr>
      <w:r w:rsidRPr="00FA7BE2">
        <w:rPr>
          <w:rFonts w:asciiTheme="minorEastAsia" w:eastAsiaTheme="minorEastAsia" w:hAnsiTheme="minorEastAsia" w:hint="eastAsia"/>
          <w:b/>
          <w:bCs/>
        </w:rPr>
        <w:t>资讯服务</w:t>
      </w:r>
    </w:p>
    <w:p w:rsidR="00D21CF5" w:rsidRPr="00FA7BE2" w:rsidRDefault="00D21CF5" w:rsidP="00D21CF5">
      <w:pPr>
        <w:pStyle w:val="a8"/>
        <w:tabs>
          <w:tab w:val="left" w:pos="735"/>
        </w:tabs>
        <w:snapToGrid w:val="0"/>
        <w:spacing w:line="360" w:lineRule="auto"/>
        <w:ind w:left="420" w:firstLine="0"/>
        <w:rPr>
          <w:rFonts w:asciiTheme="minorEastAsia" w:eastAsiaTheme="minorEastAsia" w:hAnsiTheme="minorEastAsia"/>
          <w:b/>
          <w:bCs/>
        </w:rPr>
      </w:pPr>
      <w:r w:rsidRPr="00FA7BE2">
        <w:rPr>
          <w:rFonts w:asciiTheme="minorEastAsia" w:eastAsiaTheme="minorEastAsia" w:hAnsiTheme="minorEastAsia" w:hint="eastAsia"/>
          <w:b/>
          <w:bCs/>
        </w:rPr>
        <w:t>1、客户服务电话</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投资者如果想了解申购与赎回的交易情况、基金账户余额、基金产品与服务等信息，</w:t>
      </w:r>
      <w:r w:rsidRPr="00FA7BE2">
        <w:rPr>
          <w:rFonts w:asciiTheme="minorEastAsia" w:eastAsiaTheme="minorEastAsia" w:hAnsiTheme="minorEastAsia" w:hint="eastAsia"/>
          <w:kern w:val="0"/>
        </w:rPr>
        <w:t>或反馈投资过程中需要投诉与建议的情况，</w:t>
      </w:r>
      <w:r w:rsidRPr="00FA7BE2">
        <w:rPr>
          <w:rFonts w:asciiTheme="minorEastAsia" w:eastAsiaTheme="minorEastAsia" w:hAnsiTheme="minorEastAsia" w:hint="eastAsia"/>
        </w:rPr>
        <w:t>可拨打如下电话：4008818088。</w:t>
      </w:r>
      <w:r w:rsidRPr="00FA7BE2">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D21CF5" w:rsidRPr="00FA7BE2" w:rsidRDefault="00D21CF5" w:rsidP="00D21CF5">
      <w:pPr>
        <w:pStyle w:val="a8"/>
        <w:tabs>
          <w:tab w:val="left" w:pos="735"/>
        </w:tabs>
        <w:snapToGrid w:val="0"/>
        <w:spacing w:line="360" w:lineRule="auto"/>
        <w:ind w:left="420" w:firstLine="0"/>
        <w:rPr>
          <w:rFonts w:asciiTheme="minorEastAsia" w:eastAsiaTheme="minorEastAsia" w:hAnsiTheme="minorEastAsia"/>
          <w:b/>
          <w:bCs/>
        </w:rPr>
      </w:pPr>
      <w:r w:rsidRPr="00FA7BE2">
        <w:rPr>
          <w:rFonts w:asciiTheme="minorEastAsia" w:eastAsiaTheme="minorEastAsia" w:hAnsiTheme="minorEastAsia" w:hint="eastAsia"/>
          <w:b/>
          <w:bCs/>
        </w:rPr>
        <w:t>2、互联网站及电子信箱</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网址：</w:t>
      </w:r>
      <w:r w:rsidRPr="00FA7BE2">
        <w:rPr>
          <w:rFonts w:asciiTheme="minorEastAsia" w:eastAsiaTheme="minorEastAsia" w:hAnsiTheme="minorEastAsia"/>
        </w:rPr>
        <w:t>http://www.efunds.com.cn</w:t>
      </w:r>
    </w:p>
    <w:p w:rsidR="00D21CF5" w:rsidRPr="00FA7BE2" w:rsidRDefault="00D21CF5" w:rsidP="00D21CF5">
      <w:pPr>
        <w:pStyle w:val="affc"/>
        <w:snapToGrid w:val="0"/>
        <w:spacing w:line="360" w:lineRule="auto"/>
        <w:ind w:firstLineChars="200"/>
        <w:rPr>
          <w:rFonts w:asciiTheme="minorEastAsia" w:eastAsiaTheme="minorEastAsia" w:hAnsiTheme="minorEastAsia"/>
        </w:rPr>
      </w:pPr>
      <w:r w:rsidRPr="00FA7BE2">
        <w:rPr>
          <w:rFonts w:asciiTheme="minorEastAsia" w:eastAsiaTheme="minorEastAsia" w:hAnsiTheme="minorEastAsia" w:hint="eastAsia"/>
        </w:rPr>
        <w:t>电子信箱：</w:t>
      </w:r>
      <w:r w:rsidR="001E30B8" w:rsidRPr="00FA7BE2">
        <w:rPr>
          <w:rFonts w:asciiTheme="minorEastAsia" w:eastAsiaTheme="minorEastAsia" w:hAnsiTheme="minorEastAsia"/>
        </w:rPr>
        <w:t>service@efunds.com.cn</w:t>
      </w:r>
    </w:p>
    <w:p w:rsidR="00D21CF5" w:rsidRPr="00FA7BE2" w:rsidRDefault="00D21CF5" w:rsidP="00D21CF5">
      <w:pPr>
        <w:pStyle w:val="a8"/>
        <w:rPr>
          <w:rFonts w:asciiTheme="minorEastAsia" w:eastAsiaTheme="minorEastAsia" w:hAnsiTheme="minorEastAsia"/>
        </w:rPr>
      </w:pPr>
    </w:p>
    <w:p w:rsidR="00D21CF5" w:rsidRPr="00FA7BE2" w:rsidRDefault="00D21CF5" w:rsidP="00D21CF5">
      <w:pPr>
        <w:pStyle w:val="a8"/>
        <w:rPr>
          <w:rFonts w:asciiTheme="minorEastAsia" w:eastAsiaTheme="minorEastAsia" w:hAnsiTheme="minorEastAsia"/>
        </w:rPr>
      </w:pPr>
    </w:p>
    <w:p w:rsidR="00D21CF5" w:rsidRPr="00FA7BE2" w:rsidRDefault="00D21CF5" w:rsidP="00D21CF5">
      <w:pPr>
        <w:pStyle w:val="a8"/>
        <w:rPr>
          <w:rFonts w:asciiTheme="minorEastAsia" w:eastAsiaTheme="minorEastAsia" w:hAnsiTheme="minorEastAsia"/>
        </w:rPr>
      </w:pPr>
    </w:p>
    <w:p w:rsidR="00D21CF5" w:rsidRPr="00FA7BE2" w:rsidRDefault="00D21CF5" w:rsidP="00D21CF5">
      <w:pPr>
        <w:pStyle w:val="a8"/>
        <w:rPr>
          <w:rFonts w:asciiTheme="minorEastAsia" w:eastAsiaTheme="minorEastAsia" w:hAnsiTheme="minorEastAsia"/>
        </w:rPr>
      </w:pPr>
    </w:p>
    <w:p w:rsidR="00D21CF5" w:rsidRPr="00FA7BE2" w:rsidRDefault="00D21CF5" w:rsidP="00D21CF5">
      <w:pPr>
        <w:pStyle w:val="a8"/>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883" w:name="_Toc87929382"/>
      <w:bookmarkStart w:id="884" w:name="_Toc87929634"/>
      <w:bookmarkStart w:id="885" w:name="_Toc87932348"/>
      <w:bookmarkStart w:id="886" w:name="_Toc88038996"/>
      <w:bookmarkStart w:id="887" w:name="_Toc88039135"/>
      <w:bookmarkStart w:id="888" w:name="_Toc88039271"/>
      <w:bookmarkStart w:id="889" w:name="_Toc87929383"/>
      <w:bookmarkStart w:id="890" w:name="_Toc87929635"/>
      <w:bookmarkStart w:id="891" w:name="_Toc87932349"/>
      <w:bookmarkStart w:id="892" w:name="_Toc88038997"/>
      <w:bookmarkStart w:id="893" w:name="_Toc88039136"/>
      <w:bookmarkStart w:id="894" w:name="_Toc88039272"/>
      <w:bookmarkStart w:id="895" w:name="_Toc87929384"/>
      <w:bookmarkStart w:id="896" w:name="_Toc87929636"/>
      <w:bookmarkStart w:id="897" w:name="_Toc87932350"/>
      <w:bookmarkStart w:id="898" w:name="_Toc88038998"/>
      <w:bookmarkStart w:id="899" w:name="_Toc88039137"/>
      <w:bookmarkStart w:id="900" w:name="_Toc88039273"/>
      <w:bookmarkStart w:id="901" w:name="_Toc38438275"/>
      <w:bookmarkStart w:id="902" w:name="_Toc38438612"/>
      <w:bookmarkStart w:id="903" w:name="_Toc38438949"/>
      <w:bookmarkStart w:id="904" w:name="_Toc38439286"/>
      <w:bookmarkStart w:id="905" w:name="_Toc38439623"/>
      <w:bookmarkStart w:id="906" w:name="_Toc38439960"/>
      <w:bookmarkStart w:id="907" w:name="_Toc38440297"/>
      <w:bookmarkStart w:id="908" w:name="_Toc38440630"/>
      <w:bookmarkStart w:id="909" w:name="_Toc38440829"/>
      <w:bookmarkStart w:id="910" w:name="_Toc38441161"/>
      <w:bookmarkStart w:id="911" w:name="_Toc38441493"/>
      <w:bookmarkStart w:id="912" w:name="_Toc38441821"/>
      <w:bookmarkStart w:id="913" w:name="_Toc38442153"/>
      <w:bookmarkStart w:id="914" w:name="_Toc38442485"/>
      <w:bookmarkStart w:id="915" w:name="_Toc38442816"/>
      <w:bookmarkStart w:id="916" w:name="_Toc38443147"/>
      <w:bookmarkStart w:id="917" w:name="_Toc38443478"/>
      <w:bookmarkStart w:id="918" w:name="_Toc38443809"/>
      <w:bookmarkStart w:id="919" w:name="_Toc38438277"/>
      <w:bookmarkStart w:id="920" w:name="_Toc38438614"/>
      <w:bookmarkStart w:id="921" w:name="_Toc38438951"/>
      <w:bookmarkStart w:id="922" w:name="_Toc38439288"/>
      <w:bookmarkStart w:id="923" w:name="_Toc38439625"/>
      <w:bookmarkStart w:id="924" w:name="_Toc38439962"/>
      <w:bookmarkStart w:id="925" w:name="_Toc38440299"/>
      <w:bookmarkStart w:id="926" w:name="_Toc38440632"/>
      <w:bookmarkStart w:id="927" w:name="_Toc38440831"/>
      <w:bookmarkStart w:id="928" w:name="_Toc38441163"/>
      <w:bookmarkStart w:id="929" w:name="_Toc38441495"/>
      <w:bookmarkStart w:id="930" w:name="_Toc38441823"/>
      <w:bookmarkStart w:id="931" w:name="_Toc38442155"/>
      <w:bookmarkStart w:id="932" w:name="_Toc38442487"/>
      <w:bookmarkStart w:id="933" w:name="_Toc38442818"/>
      <w:bookmarkStart w:id="934" w:name="_Toc38443149"/>
      <w:bookmarkStart w:id="935" w:name="_Toc38443480"/>
      <w:bookmarkStart w:id="936" w:name="_Toc38443811"/>
      <w:bookmarkStart w:id="937" w:name="_Toc38438278"/>
      <w:bookmarkStart w:id="938" w:name="_Toc38438615"/>
      <w:bookmarkStart w:id="939" w:name="_Toc38438952"/>
      <w:bookmarkStart w:id="940" w:name="_Toc38439289"/>
      <w:bookmarkStart w:id="941" w:name="_Toc38439626"/>
      <w:bookmarkStart w:id="942" w:name="_Toc38439963"/>
      <w:bookmarkStart w:id="943" w:name="_Toc38440300"/>
      <w:bookmarkStart w:id="944" w:name="_Toc38440633"/>
      <w:bookmarkStart w:id="945" w:name="_Toc38440832"/>
      <w:bookmarkStart w:id="946" w:name="_Toc38441164"/>
      <w:bookmarkStart w:id="947" w:name="_Toc38441496"/>
      <w:bookmarkStart w:id="948" w:name="_Toc38441824"/>
      <w:bookmarkStart w:id="949" w:name="_Toc38442156"/>
      <w:bookmarkStart w:id="950" w:name="_Toc38442488"/>
      <w:bookmarkStart w:id="951" w:name="_Toc38442819"/>
      <w:bookmarkStart w:id="952" w:name="_Toc38443150"/>
      <w:bookmarkStart w:id="953" w:name="_Toc38443481"/>
      <w:bookmarkStart w:id="954" w:name="_Toc38443812"/>
      <w:bookmarkStart w:id="955" w:name="_Toc38438279"/>
      <w:bookmarkStart w:id="956" w:name="_Toc38438616"/>
      <w:bookmarkStart w:id="957" w:name="_Toc38438953"/>
      <w:bookmarkStart w:id="958" w:name="_Toc38439290"/>
      <w:bookmarkStart w:id="959" w:name="_Toc38439627"/>
      <w:bookmarkStart w:id="960" w:name="_Toc38439964"/>
      <w:bookmarkStart w:id="961" w:name="_Toc38440301"/>
      <w:bookmarkStart w:id="962" w:name="_Toc38440634"/>
      <w:bookmarkStart w:id="963" w:name="_Toc38440833"/>
      <w:bookmarkStart w:id="964" w:name="_Toc38441165"/>
      <w:bookmarkStart w:id="965" w:name="_Toc38441497"/>
      <w:bookmarkStart w:id="966" w:name="_Toc38441825"/>
      <w:bookmarkStart w:id="967" w:name="_Toc38442157"/>
      <w:bookmarkStart w:id="968" w:name="_Toc38442489"/>
      <w:bookmarkStart w:id="969" w:name="_Toc38442820"/>
      <w:bookmarkStart w:id="970" w:name="_Toc38443151"/>
      <w:bookmarkStart w:id="971" w:name="_Toc38443482"/>
      <w:bookmarkStart w:id="972" w:name="_Toc38443813"/>
      <w:bookmarkStart w:id="973" w:name="_Toc38438280"/>
      <w:bookmarkStart w:id="974" w:name="_Toc38438617"/>
      <w:bookmarkStart w:id="975" w:name="_Toc38438954"/>
      <w:bookmarkStart w:id="976" w:name="_Toc38439291"/>
      <w:bookmarkStart w:id="977" w:name="_Toc38439628"/>
      <w:bookmarkStart w:id="978" w:name="_Toc38439965"/>
      <w:bookmarkStart w:id="979" w:name="_Toc38440302"/>
      <w:bookmarkStart w:id="980" w:name="_Toc38440635"/>
      <w:bookmarkStart w:id="981" w:name="_Toc38440834"/>
      <w:bookmarkStart w:id="982" w:name="_Toc38441166"/>
      <w:bookmarkStart w:id="983" w:name="_Toc38441498"/>
      <w:bookmarkStart w:id="984" w:name="_Toc38441826"/>
      <w:bookmarkStart w:id="985" w:name="_Toc38442158"/>
      <w:bookmarkStart w:id="986" w:name="_Toc38442490"/>
      <w:bookmarkStart w:id="987" w:name="_Toc38442821"/>
      <w:bookmarkStart w:id="988" w:name="_Toc38443152"/>
      <w:bookmarkStart w:id="989" w:name="_Toc38443483"/>
      <w:bookmarkStart w:id="990" w:name="_Toc38443814"/>
      <w:bookmarkStart w:id="991" w:name="_Toc38438281"/>
      <w:bookmarkStart w:id="992" w:name="_Toc38438618"/>
      <w:bookmarkStart w:id="993" w:name="_Toc38438955"/>
      <w:bookmarkStart w:id="994" w:name="_Toc38439292"/>
      <w:bookmarkStart w:id="995" w:name="_Toc38439629"/>
      <w:bookmarkStart w:id="996" w:name="_Toc38439966"/>
      <w:bookmarkStart w:id="997" w:name="_Toc38440303"/>
      <w:bookmarkStart w:id="998" w:name="_Toc38440636"/>
      <w:bookmarkStart w:id="999" w:name="_Toc38440835"/>
      <w:bookmarkStart w:id="1000" w:name="_Toc38441167"/>
      <w:bookmarkStart w:id="1001" w:name="_Toc38441499"/>
      <w:bookmarkStart w:id="1002" w:name="_Toc38441827"/>
      <w:bookmarkStart w:id="1003" w:name="_Toc38442159"/>
      <w:bookmarkStart w:id="1004" w:name="_Toc38442491"/>
      <w:bookmarkStart w:id="1005" w:name="_Toc38442822"/>
      <w:bookmarkStart w:id="1006" w:name="_Toc38443153"/>
      <w:bookmarkStart w:id="1007" w:name="_Toc38443484"/>
      <w:bookmarkStart w:id="1008" w:name="_Toc38443815"/>
      <w:bookmarkStart w:id="1009" w:name="_Toc38438282"/>
      <w:bookmarkStart w:id="1010" w:name="_Toc38438619"/>
      <w:bookmarkStart w:id="1011" w:name="_Toc38438956"/>
      <w:bookmarkStart w:id="1012" w:name="_Toc38439293"/>
      <w:bookmarkStart w:id="1013" w:name="_Toc38439630"/>
      <w:bookmarkStart w:id="1014" w:name="_Toc38439967"/>
      <w:bookmarkStart w:id="1015" w:name="_Toc38440304"/>
      <w:bookmarkStart w:id="1016" w:name="_Toc38440637"/>
      <w:bookmarkStart w:id="1017" w:name="_Toc38440836"/>
      <w:bookmarkStart w:id="1018" w:name="_Toc38441168"/>
      <w:bookmarkStart w:id="1019" w:name="_Toc38441500"/>
      <w:bookmarkStart w:id="1020" w:name="_Toc38441828"/>
      <w:bookmarkStart w:id="1021" w:name="_Toc38442160"/>
      <w:bookmarkStart w:id="1022" w:name="_Toc38442492"/>
      <w:bookmarkStart w:id="1023" w:name="_Toc38442823"/>
      <w:bookmarkStart w:id="1024" w:name="_Toc38443154"/>
      <w:bookmarkStart w:id="1025" w:name="_Toc38443485"/>
      <w:bookmarkStart w:id="1026" w:name="_Toc38443816"/>
      <w:bookmarkStart w:id="1027" w:name="_Toc38438283"/>
      <w:bookmarkStart w:id="1028" w:name="_Toc38438620"/>
      <w:bookmarkStart w:id="1029" w:name="_Toc38438957"/>
      <w:bookmarkStart w:id="1030" w:name="_Toc38439294"/>
      <w:bookmarkStart w:id="1031" w:name="_Toc38439631"/>
      <w:bookmarkStart w:id="1032" w:name="_Toc38439968"/>
      <w:bookmarkStart w:id="1033" w:name="_Toc38440305"/>
      <w:bookmarkStart w:id="1034" w:name="_Toc38440638"/>
      <w:bookmarkStart w:id="1035" w:name="_Toc38440837"/>
      <w:bookmarkStart w:id="1036" w:name="_Toc38441169"/>
      <w:bookmarkStart w:id="1037" w:name="_Toc38441501"/>
      <w:bookmarkStart w:id="1038" w:name="_Toc38441829"/>
      <w:bookmarkStart w:id="1039" w:name="_Toc38442161"/>
      <w:bookmarkStart w:id="1040" w:name="_Toc38442493"/>
      <w:bookmarkStart w:id="1041" w:name="_Toc38442824"/>
      <w:bookmarkStart w:id="1042" w:name="_Toc38443155"/>
      <w:bookmarkStart w:id="1043" w:name="_Toc38443486"/>
      <w:bookmarkStart w:id="1044" w:name="_Toc38443817"/>
      <w:bookmarkStart w:id="1045" w:name="_Toc38438284"/>
      <w:bookmarkStart w:id="1046" w:name="_Toc38438621"/>
      <w:bookmarkStart w:id="1047" w:name="_Toc38438958"/>
      <w:bookmarkStart w:id="1048" w:name="_Toc38439295"/>
      <w:bookmarkStart w:id="1049" w:name="_Toc38439632"/>
      <w:bookmarkStart w:id="1050" w:name="_Toc38439969"/>
      <w:bookmarkStart w:id="1051" w:name="_Toc38440306"/>
      <w:bookmarkStart w:id="1052" w:name="_Toc38440639"/>
      <w:bookmarkStart w:id="1053" w:name="_Toc38440838"/>
      <w:bookmarkStart w:id="1054" w:name="_Toc38441170"/>
      <w:bookmarkStart w:id="1055" w:name="_Toc38441502"/>
      <w:bookmarkStart w:id="1056" w:name="_Toc38441830"/>
      <w:bookmarkStart w:id="1057" w:name="_Toc38442162"/>
      <w:bookmarkStart w:id="1058" w:name="_Toc38442494"/>
      <w:bookmarkStart w:id="1059" w:name="_Toc38442825"/>
      <w:bookmarkStart w:id="1060" w:name="_Toc38443156"/>
      <w:bookmarkStart w:id="1061" w:name="_Toc38443487"/>
      <w:bookmarkStart w:id="1062" w:name="_Toc38443818"/>
      <w:bookmarkStart w:id="1063" w:name="_Toc38438285"/>
      <w:bookmarkStart w:id="1064" w:name="_Toc38438622"/>
      <w:bookmarkStart w:id="1065" w:name="_Toc38438959"/>
      <w:bookmarkStart w:id="1066" w:name="_Toc38439296"/>
      <w:bookmarkStart w:id="1067" w:name="_Toc38439633"/>
      <w:bookmarkStart w:id="1068" w:name="_Toc38439970"/>
      <w:bookmarkStart w:id="1069" w:name="_Toc38440307"/>
      <w:bookmarkStart w:id="1070" w:name="_Toc38440640"/>
      <w:bookmarkStart w:id="1071" w:name="_Toc38440839"/>
      <w:bookmarkStart w:id="1072" w:name="_Toc38441171"/>
      <w:bookmarkStart w:id="1073" w:name="_Toc38441503"/>
      <w:bookmarkStart w:id="1074" w:name="_Toc38441831"/>
      <w:bookmarkStart w:id="1075" w:name="_Toc38442163"/>
      <w:bookmarkStart w:id="1076" w:name="_Toc38442495"/>
      <w:bookmarkStart w:id="1077" w:name="_Toc38442826"/>
      <w:bookmarkStart w:id="1078" w:name="_Toc38443157"/>
      <w:bookmarkStart w:id="1079" w:name="_Toc38443488"/>
      <w:bookmarkStart w:id="1080" w:name="_Toc38443819"/>
      <w:bookmarkStart w:id="1081" w:name="_Toc38438286"/>
      <w:bookmarkStart w:id="1082" w:name="_Toc38438623"/>
      <w:bookmarkStart w:id="1083" w:name="_Toc38438960"/>
      <w:bookmarkStart w:id="1084" w:name="_Toc38439297"/>
      <w:bookmarkStart w:id="1085" w:name="_Toc38439634"/>
      <w:bookmarkStart w:id="1086" w:name="_Toc38439971"/>
      <w:bookmarkStart w:id="1087" w:name="_Toc38440308"/>
      <w:bookmarkStart w:id="1088" w:name="_Toc38440641"/>
      <w:bookmarkStart w:id="1089" w:name="_Toc38440840"/>
      <w:bookmarkStart w:id="1090" w:name="_Toc38441172"/>
      <w:bookmarkStart w:id="1091" w:name="_Toc38441504"/>
      <w:bookmarkStart w:id="1092" w:name="_Toc38441832"/>
      <w:bookmarkStart w:id="1093" w:name="_Toc38442164"/>
      <w:bookmarkStart w:id="1094" w:name="_Toc38442496"/>
      <w:bookmarkStart w:id="1095" w:name="_Toc38442827"/>
      <w:bookmarkStart w:id="1096" w:name="_Toc38443158"/>
      <w:bookmarkStart w:id="1097" w:name="_Toc38443489"/>
      <w:bookmarkStart w:id="1098" w:name="_Toc38443820"/>
      <w:bookmarkStart w:id="1099" w:name="_Toc38438287"/>
      <w:bookmarkStart w:id="1100" w:name="_Toc38438624"/>
      <w:bookmarkStart w:id="1101" w:name="_Toc38438961"/>
      <w:bookmarkStart w:id="1102" w:name="_Toc38439298"/>
      <w:bookmarkStart w:id="1103" w:name="_Toc38439635"/>
      <w:bookmarkStart w:id="1104" w:name="_Toc38439972"/>
      <w:bookmarkStart w:id="1105" w:name="_Toc38440309"/>
      <w:bookmarkStart w:id="1106" w:name="_Toc38440642"/>
      <w:bookmarkStart w:id="1107" w:name="_Toc38440841"/>
      <w:bookmarkStart w:id="1108" w:name="_Toc38441173"/>
      <w:bookmarkStart w:id="1109" w:name="_Toc38441505"/>
      <w:bookmarkStart w:id="1110" w:name="_Toc38441833"/>
      <w:bookmarkStart w:id="1111" w:name="_Toc38442165"/>
      <w:bookmarkStart w:id="1112" w:name="_Toc38442497"/>
      <w:bookmarkStart w:id="1113" w:name="_Toc38442828"/>
      <w:bookmarkStart w:id="1114" w:name="_Toc38443159"/>
      <w:bookmarkStart w:id="1115" w:name="_Toc38443490"/>
      <w:bookmarkStart w:id="1116" w:name="_Toc38443821"/>
      <w:bookmarkStart w:id="1117" w:name="_Toc38438288"/>
      <w:bookmarkStart w:id="1118" w:name="_Toc38438625"/>
      <w:bookmarkStart w:id="1119" w:name="_Toc38438962"/>
      <w:bookmarkStart w:id="1120" w:name="_Toc38439299"/>
      <w:bookmarkStart w:id="1121" w:name="_Toc38439636"/>
      <w:bookmarkStart w:id="1122" w:name="_Toc38439973"/>
      <w:bookmarkStart w:id="1123" w:name="_Toc38440310"/>
      <w:bookmarkStart w:id="1124" w:name="_Toc38440643"/>
      <w:bookmarkStart w:id="1125" w:name="_Toc38440842"/>
      <w:bookmarkStart w:id="1126" w:name="_Toc38441174"/>
      <w:bookmarkStart w:id="1127" w:name="_Toc38441506"/>
      <w:bookmarkStart w:id="1128" w:name="_Toc38441834"/>
      <w:bookmarkStart w:id="1129" w:name="_Toc38442166"/>
      <w:bookmarkStart w:id="1130" w:name="_Toc38442498"/>
      <w:bookmarkStart w:id="1131" w:name="_Toc38442829"/>
      <w:bookmarkStart w:id="1132" w:name="_Toc38443160"/>
      <w:bookmarkStart w:id="1133" w:name="_Toc38443491"/>
      <w:bookmarkStart w:id="1134" w:name="_Toc38443822"/>
      <w:bookmarkStart w:id="1135" w:name="_Toc38438289"/>
      <w:bookmarkStart w:id="1136" w:name="_Toc38438626"/>
      <w:bookmarkStart w:id="1137" w:name="_Toc38438963"/>
      <w:bookmarkStart w:id="1138" w:name="_Toc38439300"/>
      <w:bookmarkStart w:id="1139" w:name="_Toc38439637"/>
      <w:bookmarkStart w:id="1140" w:name="_Toc38439974"/>
      <w:bookmarkStart w:id="1141" w:name="_Toc38440311"/>
      <w:bookmarkStart w:id="1142" w:name="_Toc38440644"/>
      <w:bookmarkStart w:id="1143" w:name="_Toc38440843"/>
      <w:bookmarkStart w:id="1144" w:name="_Toc38441175"/>
      <w:bookmarkStart w:id="1145" w:name="_Toc38441507"/>
      <w:bookmarkStart w:id="1146" w:name="_Toc38441835"/>
      <w:bookmarkStart w:id="1147" w:name="_Toc38442167"/>
      <w:bookmarkStart w:id="1148" w:name="_Toc38442499"/>
      <w:bookmarkStart w:id="1149" w:name="_Toc38442830"/>
      <w:bookmarkStart w:id="1150" w:name="_Toc38443161"/>
      <w:bookmarkStart w:id="1151" w:name="_Toc38443492"/>
      <w:bookmarkStart w:id="1152" w:name="_Toc38443823"/>
      <w:bookmarkStart w:id="1153" w:name="_Toc38438290"/>
      <w:bookmarkStart w:id="1154" w:name="_Toc38438627"/>
      <w:bookmarkStart w:id="1155" w:name="_Toc38438964"/>
      <w:bookmarkStart w:id="1156" w:name="_Toc38439301"/>
      <w:bookmarkStart w:id="1157" w:name="_Toc38439638"/>
      <w:bookmarkStart w:id="1158" w:name="_Toc38439975"/>
      <w:bookmarkStart w:id="1159" w:name="_Toc38440312"/>
      <w:bookmarkStart w:id="1160" w:name="_Toc38440645"/>
      <w:bookmarkStart w:id="1161" w:name="_Toc38440844"/>
      <w:bookmarkStart w:id="1162" w:name="_Toc38441176"/>
      <w:bookmarkStart w:id="1163" w:name="_Toc38441508"/>
      <w:bookmarkStart w:id="1164" w:name="_Toc38441836"/>
      <w:bookmarkStart w:id="1165" w:name="_Toc38442168"/>
      <w:bookmarkStart w:id="1166" w:name="_Toc38442500"/>
      <w:bookmarkStart w:id="1167" w:name="_Toc38442831"/>
      <w:bookmarkStart w:id="1168" w:name="_Toc38443162"/>
      <w:bookmarkStart w:id="1169" w:name="_Toc38443493"/>
      <w:bookmarkStart w:id="1170" w:name="_Toc38443824"/>
      <w:bookmarkStart w:id="1171" w:name="_Toc38438291"/>
      <w:bookmarkStart w:id="1172" w:name="_Toc38438628"/>
      <w:bookmarkStart w:id="1173" w:name="_Toc38438965"/>
      <w:bookmarkStart w:id="1174" w:name="_Toc38439302"/>
      <w:bookmarkStart w:id="1175" w:name="_Toc38439639"/>
      <w:bookmarkStart w:id="1176" w:name="_Toc38439976"/>
      <w:bookmarkStart w:id="1177" w:name="_Toc38440313"/>
      <w:bookmarkStart w:id="1178" w:name="_Toc38440646"/>
      <w:bookmarkStart w:id="1179" w:name="_Toc38440845"/>
      <w:bookmarkStart w:id="1180" w:name="_Toc38441177"/>
      <w:bookmarkStart w:id="1181" w:name="_Toc38441509"/>
      <w:bookmarkStart w:id="1182" w:name="_Toc38441837"/>
      <w:bookmarkStart w:id="1183" w:name="_Toc38442169"/>
      <w:bookmarkStart w:id="1184" w:name="_Toc38442501"/>
      <w:bookmarkStart w:id="1185" w:name="_Toc38442832"/>
      <w:bookmarkStart w:id="1186" w:name="_Toc38443163"/>
      <w:bookmarkStart w:id="1187" w:name="_Toc38443494"/>
      <w:bookmarkStart w:id="1188" w:name="_Toc38443825"/>
      <w:bookmarkStart w:id="1189" w:name="_Toc38438292"/>
      <w:bookmarkStart w:id="1190" w:name="_Toc38438629"/>
      <w:bookmarkStart w:id="1191" w:name="_Toc38438966"/>
      <w:bookmarkStart w:id="1192" w:name="_Toc38439303"/>
      <w:bookmarkStart w:id="1193" w:name="_Toc38439640"/>
      <w:bookmarkStart w:id="1194" w:name="_Toc38439977"/>
      <w:bookmarkStart w:id="1195" w:name="_Toc38440314"/>
      <w:bookmarkStart w:id="1196" w:name="_Toc38440647"/>
      <w:bookmarkStart w:id="1197" w:name="_Toc38440846"/>
      <w:bookmarkStart w:id="1198" w:name="_Toc38441178"/>
      <w:bookmarkStart w:id="1199" w:name="_Toc38441510"/>
      <w:bookmarkStart w:id="1200" w:name="_Toc38441838"/>
      <w:bookmarkStart w:id="1201" w:name="_Toc38442170"/>
      <w:bookmarkStart w:id="1202" w:name="_Toc38442502"/>
      <w:bookmarkStart w:id="1203" w:name="_Toc38442833"/>
      <w:bookmarkStart w:id="1204" w:name="_Toc38443164"/>
      <w:bookmarkStart w:id="1205" w:name="_Toc38443495"/>
      <w:bookmarkStart w:id="1206" w:name="_Toc38443826"/>
      <w:bookmarkStart w:id="1207" w:name="_Toc38438293"/>
      <w:bookmarkStart w:id="1208" w:name="_Toc38438630"/>
      <w:bookmarkStart w:id="1209" w:name="_Toc38438967"/>
      <w:bookmarkStart w:id="1210" w:name="_Toc38439304"/>
      <w:bookmarkStart w:id="1211" w:name="_Toc38439641"/>
      <w:bookmarkStart w:id="1212" w:name="_Toc38439978"/>
      <w:bookmarkStart w:id="1213" w:name="_Toc38440315"/>
      <w:bookmarkStart w:id="1214" w:name="_Toc38440648"/>
      <w:bookmarkStart w:id="1215" w:name="_Toc38440847"/>
      <w:bookmarkStart w:id="1216" w:name="_Toc38441179"/>
      <w:bookmarkStart w:id="1217" w:name="_Toc38441511"/>
      <w:bookmarkStart w:id="1218" w:name="_Toc38441839"/>
      <w:bookmarkStart w:id="1219" w:name="_Toc38442171"/>
      <w:bookmarkStart w:id="1220" w:name="_Toc38442503"/>
      <w:bookmarkStart w:id="1221" w:name="_Toc38442834"/>
      <w:bookmarkStart w:id="1222" w:name="_Toc38443165"/>
      <w:bookmarkStart w:id="1223" w:name="_Toc38443496"/>
      <w:bookmarkStart w:id="1224" w:name="_Toc38443827"/>
      <w:bookmarkStart w:id="1225" w:name="_Toc38438296"/>
      <w:bookmarkStart w:id="1226" w:name="_Toc38438633"/>
      <w:bookmarkStart w:id="1227" w:name="_Toc38438970"/>
      <w:bookmarkStart w:id="1228" w:name="_Toc38439307"/>
      <w:bookmarkStart w:id="1229" w:name="_Toc38439644"/>
      <w:bookmarkStart w:id="1230" w:name="_Toc38439981"/>
      <w:bookmarkStart w:id="1231" w:name="_Toc38440318"/>
      <w:bookmarkStart w:id="1232" w:name="_Toc38440651"/>
      <w:bookmarkStart w:id="1233" w:name="_Toc38440850"/>
      <w:bookmarkStart w:id="1234" w:name="_Toc38441182"/>
      <w:bookmarkStart w:id="1235" w:name="_Toc38441514"/>
      <w:bookmarkStart w:id="1236" w:name="_Toc38441842"/>
      <w:bookmarkStart w:id="1237" w:name="_Toc38442174"/>
      <w:bookmarkStart w:id="1238" w:name="_Toc38442506"/>
      <w:bookmarkStart w:id="1239" w:name="_Toc38442837"/>
      <w:bookmarkStart w:id="1240" w:name="_Toc38443168"/>
      <w:bookmarkStart w:id="1241" w:name="_Toc38443499"/>
      <w:bookmarkStart w:id="1242" w:name="_Toc38443830"/>
      <w:bookmarkStart w:id="1243" w:name="_Toc38438297"/>
      <w:bookmarkStart w:id="1244" w:name="_Toc38438634"/>
      <w:bookmarkStart w:id="1245" w:name="_Toc38438971"/>
      <w:bookmarkStart w:id="1246" w:name="_Toc38439308"/>
      <w:bookmarkStart w:id="1247" w:name="_Toc38439645"/>
      <w:bookmarkStart w:id="1248" w:name="_Toc38439982"/>
      <w:bookmarkStart w:id="1249" w:name="_Toc38440319"/>
      <w:bookmarkStart w:id="1250" w:name="_Toc38440652"/>
      <w:bookmarkStart w:id="1251" w:name="_Toc38440851"/>
      <w:bookmarkStart w:id="1252" w:name="_Toc38441183"/>
      <w:bookmarkStart w:id="1253" w:name="_Toc38441515"/>
      <w:bookmarkStart w:id="1254" w:name="_Toc38441843"/>
      <w:bookmarkStart w:id="1255" w:name="_Toc38442175"/>
      <w:bookmarkStart w:id="1256" w:name="_Toc38442507"/>
      <w:bookmarkStart w:id="1257" w:name="_Toc38442838"/>
      <w:bookmarkStart w:id="1258" w:name="_Toc38443169"/>
      <w:bookmarkStart w:id="1259" w:name="_Toc38443500"/>
      <w:bookmarkStart w:id="1260" w:name="_Toc38443831"/>
      <w:bookmarkStart w:id="1261" w:name="_Toc38438298"/>
      <w:bookmarkStart w:id="1262" w:name="_Toc38438635"/>
      <w:bookmarkStart w:id="1263" w:name="_Toc38438972"/>
      <w:bookmarkStart w:id="1264" w:name="_Toc38439309"/>
      <w:bookmarkStart w:id="1265" w:name="_Toc38439646"/>
      <w:bookmarkStart w:id="1266" w:name="_Toc38439983"/>
      <w:bookmarkStart w:id="1267" w:name="_Toc38440320"/>
      <w:bookmarkStart w:id="1268" w:name="_Toc38440653"/>
      <w:bookmarkStart w:id="1269" w:name="_Toc38440852"/>
      <w:bookmarkStart w:id="1270" w:name="_Toc38441184"/>
      <w:bookmarkStart w:id="1271" w:name="_Toc38441516"/>
      <w:bookmarkStart w:id="1272" w:name="_Toc38441844"/>
      <w:bookmarkStart w:id="1273" w:name="_Toc38442176"/>
      <w:bookmarkStart w:id="1274" w:name="_Toc38442508"/>
      <w:bookmarkStart w:id="1275" w:name="_Toc38442839"/>
      <w:bookmarkStart w:id="1276" w:name="_Toc38443170"/>
      <w:bookmarkStart w:id="1277" w:name="_Toc38443501"/>
      <w:bookmarkStart w:id="1278" w:name="_Toc38443832"/>
      <w:bookmarkStart w:id="1279" w:name="_Toc38438299"/>
      <w:bookmarkStart w:id="1280" w:name="_Toc38438636"/>
      <w:bookmarkStart w:id="1281" w:name="_Toc38438973"/>
      <w:bookmarkStart w:id="1282" w:name="_Toc38439310"/>
      <w:bookmarkStart w:id="1283" w:name="_Toc38439647"/>
      <w:bookmarkStart w:id="1284" w:name="_Toc38439984"/>
      <w:bookmarkStart w:id="1285" w:name="_Toc38440321"/>
      <w:bookmarkStart w:id="1286" w:name="_Toc38440654"/>
      <w:bookmarkStart w:id="1287" w:name="_Toc38440853"/>
      <w:bookmarkStart w:id="1288" w:name="_Toc38441185"/>
      <w:bookmarkStart w:id="1289" w:name="_Toc38441517"/>
      <w:bookmarkStart w:id="1290" w:name="_Toc38441845"/>
      <w:bookmarkStart w:id="1291" w:name="_Toc38442177"/>
      <w:bookmarkStart w:id="1292" w:name="_Toc38442509"/>
      <w:bookmarkStart w:id="1293" w:name="_Toc38442840"/>
      <w:bookmarkStart w:id="1294" w:name="_Toc38443171"/>
      <w:bookmarkStart w:id="1295" w:name="_Toc38443502"/>
      <w:bookmarkStart w:id="1296" w:name="_Toc38443833"/>
      <w:bookmarkStart w:id="1297" w:name="_Toc38438301"/>
      <w:bookmarkStart w:id="1298" w:name="_Toc38438638"/>
      <w:bookmarkStart w:id="1299" w:name="_Toc38438975"/>
      <w:bookmarkStart w:id="1300" w:name="_Toc38439312"/>
      <w:bookmarkStart w:id="1301" w:name="_Toc38439649"/>
      <w:bookmarkStart w:id="1302" w:name="_Toc38439986"/>
      <w:bookmarkStart w:id="1303" w:name="_Toc38440323"/>
      <w:bookmarkStart w:id="1304" w:name="_Toc38440656"/>
      <w:bookmarkStart w:id="1305" w:name="_Toc38440855"/>
      <w:bookmarkStart w:id="1306" w:name="_Toc38441187"/>
      <w:bookmarkStart w:id="1307" w:name="_Toc38441519"/>
      <w:bookmarkStart w:id="1308" w:name="_Toc38441847"/>
      <w:bookmarkStart w:id="1309" w:name="_Toc38442179"/>
      <w:bookmarkStart w:id="1310" w:name="_Toc38442511"/>
      <w:bookmarkStart w:id="1311" w:name="_Toc38442842"/>
      <w:bookmarkStart w:id="1312" w:name="_Toc38443173"/>
      <w:bookmarkStart w:id="1313" w:name="_Toc38443504"/>
      <w:bookmarkStart w:id="1314" w:name="_Toc38443835"/>
      <w:bookmarkStart w:id="1315" w:name="_Toc38438302"/>
      <w:bookmarkStart w:id="1316" w:name="_Toc38438639"/>
      <w:bookmarkStart w:id="1317" w:name="_Toc38438976"/>
      <w:bookmarkStart w:id="1318" w:name="_Toc38439313"/>
      <w:bookmarkStart w:id="1319" w:name="_Toc38439650"/>
      <w:bookmarkStart w:id="1320" w:name="_Toc38439987"/>
      <w:bookmarkStart w:id="1321" w:name="_Toc38440324"/>
      <w:bookmarkStart w:id="1322" w:name="_Toc38440657"/>
      <w:bookmarkStart w:id="1323" w:name="_Toc38440856"/>
      <w:bookmarkStart w:id="1324" w:name="_Toc38441188"/>
      <w:bookmarkStart w:id="1325" w:name="_Toc38441520"/>
      <w:bookmarkStart w:id="1326" w:name="_Toc38441848"/>
      <w:bookmarkStart w:id="1327" w:name="_Toc38442180"/>
      <w:bookmarkStart w:id="1328" w:name="_Toc38442512"/>
      <w:bookmarkStart w:id="1329" w:name="_Toc38442843"/>
      <w:bookmarkStart w:id="1330" w:name="_Toc38443174"/>
      <w:bookmarkStart w:id="1331" w:name="_Toc38443505"/>
      <w:bookmarkStart w:id="1332" w:name="_Toc38443836"/>
      <w:bookmarkStart w:id="1333" w:name="_Toc38438303"/>
      <w:bookmarkStart w:id="1334" w:name="_Toc38438640"/>
      <w:bookmarkStart w:id="1335" w:name="_Toc38438977"/>
      <w:bookmarkStart w:id="1336" w:name="_Toc38439314"/>
      <w:bookmarkStart w:id="1337" w:name="_Toc38439651"/>
      <w:bookmarkStart w:id="1338" w:name="_Toc38439988"/>
      <w:bookmarkStart w:id="1339" w:name="_Toc38440325"/>
      <w:bookmarkStart w:id="1340" w:name="_Toc38440658"/>
      <w:bookmarkStart w:id="1341" w:name="_Toc38440857"/>
      <w:bookmarkStart w:id="1342" w:name="_Toc38441189"/>
      <w:bookmarkStart w:id="1343" w:name="_Toc38441521"/>
      <w:bookmarkStart w:id="1344" w:name="_Toc38441849"/>
      <w:bookmarkStart w:id="1345" w:name="_Toc38442181"/>
      <w:bookmarkStart w:id="1346" w:name="_Toc38442513"/>
      <w:bookmarkStart w:id="1347" w:name="_Toc38442844"/>
      <w:bookmarkStart w:id="1348" w:name="_Toc38443175"/>
      <w:bookmarkStart w:id="1349" w:name="_Toc38443506"/>
      <w:bookmarkStart w:id="1350" w:name="_Toc38443837"/>
      <w:bookmarkStart w:id="1351" w:name="_Toc38438304"/>
      <w:bookmarkStart w:id="1352" w:name="_Toc38438641"/>
      <w:bookmarkStart w:id="1353" w:name="_Toc38438978"/>
      <w:bookmarkStart w:id="1354" w:name="_Toc38439315"/>
      <w:bookmarkStart w:id="1355" w:name="_Toc38439652"/>
      <w:bookmarkStart w:id="1356" w:name="_Toc38439989"/>
      <w:bookmarkStart w:id="1357" w:name="_Toc38440326"/>
      <w:bookmarkStart w:id="1358" w:name="_Toc38440659"/>
      <w:bookmarkStart w:id="1359" w:name="_Toc38440858"/>
      <w:bookmarkStart w:id="1360" w:name="_Toc38441190"/>
      <w:bookmarkStart w:id="1361" w:name="_Toc38441522"/>
      <w:bookmarkStart w:id="1362" w:name="_Toc38441850"/>
      <w:bookmarkStart w:id="1363" w:name="_Toc38442182"/>
      <w:bookmarkStart w:id="1364" w:name="_Toc38442514"/>
      <w:bookmarkStart w:id="1365" w:name="_Toc38442845"/>
      <w:bookmarkStart w:id="1366" w:name="_Toc38443176"/>
      <w:bookmarkStart w:id="1367" w:name="_Toc38443507"/>
      <w:bookmarkStart w:id="1368" w:name="_Toc38443838"/>
      <w:bookmarkStart w:id="1369" w:name="_Toc38438305"/>
      <w:bookmarkStart w:id="1370" w:name="_Toc38438642"/>
      <w:bookmarkStart w:id="1371" w:name="_Toc38438979"/>
      <w:bookmarkStart w:id="1372" w:name="_Toc38439316"/>
      <w:bookmarkStart w:id="1373" w:name="_Toc38439653"/>
      <w:bookmarkStart w:id="1374" w:name="_Toc38439990"/>
      <w:bookmarkStart w:id="1375" w:name="_Toc38440327"/>
      <w:bookmarkStart w:id="1376" w:name="_Toc38440660"/>
      <w:bookmarkStart w:id="1377" w:name="_Toc38440859"/>
      <w:bookmarkStart w:id="1378" w:name="_Toc38441191"/>
      <w:bookmarkStart w:id="1379" w:name="_Toc38441523"/>
      <w:bookmarkStart w:id="1380" w:name="_Toc38441851"/>
      <w:bookmarkStart w:id="1381" w:name="_Toc38442183"/>
      <w:bookmarkStart w:id="1382" w:name="_Toc38442515"/>
      <w:bookmarkStart w:id="1383" w:name="_Toc38442846"/>
      <w:bookmarkStart w:id="1384" w:name="_Toc38443177"/>
      <w:bookmarkStart w:id="1385" w:name="_Toc38443508"/>
      <w:bookmarkStart w:id="1386" w:name="_Toc38443839"/>
      <w:bookmarkStart w:id="1387" w:name="_Toc38438306"/>
      <w:bookmarkStart w:id="1388" w:name="_Toc38438643"/>
      <w:bookmarkStart w:id="1389" w:name="_Toc38438980"/>
      <w:bookmarkStart w:id="1390" w:name="_Toc38439317"/>
      <w:bookmarkStart w:id="1391" w:name="_Toc38439654"/>
      <w:bookmarkStart w:id="1392" w:name="_Toc38439991"/>
      <w:bookmarkStart w:id="1393" w:name="_Toc38440328"/>
      <w:bookmarkStart w:id="1394" w:name="_Toc38440661"/>
      <w:bookmarkStart w:id="1395" w:name="_Toc38440860"/>
      <w:bookmarkStart w:id="1396" w:name="_Toc38441192"/>
      <w:bookmarkStart w:id="1397" w:name="_Toc38441524"/>
      <w:bookmarkStart w:id="1398" w:name="_Toc38441852"/>
      <w:bookmarkStart w:id="1399" w:name="_Toc38442184"/>
      <w:bookmarkStart w:id="1400" w:name="_Toc38442516"/>
      <w:bookmarkStart w:id="1401" w:name="_Toc38442847"/>
      <w:bookmarkStart w:id="1402" w:name="_Toc38443178"/>
      <w:bookmarkStart w:id="1403" w:name="_Toc38443509"/>
      <w:bookmarkStart w:id="1404" w:name="_Toc38443840"/>
      <w:bookmarkStart w:id="1405" w:name="_Toc38438310"/>
      <w:bookmarkStart w:id="1406" w:name="_Toc38438647"/>
      <w:bookmarkStart w:id="1407" w:name="_Toc38438984"/>
      <w:bookmarkStart w:id="1408" w:name="_Toc38439321"/>
      <w:bookmarkStart w:id="1409" w:name="_Toc38439658"/>
      <w:bookmarkStart w:id="1410" w:name="_Toc38439995"/>
      <w:bookmarkStart w:id="1411" w:name="_Toc38440332"/>
      <w:bookmarkStart w:id="1412" w:name="_Toc38440665"/>
      <w:bookmarkStart w:id="1413" w:name="_Toc38440864"/>
      <w:bookmarkStart w:id="1414" w:name="_Toc38441196"/>
      <w:bookmarkStart w:id="1415" w:name="_Toc38441528"/>
      <w:bookmarkStart w:id="1416" w:name="_Toc38441856"/>
      <w:bookmarkStart w:id="1417" w:name="_Toc38442188"/>
      <w:bookmarkStart w:id="1418" w:name="_Toc38442520"/>
      <w:bookmarkStart w:id="1419" w:name="_Toc38442851"/>
      <w:bookmarkStart w:id="1420" w:name="_Toc38443182"/>
      <w:bookmarkStart w:id="1421" w:name="_Toc38443513"/>
      <w:bookmarkStart w:id="1422" w:name="_Toc38443844"/>
      <w:bookmarkStart w:id="1423" w:name="_Toc38438311"/>
      <w:bookmarkStart w:id="1424" w:name="_Toc38438648"/>
      <w:bookmarkStart w:id="1425" w:name="_Toc38438985"/>
      <w:bookmarkStart w:id="1426" w:name="_Toc38439322"/>
      <w:bookmarkStart w:id="1427" w:name="_Toc38439659"/>
      <w:bookmarkStart w:id="1428" w:name="_Toc38439996"/>
      <w:bookmarkStart w:id="1429" w:name="_Toc38440333"/>
      <w:bookmarkStart w:id="1430" w:name="_Toc38440666"/>
      <w:bookmarkStart w:id="1431" w:name="_Toc38440865"/>
      <w:bookmarkStart w:id="1432" w:name="_Toc38441197"/>
      <w:bookmarkStart w:id="1433" w:name="_Toc38441529"/>
      <w:bookmarkStart w:id="1434" w:name="_Toc38441857"/>
      <w:bookmarkStart w:id="1435" w:name="_Toc38442189"/>
      <w:bookmarkStart w:id="1436" w:name="_Toc38442521"/>
      <w:bookmarkStart w:id="1437" w:name="_Toc38442852"/>
      <w:bookmarkStart w:id="1438" w:name="_Toc38443183"/>
      <w:bookmarkStart w:id="1439" w:name="_Toc38443514"/>
      <w:bookmarkStart w:id="1440" w:name="_Toc38443845"/>
      <w:bookmarkStart w:id="1441" w:name="_Toc38438312"/>
      <w:bookmarkStart w:id="1442" w:name="_Toc38438649"/>
      <w:bookmarkStart w:id="1443" w:name="_Toc38438986"/>
      <w:bookmarkStart w:id="1444" w:name="_Toc38439323"/>
      <w:bookmarkStart w:id="1445" w:name="_Toc38439660"/>
      <w:bookmarkStart w:id="1446" w:name="_Toc38439997"/>
      <w:bookmarkStart w:id="1447" w:name="_Toc38440334"/>
      <w:bookmarkStart w:id="1448" w:name="_Toc38440667"/>
      <w:bookmarkStart w:id="1449" w:name="_Toc38440866"/>
      <w:bookmarkStart w:id="1450" w:name="_Toc38441198"/>
      <w:bookmarkStart w:id="1451" w:name="_Toc38441530"/>
      <w:bookmarkStart w:id="1452" w:name="_Toc38441858"/>
      <w:bookmarkStart w:id="1453" w:name="_Toc38442190"/>
      <w:bookmarkStart w:id="1454" w:name="_Toc38442522"/>
      <w:bookmarkStart w:id="1455" w:name="_Toc38442853"/>
      <w:bookmarkStart w:id="1456" w:name="_Toc38443184"/>
      <w:bookmarkStart w:id="1457" w:name="_Toc38443515"/>
      <w:bookmarkStart w:id="1458" w:name="_Toc38443846"/>
      <w:bookmarkStart w:id="1459" w:name="_Toc38438313"/>
      <w:bookmarkStart w:id="1460" w:name="_Toc38438650"/>
      <w:bookmarkStart w:id="1461" w:name="_Toc38438987"/>
      <w:bookmarkStart w:id="1462" w:name="_Toc38439324"/>
      <w:bookmarkStart w:id="1463" w:name="_Toc38439661"/>
      <w:bookmarkStart w:id="1464" w:name="_Toc38439998"/>
      <w:bookmarkStart w:id="1465" w:name="_Toc38440335"/>
      <w:bookmarkStart w:id="1466" w:name="_Toc38440668"/>
      <w:bookmarkStart w:id="1467" w:name="_Toc38440867"/>
      <w:bookmarkStart w:id="1468" w:name="_Toc38441199"/>
      <w:bookmarkStart w:id="1469" w:name="_Toc38441531"/>
      <w:bookmarkStart w:id="1470" w:name="_Toc38441859"/>
      <w:bookmarkStart w:id="1471" w:name="_Toc38442191"/>
      <w:bookmarkStart w:id="1472" w:name="_Toc38442523"/>
      <w:bookmarkStart w:id="1473" w:name="_Toc38442854"/>
      <w:bookmarkStart w:id="1474" w:name="_Toc38443185"/>
      <w:bookmarkStart w:id="1475" w:name="_Toc38443516"/>
      <w:bookmarkStart w:id="1476" w:name="_Toc38443847"/>
      <w:bookmarkStart w:id="1477" w:name="_Toc38438314"/>
      <w:bookmarkStart w:id="1478" w:name="_Toc38438651"/>
      <w:bookmarkStart w:id="1479" w:name="_Toc38438988"/>
      <w:bookmarkStart w:id="1480" w:name="_Toc38439325"/>
      <w:bookmarkStart w:id="1481" w:name="_Toc38439662"/>
      <w:bookmarkStart w:id="1482" w:name="_Toc38439999"/>
      <w:bookmarkStart w:id="1483" w:name="_Toc38440336"/>
      <w:bookmarkStart w:id="1484" w:name="_Toc38440669"/>
      <w:bookmarkStart w:id="1485" w:name="_Toc38440868"/>
      <w:bookmarkStart w:id="1486" w:name="_Toc38441200"/>
      <w:bookmarkStart w:id="1487" w:name="_Toc38441532"/>
      <w:bookmarkStart w:id="1488" w:name="_Toc38441860"/>
      <w:bookmarkStart w:id="1489" w:name="_Toc38442192"/>
      <w:bookmarkStart w:id="1490" w:name="_Toc38442524"/>
      <w:bookmarkStart w:id="1491" w:name="_Toc38442855"/>
      <w:bookmarkStart w:id="1492" w:name="_Toc38443186"/>
      <w:bookmarkStart w:id="1493" w:name="_Toc38443517"/>
      <w:bookmarkStart w:id="1494" w:name="_Toc38443848"/>
      <w:bookmarkStart w:id="1495" w:name="_Toc38438315"/>
      <w:bookmarkStart w:id="1496" w:name="_Toc38438652"/>
      <w:bookmarkStart w:id="1497" w:name="_Toc38438989"/>
      <w:bookmarkStart w:id="1498" w:name="_Toc38439326"/>
      <w:bookmarkStart w:id="1499" w:name="_Toc38439663"/>
      <w:bookmarkStart w:id="1500" w:name="_Toc38440000"/>
      <w:bookmarkStart w:id="1501" w:name="_Toc38440337"/>
      <w:bookmarkStart w:id="1502" w:name="_Toc38440670"/>
      <w:bookmarkStart w:id="1503" w:name="_Toc38440869"/>
      <w:bookmarkStart w:id="1504" w:name="_Toc38441201"/>
      <w:bookmarkStart w:id="1505" w:name="_Toc38441533"/>
      <w:bookmarkStart w:id="1506" w:name="_Toc38441861"/>
      <w:bookmarkStart w:id="1507" w:name="_Toc38442193"/>
      <w:bookmarkStart w:id="1508" w:name="_Toc38442525"/>
      <w:bookmarkStart w:id="1509" w:name="_Toc38442856"/>
      <w:bookmarkStart w:id="1510" w:name="_Toc38443187"/>
      <w:bookmarkStart w:id="1511" w:name="_Toc38443518"/>
      <w:bookmarkStart w:id="1512" w:name="_Toc38443849"/>
      <w:bookmarkStart w:id="1513" w:name="_Toc38438316"/>
      <w:bookmarkStart w:id="1514" w:name="_Toc38438653"/>
      <w:bookmarkStart w:id="1515" w:name="_Toc38438990"/>
      <w:bookmarkStart w:id="1516" w:name="_Toc38439327"/>
      <w:bookmarkStart w:id="1517" w:name="_Toc38439664"/>
      <w:bookmarkStart w:id="1518" w:name="_Toc38440001"/>
      <w:bookmarkStart w:id="1519" w:name="_Toc38440338"/>
      <w:bookmarkStart w:id="1520" w:name="_Toc38440671"/>
      <w:bookmarkStart w:id="1521" w:name="_Toc38440870"/>
      <w:bookmarkStart w:id="1522" w:name="_Toc38441202"/>
      <w:bookmarkStart w:id="1523" w:name="_Toc38441534"/>
      <w:bookmarkStart w:id="1524" w:name="_Toc38441862"/>
      <w:bookmarkStart w:id="1525" w:name="_Toc38442194"/>
      <w:bookmarkStart w:id="1526" w:name="_Toc38442526"/>
      <w:bookmarkStart w:id="1527" w:name="_Toc38442857"/>
      <w:bookmarkStart w:id="1528" w:name="_Toc38443188"/>
      <w:bookmarkStart w:id="1529" w:name="_Toc38443519"/>
      <w:bookmarkStart w:id="1530" w:name="_Toc38443850"/>
      <w:bookmarkStart w:id="1531" w:name="_Toc38438317"/>
      <w:bookmarkStart w:id="1532" w:name="_Toc38438654"/>
      <w:bookmarkStart w:id="1533" w:name="_Toc38438991"/>
      <w:bookmarkStart w:id="1534" w:name="_Toc38439328"/>
      <w:bookmarkStart w:id="1535" w:name="_Toc38439665"/>
      <w:bookmarkStart w:id="1536" w:name="_Toc38440002"/>
      <w:bookmarkStart w:id="1537" w:name="_Toc38440339"/>
      <w:bookmarkStart w:id="1538" w:name="_Toc38440672"/>
      <w:bookmarkStart w:id="1539" w:name="_Toc38440871"/>
      <w:bookmarkStart w:id="1540" w:name="_Toc38441203"/>
      <w:bookmarkStart w:id="1541" w:name="_Toc38441535"/>
      <w:bookmarkStart w:id="1542" w:name="_Toc38441863"/>
      <w:bookmarkStart w:id="1543" w:name="_Toc38442195"/>
      <w:bookmarkStart w:id="1544" w:name="_Toc38442527"/>
      <w:bookmarkStart w:id="1545" w:name="_Toc38442858"/>
      <w:bookmarkStart w:id="1546" w:name="_Toc38443189"/>
      <w:bookmarkStart w:id="1547" w:name="_Toc38443520"/>
      <w:bookmarkStart w:id="1548" w:name="_Toc38443851"/>
      <w:bookmarkStart w:id="1549" w:name="_Toc38438318"/>
      <w:bookmarkStart w:id="1550" w:name="_Toc38438655"/>
      <w:bookmarkStart w:id="1551" w:name="_Toc38438992"/>
      <w:bookmarkStart w:id="1552" w:name="_Toc38439329"/>
      <w:bookmarkStart w:id="1553" w:name="_Toc38439666"/>
      <w:bookmarkStart w:id="1554" w:name="_Toc38440003"/>
      <w:bookmarkStart w:id="1555" w:name="_Toc38440340"/>
      <w:bookmarkStart w:id="1556" w:name="_Toc38440673"/>
      <w:bookmarkStart w:id="1557" w:name="_Toc38440872"/>
      <w:bookmarkStart w:id="1558" w:name="_Toc38441204"/>
      <w:bookmarkStart w:id="1559" w:name="_Toc38441536"/>
      <w:bookmarkStart w:id="1560" w:name="_Toc38441864"/>
      <w:bookmarkStart w:id="1561" w:name="_Toc38442196"/>
      <w:bookmarkStart w:id="1562" w:name="_Toc38442528"/>
      <w:bookmarkStart w:id="1563" w:name="_Toc38442859"/>
      <w:bookmarkStart w:id="1564" w:name="_Toc38443190"/>
      <w:bookmarkStart w:id="1565" w:name="_Toc38443521"/>
      <w:bookmarkStart w:id="1566" w:name="_Toc38443852"/>
      <w:bookmarkStart w:id="1567" w:name="_Toc38438319"/>
      <w:bookmarkStart w:id="1568" w:name="_Toc38438656"/>
      <w:bookmarkStart w:id="1569" w:name="_Toc38438993"/>
      <w:bookmarkStart w:id="1570" w:name="_Toc38439330"/>
      <w:bookmarkStart w:id="1571" w:name="_Toc38439667"/>
      <w:bookmarkStart w:id="1572" w:name="_Toc38440004"/>
      <w:bookmarkStart w:id="1573" w:name="_Toc38440341"/>
      <w:bookmarkStart w:id="1574" w:name="_Toc38440674"/>
      <w:bookmarkStart w:id="1575" w:name="_Toc38440873"/>
      <w:bookmarkStart w:id="1576" w:name="_Toc38441205"/>
      <w:bookmarkStart w:id="1577" w:name="_Toc38441537"/>
      <w:bookmarkStart w:id="1578" w:name="_Toc38441865"/>
      <w:bookmarkStart w:id="1579" w:name="_Toc38442197"/>
      <w:bookmarkStart w:id="1580" w:name="_Toc38442529"/>
      <w:bookmarkStart w:id="1581" w:name="_Toc38442860"/>
      <w:bookmarkStart w:id="1582" w:name="_Toc38443191"/>
      <w:bookmarkStart w:id="1583" w:name="_Toc38443522"/>
      <w:bookmarkStart w:id="1584" w:name="_Toc38443853"/>
      <w:bookmarkStart w:id="1585" w:name="_Toc38438320"/>
      <w:bookmarkStart w:id="1586" w:name="_Toc38438657"/>
      <w:bookmarkStart w:id="1587" w:name="_Toc38438994"/>
      <w:bookmarkStart w:id="1588" w:name="_Toc38439331"/>
      <w:bookmarkStart w:id="1589" w:name="_Toc38439668"/>
      <w:bookmarkStart w:id="1590" w:name="_Toc38440005"/>
      <w:bookmarkStart w:id="1591" w:name="_Toc38440342"/>
      <w:bookmarkStart w:id="1592" w:name="_Toc38440675"/>
      <w:bookmarkStart w:id="1593" w:name="_Toc38440874"/>
      <w:bookmarkStart w:id="1594" w:name="_Toc38441206"/>
      <w:bookmarkStart w:id="1595" w:name="_Toc38441538"/>
      <w:bookmarkStart w:id="1596" w:name="_Toc38441866"/>
      <w:bookmarkStart w:id="1597" w:name="_Toc38442198"/>
      <w:bookmarkStart w:id="1598" w:name="_Toc38442530"/>
      <w:bookmarkStart w:id="1599" w:name="_Toc38442861"/>
      <w:bookmarkStart w:id="1600" w:name="_Toc38443192"/>
      <w:bookmarkStart w:id="1601" w:name="_Toc38443523"/>
      <w:bookmarkStart w:id="1602" w:name="_Toc38443854"/>
      <w:bookmarkStart w:id="1603" w:name="_Toc38438321"/>
      <w:bookmarkStart w:id="1604" w:name="_Toc38438658"/>
      <w:bookmarkStart w:id="1605" w:name="_Toc38438995"/>
      <w:bookmarkStart w:id="1606" w:name="_Toc38439332"/>
      <w:bookmarkStart w:id="1607" w:name="_Toc38439669"/>
      <w:bookmarkStart w:id="1608" w:name="_Toc38440006"/>
      <w:bookmarkStart w:id="1609" w:name="_Toc38440343"/>
      <w:bookmarkStart w:id="1610" w:name="_Toc38440676"/>
      <w:bookmarkStart w:id="1611" w:name="_Toc38440875"/>
      <w:bookmarkStart w:id="1612" w:name="_Toc38441207"/>
      <w:bookmarkStart w:id="1613" w:name="_Toc38441539"/>
      <w:bookmarkStart w:id="1614" w:name="_Toc38441867"/>
      <w:bookmarkStart w:id="1615" w:name="_Toc38442199"/>
      <w:bookmarkStart w:id="1616" w:name="_Toc38442531"/>
      <w:bookmarkStart w:id="1617" w:name="_Toc38442862"/>
      <w:bookmarkStart w:id="1618" w:name="_Toc38443193"/>
      <w:bookmarkStart w:id="1619" w:name="_Toc38443524"/>
      <w:bookmarkStart w:id="1620" w:name="_Toc38443855"/>
      <w:bookmarkStart w:id="1621" w:name="_Toc38438322"/>
      <w:bookmarkStart w:id="1622" w:name="_Toc38438659"/>
      <w:bookmarkStart w:id="1623" w:name="_Toc38438996"/>
      <w:bookmarkStart w:id="1624" w:name="_Toc38439333"/>
      <w:bookmarkStart w:id="1625" w:name="_Toc38439670"/>
      <w:bookmarkStart w:id="1626" w:name="_Toc38440007"/>
      <w:bookmarkStart w:id="1627" w:name="_Toc38440344"/>
      <w:bookmarkStart w:id="1628" w:name="_Toc38440677"/>
      <w:bookmarkStart w:id="1629" w:name="_Toc38440876"/>
      <w:bookmarkStart w:id="1630" w:name="_Toc38441208"/>
      <w:bookmarkStart w:id="1631" w:name="_Toc38441540"/>
      <w:bookmarkStart w:id="1632" w:name="_Toc38441868"/>
      <w:bookmarkStart w:id="1633" w:name="_Toc38442200"/>
      <w:bookmarkStart w:id="1634" w:name="_Toc38442532"/>
      <w:bookmarkStart w:id="1635" w:name="_Toc38442863"/>
      <w:bookmarkStart w:id="1636" w:name="_Toc38443194"/>
      <w:bookmarkStart w:id="1637" w:name="_Toc38443525"/>
      <w:bookmarkStart w:id="1638" w:name="_Toc38443856"/>
      <w:bookmarkStart w:id="1639" w:name="_Toc38438323"/>
      <w:bookmarkStart w:id="1640" w:name="_Toc38438660"/>
      <w:bookmarkStart w:id="1641" w:name="_Toc38438997"/>
      <w:bookmarkStart w:id="1642" w:name="_Toc38439334"/>
      <w:bookmarkStart w:id="1643" w:name="_Toc38439671"/>
      <w:bookmarkStart w:id="1644" w:name="_Toc38440008"/>
      <w:bookmarkStart w:id="1645" w:name="_Toc38440345"/>
      <w:bookmarkStart w:id="1646" w:name="_Toc38440678"/>
      <w:bookmarkStart w:id="1647" w:name="_Toc38440877"/>
      <w:bookmarkStart w:id="1648" w:name="_Toc38441209"/>
      <w:bookmarkStart w:id="1649" w:name="_Toc38441541"/>
      <w:bookmarkStart w:id="1650" w:name="_Toc38441869"/>
      <w:bookmarkStart w:id="1651" w:name="_Toc38442201"/>
      <w:bookmarkStart w:id="1652" w:name="_Toc38442533"/>
      <w:bookmarkStart w:id="1653" w:name="_Toc38442864"/>
      <w:bookmarkStart w:id="1654" w:name="_Toc38443195"/>
      <w:bookmarkStart w:id="1655" w:name="_Toc38443526"/>
      <w:bookmarkStart w:id="1656" w:name="_Toc38443857"/>
      <w:bookmarkStart w:id="1657" w:name="_Toc38438324"/>
      <w:bookmarkStart w:id="1658" w:name="_Toc38438661"/>
      <w:bookmarkStart w:id="1659" w:name="_Toc38438998"/>
      <w:bookmarkStart w:id="1660" w:name="_Toc38439335"/>
      <w:bookmarkStart w:id="1661" w:name="_Toc38439672"/>
      <w:bookmarkStart w:id="1662" w:name="_Toc38440009"/>
      <w:bookmarkStart w:id="1663" w:name="_Toc38440346"/>
      <w:bookmarkStart w:id="1664" w:name="_Toc38440679"/>
      <w:bookmarkStart w:id="1665" w:name="_Toc38440878"/>
      <w:bookmarkStart w:id="1666" w:name="_Toc38441210"/>
      <w:bookmarkStart w:id="1667" w:name="_Toc38441542"/>
      <w:bookmarkStart w:id="1668" w:name="_Toc38441870"/>
      <w:bookmarkStart w:id="1669" w:name="_Toc38442202"/>
      <w:bookmarkStart w:id="1670" w:name="_Toc38442534"/>
      <w:bookmarkStart w:id="1671" w:name="_Toc38442865"/>
      <w:bookmarkStart w:id="1672" w:name="_Toc38443196"/>
      <w:bookmarkStart w:id="1673" w:name="_Toc38443527"/>
      <w:bookmarkStart w:id="1674" w:name="_Toc38443858"/>
      <w:bookmarkStart w:id="1675" w:name="_Toc38438325"/>
      <w:bookmarkStart w:id="1676" w:name="_Toc38438662"/>
      <w:bookmarkStart w:id="1677" w:name="_Toc38438999"/>
      <w:bookmarkStart w:id="1678" w:name="_Toc38439336"/>
      <w:bookmarkStart w:id="1679" w:name="_Toc38439673"/>
      <w:bookmarkStart w:id="1680" w:name="_Toc38440010"/>
      <w:bookmarkStart w:id="1681" w:name="_Toc38440347"/>
      <w:bookmarkStart w:id="1682" w:name="_Toc38440879"/>
      <w:bookmarkStart w:id="1683" w:name="_Toc38441211"/>
      <w:bookmarkStart w:id="1684" w:name="_Toc38441543"/>
      <w:bookmarkStart w:id="1685" w:name="_Toc38441871"/>
      <w:bookmarkStart w:id="1686" w:name="_Toc38442203"/>
      <w:bookmarkStart w:id="1687" w:name="_Toc38442535"/>
      <w:bookmarkStart w:id="1688" w:name="_Toc38442866"/>
      <w:bookmarkStart w:id="1689" w:name="_Toc38443197"/>
      <w:bookmarkStart w:id="1690" w:name="_Toc38443528"/>
      <w:bookmarkStart w:id="1691" w:name="_Toc38443859"/>
      <w:bookmarkStart w:id="1692" w:name="_Toc38438326"/>
      <w:bookmarkStart w:id="1693" w:name="_Toc38438663"/>
      <w:bookmarkStart w:id="1694" w:name="_Toc38439000"/>
      <w:bookmarkStart w:id="1695" w:name="_Toc38439337"/>
      <w:bookmarkStart w:id="1696" w:name="_Toc38439674"/>
      <w:bookmarkStart w:id="1697" w:name="_Toc38440011"/>
      <w:bookmarkStart w:id="1698" w:name="_Toc38440348"/>
      <w:bookmarkStart w:id="1699" w:name="_Toc38440880"/>
      <w:bookmarkStart w:id="1700" w:name="_Toc38441212"/>
      <w:bookmarkStart w:id="1701" w:name="_Toc38441544"/>
      <w:bookmarkStart w:id="1702" w:name="_Toc38441872"/>
      <w:bookmarkStart w:id="1703" w:name="_Toc38442204"/>
      <w:bookmarkStart w:id="1704" w:name="_Toc38442536"/>
      <w:bookmarkStart w:id="1705" w:name="_Toc38442867"/>
      <w:bookmarkStart w:id="1706" w:name="_Toc38443198"/>
      <w:bookmarkStart w:id="1707" w:name="_Toc38443529"/>
      <w:bookmarkStart w:id="1708" w:name="_Toc38443860"/>
      <w:bookmarkStart w:id="1709" w:name="_Toc38438327"/>
      <w:bookmarkStart w:id="1710" w:name="_Toc38438664"/>
      <w:bookmarkStart w:id="1711" w:name="_Toc38439001"/>
      <w:bookmarkStart w:id="1712" w:name="_Toc38439338"/>
      <w:bookmarkStart w:id="1713" w:name="_Toc38439675"/>
      <w:bookmarkStart w:id="1714" w:name="_Toc38440012"/>
      <w:bookmarkStart w:id="1715" w:name="_Toc38440349"/>
      <w:bookmarkStart w:id="1716" w:name="_Toc38440881"/>
      <w:bookmarkStart w:id="1717" w:name="_Toc38441213"/>
      <w:bookmarkStart w:id="1718" w:name="_Toc38441545"/>
      <w:bookmarkStart w:id="1719" w:name="_Toc38441873"/>
      <w:bookmarkStart w:id="1720" w:name="_Toc38442205"/>
      <w:bookmarkStart w:id="1721" w:name="_Toc38442537"/>
      <w:bookmarkStart w:id="1722" w:name="_Toc38442868"/>
      <w:bookmarkStart w:id="1723" w:name="_Toc38443199"/>
      <w:bookmarkStart w:id="1724" w:name="_Toc38443530"/>
      <w:bookmarkStart w:id="1725" w:name="_Toc38443861"/>
      <w:bookmarkStart w:id="1726" w:name="_Toc38438328"/>
      <w:bookmarkStart w:id="1727" w:name="_Toc38438665"/>
      <w:bookmarkStart w:id="1728" w:name="_Toc38439002"/>
      <w:bookmarkStart w:id="1729" w:name="_Toc38439339"/>
      <w:bookmarkStart w:id="1730" w:name="_Toc38439676"/>
      <w:bookmarkStart w:id="1731" w:name="_Toc38440013"/>
      <w:bookmarkStart w:id="1732" w:name="_Toc38440350"/>
      <w:bookmarkStart w:id="1733" w:name="_Toc38440882"/>
      <w:bookmarkStart w:id="1734" w:name="_Toc38441214"/>
      <w:bookmarkStart w:id="1735" w:name="_Toc38441546"/>
      <w:bookmarkStart w:id="1736" w:name="_Toc38441874"/>
      <w:bookmarkStart w:id="1737" w:name="_Toc38442206"/>
      <w:bookmarkStart w:id="1738" w:name="_Toc38442538"/>
      <w:bookmarkStart w:id="1739" w:name="_Toc38442869"/>
      <w:bookmarkStart w:id="1740" w:name="_Toc38443200"/>
      <w:bookmarkStart w:id="1741" w:name="_Toc38443531"/>
      <w:bookmarkStart w:id="1742" w:name="_Toc38443862"/>
      <w:bookmarkStart w:id="1743" w:name="_Toc38438329"/>
      <w:bookmarkStart w:id="1744" w:name="_Toc38438666"/>
      <w:bookmarkStart w:id="1745" w:name="_Toc38439003"/>
      <w:bookmarkStart w:id="1746" w:name="_Toc38439340"/>
      <w:bookmarkStart w:id="1747" w:name="_Toc38439677"/>
      <w:bookmarkStart w:id="1748" w:name="_Toc38440014"/>
      <w:bookmarkStart w:id="1749" w:name="_Toc38440351"/>
      <w:bookmarkStart w:id="1750" w:name="_Toc38440883"/>
      <w:bookmarkStart w:id="1751" w:name="_Toc38441215"/>
      <w:bookmarkStart w:id="1752" w:name="_Toc38441547"/>
      <w:bookmarkStart w:id="1753" w:name="_Toc38441875"/>
      <w:bookmarkStart w:id="1754" w:name="_Toc38442207"/>
      <w:bookmarkStart w:id="1755" w:name="_Toc38442539"/>
      <w:bookmarkStart w:id="1756" w:name="_Toc38442870"/>
      <w:bookmarkStart w:id="1757" w:name="_Toc38443201"/>
      <w:bookmarkStart w:id="1758" w:name="_Toc38443532"/>
      <w:bookmarkStart w:id="1759" w:name="_Toc38443863"/>
      <w:bookmarkStart w:id="1760" w:name="_Toc38438330"/>
      <w:bookmarkStart w:id="1761" w:name="_Toc38438667"/>
      <w:bookmarkStart w:id="1762" w:name="_Toc38439004"/>
      <w:bookmarkStart w:id="1763" w:name="_Toc38439341"/>
      <w:bookmarkStart w:id="1764" w:name="_Toc38439678"/>
      <w:bookmarkStart w:id="1765" w:name="_Toc38440015"/>
      <w:bookmarkStart w:id="1766" w:name="_Toc38440352"/>
      <w:bookmarkStart w:id="1767" w:name="_Toc38440884"/>
      <w:bookmarkStart w:id="1768" w:name="_Toc38441216"/>
      <w:bookmarkStart w:id="1769" w:name="_Toc38441548"/>
      <w:bookmarkStart w:id="1770" w:name="_Toc38441876"/>
      <w:bookmarkStart w:id="1771" w:name="_Toc38442208"/>
      <w:bookmarkStart w:id="1772" w:name="_Toc38442540"/>
      <w:bookmarkStart w:id="1773" w:name="_Toc38442871"/>
      <w:bookmarkStart w:id="1774" w:name="_Toc38443202"/>
      <w:bookmarkStart w:id="1775" w:name="_Toc38443533"/>
      <w:bookmarkStart w:id="1776" w:name="_Toc38443864"/>
      <w:bookmarkStart w:id="1777" w:name="_Toc38438331"/>
      <w:bookmarkStart w:id="1778" w:name="_Toc38438668"/>
      <w:bookmarkStart w:id="1779" w:name="_Toc38439005"/>
      <w:bookmarkStart w:id="1780" w:name="_Toc38439342"/>
      <w:bookmarkStart w:id="1781" w:name="_Toc38439679"/>
      <w:bookmarkStart w:id="1782" w:name="_Toc38440016"/>
      <w:bookmarkStart w:id="1783" w:name="_Toc38440353"/>
      <w:bookmarkStart w:id="1784" w:name="_Toc38440885"/>
      <w:bookmarkStart w:id="1785" w:name="_Toc38441217"/>
      <w:bookmarkStart w:id="1786" w:name="_Toc38441549"/>
      <w:bookmarkStart w:id="1787" w:name="_Toc38441877"/>
      <w:bookmarkStart w:id="1788" w:name="_Toc38442209"/>
      <w:bookmarkStart w:id="1789" w:name="_Toc38442541"/>
      <w:bookmarkStart w:id="1790" w:name="_Toc38442872"/>
      <w:bookmarkStart w:id="1791" w:name="_Toc38443203"/>
      <w:bookmarkStart w:id="1792" w:name="_Toc38443534"/>
      <w:bookmarkStart w:id="1793" w:name="_Toc38443865"/>
      <w:bookmarkStart w:id="1794" w:name="_Toc38438332"/>
      <w:bookmarkStart w:id="1795" w:name="_Toc38438669"/>
      <w:bookmarkStart w:id="1796" w:name="_Toc38439006"/>
      <w:bookmarkStart w:id="1797" w:name="_Toc38439343"/>
      <w:bookmarkStart w:id="1798" w:name="_Toc38439680"/>
      <w:bookmarkStart w:id="1799" w:name="_Toc38440017"/>
      <w:bookmarkStart w:id="1800" w:name="_Toc38440354"/>
      <w:bookmarkStart w:id="1801" w:name="_Toc38440886"/>
      <w:bookmarkStart w:id="1802" w:name="_Toc38441218"/>
      <w:bookmarkStart w:id="1803" w:name="_Toc38441550"/>
      <w:bookmarkStart w:id="1804" w:name="_Toc38441878"/>
      <w:bookmarkStart w:id="1805" w:name="_Toc38442210"/>
      <w:bookmarkStart w:id="1806" w:name="_Toc38442542"/>
      <w:bookmarkStart w:id="1807" w:name="_Toc38442873"/>
      <w:bookmarkStart w:id="1808" w:name="_Toc38443204"/>
      <w:bookmarkStart w:id="1809" w:name="_Toc38443535"/>
      <w:bookmarkStart w:id="1810" w:name="_Toc38443866"/>
      <w:bookmarkStart w:id="1811" w:name="_Toc38438333"/>
      <w:bookmarkStart w:id="1812" w:name="_Toc38438670"/>
      <w:bookmarkStart w:id="1813" w:name="_Toc38439007"/>
      <w:bookmarkStart w:id="1814" w:name="_Toc38439344"/>
      <w:bookmarkStart w:id="1815" w:name="_Toc38439681"/>
      <w:bookmarkStart w:id="1816" w:name="_Toc38440018"/>
      <w:bookmarkStart w:id="1817" w:name="_Toc38440355"/>
      <w:bookmarkStart w:id="1818" w:name="_Toc38440887"/>
      <w:bookmarkStart w:id="1819" w:name="_Toc38441219"/>
      <w:bookmarkStart w:id="1820" w:name="_Toc38441551"/>
      <w:bookmarkStart w:id="1821" w:name="_Toc38441879"/>
      <w:bookmarkStart w:id="1822" w:name="_Toc38442211"/>
      <w:bookmarkStart w:id="1823" w:name="_Toc38442543"/>
      <w:bookmarkStart w:id="1824" w:name="_Toc38442874"/>
      <w:bookmarkStart w:id="1825" w:name="_Toc38443205"/>
      <w:bookmarkStart w:id="1826" w:name="_Toc38443536"/>
      <w:bookmarkStart w:id="1827" w:name="_Toc38443867"/>
      <w:bookmarkStart w:id="1828" w:name="_Toc38438334"/>
      <w:bookmarkStart w:id="1829" w:name="_Toc38438671"/>
      <w:bookmarkStart w:id="1830" w:name="_Toc38439008"/>
      <w:bookmarkStart w:id="1831" w:name="_Toc38439345"/>
      <w:bookmarkStart w:id="1832" w:name="_Toc38439682"/>
      <w:bookmarkStart w:id="1833" w:name="_Toc38440019"/>
      <w:bookmarkStart w:id="1834" w:name="_Toc38440356"/>
      <w:bookmarkStart w:id="1835" w:name="_Toc38440888"/>
      <w:bookmarkStart w:id="1836" w:name="_Toc38441220"/>
      <w:bookmarkStart w:id="1837" w:name="_Toc38441552"/>
      <w:bookmarkStart w:id="1838" w:name="_Toc38441880"/>
      <w:bookmarkStart w:id="1839" w:name="_Toc38442212"/>
      <w:bookmarkStart w:id="1840" w:name="_Toc38442544"/>
      <w:bookmarkStart w:id="1841" w:name="_Toc38442875"/>
      <w:bookmarkStart w:id="1842" w:name="_Toc38443206"/>
      <w:bookmarkStart w:id="1843" w:name="_Toc38443537"/>
      <w:bookmarkStart w:id="1844" w:name="_Toc38443868"/>
      <w:bookmarkStart w:id="1845" w:name="_Toc38438335"/>
      <w:bookmarkStart w:id="1846" w:name="_Toc38438672"/>
      <w:bookmarkStart w:id="1847" w:name="_Toc38439009"/>
      <w:bookmarkStart w:id="1848" w:name="_Toc38439346"/>
      <w:bookmarkStart w:id="1849" w:name="_Toc38439683"/>
      <w:bookmarkStart w:id="1850" w:name="_Toc38440020"/>
      <w:bookmarkStart w:id="1851" w:name="_Toc38440357"/>
      <w:bookmarkStart w:id="1852" w:name="_Toc38440889"/>
      <w:bookmarkStart w:id="1853" w:name="_Toc38441221"/>
      <w:bookmarkStart w:id="1854" w:name="_Toc38441553"/>
      <w:bookmarkStart w:id="1855" w:name="_Toc38441881"/>
      <w:bookmarkStart w:id="1856" w:name="_Toc38442213"/>
      <w:bookmarkStart w:id="1857" w:name="_Toc38442545"/>
      <w:bookmarkStart w:id="1858" w:name="_Toc38442876"/>
      <w:bookmarkStart w:id="1859" w:name="_Toc38443207"/>
      <w:bookmarkStart w:id="1860" w:name="_Toc38443538"/>
      <w:bookmarkStart w:id="1861" w:name="_Toc38443869"/>
      <w:bookmarkStart w:id="1862" w:name="_Toc38438336"/>
      <w:bookmarkStart w:id="1863" w:name="_Toc38438673"/>
      <w:bookmarkStart w:id="1864" w:name="_Toc38439010"/>
      <w:bookmarkStart w:id="1865" w:name="_Toc38439347"/>
      <w:bookmarkStart w:id="1866" w:name="_Toc38439684"/>
      <w:bookmarkStart w:id="1867" w:name="_Toc38440021"/>
      <w:bookmarkStart w:id="1868" w:name="_Toc38440358"/>
      <w:bookmarkStart w:id="1869" w:name="_Toc38440890"/>
      <w:bookmarkStart w:id="1870" w:name="_Toc38441222"/>
      <w:bookmarkStart w:id="1871" w:name="_Toc38441554"/>
      <w:bookmarkStart w:id="1872" w:name="_Toc38441882"/>
      <w:bookmarkStart w:id="1873" w:name="_Toc38442214"/>
      <w:bookmarkStart w:id="1874" w:name="_Toc38442546"/>
      <w:bookmarkStart w:id="1875" w:name="_Toc38442877"/>
      <w:bookmarkStart w:id="1876" w:name="_Toc38443208"/>
      <w:bookmarkStart w:id="1877" w:name="_Toc38443539"/>
      <w:bookmarkStart w:id="1878" w:name="_Toc38443870"/>
      <w:bookmarkStart w:id="1879" w:name="_Toc38438337"/>
      <w:bookmarkStart w:id="1880" w:name="_Toc38438674"/>
      <w:bookmarkStart w:id="1881" w:name="_Toc38439011"/>
      <w:bookmarkStart w:id="1882" w:name="_Toc38439348"/>
      <w:bookmarkStart w:id="1883" w:name="_Toc38439685"/>
      <w:bookmarkStart w:id="1884" w:name="_Toc38440022"/>
      <w:bookmarkStart w:id="1885" w:name="_Toc38440359"/>
      <w:bookmarkStart w:id="1886" w:name="_Toc38440891"/>
      <w:bookmarkStart w:id="1887" w:name="_Toc38441223"/>
      <w:bookmarkStart w:id="1888" w:name="_Toc38441555"/>
      <w:bookmarkStart w:id="1889" w:name="_Toc38441883"/>
      <w:bookmarkStart w:id="1890" w:name="_Toc38442215"/>
      <w:bookmarkStart w:id="1891" w:name="_Toc38442547"/>
      <w:bookmarkStart w:id="1892" w:name="_Toc38442878"/>
      <w:bookmarkStart w:id="1893" w:name="_Toc38443209"/>
      <w:bookmarkStart w:id="1894" w:name="_Toc38443540"/>
      <w:bookmarkStart w:id="1895" w:name="_Toc38443871"/>
      <w:bookmarkStart w:id="1896" w:name="_Toc38438338"/>
      <w:bookmarkStart w:id="1897" w:name="_Toc38438675"/>
      <w:bookmarkStart w:id="1898" w:name="_Toc38439012"/>
      <w:bookmarkStart w:id="1899" w:name="_Toc38439349"/>
      <w:bookmarkStart w:id="1900" w:name="_Toc38439686"/>
      <w:bookmarkStart w:id="1901" w:name="_Toc38440023"/>
      <w:bookmarkStart w:id="1902" w:name="_Toc38440360"/>
      <w:bookmarkStart w:id="1903" w:name="_Toc38440892"/>
      <w:bookmarkStart w:id="1904" w:name="_Toc38441224"/>
      <w:bookmarkStart w:id="1905" w:name="_Toc38441556"/>
      <w:bookmarkStart w:id="1906" w:name="_Toc38441884"/>
      <w:bookmarkStart w:id="1907" w:name="_Toc38442216"/>
      <w:bookmarkStart w:id="1908" w:name="_Toc38442548"/>
      <w:bookmarkStart w:id="1909" w:name="_Toc38442879"/>
      <w:bookmarkStart w:id="1910" w:name="_Toc38443210"/>
      <w:bookmarkStart w:id="1911" w:name="_Toc38443541"/>
      <w:bookmarkStart w:id="1912" w:name="_Toc38443872"/>
      <w:bookmarkStart w:id="1913" w:name="_Toc38438339"/>
      <w:bookmarkStart w:id="1914" w:name="_Toc38438676"/>
      <w:bookmarkStart w:id="1915" w:name="_Toc38439013"/>
      <w:bookmarkStart w:id="1916" w:name="_Toc38439350"/>
      <w:bookmarkStart w:id="1917" w:name="_Toc38439687"/>
      <w:bookmarkStart w:id="1918" w:name="_Toc38440024"/>
      <w:bookmarkStart w:id="1919" w:name="_Toc38440361"/>
      <w:bookmarkStart w:id="1920" w:name="_Toc38440893"/>
      <w:bookmarkStart w:id="1921" w:name="_Toc38441225"/>
      <w:bookmarkStart w:id="1922" w:name="_Toc38441557"/>
      <w:bookmarkStart w:id="1923" w:name="_Toc38441885"/>
      <w:bookmarkStart w:id="1924" w:name="_Toc38442217"/>
      <w:bookmarkStart w:id="1925" w:name="_Toc38442549"/>
      <w:bookmarkStart w:id="1926" w:name="_Toc38442880"/>
      <w:bookmarkStart w:id="1927" w:name="_Toc38443211"/>
      <w:bookmarkStart w:id="1928" w:name="_Toc38443542"/>
      <w:bookmarkStart w:id="1929" w:name="_Toc38443873"/>
      <w:bookmarkStart w:id="1930" w:name="_Toc38438340"/>
      <w:bookmarkStart w:id="1931" w:name="_Toc38438677"/>
      <w:bookmarkStart w:id="1932" w:name="_Toc38439014"/>
      <w:bookmarkStart w:id="1933" w:name="_Toc38439351"/>
      <w:bookmarkStart w:id="1934" w:name="_Toc38439688"/>
      <w:bookmarkStart w:id="1935" w:name="_Toc38440025"/>
      <w:bookmarkStart w:id="1936" w:name="_Toc38440362"/>
      <w:bookmarkStart w:id="1937" w:name="_Toc38440894"/>
      <w:bookmarkStart w:id="1938" w:name="_Toc38441226"/>
      <w:bookmarkStart w:id="1939" w:name="_Toc38441558"/>
      <w:bookmarkStart w:id="1940" w:name="_Toc38441886"/>
      <w:bookmarkStart w:id="1941" w:name="_Toc38442218"/>
      <w:bookmarkStart w:id="1942" w:name="_Toc38442550"/>
      <w:bookmarkStart w:id="1943" w:name="_Toc38442881"/>
      <w:bookmarkStart w:id="1944" w:name="_Toc38443212"/>
      <w:bookmarkStart w:id="1945" w:name="_Toc38443543"/>
      <w:bookmarkStart w:id="1946" w:name="_Toc38443874"/>
      <w:bookmarkStart w:id="1947" w:name="_Toc38438341"/>
      <w:bookmarkStart w:id="1948" w:name="_Toc38438678"/>
      <w:bookmarkStart w:id="1949" w:name="_Toc38439015"/>
      <w:bookmarkStart w:id="1950" w:name="_Toc38439352"/>
      <w:bookmarkStart w:id="1951" w:name="_Toc38439689"/>
      <w:bookmarkStart w:id="1952" w:name="_Toc38440026"/>
      <w:bookmarkStart w:id="1953" w:name="_Toc38440363"/>
      <w:bookmarkStart w:id="1954" w:name="_Toc38440895"/>
      <w:bookmarkStart w:id="1955" w:name="_Toc38441227"/>
      <w:bookmarkStart w:id="1956" w:name="_Toc38441559"/>
      <w:bookmarkStart w:id="1957" w:name="_Toc38441887"/>
      <w:bookmarkStart w:id="1958" w:name="_Toc38442219"/>
      <w:bookmarkStart w:id="1959" w:name="_Toc38442551"/>
      <w:bookmarkStart w:id="1960" w:name="_Toc38442882"/>
      <w:bookmarkStart w:id="1961" w:name="_Toc38443213"/>
      <w:bookmarkStart w:id="1962" w:name="_Toc38443544"/>
      <w:bookmarkStart w:id="1963" w:name="_Toc38443875"/>
      <w:bookmarkStart w:id="1964" w:name="_Toc38438342"/>
      <w:bookmarkStart w:id="1965" w:name="_Toc38438679"/>
      <w:bookmarkStart w:id="1966" w:name="_Toc38439016"/>
      <w:bookmarkStart w:id="1967" w:name="_Toc38439353"/>
      <w:bookmarkStart w:id="1968" w:name="_Toc38439690"/>
      <w:bookmarkStart w:id="1969" w:name="_Toc38440027"/>
      <w:bookmarkStart w:id="1970" w:name="_Toc38440364"/>
      <w:bookmarkStart w:id="1971" w:name="_Toc38440896"/>
      <w:bookmarkStart w:id="1972" w:name="_Toc38441228"/>
      <w:bookmarkStart w:id="1973" w:name="_Toc38441560"/>
      <w:bookmarkStart w:id="1974" w:name="_Toc38441888"/>
      <w:bookmarkStart w:id="1975" w:name="_Toc38442220"/>
      <w:bookmarkStart w:id="1976" w:name="_Toc38442552"/>
      <w:bookmarkStart w:id="1977" w:name="_Toc38442883"/>
      <w:bookmarkStart w:id="1978" w:name="_Toc38443214"/>
      <w:bookmarkStart w:id="1979" w:name="_Toc38443545"/>
      <w:bookmarkStart w:id="1980" w:name="_Toc38443876"/>
      <w:bookmarkStart w:id="1981" w:name="_Toc38438343"/>
      <w:bookmarkStart w:id="1982" w:name="_Toc38438680"/>
      <w:bookmarkStart w:id="1983" w:name="_Toc38439017"/>
      <w:bookmarkStart w:id="1984" w:name="_Toc38439354"/>
      <w:bookmarkStart w:id="1985" w:name="_Toc38439691"/>
      <w:bookmarkStart w:id="1986" w:name="_Toc38440028"/>
      <w:bookmarkStart w:id="1987" w:name="_Toc38440365"/>
      <w:bookmarkStart w:id="1988" w:name="_Toc38440897"/>
      <w:bookmarkStart w:id="1989" w:name="_Toc38441229"/>
      <w:bookmarkStart w:id="1990" w:name="_Toc38441561"/>
      <w:bookmarkStart w:id="1991" w:name="_Toc38441889"/>
      <w:bookmarkStart w:id="1992" w:name="_Toc38442221"/>
      <w:bookmarkStart w:id="1993" w:name="_Toc38442553"/>
      <w:bookmarkStart w:id="1994" w:name="_Toc38442884"/>
      <w:bookmarkStart w:id="1995" w:name="_Toc38443215"/>
      <w:bookmarkStart w:id="1996" w:name="_Toc38443546"/>
      <w:bookmarkStart w:id="1997" w:name="_Toc38443877"/>
      <w:bookmarkStart w:id="1998" w:name="_Toc75870067"/>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sidRPr="00FA7BE2">
        <w:rPr>
          <w:rFonts w:asciiTheme="minorEastAsia" w:eastAsiaTheme="minorEastAsia" w:hAnsiTheme="minorEastAsia" w:hint="eastAsia"/>
          <w:b/>
        </w:rPr>
        <w:lastRenderedPageBreak/>
        <w:t>二十</w:t>
      </w:r>
      <w:r w:rsidR="009E2EF4" w:rsidRPr="00FA7BE2">
        <w:rPr>
          <w:rFonts w:asciiTheme="minorEastAsia" w:eastAsiaTheme="minorEastAsia" w:hAnsiTheme="minorEastAsia" w:hint="eastAsia"/>
          <w:b/>
        </w:rPr>
        <w:t>五</w:t>
      </w:r>
      <w:r w:rsidRPr="00FA7BE2">
        <w:rPr>
          <w:rFonts w:asciiTheme="minorEastAsia" w:eastAsiaTheme="minorEastAsia" w:hAnsiTheme="minorEastAsia" w:hint="eastAsia"/>
          <w:b/>
        </w:rPr>
        <w:t>、其他应披露事项</w:t>
      </w:r>
      <w:bookmarkEnd w:id="1998"/>
    </w:p>
    <w:tbl>
      <w:tblPr>
        <w:tblW w:w="81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559"/>
      </w:tblGrid>
      <w:tr w:rsidR="00FA7BE2" w:rsidRPr="00FA7BE2" w:rsidTr="00FA7BE2">
        <w:trPr>
          <w:trHeight w:val="254"/>
        </w:trPr>
        <w:tc>
          <w:tcPr>
            <w:tcW w:w="6565" w:type="dxa"/>
            <w:tcBorders>
              <w:top w:val="single" w:sz="4" w:space="0" w:color="auto"/>
              <w:left w:val="single" w:sz="4" w:space="0" w:color="auto"/>
              <w:bottom w:val="single" w:sz="4" w:space="0" w:color="auto"/>
              <w:right w:val="single" w:sz="4" w:space="0" w:color="auto"/>
            </w:tcBorders>
            <w:vAlign w:val="center"/>
            <w:hideMark/>
          </w:tcPr>
          <w:p w:rsidR="00D21CF5" w:rsidRPr="00FA7BE2" w:rsidRDefault="0085273D" w:rsidP="004F61AF">
            <w:pPr>
              <w:spacing w:line="360" w:lineRule="auto"/>
              <w:ind w:firstLineChars="200" w:firstLine="420"/>
              <w:jc w:val="center"/>
              <w:rPr>
                <w:rFonts w:asciiTheme="minorEastAsia" w:eastAsiaTheme="minorEastAsia" w:hAnsiTheme="minorEastAsia"/>
                <w:szCs w:val="21"/>
              </w:rPr>
            </w:pPr>
            <w:r w:rsidRPr="00FA7BE2">
              <w:rPr>
                <w:rFonts w:asciiTheme="minorEastAsia" w:eastAsiaTheme="minorEastAsia" w:hAnsiTheme="minorEastAsia" w:hint="eastAsia"/>
                <w:szCs w:val="21"/>
              </w:rPr>
              <w:t>公告事项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CF5" w:rsidRPr="00FA7BE2" w:rsidRDefault="0085273D" w:rsidP="004F61AF">
            <w:pPr>
              <w:spacing w:line="360" w:lineRule="auto"/>
              <w:ind w:firstLineChars="100" w:firstLine="210"/>
              <w:rPr>
                <w:rFonts w:asciiTheme="minorEastAsia" w:eastAsiaTheme="minorEastAsia" w:hAnsiTheme="minorEastAsia"/>
                <w:szCs w:val="21"/>
              </w:rPr>
            </w:pPr>
            <w:r w:rsidRPr="00FA7BE2">
              <w:rPr>
                <w:rFonts w:asciiTheme="minorEastAsia" w:eastAsiaTheme="minorEastAsia" w:hAnsiTheme="minorEastAsia" w:hint="eastAsia"/>
                <w:szCs w:val="21"/>
              </w:rPr>
              <w:t>披露日期</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2020-06-22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易方达基金管理有限公司关于旗下三只基金变更业绩比较基准并修改基金合同的公告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2020-07-06</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易方达基金管理有限公司旗下基金2020年第2季度报告提示性公告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2020-07-21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2020-07-24</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易方达基金管理有限公司旗下部分开放式基金增加大连网金为销售机构、参加大连网金费率优惠活动的公告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2020-08-20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易方达基金管理有限公司旗下部分开放式基金增加喜鹊基金为销售机构、参加喜鹊基金费率优惠活动的公告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2020-08-21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易方达基金管理有限公司旗下部分开放式基金增加中国人寿为销售机构、参加中国人寿费率优惠活动的公告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2020-08-24</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易方达基金管理有限公司旗下基金2020年中期报告提示性公告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2020-08-28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易方达基金管理有限公司旗下部分开放式基金参加中金财富申购费率优惠活动的公告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2020-09-08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2020-09-19</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2020-09-30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易方达基金管理有限公司旗下基金2020年第3季度报告提示性公告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2020-10-28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易方达基金管理有限公司关于设立深圳分公司的公告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2020-10-28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易方达基金管理有限公司旗下部分开放式基金增加兰州银行为销售机构的公告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2020-10-30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易方达基金管理有限公司关于通过大泰金石基金销售有限公司购买并持有本公司旗下基金的投资者及时办理转托管的提示性公告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2020-10-31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易方达基金管理有限公司关于旗下基金申购蚂蚁科技集团股份有限公司首次公开发行A股的公告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2020-11-03</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易方达基金管理有限公司旗下部分开放式基金增加海南银行为销售机构的公告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2020-11-25</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易方达基金管理有限公司关于暂停上海久富财富基金销售有限公司办理旗下基金相关销售业务的公告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2020-12-08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关于警惕冒用易方达基金管理有限公司名义进行诈骗活动的特别提示公告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易方达基金管理有限公司关于通过深圳宜投基金销售有限公司购买并持有本公司旗下基金的投资者及时办理转托管的提示性公告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2020-12-16</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易方达基金管理有限公司关于通过浙江金观诚基金销售有限公司购买并持有本公司旗下基金的投资者及时办理转托管的提示性公告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2020-12-16</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易方达基金管理有限公司关于通过上海久富财富基金销售有限公司购买并持有本公司旗下基金的投资者及时办理转托管的提示性公告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2020-12-16</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易方达基金管理有限公司关于旗下部分基金修订基金合同、托管协议的公告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2020-12-18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易方达稳健收益债券型证券投资基金暂停机构客户申购、转换转入及</w:t>
            </w:r>
            <w:r w:rsidRPr="00FA7BE2">
              <w:rPr>
                <w:rFonts w:asciiTheme="minorEastAsia" w:eastAsiaTheme="minorEastAsia" w:hAnsiTheme="minorEastAsia"/>
              </w:rPr>
              <w:lastRenderedPageBreak/>
              <w:t>定期定额投资业务的公告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lastRenderedPageBreak/>
              <w:t>2020-12-18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易方达稳健收益债券型证券投资基金恢复机构客户申购、转换转入及定期定额投资业务的公告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2020-12-21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易方达稳健收益债券型证券投资基金分红公告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2020-12-21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易方达稳健收益债券型证券投资基金暂停机构客户申购、转换转入及定期定额投资业务的公告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2021-01-09</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易方达稳健收益债券型证券投资基金分红公告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2021-01-12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易方达基金管理有限公司旗下部分开放式基金增加东方财富证券为销售机构的公告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2021-01-12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易方达稳健收益债券型证券投资基金恢复机构客户申购、转换转入及定期定额投资业务的公告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2021-01-12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易方达基金管理有限公司旗下部分开放式基金增加基煜基金为销售机构的公告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2021-01-19</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易方达基金管理有限公司旗下基金2020年第4季度报告提示性公告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2021-01-21</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易方达基金管理有限公司高级管理人员变更公告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2021-01-23</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易方达基金管理有限公司关于终止包商银行股份有限公司办理本公司旗下基金销售业务的公告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2021-02-08</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易方达基金管理有限公司旗下部分开放式基金增加英大证券为销售机构的公告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2021-02-10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易方达基金管理有限公司旗下基金2020年年度报告提示性公告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2021-03-30</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易方达基金管理有限公司关于提醒投资者及时提供或更新身份信息资料的公告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2021-04-02</w:t>
            </w:r>
          </w:p>
        </w:tc>
      </w:tr>
      <w:tr w:rsidR="00FA7BE2" w:rsidRPr="00FA7BE2" w:rsidTr="00FA7BE2">
        <w:tc>
          <w:tcPr>
            <w:tcW w:w="6565" w:type="dxa"/>
          </w:tcPr>
          <w:p w:rsidR="00AA03DA" w:rsidRPr="00FA7BE2" w:rsidRDefault="00906C0E">
            <w:pPr>
              <w:jc w:val="left"/>
              <w:rPr>
                <w:rFonts w:asciiTheme="minorEastAsia" w:eastAsiaTheme="minorEastAsia" w:hAnsiTheme="minorEastAsia"/>
              </w:rPr>
            </w:pPr>
            <w:r w:rsidRPr="00FA7BE2">
              <w:rPr>
                <w:rFonts w:asciiTheme="minorEastAsia" w:eastAsiaTheme="minorEastAsia" w:hAnsiTheme="minorEastAsia"/>
              </w:rPr>
              <w:t>易方达基金管理有限公司旗下基金2021年第1季度报告提示性公告</w:t>
            </w:r>
          </w:p>
        </w:tc>
        <w:tc>
          <w:tcPr>
            <w:tcW w:w="1559" w:type="dxa"/>
          </w:tcPr>
          <w:p w:rsidR="00AA03DA" w:rsidRPr="00FA7BE2" w:rsidRDefault="00906C0E">
            <w:pPr>
              <w:rPr>
                <w:rFonts w:asciiTheme="minorEastAsia" w:eastAsiaTheme="minorEastAsia" w:hAnsiTheme="minorEastAsia"/>
              </w:rPr>
            </w:pPr>
            <w:r w:rsidRPr="00FA7BE2">
              <w:rPr>
                <w:rFonts w:asciiTheme="minorEastAsia" w:eastAsiaTheme="minorEastAsia" w:hAnsiTheme="minorEastAsia"/>
              </w:rPr>
              <w:t>2021-04-19</w:t>
            </w:r>
          </w:p>
        </w:tc>
      </w:tr>
    </w:tbl>
    <w:p w:rsidR="00D21CF5" w:rsidRPr="00FA7BE2" w:rsidRDefault="00DA07D8" w:rsidP="00D21CF5">
      <w:pPr>
        <w:autoSpaceDE w:val="0"/>
        <w:autoSpaceDN w:val="0"/>
        <w:adjustRightInd w:val="0"/>
        <w:snapToGrid w:val="0"/>
        <w:spacing w:line="360" w:lineRule="auto"/>
        <w:jc w:val="left"/>
        <w:rPr>
          <w:rFonts w:asciiTheme="minorEastAsia" w:eastAsiaTheme="minorEastAsia" w:hAnsiTheme="minorEastAsia"/>
          <w:szCs w:val="21"/>
        </w:rPr>
        <w:sectPr w:rsidR="00D21CF5" w:rsidRPr="00FA7BE2" w:rsidSect="004F61AF">
          <w:pgSz w:w="11906" w:h="16838" w:code="9"/>
          <w:pgMar w:top="1440" w:right="1800" w:bottom="1440" w:left="1800" w:header="851" w:footer="992" w:gutter="0"/>
          <w:cols w:space="425"/>
          <w:docGrid w:type="lines" w:linePitch="312"/>
        </w:sectPr>
      </w:pPr>
      <w:r w:rsidRPr="00FA7BE2">
        <w:rPr>
          <w:rFonts w:asciiTheme="minorEastAsia" w:eastAsiaTheme="minorEastAsia" w:hAnsiTheme="minorEastAsia"/>
        </w:rPr>
        <w:t>注：以上公告事项披露在规定媒介及基金管理人网站上。</w:t>
      </w: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1999" w:name="_Toc38438350"/>
      <w:bookmarkStart w:id="2000" w:name="_Toc38438687"/>
      <w:bookmarkStart w:id="2001" w:name="_Toc38439024"/>
      <w:bookmarkStart w:id="2002" w:name="_Toc38439361"/>
      <w:bookmarkStart w:id="2003" w:name="_Toc38439698"/>
      <w:bookmarkStart w:id="2004" w:name="_Toc38440035"/>
      <w:bookmarkStart w:id="2005" w:name="_Toc38440372"/>
      <w:bookmarkStart w:id="2006" w:name="_Toc38440904"/>
      <w:bookmarkStart w:id="2007" w:name="_Toc38441236"/>
      <w:bookmarkStart w:id="2008" w:name="_Toc38441568"/>
      <w:bookmarkStart w:id="2009" w:name="_Toc38441896"/>
      <w:bookmarkStart w:id="2010" w:name="_Toc38442228"/>
      <w:bookmarkStart w:id="2011" w:name="_Toc38442560"/>
      <w:bookmarkStart w:id="2012" w:name="_Toc38442891"/>
      <w:bookmarkStart w:id="2013" w:name="_Toc38443222"/>
      <w:bookmarkStart w:id="2014" w:name="_Toc38443553"/>
      <w:bookmarkStart w:id="2015" w:name="_Toc38443883"/>
      <w:bookmarkStart w:id="2016" w:name="_Toc38438351"/>
      <w:bookmarkStart w:id="2017" w:name="_Toc38438688"/>
      <w:bookmarkStart w:id="2018" w:name="_Toc38439025"/>
      <w:bookmarkStart w:id="2019" w:name="_Toc38439362"/>
      <w:bookmarkStart w:id="2020" w:name="_Toc38439699"/>
      <w:bookmarkStart w:id="2021" w:name="_Toc38440036"/>
      <w:bookmarkStart w:id="2022" w:name="_Toc38440373"/>
      <w:bookmarkStart w:id="2023" w:name="_Toc38440905"/>
      <w:bookmarkStart w:id="2024" w:name="_Toc38441237"/>
      <w:bookmarkStart w:id="2025" w:name="_Toc38441569"/>
      <w:bookmarkStart w:id="2026" w:name="_Toc38441897"/>
      <w:bookmarkStart w:id="2027" w:name="_Toc38442229"/>
      <w:bookmarkStart w:id="2028" w:name="_Toc38442561"/>
      <w:bookmarkStart w:id="2029" w:name="_Toc38442892"/>
      <w:bookmarkStart w:id="2030" w:name="_Toc38443223"/>
      <w:bookmarkStart w:id="2031" w:name="_Toc38443554"/>
      <w:bookmarkStart w:id="2032" w:name="_Toc38443884"/>
      <w:bookmarkStart w:id="2033" w:name="_Toc38438352"/>
      <w:bookmarkStart w:id="2034" w:name="_Toc38438689"/>
      <w:bookmarkStart w:id="2035" w:name="_Toc38439026"/>
      <w:bookmarkStart w:id="2036" w:name="_Toc38439363"/>
      <w:bookmarkStart w:id="2037" w:name="_Toc38439700"/>
      <w:bookmarkStart w:id="2038" w:name="_Toc38440037"/>
      <w:bookmarkStart w:id="2039" w:name="_Toc38440374"/>
      <w:bookmarkStart w:id="2040" w:name="_Toc38440906"/>
      <w:bookmarkStart w:id="2041" w:name="_Toc38441238"/>
      <w:bookmarkStart w:id="2042" w:name="_Toc38441570"/>
      <w:bookmarkStart w:id="2043" w:name="_Toc38441898"/>
      <w:bookmarkStart w:id="2044" w:name="_Toc38442230"/>
      <w:bookmarkStart w:id="2045" w:name="_Toc38442562"/>
      <w:bookmarkStart w:id="2046" w:name="_Toc38442893"/>
      <w:bookmarkStart w:id="2047" w:name="_Toc38443224"/>
      <w:bookmarkStart w:id="2048" w:name="_Toc38443555"/>
      <w:bookmarkStart w:id="2049" w:name="_Toc38443885"/>
      <w:bookmarkStart w:id="2050" w:name="_Toc38438353"/>
      <w:bookmarkStart w:id="2051" w:name="_Toc38438690"/>
      <w:bookmarkStart w:id="2052" w:name="_Toc38439027"/>
      <w:bookmarkStart w:id="2053" w:name="_Toc38439364"/>
      <w:bookmarkStart w:id="2054" w:name="_Toc38439701"/>
      <w:bookmarkStart w:id="2055" w:name="_Toc38440038"/>
      <w:bookmarkStart w:id="2056" w:name="_Toc38440375"/>
      <w:bookmarkStart w:id="2057" w:name="_Toc38440907"/>
      <w:bookmarkStart w:id="2058" w:name="_Toc38441239"/>
      <w:bookmarkStart w:id="2059" w:name="_Toc38441571"/>
      <w:bookmarkStart w:id="2060" w:name="_Toc38441899"/>
      <w:bookmarkStart w:id="2061" w:name="_Toc38442231"/>
      <w:bookmarkStart w:id="2062" w:name="_Toc38442563"/>
      <w:bookmarkStart w:id="2063" w:name="_Toc38442894"/>
      <w:bookmarkStart w:id="2064" w:name="_Toc38443225"/>
      <w:bookmarkStart w:id="2065" w:name="_Toc38443556"/>
      <w:bookmarkStart w:id="2066" w:name="_Toc38443886"/>
      <w:bookmarkStart w:id="2067" w:name="_Toc38438354"/>
      <w:bookmarkStart w:id="2068" w:name="_Toc38438691"/>
      <w:bookmarkStart w:id="2069" w:name="_Toc38439028"/>
      <w:bookmarkStart w:id="2070" w:name="_Toc38439365"/>
      <w:bookmarkStart w:id="2071" w:name="_Toc38439702"/>
      <w:bookmarkStart w:id="2072" w:name="_Toc38440039"/>
      <w:bookmarkStart w:id="2073" w:name="_Toc38440376"/>
      <w:bookmarkStart w:id="2074" w:name="_Toc38440908"/>
      <w:bookmarkStart w:id="2075" w:name="_Toc38441240"/>
      <w:bookmarkStart w:id="2076" w:name="_Toc38441572"/>
      <w:bookmarkStart w:id="2077" w:name="_Toc38441900"/>
      <w:bookmarkStart w:id="2078" w:name="_Toc38442232"/>
      <w:bookmarkStart w:id="2079" w:name="_Toc38442564"/>
      <w:bookmarkStart w:id="2080" w:name="_Toc38442895"/>
      <w:bookmarkStart w:id="2081" w:name="_Toc38443226"/>
      <w:bookmarkStart w:id="2082" w:name="_Toc38443557"/>
      <w:bookmarkStart w:id="2083" w:name="_Toc38443887"/>
      <w:bookmarkStart w:id="2084" w:name="_Toc38438355"/>
      <w:bookmarkStart w:id="2085" w:name="_Toc38438692"/>
      <w:bookmarkStart w:id="2086" w:name="_Toc38439029"/>
      <w:bookmarkStart w:id="2087" w:name="_Toc38439366"/>
      <w:bookmarkStart w:id="2088" w:name="_Toc38439703"/>
      <w:bookmarkStart w:id="2089" w:name="_Toc38440040"/>
      <w:bookmarkStart w:id="2090" w:name="_Toc38440377"/>
      <w:bookmarkStart w:id="2091" w:name="_Toc38440909"/>
      <w:bookmarkStart w:id="2092" w:name="_Toc38441241"/>
      <w:bookmarkStart w:id="2093" w:name="_Toc38441573"/>
      <w:bookmarkStart w:id="2094" w:name="_Toc38441901"/>
      <w:bookmarkStart w:id="2095" w:name="_Toc38442233"/>
      <w:bookmarkStart w:id="2096" w:name="_Toc38442565"/>
      <w:bookmarkStart w:id="2097" w:name="_Toc38442896"/>
      <w:bookmarkStart w:id="2098" w:name="_Toc38443227"/>
      <w:bookmarkStart w:id="2099" w:name="_Toc38443558"/>
      <w:bookmarkStart w:id="2100" w:name="_Toc38443888"/>
      <w:bookmarkStart w:id="2101" w:name="_Toc38438356"/>
      <w:bookmarkStart w:id="2102" w:name="_Toc38438693"/>
      <w:bookmarkStart w:id="2103" w:name="_Toc38439030"/>
      <w:bookmarkStart w:id="2104" w:name="_Toc38439367"/>
      <w:bookmarkStart w:id="2105" w:name="_Toc38439704"/>
      <w:bookmarkStart w:id="2106" w:name="_Toc38440041"/>
      <w:bookmarkStart w:id="2107" w:name="_Toc38440378"/>
      <w:bookmarkStart w:id="2108" w:name="_Toc38440910"/>
      <w:bookmarkStart w:id="2109" w:name="_Toc38441242"/>
      <w:bookmarkStart w:id="2110" w:name="_Toc38441574"/>
      <w:bookmarkStart w:id="2111" w:name="_Toc38441902"/>
      <w:bookmarkStart w:id="2112" w:name="_Toc38442234"/>
      <w:bookmarkStart w:id="2113" w:name="_Toc38442566"/>
      <w:bookmarkStart w:id="2114" w:name="_Toc38442897"/>
      <w:bookmarkStart w:id="2115" w:name="_Toc38443228"/>
      <w:bookmarkStart w:id="2116" w:name="_Toc38443559"/>
      <w:bookmarkStart w:id="2117" w:name="_Toc38443889"/>
      <w:bookmarkStart w:id="2118" w:name="_Toc38438357"/>
      <w:bookmarkStart w:id="2119" w:name="_Toc38438694"/>
      <w:bookmarkStart w:id="2120" w:name="_Toc38439031"/>
      <w:bookmarkStart w:id="2121" w:name="_Toc38439368"/>
      <w:bookmarkStart w:id="2122" w:name="_Toc38439705"/>
      <w:bookmarkStart w:id="2123" w:name="_Toc38440042"/>
      <w:bookmarkStart w:id="2124" w:name="_Toc38440379"/>
      <w:bookmarkStart w:id="2125" w:name="_Toc38440911"/>
      <w:bookmarkStart w:id="2126" w:name="_Toc38441243"/>
      <w:bookmarkStart w:id="2127" w:name="_Toc38441575"/>
      <w:bookmarkStart w:id="2128" w:name="_Toc38441903"/>
      <w:bookmarkStart w:id="2129" w:name="_Toc38442235"/>
      <w:bookmarkStart w:id="2130" w:name="_Toc38442567"/>
      <w:bookmarkStart w:id="2131" w:name="_Toc38442898"/>
      <w:bookmarkStart w:id="2132" w:name="_Toc38443229"/>
      <w:bookmarkStart w:id="2133" w:name="_Toc38443560"/>
      <w:bookmarkStart w:id="2134" w:name="_Toc38443890"/>
      <w:bookmarkStart w:id="2135" w:name="_Toc38438358"/>
      <w:bookmarkStart w:id="2136" w:name="_Toc38438695"/>
      <w:bookmarkStart w:id="2137" w:name="_Toc38439032"/>
      <w:bookmarkStart w:id="2138" w:name="_Toc38439369"/>
      <w:bookmarkStart w:id="2139" w:name="_Toc38439706"/>
      <w:bookmarkStart w:id="2140" w:name="_Toc38440043"/>
      <w:bookmarkStart w:id="2141" w:name="_Toc38440380"/>
      <w:bookmarkStart w:id="2142" w:name="_Toc38440912"/>
      <w:bookmarkStart w:id="2143" w:name="_Toc38441244"/>
      <w:bookmarkStart w:id="2144" w:name="_Toc38441576"/>
      <w:bookmarkStart w:id="2145" w:name="_Toc38441904"/>
      <w:bookmarkStart w:id="2146" w:name="_Toc38442236"/>
      <w:bookmarkStart w:id="2147" w:name="_Toc38442568"/>
      <w:bookmarkStart w:id="2148" w:name="_Toc38442899"/>
      <w:bookmarkStart w:id="2149" w:name="_Toc38443230"/>
      <w:bookmarkStart w:id="2150" w:name="_Toc38443561"/>
      <w:bookmarkStart w:id="2151" w:name="_Toc38443891"/>
      <w:bookmarkStart w:id="2152" w:name="_Toc38438359"/>
      <w:bookmarkStart w:id="2153" w:name="_Toc38438696"/>
      <w:bookmarkStart w:id="2154" w:name="_Toc38439033"/>
      <w:bookmarkStart w:id="2155" w:name="_Toc38439370"/>
      <w:bookmarkStart w:id="2156" w:name="_Toc38439707"/>
      <w:bookmarkStart w:id="2157" w:name="_Toc38440044"/>
      <w:bookmarkStart w:id="2158" w:name="_Toc38440381"/>
      <w:bookmarkStart w:id="2159" w:name="_Toc38440913"/>
      <w:bookmarkStart w:id="2160" w:name="_Toc38441245"/>
      <w:bookmarkStart w:id="2161" w:name="_Toc38441577"/>
      <w:bookmarkStart w:id="2162" w:name="_Toc38441905"/>
      <w:bookmarkStart w:id="2163" w:name="_Toc38442237"/>
      <w:bookmarkStart w:id="2164" w:name="_Toc38442569"/>
      <w:bookmarkStart w:id="2165" w:name="_Toc38442900"/>
      <w:bookmarkStart w:id="2166" w:name="_Toc38443231"/>
      <w:bookmarkStart w:id="2167" w:name="_Toc38443562"/>
      <w:bookmarkStart w:id="2168" w:name="_Toc38443892"/>
      <w:bookmarkStart w:id="2169" w:name="_Toc38438360"/>
      <w:bookmarkStart w:id="2170" w:name="_Toc38438697"/>
      <w:bookmarkStart w:id="2171" w:name="_Toc38439034"/>
      <w:bookmarkStart w:id="2172" w:name="_Toc38439371"/>
      <w:bookmarkStart w:id="2173" w:name="_Toc38439708"/>
      <w:bookmarkStart w:id="2174" w:name="_Toc38440045"/>
      <w:bookmarkStart w:id="2175" w:name="_Toc38440382"/>
      <w:bookmarkStart w:id="2176" w:name="_Toc38440914"/>
      <w:bookmarkStart w:id="2177" w:name="_Toc38441246"/>
      <w:bookmarkStart w:id="2178" w:name="_Toc38441578"/>
      <w:bookmarkStart w:id="2179" w:name="_Toc38441906"/>
      <w:bookmarkStart w:id="2180" w:name="_Toc38442238"/>
      <w:bookmarkStart w:id="2181" w:name="_Toc38442570"/>
      <w:bookmarkStart w:id="2182" w:name="_Toc38442901"/>
      <w:bookmarkStart w:id="2183" w:name="_Toc38443232"/>
      <w:bookmarkStart w:id="2184" w:name="_Toc38443563"/>
      <w:bookmarkStart w:id="2185" w:name="_Toc38443893"/>
      <w:bookmarkStart w:id="2186" w:name="_Toc38438361"/>
      <w:bookmarkStart w:id="2187" w:name="_Toc38438698"/>
      <w:bookmarkStart w:id="2188" w:name="_Toc38439035"/>
      <w:bookmarkStart w:id="2189" w:name="_Toc38439372"/>
      <w:bookmarkStart w:id="2190" w:name="_Toc38439709"/>
      <w:bookmarkStart w:id="2191" w:name="_Toc38440046"/>
      <w:bookmarkStart w:id="2192" w:name="_Toc38440383"/>
      <w:bookmarkStart w:id="2193" w:name="_Toc38440915"/>
      <w:bookmarkStart w:id="2194" w:name="_Toc38441247"/>
      <w:bookmarkStart w:id="2195" w:name="_Toc38441579"/>
      <w:bookmarkStart w:id="2196" w:name="_Toc38441907"/>
      <w:bookmarkStart w:id="2197" w:name="_Toc38442239"/>
      <w:bookmarkStart w:id="2198" w:name="_Toc38442571"/>
      <w:bookmarkStart w:id="2199" w:name="_Toc38442902"/>
      <w:bookmarkStart w:id="2200" w:name="_Toc38443233"/>
      <w:bookmarkStart w:id="2201" w:name="_Toc38443564"/>
      <w:bookmarkStart w:id="2202" w:name="_Toc38443894"/>
      <w:bookmarkStart w:id="2203" w:name="_Toc38438362"/>
      <w:bookmarkStart w:id="2204" w:name="_Toc38438699"/>
      <w:bookmarkStart w:id="2205" w:name="_Toc38439036"/>
      <w:bookmarkStart w:id="2206" w:name="_Toc38439373"/>
      <w:bookmarkStart w:id="2207" w:name="_Toc38439710"/>
      <w:bookmarkStart w:id="2208" w:name="_Toc38440047"/>
      <w:bookmarkStart w:id="2209" w:name="_Toc38440384"/>
      <w:bookmarkStart w:id="2210" w:name="_Toc38440916"/>
      <w:bookmarkStart w:id="2211" w:name="_Toc38441248"/>
      <w:bookmarkStart w:id="2212" w:name="_Toc38441580"/>
      <w:bookmarkStart w:id="2213" w:name="_Toc38441908"/>
      <w:bookmarkStart w:id="2214" w:name="_Toc38442240"/>
      <w:bookmarkStart w:id="2215" w:name="_Toc38442572"/>
      <w:bookmarkStart w:id="2216" w:name="_Toc38442903"/>
      <w:bookmarkStart w:id="2217" w:name="_Toc38443234"/>
      <w:bookmarkStart w:id="2218" w:name="_Toc38443565"/>
      <w:bookmarkStart w:id="2219" w:name="_Toc38443895"/>
      <w:bookmarkStart w:id="2220" w:name="_Toc38438363"/>
      <w:bookmarkStart w:id="2221" w:name="_Toc38438700"/>
      <w:bookmarkStart w:id="2222" w:name="_Toc38439037"/>
      <w:bookmarkStart w:id="2223" w:name="_Toc38439374"/>
      <w:bookmarkStart w:id="2224" w:name="_Toc38439711"/>
      <w:bookmarkStart w:id="2225" w:name="_Toc38440048"/>
      <w:bookmarkStart w:id="2226" w:name="_Toc38440385"/>
      <w:bookmarkStart w:id="2227" w:name="_Toc38440917"/>
      <w:bookmarkStart w:id="2228" w:name="_Toc38441249"/>
      <w:bookmarkStart w:id="2229" w:name="_Toc38441581"/>
      <w:bookmarkStart w:id="2230" w:name="_Toc38441909"/>
      <w:bookmarkStart w:id="2231" w:name="_Toc38442241"/>
      <w:bookmarkStart w:id="2232" w:name="_Toc38442573"/>
      <w:bookmarkStart w:id="2233" w:name="_Toc38442904"/>
      <w:bookmarkStart w:id="2234" w:name="_Toc38443235"/>
      <w:bookmarkStart w:id="2235" w:name="_Toc38443566"/>
      <w:bookmarkStart w:id="2236" w:name="_Toc38443896"/>
      <w:bookmarkStart w:id="2237" w:name="_Toc38438364"/>
      <w:bookmarkStart w:id="2238" w:name="_Toc38438701"/>
      <w:bookmarkStart w:id="2239" w:name="_Toc38439038"/>
      <w:bookmarkStart w:id="2240" w:name="_Toc38439375"/>
      <w:bookmarkStart w:id="2241" w:name="_Toc38439712"/>
      <w:bookmarkStart w:id="2242" w:name="_Toc38440049"/>
      <w:bookmarkStart w:id="2243" w:name="_Toc38440386"/>
      <w:bookmarkStart w:id="2244" w:name="_Toc38440918"/>
      <w:bookmarkStart w:id="2245" w:name="_Toc38441250"/>
      <w:bookmarkStart w:id="2246" w:name="_Toc38441582"/>
      <w:bookmarkStart w:id="2247" w:name="_Toc38441910"/>
      <w:bookmarkStart w:id="2248" w:name="_Toc38442242"/>
      <w:bookmarkStart w:id="2249" w:name="_Toc38442574"/>
      <w:bookmarkStart w:id="2250" w:name="_Toc38442905"/>
      <w:bookmarkStart w:id="2251" w:name="_Toc38443236"/>
      <w:bookmarkStart w:id="2252" w:name="_Toc38443567"/>
      <w:bookmarkStart w:id="2253" w:name="_Toc38443897"/>
      <w:bookmarkStart w:id="2254" w:name="_Toc38438365"/>
      <w:bookmarkStart w:id="2255" w:name="_Toc38438702"/>
      <w:bookmarkStart w:id="2256" w:name="_Toc38439039"/>
      <w:bookmarkStart w:id="2257" w:name="_Toc38439376"/>
      <w:bookmarkStart w:id="2258" w:name="_Toc38439713"/>
      <w:bookmarkStart w:id="2259" w:name="_Toc38440050"/>
      <w:bookmarkStart w:id="2260" w:name="_Toc38440387"/>
      <w:bookmarkStart w:id="2261" w:name="_Toc38440919"/>
      <w:bookmarkStart w:id="2262" w:name="_Toc38441251"/>
      <w:bookmarkStart w:id="2263" w:name="_Toc38441583"/>
      <w:bookmarkStart w:id="2264" w:name="_Toc38441911"/>
      <w:bookmarkStart w:id="2265" w:name="_Toc38442243"/>
      <w:bookmarkStart w:id="2266" w:name="_Toc38442575"/>
      <w:bookmarkStart w:id="2267" w:name="_Toc38442906"/>
      <w:bookmarkStart w:id="2268" w:name="_Toc38443237"/>
      <w:bookmarkStart w:id="2269" w:name="_Toc38443568"/>
      <w:bookmarkStart w:id="2270" w:name="_Toc38443898"/>
      <w:bookmarkStart w:id="2271" w:name="_Toc38438366"/>
      <w:bookmarkStart w:id="2272" w:name="_Toc38438703"/>
      <w:bookmarkStart w:id="2273" w:name="_Toc38439040"/>
      <w:bookmarkStart w:id="2274" w:name="_Toc38439377"/>
      <w:bookmarkStart w:id="2275" w:name="_Toc38439714"/>
      <w:bookmarkStart w:id="2276" w:name="_Toc38440051"/>
      <w:bookmarkStart w:id="2277" w:name="_Toc38440388"/>
      <w:bookmarkStart w:id="2278" w:name="_Toc38440920"/>
      <w:bookmarkStart w:id="2279" w:name="_Toc38441252"/>
      <w:bookmarkStart w:id="2280" w:name="_Toc38441584"/>
      <w:bookmarkStart w:id="2281" w:name="_Toc38441912"/>
      <w:bookmarkStart w:id="2282" w:name="_Toc38442244"/>
      <w:bookmarkStart w:id="2283" w:name="_Toc38442576"/>
      <w:bookmarkStart w:id="2284" w:name="_Toc38442907"/>
      <w:bookmarkStart w:id="2285" w:name="_Toc38443238"/>
      <w:bookmarkStart w:id="2286" w:name="_Toc38443569"/>
      <w:bookmarkStart w:id="2287" w:name="_Toc38443899"/>
      <w:bookmarkStart w:id="2288" w:name="_Toc38438367"/>
      <w:bookmarkStart w:id="2289" w:name="_Toc38438704"/>
      <w:bookmarkStart w:id="2290" w:name="_Toc38439041"/>
      <w:bookmarkStart w:id="2291" w:name="_Toc38439378"/>
      <w:bookmarkStart w:id="2292" w:name="_Toc38439715"/>
      <w:bookmarkStart w:id="2293" w:name="_Toc38440052"/>
      <w:bookmarkStart w:id="2294" w:name="_Toc38440389"/>
      <w:bookmarkStart w:id="2295" w:name="_Toc38440921"/>
      <w:bookmarkStart w:id="2296" w:name="_Toc38441253"/>
      <w:bookmarkStart w:id="2297" w:name="_Toc38441585"/>
      <w:bookmarkStart w:id="2298" w:name="_Toc38441913"/>
      <w:bookmarkStart w:id="2299" w:name="_Toc38442245"/>
      <w:bookmarkStart w:id="2300" w:name="_Toc38442577"/>
      <w:bookmarkStart w:id="2301" w:name="_Toc38442908"/>
      <w:bookmarkStart w:id="2302" w:name="_Toc38443239"/>
      <w:bookmarkStart w:id="2303" w:name="_Toc38443570"/>
      <w:bookmarkStart w:id="2304" w:name="_Toc38443900"/>
      <w:bookmarkStart w:id="2305" w:name="_Toc38438368"/>
      <w:bookmarkStart w:id="2306" w:name="_Toc38438705"/>
      <w:bookmarkStart w:id="2307" w:name="_Toc38439042"/>
      <w:bookmarkStart w:id="2308" w:name="_Toc38439379"/>
      <w:bookmarkStart w:id="2309" w:name="_Toc38439716"/>
      <w:bookmarkStart w:id="2310" w:name="_Toc38440053"/>
      <w:bookmarkStart w:id="2311" w:name="_Toc38440390"/>
      <w:bookmarkStart w:id="2312" w:name="_Toc38440922"/>
      <w:bookmarkStart w:id="2313" w:name="_Toc38441254"/>
      <w:bookmarkStart w:id="2314" w:name="_Toc38441586"/>
      <w:bookmarkStart w:id="2315" w:name="_Toc38441914"/>
      <w:bookmarkStart w:id="2316" w:name="_Toc38442246"/>
      <w:bookmarkStart w:id="2317" w:name="_Toc38442578"/>
      <w:bookmarkStart w:id="2318" w:name="_Toc38442909"/>
      <w:bookmarkStart w:id="2319" w:name="_Toc38443240"/>
      <w:bookmarkStart w:id="2320" w:name="_Toc38443571"/>
      <w:bookmarkStart w:id="2321" w:name="_Toc38443901"/>
      <w:bookmarkStart w:id="2322" w:name="_Toc38438369"/>
      <w:bookmarkStart w:id="2323" w:name="_Toc38438706"/>
      <w:bookmarkStart w:id="2324" w:name="_Toc38439043"/>
      <w:bookmarkStart w:id="2325" w:name="_Toc38439380"/>
      <w:bookmarkStart w:id="2326" w:name="_Toc38439717"/>
      <w:bookmarkStart w:id="2327" w:name="_Toc38440054"/>
      <w:bookmarkStart w:id="2328" w:name="_Toc38440391"/>
      <w:bookmarkStart w:id="2329" w:name="_Toc38440923"/>
      <w:bookmarkStart w:id="2330" w:name="_Toc38441255"/>
      <w:bookmarkStart w:id="2331" w:name="_Toc38441587"/>
      <w:bookmarkStart w:id="2332" w:name="_Toc38441915"/>
      <w:bookmarkStart w:id="2333" w:name="_Toc38442247"/>
      <w:bookmarkStart w:id="2334" w:name="_Toc38442579"/>
      <w:bookmarkStart w:id="2335" w:name="_Toc38442910"/>
      <w:bookmarkStart w:id="2336" w:name="_Toc38443241"/>
      <w:bookmarkStart w:id="2337" w:name="_Toc38443572"/>
      <w:bookmarkStart w:id="2338" w:name="_Toc38443902"/>
      <w:bookmarkStart w:id="2339" w:name="_Toc38438371"/>
      <w:bookmarkStart w:id="2340" w:name="_Toc38438708"/>
      <w:bookmarkStart w:id="2341" w:name="_Toc38439045"/>
      <w:bookmarkStart w:id="2342" w:name="_Toc38439382"/>
      <w:bookmarkStart w:id="2343" w:name="_Toc38439719"/>
      <w:bookmarkStart w:id="2344" w:name="_Toc38440056"/>
      <w:bookmarkStart w:id="2345" w:name="_Toc38440393"/>
      <w:bookmarkStart w:id="2346" w:name="_Toc38440925"/>
      <w:bookmarkStart w:id="2347" w:name="_Toc38441257"/>
      <w:bookmarkStart w:id="2348" w:name="_Toc38441589"/>
      <w:bookmarkStart w:id="2349" w:name="_Toc38441917"/>
      <w:bookmarkStart w:id="2350" w:name="_Toc38442249"/>
      <w:bookmarkStart w:id="2351" w:name="_Toc38442581"/>
      <w:bookmarkStart w:id="2352" w:name="_Toc38442912"/>
      <w:bookmarkStart w:id="2353" w:name="_Toc38443243"/>
      <w:bookmarkStart w:id="2354" w:name="_Toc38443574"/>
      <w:bookmarkStart w:id="2355" w:name="_Toc38443904"/>
      <w:bookmarkStart w:id="2356" w:name="_Toc38438372"/>
      <w:bookmarkStart w:id="2357" w:name="_Toc38438709"/>
      <w:bookmarkStart w:id="2358" w:name="_Toc38439046"/>
      <w:bookmarkStart w:id="2359" w:name="_Toc38439383"/>
      <w:bookmarkStart w:id="2360" w:name="_Toc38439720"/>
      <w:bookmarkStart w:id="2361" w:name="_Toc38440057"/>
      <w:bookmarkStart w:id="2362" w:name="_Toc38440394"/>
      <w:bookmarkStart w:id="2363" w:name="_Toc38440926"/>
      <w:bookmarkStart w:id="2364" w:name="_Toc38441258"/>
      <w:bookmarkStart w:id="2365" w:name="_Toc38441590"/>
      <w:bookmarkStart w:id="2366" w:name="_Toc38441918"/>
      <w:bookmarkStart w:id="2367" w:name="_Toc38442250"/>
      <w:bookmarkStart w:id="2368" w:name="_Toc38442582"/>
      <w:bookmarkStart w:id="2369" w:name="_Toc38442913"/>
      <w:bookmarkStart w:id="2370" w:name="_Toc38443244"/>
      <w:bookmarkStart w:id="2371" w:name="_Toc38443575"/>
      <w:bookmarkStart w:id="2372" w:name="_Toc38443905"/>
      <w:bookmarkStart w:id="2373" w:name="_Toc38438373"/>
      <w:bookmarkStart w:id="2374" w:name="_Toc38438710"/>
      <w:bookmarkStart w:id="2375" w:name="_Toc38439047"/>
      <w:bookmarkStart w:id="2376" w:name="_Toc38439384"/>
      <w:bookmarkStart w:id="2377" w:name="_Toc38439721"/>
      <w:bookmarkStart w:id="2378" w:name="_Toc38440058"/>
      <w:bookmarkStart w:id="2379" w:name="_Toc38440395"/>
      <w:bookmarkStart w:id="2380" w:name="_Toc38440927"/>
      <w:bookmarkStart w:id="2381" w:name="_Toc38441259"/>
      <w:bookmarkStart w:id="2382" w:name="_Toc38441591"/>
      <w:bookmarkStart w:id="2383" w:name="_Toc38441919"/>
      <w:bookmarkStart w:id="2384" w:name="_Toc38442251"/>
      <w:bookmarkStart w:id="2385" w:name="_Toc38442583"/>
      <w:bookmarkStart w:id="2386" w:name="_Toc38442914"/>
      <w:bookmarkStart w:id="2387" w:name="_Toc38443245"/>
      <w:bookmarkStart w:id="2388" w:name="_Toc38443576"/>
      <w:bookmarkStart w:id="2389" w:name="_Toc38443906"/>
      <w:bookmarkStart w:id="2390" w:name="_Toc38438374"/>
      <w:bookmarkStart w:id="2391" w:name="_Toc38438711"/>
      <w:bookmarkStart w:id="2392" w:name="_Toc38439048"/>
      <w:bookmarkStart w:id="2393" w:name="_Toc38439385"/>
      <w:bookmarkStart w:id="2394" w:name="_Toc38439722"/>
      <w:bookmarkStart w:id="2395" w:name="_Toc38440059"/>
      <w:bookmarkStart w:id="2396" w:name="_Toc38440396"/>
      <w:bookmarkStart w:id="2397" w:name="_Toc38440928"/>
      <w:bookmarkStart w:id="2398" w:name="_Toc38441260"/>
      <w:bookmarkStart w:id="2399" w:name="_Toc38441592"/>
      <w:bookmarkStart w:id="2400" w:name="_Toc38441920"/>
      <w:bookmarkStart w:id="2401" w:name="_Toc38442252"/>
      <w:bookmarkStart w:id="2402" w:name="_Toc38442584"/>
      <w:bookmarkStart w:id="2403" w:name="_Toc38442915"/>
      <w:bookmarkStart w:id="2404" w:name="_Toc38443246"/>
      <w:bookmarkStart w:id="2405" w:name="_Toc38443577"/>
      <w:bookmarkStart w:id="2406" w:name="_Toc38443907"/>
      <w:bookmarkStart w:id="2407" w:name="_Toc38438375"/>
      <w:bookmarkStart w:id="2408" w:name="_Toc38438712"/>
      <w:bookmarkStart w:id="2409" w:name="_Toc38439049"/>
      <w:bookmarkStart w:id="2410" w:name="_Toc38439386"/>
      <w:bookmarkStart w:id="2411" w:name="_Toc38439723"/>
      <w:bookmarkStart w:id="2412" w:name="_Toc38440060"/>
      <w:bookmarkStart w:id="2413" w:name="_Toc38440397"/>
      <w:bookmarkStart w:id="2414" w:name="_Toc38440929"/>
      <w:bookmarkStart w:id="2415" w:name="_Toc38441261"/>
      <w:bookmarkStart w:id="2416" w:name="_Toc38441593"/>
      <w:bookmarkStart w:id="2417" w:name="_Toc38441921"/>
      <w:bookmarkStart w:id="2418" w:name="_Toc38442253"/>
      <w:bookmarkStart w:id="2419" w:name="_Toc38442585"/>
      <w:bookmarkStart w:id="2420" w:name="_Toc38442916"/>
      <w:bookmarkStart w:id="2421" w:name="_Toc38443247"/>
      <w:bookmarkStart w:id="2422" w:name="_Toc38443578"/>
      <w:bookmarkStart w:id="2423" w:name="_Toc38443908"/>
      <w:bookmarkStart w:id="2424" w:name="_Toc38438376"/>
      <w:bookmarkStart w:id="2425" w:name="_Toc38438713"/>
      <w:bookmarkStart w:id="2426" w:name="_Toc38439050"/>
      <w:bookmarkStart w:id="2427" w:name="_Toc38439387"/>
      <w:bookmarkStart w:id="2428" w:name="_Toc38439724"/>
      <w:bookmarkStart w:id="2429" w:name="_Toc38440061"/>
      <w:bookmarkStart w:id="2430" w:name="_Toc38440398"/>
      <w:bookmarkStart w:id="2431" w:name="_Toc38440930"/>
      <w:bookmarkStart w:id="2432" w:name="_Toc38441262"/>
      <w:bookmarkStart w:id="2433" w:name="_Toc38441594"/>
      <w:bookmarkStart w:id="2434" w:name="_Toc38441922"/>
      <w:bookmarkStart w:id="2435" w:name="_Toc38442254"/>
      <w:bookmarkStart w:id="2436" w:name="_Toc38442586"/>
      <w:bookmarkStart w:id="2437" w:name="_Toc38442917"/>
      <w:bookmarkStart w:id="2438" w:name="_Toc38443248"/>
      <w:bookmarkStart w:id="2439" w:name="_Toc38443579"/>
      <w:bookmarkStart w:id="2440" w:name="_Toc38443909"/>
      <w:bookmarkStart w:id="2441" w:name="_Toc38438377"/>
      <w:bookmarkStart w:id="2442" w:name="_Toc38438714"/>
      <w:bookmarkStart w:id="2443" w:name="_Toc38439051"/>
      <w:bookmarkStart w:id="2444" w:name="_Toc38439388"/>
      <w:bookmarkStart w:id="2445" w:name="_Toc38439725"/>
      <w:bookmarkStart w:id="2446" w:name="_Toc38440062"/>
      <w:bookmarkStart w:id="2447" w:name="_Toc38440399"/>
      <w:bookmarkStart w:id="2448" w:name="_Toc38440931"/>
      <w:bookmarkStart w:id="2449" w:name="_Toc38441263"/>
      <w:bookmarkStart w:id="2450" w:name="_Toc38441595"/>
      <w:bookmarkStart w:id="2451" w:name="_Toc38441923"/>
      <w:bookmarkStart w:id="2452" w:name="_Toc38442255"/>
      <w:bookmarkStart w:id="2453" w:name="_Toc38442587"/>
      <w:bookmarkStart w:id="2454" w:name="_Toc38442918"/>
      <w:bookmarkStart w:id="2455" w:name="_Toc38443249"/>
      <w:bookmarkStart w:id="2456" w:name="_Toc38443580"/>
      <w:bookmarkStart w:id="2457" w:name="_Toc38443910"/>
      <w:bookmarkStart w:id="2458" w:name="_Toc38438378"/>
      <w:bookmarkStart w:id="2459" w:name="_Toc38438715"/>
      <w:bookmarkStart w:id="2460" w:name="_Toc38439052"/>
      <w:bookmarkStart w:id="2461" w:name="_Toc38439389"/>
      <w:bookmarkStart w:id="2462" w:name="_Toc38439726"/>
      <w:bookmarkStart w:id="2463" w:name="_Toc38440063"/>
      <w:bookmarkStart w:id="2464" w:name="_Toc38440400"/>
      <w:bookmarkStart w:id="2465" w:name="_Toc38440932"/>
      <w:bookmarkStart w:id="2466" w:name="_Toc38441264"/>
      <w:bookmarkStart w:id="2467" w:name="_Toc38441596"/>
      <w:bookmarkStart w:id="2468" w:name="_Toc38441924"/>
      <w:bookmarkStart w:id="2469" w:name="_Toc38442256"/>
      <w:bookmarkStart w:id="2470" w:name="_Toc38442588"/>
      <w:bookmarkStart w:id="2471" w:name="_Toc38442919"/>
      <w:bookmarkStart w:id="2472" w:name="_Toc38443250"/>
      <w:bookmarkStart w:id="2473" w:name="_Toc38443581"/>
      <w:bookmarkStart w:id="2474" w:name="_Toc38443911"/>
      <w:bookmarkStart w:id="2475" w:name="_Toc38438379"/>
      <w:bookmarkStart w:id="2476" w:name="_Toc38438716"/>
      <w:bookmarkStart w:id="2477" w:name="_Toc38439053"/>
      <w:bookmarkStart w:id="2478" w:name="_Toc38439390"/>
      <w:bookmarkStart w:id="2479" w:name="_Toc38439727"/>
      <w:bookmarkStart w:id="2480" w:name="_Toc38440064"/>
      <w:bookmarkStart w:id="2481" w:name="_Toc38440401"/>
      <w:bookmarkStart w:id="2482" w:name="_Toc38440933"/>
      <w:bookmarkStart w:id="2483" w:name="_Toc38441265"/>
      <w:bookmarkStart w:id="2484" w:name="_Toc38441597"/>
      <w:bookmarkStart w:id="2485" w:name="_Toc38441925"/>
      <w:bookmarkStart w:id="2486" w:name="_Toc38442257"/>
      <w:bookmarkStart w:id="2487" w:name="_Toc38442589"/>
      <w:bookmarkStart w:id="2488" w:name="_Toc38442920"/>
      <w:bookmarkStart w:id="2489" w:name="_Toc38443251"/>
      <w:bookmarkStart w:id="2490" w:name="_Toc38443582"/>
      <w:bookmarkStart w:id="2491" w:name="_Toc38443912"/>
      <w:bookmarkStart w:id="2492" w:name="_Toc38438380"/>
      <w:bookmarkStart w:id="2493" w:name="_Toc38438717"/>
      <w:bookmarkStart w:id="2494" w:name="_Toc38439054"/>
      <w:bookmarkStart w:id="2495" w:name="_Toc38439391"/>
      <w:bookmarkStart w:id="2496" w:name="_Toc38439728"/>
      <w:bookmarkStart w:id="2497" w:name="_Toc38440065"/>
      <w:bookmarkStart w:id="2498" w:name="_Toc38440402"/>
      <w:bookmarkStart w:id="2499" w:name="_Toc38440934"/>
      <w:bookmarkStart w:id="2500" w:name="_Toc38441266"/>
      <w:bookmarkStart w:id="2501" w:name="_Toc38441598"/>
      <w:bookmarkStart w:id="2502" w:name="_Toc38441926"/>
      <w:bookmarkStart w:id="2503" w:name="_Toc38442258"/>
      <w:bookmarkStart w:id="2504" w:name="_Toc38442590"/>
      <w:bookmarkStart w:id="2505" w:name="_Toc38442921"/>
      <w:bookmarkStart w:id="2506" w:name="_Toc38443252"/>
      <w:bookmarkStart w:id="2507" w:name="_Toc38443583"/>
      <w:bookmarkStart w:id="2508" w:name="_Toc38443913"/>
      <w:bookmarkStart w:id="2509" w:name="_Toc38438381"/>
      <w:bookmarkStart w:id="2510" w:name="_Toc38438718"/>
      <w:bookmarkStart w:id="2511" w:name="_Toc38439055"/>
      <w:bookmarkStart w:id="2512" w:name="_Toc38439392"/>
      <w:bookmarkStart w:id="2513" w:name="_Toc38439729"/>
      <w:bookmarkStart w:id="2514" w:name="_Toc38440066"/>
      <w:bookmarkStart w:id="2515" w:name="_Toc38440403"/>
      <w:bookmarkStart w:id="2516" w:name="_Toc38440935"/>
      <w:bookmarkStart w:id="2517" w:name="_Toc38441267"/>
      <w:bookmarkStart w:id="2518" w:name="_Toc38441599"/>
      <w:bookmarkStart w:id="2519" w:name="_Toc38441927"/>
      <w:bookmarkStart w:id="2520" w:name="_Toc38442259"/>
      <w:bookmarkStart w:id="2521" w:name="_Toc38442591"/>
      <w:bookmarkStart w:id="2522" w:name="_Toc38442922"/>
      <w:bookmarkStart w:id="2523" w:name="_Toc38443253"/>
      <w:bookmarkStart w:id="2524" w:name="_Toc38443584"/>
      <w:bookmarkStart w:id="2525" w:name="_Toc38443914"/>
      <w:bookmarkStart w:id="2526" w:name="_Toc38438382"/>
      <w:bookmarkStart w:id="2527" w:name="_Toc38438719"/>
      <w:bookmarkStart w:id="2528" w:name="_Toc38439056"/>
      <w:bookmarkStart w:id="2529" w:name="_Toc38439393"/>
      <w:bookmarkStart w:id="2530" w:name="_Toc38439730"/>
      <w:bookmarkStart w:id="2531" w:name="_Toc38440067"/>
      <w:bookmarkStart w:id="2532" w:name="_Toc38440404"/>
      <w:bookmarkStart w:id="2533" w:name="_Toc38440936"/>
      <w:bookmarkStart w:id="2534" w:name="_Toc38441268"/>
      <w:bookmarkStart w:id="2535" w:name="_Toc38441600"/>
      <w:bookmarkStart w:id="2536" w:name="_Toc38441928"/>
      <w:bookmarkStart w:id="2537" w:name="_Toc38442260"/>
      <w:bookmarkStart w:id="2538" w:name="_Toc38442592"/>
      <w:bookmarkStart w:id="2539" w:name="_Toc38442923"/>
      <w:bookmarkStart w:id="2540" w:name="_Toc38443254"/>
      <w:bookmarkStart w:id="2541" w:name="_Toc38443585"/>
      <w:bookmarkStart w:id="2542" w:name="_Toc38443915"/>
      <w:bookmarkStart w:id="2543" w:name="_Toc38438383"/>
      <w:bookmarkStart w:id="2544" w:name="_Toc38438720"/>
      <w:bookmarkStart w:id="2545" w:name="_Toc38439057"/>
      <w:bookmarkStart w:id="2546" w:name="_Toc38439394"/>
      <w:bookmarkStart w:id="2547" w:name="_Toc38439731"/>
      <w:bookmarkStart w:id="2548" w:name="_Toc38440068"/>
      <w:bookmarkStart w:id="2549" w:name="_Toc38440405"/>
      <w:bookmarkStart w:id="2550" w:name="_Toc38440937"/>
      <w:bookmarkStart w:id="2551" w:name="_Toc38441269"/>
      <w:bookmarkStart w:id="2552" w:name="_Toc38441601"/>
      <w:bookmarkStart w:id="2553" w:name="_Toc38441929"/>
      <w:bookmarkStart w:id="2554" w:name="_Toc38442261"/>
      <w:bookmarkStart w:id="2555" w:name="_Toc38442593"/>
      <w:bookmarkStart w:id="2556" w:name="_Toc38442924"/>
      <w:bookmarkStart w:id="2557" w:name="_Toc38443255"/>
      <w:bookmarkStart w:id="2558" w:name="_Toc38443586"/>
      <w:bookmarkStart w:id="2559" w:name="_Toc38443916"/>
      <w:bookmarkStart w:id="2560" w:name="_Toc38438384"/>
      <w:bookmarkStart w:id="2561" w:name="_Toc38438721"/>
      <w:bookmarkStart w:id="2562" w:name="_Toc38439058"/>
      <w:bookmarkStart w:id="2563" w:name="_Toc38439395"/>
      <w:bookmarkStart w:id="2564" w:name="_Toc38439732"/>
      <w:bookmarkStart w:id="2565" w:name="_Toc38440069"/>
      <w:bookmarkStart w:id="2566" w:name="_Toc38440406"/>
      <w:bookmarkStart w:id="2567" w:name="_Toc38440938"/>
      <w:bookmarkStart w:id="2568" w:name="_Toc38441270"/>
      <w:bookmarkStart w:id="2569" w:name="_Toc38441602"/>
      <w:bookmarkStart w:id="2570" w:name="_Toc38441930"/>
      <w:bookmarkStart w:id="2571" w:name="_Toc38442262"/>
      <w:bookmarkStart w:id="2572" w:name="_Toc38442594"/>
      <w:bookmarkStart w:id="2573" w:name="_Toc38442925"/>
      <w:bookmarkStart w:id="2574" w:name="_Toc38443256"/>
      <w:bookmarkStart w:id="2575" w:name="_Toc38443587"/>
      <w:bookmarkStart w:id="2576" w:name="_Toc38443917"/>
      <w:bookmarkStart w:id="2577" w:name="_Toc38438385"/>
      <w:bookmarkStart w:id="2578" w:name="_Toc38438722"/>
      <w:bookmarkStart w:id="2579" w:name="_Toc38439059"/>
      <w:bookmarkStart w:id="2580" w:name="_Toc38439396"/>
      <w:bookmarkStart w:id="2581" w:name="_Toc38439733"/>
      <w:bookmarkStart w:id="2582" w:name="_Toc38440070"/>
      <w:bookmarkStart w:id="2583" w:name="_Toc38440407"/>
      <w:bookmarkStart w:id="2584" w:name="_Toc38440939"/>
      <w:bookmarkStart w:id="2585" w:name="_Toc38441271"/>
      <w:bookmarkStart w:id="2586" w:name="_Toc38441603"/>
      <w:bookmarkStart w:id="2587" w:name="_Toc38441931"/>
      <w:bookmarkStart w:id="2588" w:name="_Toc38442263"/>
      <w:bookmarkStart w:id="2589" w:name="_Toc38442595"/>
      <w:bookmarkStart w:id="2590" w:name="_Toc38442926"/>
      <w:bookmarkStart w:id="2591" w:name="_Toc38443257"/>
      <w:bookmarkStart w:id="2592" w:name="_Toc38443588"/>
      <w:bookmarkStart w:id="2593" w:name="_Toc38443918"/>
      <w:bookmarkStart w:id="2594" w:name="_Toc38438386"/>
      <w:bookmarkStart w:id="2595" w:name="_Toc38438723"/>
      <w:bookmarkStart w:id="2596" w:name="_Toc38439060"/>
      <w:bookmarkStart w:id="2597" w:name="_Toc38439397"/>
      <w:bookmarkStart w:id="2598" w:name="_Toc38439734"/>
      <w:bookmarkStart w:id="2599" w:name="_Toc38440071"/>
      <w:bookmarkStart w:id="2600" w:name="_Toc38440408"/>
      <w:bookmarkStart w:id="2601" w:name="_Toc38440940"/>
      <w:bookmarkStart w:id="2602" w:name="_Toc38441272"/>
      <w:bookmarkStart w:id="2603" w:name="_Toc38441604"/>
      <w:bookmarkStart w:id="2604" w:name="_Toc38441932"/>
      <w:bookmarkStart w:id="2605" w:name="_Toc38442264"/>
      <w:bookmarkStart w:id="2606" w:name="_Toc38442596"/>
      <w:bookmarkStart w:id="2607" w:name="_Toc38442927"/>
      <w:bookmarkStart w:id="2608" w:name="_Toc38443258"/>
      <w:bookmarkStart w:id="2609" w:name="_Toc38443589"/>
      <w:bookmarkStart w:id="2610" w:name="_Toc38443919"/>
      <w:bookmarkStart w:id="2611" w:name="_Toc38438387"/>
      <w:bookmarkStart w:id="2612" w:name="_Toc38438724"/>
      <w:bookmarkStart w:id="2613" w:name="_Toc38439061"/>
      <w:bookmarkStart w:id="2614" w:name="_Toc38439398"/>
      <w:bookmarkStart w:id="2615" w:name="_Toc38439735"/>
      <w:bookmarkStart w:id="2616" w:name="_Toc38440072"/>
      <w:bookmarkStart w:id="2617" w:name="_Toc38440409"/>
      <w:bookmarkStart w:id="2618" w:name="_Toc38440941"/>
      <w:bookmarkStart w:id="2619" w:name="_Toc38441273"/>
      <w:bookmarkStart w:id="2620" w:name="_Toc38441605"/>
      <w:bookmarkStart w:id="2621" w:name="_Toc38441933"/>
      <w:bookmarkStart w:id="2622" w:name="_Toc38442265"/>
      <w:bookmarkStart w:id="2623" w:name="_Toc38442597"/>
      <w:bookmarkStart w:id="2624" w:name="_Toc38442928"/>
      <w:bookmarkStart w:id="2625" w:name="_Toc38443259"/>
      <w:bookmarkStart w:id="2626" w:name="_Toc38443590"/>
      <w:bookmarkStart w:id="2627" w:name="_Toc38443920"/>
      <w:bookmarkStart w:id="2628" w:name="_Toc38438388"/>
      <w:bookmarkStart w:id="2629" w:name="_Toc38438725"/>
      <w:bookmarkStart w:id="2630" w:name="_Toc38439062"/>
      <w:bookmarkStart w:id="2631" w:name="_Toc38439399"/>
      <w:bookmarkStart w:id="2632" w:name="_Toc38439736"/>
      <w:bookmarkStart w:id="2633" w:name="_Toc38440073"/>
      <w:bookmarkStart w:id="2634" w:name="_Toc38440410"/>
      <w:bookmarkStart w:id="2635" w:name="_Toc38440942"/>
      <w:bookmarkStart w:id="2636" w:name="_Toc38441274"/>
      <w:bookmarkStart w:id="2637" w:name="_Toc38441606"/>
      <w:bookmarkStart w:id="2638" w:name="_Toc38441934"/>
      <w:bookmarkStart w:id="2639" w:name="_Toc38442266"/>
      <w:bookmarkStart w:id="2640" w:name="_Toc38442598"/>
      <w:bookmarkStart w:id="2641" w:name="_Toc38442929"/>
      <w:bookmarkStart w:id="2642" w:name="_Toc38443260"/>
      <w:bookmarkStart w:id="2643" w:name="_Toc38443591"/>
      <w:bookmarkStart w:id="2644" w:name="_Toc38443921"/>
      <w:bookmarkStart w:id="2645" w:name="_Toc38438389"/>
      <w:bookmarkStart w:id="2646" w:name="_Toc38438726"/>
      <w:bookmarkStart w:id="2647" w:name="_Toc38439063"/>
      <w:bookmarkStart w:id="2648" w:name="_Toc38439400"/>
      <w:bookmarkStart w:id="2649" w:name="_Toc38439737"/>
      <w:bookmarkStart w:id="2650" w:name="_Toc38440074"/>
      <w:bookmarkStart w:id="2651" w:name="_Toc38440411"/>
      <w:bookmarkStart w:id="2652" w:name="_Toc38440943"/>
      <w:bookmarkStart w:id="2653" w:name="_Toc38441275"/>
      <w:bookmarkStart w:id="2654" w:name="_Toc38441607"/>
      <w:bookmarkStart w:id="2655" w:name="_Toc38441935"/>
      <w:bookmarkStart w:id="2656" w:name="_Toc38442267"/>
      <w:bookmarkStart w:id="2657" w:name="_Toc38442599"/>
      <w:bookmarkStart w:id="2658" w:name="_Toc38442930"/>
      <w:bookmarkStart w:id="2659" w:name="_Toc38443261"/>
      <w:bookmarkStart w:id="2660" w:name="_Toc38443592"/>
      <w:bookmarkStart w:id="2661" w:name="_Toc38443922"/>
      <w:bookmarkStart w:id="2662" w:name="_Toc38438390"/>
      <w:bookmarkStart w:id="2663" w:name="_Toc38438727"/>
      <w:bookmarkStart w:id="2664" w:name="_Toc38439064"/>
      <w:bookmarkStart w:id="2665" w:name="_Toc38439401"/>
      <w:bookmarkStart w:id="2666" w:name="_Toc38439738"/>
      <w:bookmarkStart w:id="2667" w:name="_Toc38440075"/>
      <w:bookmarkStart w:id="2668" w:name="_Toc38440412"/>
      <w:bookmarkStart w:id="2669" w:name="_Toc38440944"/>
      <w:bookmarkStart w:id="2670" w:name="_Toc38441276"/>
      <w:bookmarkStart w:id="2671" w:name="_Toc38441608"/>
      <w:bookmarkStart w:id="2672" w:name="_Toc38441936"/>
      <w:bookmarkStart w:id="2673" w:name="_Toc38442268"/>
      <w:bookmarkStart w:id="2674" w:name="_Toc38442600"/>
      <w:bookmarkStart w:id="2675" w:name="_Toc38442931"/>
      <w:bookmarkStart w:id="2676" w:name="_Toc38443262"/>
      <w:bookmarkStart w:id="2677" w:name="_Toc38443593"/>
      <w:bookmarkStart w:id="2678" w:name="_Toc38443923"/>
      <w:bookmarkStart w:id="2679" w:name="_Toc38438391"/>
      <w:bookmarkStart w:id="2680" w:name="_Toc38438728"/>
      <w:bookmarkStart w:id="2681" w:name="_Toc38439065"/>
      <w:bookmarkStart w:id="2682" w:name="_Toc38439402"/>
      <w:bookmarkStart w:id="2683" w:name="_Toc38439739"/>
      <w:bookmarkStart w:id="2684" w:name="_Toc38440076"/>
      <w:bookmarkStart w:id="2685" w:name="_Toc38440413"/>
      <w:bookmarkStart w:id="2686" w:name="_Toc38440945"/>
      <w:bookmarkStart w:id="2687" w:name="_Toc38441277"/>
      <w:bookmarkStart w:id="2688" w:name="_Toc38441609"/>
      <w:bookmarkStart w:id="2689" w:name="_Toc38441937"/>
      <w:bookmarkStart w:id="2690" w:name="_Toc38442269"/>
      <w:bookmarkStart w:id="2691" w:name="_Toc38442601"/>
      <w:bookmarkStart w:id="2692" w:name="_Toc38442932"/>
      <w:bookmarkStart w:id="2693" w:name="_Toc38443263"/>
      <w:bookmarkStart w:id="2694" w:name="_Toc38443594"/>
      <w:bookmarkStart w:id="2695" w:name="_Toc38443924"/>
      <w:bookmarkStart w:id="2696" w:name="_Toc38438392"/>
      <w:bookmarkStart w:id="2697" w:name="_Toc38438729"/>
      <w:bookmarkStart w:id="2698" w:name="_Toc38439066"/>
      <w:bookmarkStart w:id="2699" w:name="_Toc38439403"/>
      <w:bookmarkStart w:id="2700" w:name="_Toc38439740"/>
      <w:bookmarkStart w:id="2701" w:name="_Toc38440077"/>
      <w:bookmarkStart w:id="2702" w:name="_Toc38440414"/>
      <w:bookmarkStart w:id="2703" w:name="_Toc38440946"/>
      <w:bookmarkStart w:id="2704" w:name="_Toc38441278"/>
      <w:bookmarkStart w:id="2705" w:name="_Toc38441610"/>
      <w:bookmarkStart w:id="2706" w:name="_Toc38441938"/>
      <w:bookmarkStart w:id="2707" w:name="_Toc38442270"/>
      <w:bookmarkStart w:id="2708" w:name="_Toc38442602"/>
      <w:bookmarkStart w:id="2709" w:name="_Toc38442933"/>
      <w:bookmarkStart w:id="2710" w:name="_Toc38443264"/>
      <w:bookmarkStart w:id="2711" w:name="_Toc38443595"/>
      <w:bookmarkStart w:id="2712" w:name="_Toc38443925"/>
      <w:bookmarkStart w:id="2713" w:name="_Toc38438393"/>
      <w:bookmarkStart w:id="2714" w:name="_Toc38438730"/>
      <w:bookmarkStart w:id="2715" w:name="_Toc38439067"/>
      <w:bookmarkStart w:id="2716" w:name="_Toc38439404"/>
      <w:bookmarkStart w:id="2717" w:name="_Toc38439741"/>
      <w:bookmarkStart w:id="2718" w:name="_Toc38440078"/>
      <w:bookmarkStart w:id="2719" w:name="_Toc38440415"/>
      <w:bookmarkStart w:id="2720" w:name="_Toc38440947"/>
      <w:bookmarkStart w:id="2721" w:name="_Toc38441279"/>
      <w:bookmarkStart w:id="2722" w:name="_Toc38441611"/>
      <w:bookmarkStart w:id="2723" w:name="_Toc38441939"/>
      <w:bookmarkStart w:id="2724" w:name="_Toc38442271"/>
      <w:bookmarkStart w:id="2725" w:name="_Toc38442603"/>
      <w:bookmarkStart w:id="2726" w:name="_Toc38442934"/>
      <w:bookmarkStart w:id="2727" w:name="_Toc38443265"/>
      <w:bookmarkStart w:id="2728" w:name="_Toc38443596"/>
      <w:bookmarkStart w:id="2729" w:name="_Toc38443926"/>
      <w:bookmarkStart w:id="2730" w:name="_Toc38438394"/>
      <w:bookmarkStart w:id="2731" w:name="_Toc38438731"/>
      <w:bookmarkStart w:id="2732" w:name="_Toc38439068"/>
      <w:bookmarkStart w:id="2733" w:name="_Toc38439405"/>
      <w:bookmarkStart w:id="2734" w:name="_Toc38439742"/>
      <w:bookmarkStart w:id="2735" w:name="_Toc38440079"/>
      <w:bookmarkStart w:id="2736" w:name="_Toc38440416"/>
      <w:bookmarkStart w:id="2737" w:name="_Toc38440948"/>
      <w:bookmarkStart w:id="2738" w:name="_Toc38441280"/>
      <w:bookmarkStart w:id="2739" w:name="_Toc38441612"/>
      <w:bookmarkStart w:id="2740" w:name="_Toc38441940"/>
      <w:bookmarkStart w:id="2741" w:name="_Toc38442272"/>
      <w:bookmarkStart w:id="2742" w:name="_Toc38442604"/>
      <w:bookmarkStart w:id="2743" w:name="_Toc38442935"/>
      <w:bookmarkStart w:id="2744" w:name="_Toc38443266"/>
      <w:bookmarkStart w:id="2745" w:name="_Toc38443597"/>
      <w:bookmarkStart w:id="2746" w:name="_Toc38443927"/>
      <w:bookmarkStart w:id="2747" w:name="_Toc38438395"/>
      <w:bookmarkStart w:id="2748" w:name="_Toc38438732"/>
      <w:bookmarkStart w:id="2749" w:name="_Toc38439069"/>
      <w:bookmarkStart w:id="2750" w:name="_Toc38439406"/>
      <w:bookmarkStart w:id="2751" w:name="_Toc38439743"/>
      <w:bookmarkStart w:id="2752" w:name="_Toc38440080"/>
      <w:bookmarkStart w:id="2753" w:name="_Toc38440417"/>
      <w:bookmarkStart w:id="2754" w:name="_Toc38440949"/>
      <w:bookmarkStart w:id="2755" w:name="_Toc38441281"/>
      <w:bookmarkStart w:id="2756" w:name="_Toc38441613"/>
      <w:bookmarkStart w:id="2757" w:name="_Toc38441941"/>
      <w:bookmarkStart w:id="2758" w:name="_Toc38442273"/>
      <w:bookmarkStart w:id="2759" w:name="_Toc38442605"/>
      <w:bookmarkStart w:id="2760" w:name="_Toc38442936"/>
      <w:bookmarkStart w:id="2761" w:name="_Toc38443267"/>
      <w:bookmarkStart w:id="2762" w:name="_Toc38443598"/>
      <w:bookmarkStart w:id="2763" w:name="_Toc38443928"/>
      <w:bookmarkStart w:id="2764" w:name="_Toc38438396"/>
      <w:bookmarkStart w:id="2765" w:name="_Toc38438733"/>
      <w:bookmarkStart w:id="2766" w:name="_Toc38439070"/>
      <w:bookmarkStart w:id="2767" w:name="_Toc38439407"/>
      <w:bookmarkStart w:id="2768" w:name="_Toc38439744"/>
      <w:bookmarkStart w:id="2769" w:name="_Toc38440081"/>
      <w:bookmarkStart w:id="2770" w:name="_Toc38440418"/>
      <w:bookmarkStart w:id="2771" w:name="_Toc38440950"/>
      <w:bookmarkStart w:id="2772" w:name="_Toc38441282"/>
      <w:bookmarkStart w:id="2773" w:name="_Toc38441614"/>
      <w:bookmarkStart w:id="2774" w:name="_Toc38441942"/>
      <w:bookmarkStart w:id="2775" w:name="_Toc38442274"/>
      <w:bookmarkStart w:id="2776" w:name="_Toc38442606"/>
      <w:bookmarkStart w:id="2777" w:name="_Toc38442937"/>
      <w:bookmarkStart w:id="2778" w:name="_Toc38443268"/>
      <w:bookmarkStart w:id="2779" w:name="_Toc38443599"/>
      <w:bookmarkStart w:id="2780" w:name="_Toc38443929"/>
      <w:bookmarkStart w:id="2781" w:name="_Toc38438397"/>
      <w:bookmarkStart w:id="2782" w:name="_Toc38438734"/>
      <w:bookmarkStart w:id="2783" w:name="_Toc38439071"/>
      <w:bookmarkStart w:id="2784" w:name="_Toc38439408"/>
      <w:bookmarkStart w:id="2785" w:name="_Toc38439745"/>
      <w:bookmarkStart w:id="2786" w:name="_Toc38440082"/>
      <w:bookmarkStart w:id="2787" w:name="_Toc38440419"/>
      <w:bookmarkStart w:id="2788" w:name="_Toc38440951"/>
      <w:bookmarkStart w:id="2789" w:name="_Toc38441283"/>
      <w:bookmarkStart w:id="2790" w:name="_Toc38441615"/>
      <w:bookmarkStart w:id="2791" w:name="_Toc38441943"/>
      <w:bookmarkStart w:id="2792" w:name="_Toc38442275"/>
      <w:bookmarkStart w:id="2793" w:name="_Toc38442607"/>
      <w:bookmarkStart w:id="2794" w:name="_Toc38442938"/>
      <w:bookmarkStart w:id="2795" w:name="_Toc38443269"/>
      <w:bookmarkStart w:id="2796" w:name="_Toc38443600"/>
      <w:bookmarkStart w:id="2797" w:name="_Toc38443930"/>
      <w:bookmarkStart w:id="2798" w:name="_Toc38438398"/>
      <w:bookmarkStart w:id="2799" w:name="_Toc38438735"/>
      <w:bookmarkStart w:id="2800" w:name="_Toc38439072"/>
      <w:bookmarkStart w:id="2801" w:name="_Toc38439409"/>
      <w:bookmarkStart w:id="2802" w:name="_Toc38439746"/>
      <w:bookmarkStart w:id="2803" w:name="_Toc38440083"/>
      <w:bookmarkStart w:id="2804" w:name="_Toc38440420"/>
      <w:bookmarkStart w:id="2805" w:name="_Toc38440952"/>
      <w:bookmarkStart w:id="2806" w:name="_Toc38441284"/>
      <w:bookmarkStart w:id="2807" w:name="_Toc38441616"/>
      <w:bookmarkStart w:id="2808" w:name="_Toc38441944"/>
      <w:bookmarkStart w:id="2809" w:name="_Toc38442276"/>
      <w:bookmarkStart w:id="2810" w:name="_Toc38442608"/>
      <w:bookmarkStart w:id="2811" w:name="_Toc38442939"/>
      <w:bookmarkStart w:id="2812" w:name="_Toc38443270"/>
      <w:bookmarkStart w:id="2813" w:name="_Toc38443601"/>
      <w:bookmarkStart w:id="2814" w:name="_Toc38443931"/>
      <w:bookmarkStart w:id="2815" w:name="_Toc38438400"/>
      <w:bookmarkStart w:id="2816" w:name="_Toc38438737"/>
      <w:bookmarkStart w:id="2817" w:name="_Toc38439074"/>
      <w:bookmarkStart w:id="2818" w:name="_Toc38439411"/>
      <w:bookmarkStart w:id="2819" w:name="_Toc38439748"/>
      <w:bookmarkStart w:id="2820" w:name="_Toc38440085"/>
      <w:bookmarkStart w:id="2821" w:name="_Toc38440422"/>
      <w:bookmarkStart w:id="2822" w:name="_Toc38440954"/>
      <w:bookmarkStart w:id="2823" w:name="_Toc38441286"/>
      <w:bookmarkStart w:id="2824" w:name="_Toc38441618"/>
      <w:bookmarkStart w:id="2825" w:name="_Toc38441946"/>
      <w:bookmarkStart w:id="2826" w:name="_Toc38442278"/>
      <w:bookmarkStart w:id="2827" w:name="_Toc38442610"/>
      <w:bookmarkStart w:id="2828" w:name="_Toc38442941"/>
      <w:bookmarkStart w:id="2829" w:name="_Toc38443272"/>
      <w:bookmarkStart w:id="2830" w:name="_Toc38443603"/>
      <w:bookmarkStart w:id="2831" w:name="_Toc38443933"/>
      <w:bookmarkStart w:id="2832" w:name="_Toc38438401"/>
      <w:bookmarkStart w:id="2833" w:name="_Toc38438738"/>
      <w:bookmarkStart w:id="2834" w:name="_Toc38439075"/>
      <w:bookmarkStart w:id="2835" w:name="_Toc38439412"/>
      <w:bookmarkStart w:id="2836" w:name="_Toc38439749"/>
      <w:bookmarkStart w:id="2837" w:name="_Toc38440086"/>
      <w:bookmarkStart w:id="2838" w:name="_Toc38440423"/>
      <w:bookmarkStart w:id="2839" w:name="_Toc38440955"/>
      <w:bookmarkStart w:id="2840" w:name="_Toc38441287"/>
      <w:bookmarkStart w:id="2841" w:name="_Toc38441619"/>
      <w:bookmarkStart w:id="2842" w:name="_Toc38441947"/>
      <w:bookmarkStart w:id="2843" w:name="_Toc38442279"/>
      <w:bookmarkStart w:id="2844" w:name="_Toc38442611"/>
      <w:bookmarkStart w:id="2845" w:name="_Toc38442942"/>
      <w:bookmarkStart w:id="2846" w:name="_Toc38443273"/>
      <w:bookmarkStart w:id="2847" w:name="_Toc38443604"/>
      <w:bookmarkStart w:id="2848" w:name="_Toc38443934"/>
      <w:bookmarkStart w:id="2849" w:name="_Toc38438402"/>
      <w:bookmarkStart w:id="2850" w:name="_Toc38438739"/>
      <w:bookmarkStart w:id="2851" w:name="_Toc38439076"/>
      <w:bookmarkStart w:id="2852" w:name="_Toc38439413"/>
      <w:bookmarkStart w:id="2853" w:name="_Toc38439750"/>
      <w:bookmarkStart w:id="2854" w:name="_Toc38440087"/>
      <w:bookmarkStart w:id="2855" w:name="_Toc38440424"/>
      <w:bookmarkStart w:id="2856" w:name="_Toc38440956"/>
      <w:bookmarkStart w:id="2857" w:name="_Toc38441288"/>
      <w:bookmarkStart w:id="2858" w:name="_Toc38441620"/>
      <w:bookmarkStart w:id="2859" w:name="_Toc38441948"/>
      <w:bookmarkStart w:id="2860" w:name="_Toc38442280"/>
      <w:bookmarkStart w:id="2861" w:name="_Toc38442612"/>
      <w:bookmarkStart w:id="2862" w:name="_Toc38442943"/>
      <w:bookmarkStart w:id="2863" w:name="_Toc38443274"/>
      <w:bookmarkStart w:id="2864" w:name="_Toc38443605"/>
      <w:bookmarkStart w:id="2865" w:name="_Toc38443935"/>
      <w:bookmarkStart w:id="2866" w:name="_Toc38438404"/>
      <w:bookmarkStart w:id="2867" w:name="_Toc38438741"/>
      <w:bookmarkStart w:id="2868" w:name="_Toc38439078"/>
      <w:bookmarkStart w:id="2869" w:name="_Toc38439415"/>
      <w:bookmarkStart w:id="2870" w:name="_Toc38439752"/>
      <w:bookmarkStart w:id="2871" w:name="_Toc38440089"/>
      <w:bookmarkStart w:id="2872" w:name="_Toc38440426"/>
      <w:bookmarkStart w:id="2873" w:name="_Toc38440958"/>
      <w:bookmarkStart w:id="2874" w:name="_Toc38441290"/>
      <w:bookmarkStart w:id="2875" w:name="_Toc38441622"/>
      <w:bookmarkStart w:id="2876" w:name="_Toc38441950"/>
      <w:bookmarkStart w:id="2877" w:name="_Toc38442282"/>
      <w:bookmarkStart w:id="2878" w:name="_Toc38442614"/>
      <w:bookmarkStart w:id="2879" w:name="_Toc38442945"/>
      <w:bookmarkStart w:id="2880" w:name="_Toc38443276"/>
      <w:bookmarkStart w:id="2881" w:name="_Toc38443607"/>
      <w:bookmarkStart w:id="2882" w:name="_Toc38443937"/>
      <w:bookmarkStart w:id="2883" w:name="_Toc38438405"/>
      <w:bookmarkStart w:id="2884" w:name="_Toc38438742"/>
      <w:bookmarkStart w:id="2885" w:name="_Toc38439079"/>
      <w:bookmarkStart w:id="2886" w:name="_Toc38439416"/>
      <w:bookmarkStart w:id="2887" w:name="_Toc38439753"/>
      <w:bookmarkStart w:id="2888" w:name="_Toc38440090"/>
      <w:bookmarkStart w:id="2889" w:name="_Toc38440427"/>
      <w:bookmarkStart w:id="2890" w:name="_Toc38440959"/>
      <w:bookmarkStart w:id="2891" w:name="_Toc38441291"/>
      <w:bookmarkStart w:id="2892" w:name="_Toc38441623"/>
      <w:bookmarkStart w:id="2893" w:name="_Toc38441951"/>
      <w:bookmarkStart w:id="2894" w:name="_Toc38442283"/>
      <w:bookmarkStart w:id="2895" w:name="_Toc38442615"/>
      <w:bookmarkStart w:id="2896" w:name="_Toc38442946"/>
      <w:bookmarkStart w:id="2897" w:name="_Toc38443277"/>
      <w:bookmarkStart w:id="2898" w:name="_Toc38443608"/>
      <w:bookmarkStart w:id="2899" w:name="_Toc38443938"/>
      <w:bookmarkStart w:id="2900" w:name="_Toc38438406"/>
      <w:bookmarkStart w:id="2901" w:name="_Toc38438743"/>
      <w:bookmarkStart w:id="2902" w:name="_Toc38439080"/>
      <w:bookmarkStart w:id="2903" w:name="_Toc38439417"/>
      <w:bookmarkStart w:id="2904" w:name="_Toc38439754"/>
      <w:bookmarkStart w:id="2905" w:name="_Toc38440091"/>
      <w:bookmarkStart w:id="2906" w:name="_Toc38440428"/>
      <w:bookmarkStart w:id="2907" w:name="_Toc38440960"/>
      <w:bookmarkStart w:id="2908" w:name="_Toc38441292"/>
      <w:bookmarkStart w:id="2909" w:name="_Toc38441624"/>
      <w:bookmarkStart w:id="2910" w:name="_Toc38441952"/>
      <w:bookmarkStart w:id="2911" w:name="_Toc38442284"/>
      <w:bookmarkStart w:id="2912" w:name="_Toc38442616"/>
      <w:bookmarkStart w:id="2913" w:name="_Toc38442947"/>
      <w:bookmarkStart w:id="2914" w:name="_Toc38443278"/>
      <w:bookmarkStart w:id="2915" w:name="_Toc38443609"/>
      <w:bookmarkStart w:id="2916" w:name="_Toc38443939"/>
      <w:bookmarkStart w:id="2917" w:name="_Toc38438407"/>
      <w:bookmarkStart w:id="2918" w:name="_Toc38438744"/>
      <w:bookmarkStart w:id="2919" w:name="_Toc38439081"/>
      <w:bookmarkStart w:id="2920" w:name="_Toc38439418"/>
      <w:bookmarkStart w:id="2921" w:name="_Toc38439755"/>
      <w:bookmarkStart w:id="2922" w:name="_Toc38440092"/>
      <w:bookmarkStart w:id="2923" w:name="_Toc38440429"/>
      <w:bookmarkStart w:id="2924" w:name="_Toc38440961"/>
      <w:bookmarkStart w:id="2925" w:name="_Toc38441293"/>
      <w:bookmarkStart w:id="2926" w:name="_Toc38441625"/>
      <w:bookmarkStart w:id="2927" w:name="_Toc38441953"/>
      <w:bookmarkStart w:id="2928" w:name="_Toc38442285"/>
      <w:bookmarkStart w:id="2929" w:name="_Toc38442617"/>
      <w:bookmarkStart w:id="2930" w:name="_Toc38442948"/>
      <w:bookmarkStart w:id="2931" w:name="_Toc38443279"/>
      <w:bookmarkStart w:id="2932" w:name="_Toc38443610"/>
      <w:bookmarkStart w:id="2933" w:name="_Toc38443940"/>
      <w:bookmarkStart w:id="2934" w:name="_Toc38438408"/>
      <w:bookmarkStart w:id="2935" w:name="_Toc38438745"/>
      <w:bookmarkStart w:id="2936" w:name="_Toc38439082"/>
      <w:bookmarkStart w:id="2937" w:name="_Toc38439419"/>
      <w:bookmarkStart w:id="2938" w:name="_Toc38439756"/>
      <w:bookmarkStart w:id="2939" w:name="_Toc38440093"/>
      <w:bookmarkStart w:id="2940" w:name="_Toc38440430"/>
      <w:bookmarkStart w:id="2941" w:name="_Toc38440962"/>
      <w:bookmarkStart w:id="2942" w:name="_Toc38441294"/>
      <w:bookmarkStart w:id="2943" w:name="_Toc38441626"/>
      <w:bookmarkStart w:id="2944" w:name="_Toc38441954"/>
      <w:bookmarkStart w:id="2945" w:name="_Toc38442286"/>
      <w:bookmarkStart w:id="2946" w:name="_Toc38442618"/>
      <w:bookmarkStart w:id="2947" w:name="_Toc38442949"/>
      <w:bookmarkStart w:id="2948" w:name="_Toc38443280"/>
      <w:bookmarkStart w:id="2949" w:name="_Toc38443611"/>
      <w:bookmarkStart w:id="2950" w:name="_Toc38443941"/>
      <w:bookmarkStart w:id="2951" w:name="_Toc38438409"/>
      <w:bookmarkStart w:id="2952" w:name="_Toc38438746"/>
      <w:bookmarkStart w:id="2953" w:name="_Toc38439083"/>
      <w:bookmarkStart w:id="2954" w:name="_Toc38439420"/>
      <w:bookmarkStart w:id="2955" w:name="_Toc38439757"/>
      <w:bookmarkStart w:id="2956" w:name="_Toc38440094"/>
      <w:bookmarkStart w:id="2957" w:name="_Toc38440431"/>
      <w:bookmarkStart w:id="2958" w:name="_Toc38440963"/>
      <w:bookmarkStart w:id="2959" w:name="_Toc38441295"/>
      <w:bookmarkStart w:id="2960" w:name="_Toc38441627"/>
      <w:bookmarkStart w:id="2961" w:name="_Toc38441955"/>
      <w:bookmarkStart w:id="2962" w:name="_Toc38442287"/>
      <w:bookmarkStart w:id="2963" w:name="_Toc38442619"/>
      <w:bookmarkStart w:id="2964" w:name="_Toc38442950"/>
      <w:bookmarkStart w:id="2965" w:name="_Toc38443281"/>
      <w:bookmarkStart w:id="2966" w:name="_Toc38443612"/>
      <w:bookmarkStart w:id="2967" w:name="_Toc38443942"/>
      <w:bookmarkStart w:id="2968" w:name="_Toc38438410"/>
      <w:bookmarkStart w:id="2969" w:name="_Toc38438747"/>
      <w:bookmarkStart w:id="2970" w:name="_Toc38439084"/>
      <w:bookmarkStart w:id="2971" w:name="_Toc38439421"/>
      <w:bookmarkStart w:id="2972" w:name="_Toc38439758"/>
      <w:bookmarkStart w:id="2973" w:name="_Toc38440095"/>
      <w:bookmarkStart w:id="2974" w:name="_Toc38440432"/>
      <w:bookmarkStart w:id="2975" w:name="_Toc38440964"/>
      <w:bookmarkStart w:id="2976" w:name="_Toc38441296"/>
      <w:bookmarkStart w:id="2977" w:name="_Toc38441628"/>
      <w:bookmarkStart w:id="2978" w:name="_Toc38441956"/>
      <w:bookmarkStart w:id="2979" w:name="_Toc38442288"/>
      <w:bookmarkStart w:id="2980" w:name="_Toc38442620"/>
      <w:bookmarkStart w:id="2981" w:name="_Toc38442951"/>
      <w:bookmarkStart w:id="2982" w:name="_Toc38443282"/>
      <w:bookmarkStart w:id="2983" w:name="_Toc38443613"/>
      <w:bookmarkStart w:id="2984" w:name="_Toc38443943"/>
      <w:bookmarkStart w:id="2985" w:name="_Toc38438411"/>
      <w:bookmarkStart w:id="2986" w:name="_Toc38438748"/>
      <w:bookmarkStart w:id="2987" w:name="_Toc38439085"/>
      <w:bookmarkStart w:id="2988" w:name="_Toc38439422"/>
      <w:bookmarkStart w:id="2989" w:name="_Toc38439759"/>
      <w:bookmarkStart w:id="2990" w:name="_Toc38440096"/>
      <w:bookmarkStart w:id="2991" w:name="_Toc38440433"/>
      <w:bookmarkStart w:id="2992" w:name="_Toc38440965"/>
      <w:bookmarkStart w:id="2993" w:name="_Toc38441297"/>
      <w:bookmarkStart w:id="2994" w:name="_Toc38441629"/>
      <w:bookmarkStart w:id="2995" w:name="_Toc38441957"/>
      <w:bookmarkStart w:id="2996" w:name="_Toc38442289"/>
      <w:bookmarkStart w:id="2997" w:name="_Toc38442621"/>
      <w:bookmarkStart w:id="2998" w:name="_Toc38442952"/>
      <w:bookmarkStart w:id="2999" w:name="_Toc38443283"/>
      <w:bookmarkStart w:id="3000" w:name="_Toc38443614"/>
      <w:bookmarkStart w:id="3001" w:name="_Toc38443944"/>
      <w:bookmarkStart w:id="3002" w:name="_Toc38438412"/>
      <w:bookmarkStart w:id="3003" w:name="_Toc38438749"/>
      <w:bookmarkStart w:id="3004" w:name="_Toc38439086"/>
      <w:bookmarkStart w:id="3005" w:name="_Toc38439423"/>
      <w:bookmarkStart w:id="3006" w:name="_Toc38439760"/>
      <w:bookmarkStart w:id="3007" w:name="_Toc38440097"/>
      <w:bookmarkStart w:id="3008" w:name="_Toc38440434"/>
      <w:bookmarkStart w:id="3009" w:name="_Toc38440966"/>
      <w:bookmarkStart w:id="3010" w:name="_Toc38441298"/>
      <w:bookmarkStart w:id="3011" w:name="_Toc38441630"/>
      <w:bookmarkStart w:id="3012" w:name="_Toc38441958"/>
      <w:bookmarkStart w:id="3013" w:name="_Toc38442290"/>
      <w:bookmarkStart w:id="3014" w:name="_Toc38442622"/>
      <w:bookmarkStart w:id="3015" w:name="_Toc38442953"/>
      <w:bookmarkStart w:id="3016" w:name="_Toc38443284"/>
      <w:bookmarkStart w:id="3017" w:name="_Toc38443615"/>
      <w:bookmarkStart w:id="3018" w:name="_Toc38443945"/>
      <w:bookmarkStart w:id="3019" w:name="_Toc38438413"/>
      <w:bookmarkStart w:id="3020" w:name="_Toc38438750"/>
      <w:bookmarkStart w:id="3021" w:name="_Toc38439087"/>
      <w:bookmarkStart w:id="3022" w:name="_Toc38439424"/>
      <w:bookmarkStart w:id="3023" w:name="_Toc38439761"/>
      <w:bookmarkStart w:id="3024" w:name="_Toc38440098"/>
      <w:bookmarkStart w:id="3025" w:name="_Toc38440435"/>
      <w:bookmarkStart w:id="3026" w:name="_Toc38440967"/>
      <w:bookmarkStart w:id="3027" w:name="_Toc38441299"/>
      <w:bookmarkStart w:id="3028" w:name="_Toc38441631"/>
      <w:bookmarkStart w:id="3029" w:name="_Toc38441959"/>
      <w:bookmarkStart w:id="3030" w:name="_Toc38442291"/>
      <w:bookmarkStart w:id="3031" w:name="_Toc38442623"/>
      <w:bookmarkStart w:id="3032" w:name="_Toc38442954"/>
      <w:bookmarkStart w:id="3033" w:name="_Toc38443285"/>
      <w:bookmarkStart w:id="3034" w:name="_Toc38443616"/>
      <w:bookmarkStart w:id="3035" w:name="_Toc38443946"/>
      <w:bookmarkStart w:id="3036" w:name="_Toc38438414"/>
      <w:bookmarkStart w:id="3037" w:name="_Toc38438751"/>
      <w:bookmarkStart w:id="3038" w:name="_Toc38439088"/>
      <w:bookmarkStart w:id="3039" w:name="_Toc38439425"/>
      <w:bookmarkStart w:id="3040" w:name="_Toc38439762"/>
      <w:bookmarkStart w:id="3041" w:name="_Toc38440099"/>
      <w:bookmarkStart w:id="3042" w:name="_Toc38440436"/>
      <w:bookmarkStart w:id="3043" w:name="_Toc38440968"/>
      <w:bookmarkStart w:id="3044" w:name="_Toc38441300"/>
      <w:bookmarkStart w:id="3045" w:name="_Toc38441632"/>
      <w:bookmarkStart w:id="3046" w:name="_Toc38441960"/>
      <w:bookmarkStart w:id="3047" w:name="_Toc38442292"/>
      <w:bookmarkStart w:id="3048" w:name="_Toc38442624"/>
      <w:bookmarkStart w:id="3049" w:name="_Toc38442955"/>
      <w:bookmarkStart w:id="3050" w:name="_Toc38443286"/>
      <w:bookmarkStart w:id="3051" w:name="_Toc38443617"/>
      <w:bookmarkStart w:id="3052" w:name="_Toc38443947"/>
      <w:bookmarkStart w:id="3053" w:name="_Toc38438415"/>
      <w:bookmarkStart w:id="3054" w:name="_Toc38438752"/>
      <w:bookmarkStart w:id="3055" w:name="_Toc38439089"/>
      <w:bookmarkStart w:id="3056" w:name="_Toc38439426"/>
      <w:bookmarkStart w:id="3057" w:name="_Toc38439763"/>
      <w:bookmarkStart w:id="3058" w:name="_Toc38440100"/>
      <w:bookmarkStart w:id="3059" w:name="_Toc38440437"/>
      <w:bookmarkStart w:id="3060" w:name="_Toc38440969"/>
      <w:bookmarkStart w:id="3061" w:name="_Toc38441301"/>
      <w:bookmarkStart w:id="3062" w:name="_Toc38441633"/>
      <w:bookmarkStart w:id="3063" w:name="_Toc38441961"/>
      <w:bookmarkStart w:id="3064" w:name="_Toc38442293"/>
      <w:bookmarkStart w:id="3065" w:name="_Toc38442625"/>
      <w:bookmarkStart w:id="3066" w:name="_Toc38442956"/>
      <w:bookmarkStart w:id="3067" w:name="_Toc38443287"/>
      <w:bookmarkStart w:id="3068" w:name="_Toc38443618"/>
      <w:bookmarkStart w:id="3069" w:name="_Toc38443948"/>
      <w:bookmarkStart w:id="3070" w:name="_Toc38438416"/>
      <w:bookmarkStart w:id="3071" w:name="_Toc38438753"/>
      <w:bookmarkStart w:id="3072" w:name="_Toc38439090"/>
      <w:bookmarkStart w:id="3073" w:name="_Toc38439427"/>
      <w:bookmarkStart w:id="3074" w:name="_Toc38439764"/>
      <w:bookmarkStart w:id="3075" w:name="_Toc38440101"/>
      <w:bookmarkStart w:id="3076" w:name="_Toc38440438"/>
      <w:bookmarkStart w:id="3077" w:name="_Toc38440970"/>
      <w:bookmarkStart w:id="3078" w:name="_Toc38441302"/>
      <w:bookmarkStart w:id="3079" w:name="_Toc38441634"/>
      <w:bookmarkStart w:id="3080" w:name="_Toc38441962"/>
      <w:bookmarkStart w:id="3081" w:name="_Toc38442294"/>
      <w:bookmarkStart w:id="3082" w:name="_Toc38442626"/>
      <w:bookmarkStart w:id="3083" w:name="_Toc38442957"/>
      <w:bookmarkStart w:id="3084" w:name="_Toc38443288"/>
      <w:bookmarkStart w:id="3085" w:name="_Toc38443619"/>
      <w:bookmarkStart w:id="3086" w:name="_Toc38443949"/>
      <w:bookmarkStart w:id="3087" w:name="_Toc38438417"/>
      <w:bookmarkStart w:id="3088" w:name="_Toc38438754"/>
      <w:bookmarkStart w:id="3089" w:name="_Toc38439091"/>
      <w:bookmarkStart w:id="3090" w:name="_Toc38439428"/>
      <w:bookmarkStart w:id="3091" w:name="_Toc38439765"/>
      <w:bookmarkStart w:id="3092" w:name="_Toc38440102"/>
      <w:bookmarkStart w:id="3093" w:name="_Toc38440439"/>
      <w:bookmarkStart w:id="3094" w:name="_Toc38440971"/>
      <w:bookmarkStart w:id="3095" w:name="_Toc38441303"/>
      <w:bookmarkStart w:id="3096" w:name="_Toc38441635"/>
      <w:bookmarkStart w:id="3097" w:name="_Toc38441963"/>
      <w:bookmarkStart w:id="3098" w:name="_Toc38442295"/>
      <w:bookmarkStart w:id="3099" w:name="_Toc38442627"/>
      <w:bookmarkStart w:id="3100" w:name="_Toc38442958"/>
      <w:bookmarkStart w:id="3101" w:name="_Toc38443289"/>
      <w:bookmarkStart w:id="3102" w:name="_Toc38443620"/>
      <w:bookmarkStart w:id="3103" w:name="_Toc38443950"/>
      <w:bookmarkStart w:id="3104" w:name="_Toc38438418"/>
      <w:bookmarkStart w:id="3105" w:name="_Toc38438755"/>
      <w:bookmarkStart w:id="3106" w:name="_Toc38439092"/>
      <w:bookmarkStart w:id="3107" w:name="_Toc38439429"/>
      <w:bookmarkStart w:id="3108" w:name="_Toc38439766"/>
      <w:bookmarkStart w:id="3109" w:name="_Toc38440103"/>
      <w:bookmarkStart w:id="3110" w:name="_Toc38440440"/>
      <w:bookmarkStart w:id="3111" w:name="_Toc38440972"/>
      <w:bookmarkStart w:id="3112" w:name="_Toc38441304"/>
      <w:bookmarkStart w:id="3113" w:name="_Toc38441636"/>
      <w:bookmarkStart w:id="3114" w:name="_Toc38441964"/>
      <w:bookmarkStart w:id="3115" w:name="_Toc38442296"/>
      <w:bookmarkStart w:id="3116" w:name="_Toc38442628"/>
      <w:bookmarkStart w:id="3117" w:name="_Toc38442959"/>
      <w:bookmarkStart w:id="3118" w:name="_Toc38443290"/>
      <w:bookmarkStart w:id="3119" w:name="_Toc38443621"/>
      <w:bookmarkStart w:id="3120" w:name="_Toc38443951"/>
      <w:bookmarkStart w:id="3121" w:name="_Toc38438419"/>
      <w:bookmarkStart w:id="3122" w:name="_Toc38438756"/>
      <w:bookmarkStart w:id="3123" w:name="_Toc38439093"/>
      <w:bookmarkStart w:id="3124" w:name="_Toc38439430"/>
      <w:bookmarkStart w:id="3125" w:name="_Toc38439767"/>
      <w:bookmarkStart w:id="3126" w:name="_Toc38440104"/>
      <w:bookmarkStart w:id="3127" w:name="_Toc38440441"/>
      <w:bookmarkStart w:id="3128" w:name="_Toc38440973"/>
      <w:bookmarkStart w:id="3129" w:name="_Toc38441305"/>
      <w:bookmarkStart w:id="3130" w:name="_Toc38441637"/>
      <w:bookmarkStart w:id="3131" w:name="_Toc38441965"/>
      <w:bookmarkStart w:id="3132" w:name="_Toc38442297"/>
      <w:bookmarkStart w:id="3133" w:name="_Toc38442629"/>
      <w:bookmarkStart w:id="3134" w:name="_Toc38442960"/>
      <w:bookmarkStart w:id="3135" w:name="_Toc38443291"/>
      <w:bookmarkStart w:id="3136" w:name="_Toc38443622"/>
      <w:bookmarkStart w:id="3137" w:name="_Toc38443952"/>
      <w:bookmarkStart w:id="3138" w:name="_Toc38438420"/>
      <w:bookmarkStart w:id="3139" w:name="_Toc38438757"/>
      <w:bookmarkStart w:id="3140" w:name="_Toc38439094"/>
      <w:bookmarkStart w:id="3141" w:name="_Toc38439431"/>
      <w:bookmarkStart w:id="3142" w:name="_Toc38439768"/>
      <w:bookmarkStart w:id="3143" w:name="_Toc38440105"/>
      <w:bookmarkStart w:id="3144" w:name="_Toc38440442"/>
      <w:bookmarkStart w:id="3145" w:name="_Toc38440974"/>
      <w:bookmarkStart w:id="3146" w:name="_Toc38441306"/>
      <w:bookmarkStart w:id="3147" w:name="_Toc38441638"/>
      <w:bookmarkStart w:id="3148" w:name="_Toc38441966"/>
      <w:bookmarkStart w:id="3149" w:name="_Toc38442298"/>
      <w:bookmarkStart w:id="3150" w:name="_Toc38442630"/>
      <w:bookmarkStart w:id="3151" w:name="_Toc38442961"/>
      <w:bookmarkStart w:id="3152" w:name="_Toc38443292"/>
      <w:bookmarkStart w:id="3153" w:name="_Toc38443623"/>
      <w:bookmarkStart w:id="3154" w:name="_Toc38443953"/>
      <w:bookmarkStart w:id="3155" w:name="_Toc38438421"/>
      <w:bookmarkStart w:id="3156" w:name="_Toc38438758"/>
      <w:bookmarkStart w:id="3157" w:name="_Toc38439095"/>
      <w:bookmarkStart w:id="3158" w:name="_Toc38439432"/>
      <w:bookmarkStart w:id="3159" w:name="_Toc38439769"/>
      <w:bookmarkStart w:id="3160" w:name="_Toc38440106"/>
      <w:bookmarkStart w:id="3161" w:name="_Toc38440443"/>
      <w:bookmarkStart w:id="3162" w:name="_Toc38440975"/>
      <w:bookmarkStart w:id="3163" w:name="_Toc38441307"/>
      <w:bookmarkStart w:id="3164" w:name="_Toc38441639"/>
      <w:bookmarkStart w:id="3165" w:name="_Toc38441967"/>
      <w:bookmarkStart w:id="3166" w:name="_Toc38442299"/>
      <w:bookmarkStart w:id="3167" w:name="_Toc38442631"/>
      <w:bookmarkStart w:id="3168" w:name="_Toc38442962"/>
      <w:bookmarkStart w:id="3169" w:name="_Toc38443293"/>
      <w:bookmarkStart w:id="3170" w:name="_Toc38443624"/>
      <w:bookmarkStart w:id="3171" w:name="_Toc38443954"/>
      <w:bookmarkStart w:id="3172" w:name="_Toc38438422"/>
      <w:bookmarkStart w:id="3173" w:name="_Toc38438759"/>
      <w:bookmarkStart w:id="3174" w:name="_Toc38439096"/>
      <w:bookmarkStart w:id="3175" w:name="_Toc38439433"/>
      <w:bookmarkStart w:id="3176" w:name="_Toc38439770"/>
      <w:bookmarkStart w:id="3177" w:name="_Toc38440107"/>
      <w:bookmarkStart w:id="3178" w:name="_Toc38440444"/>
      <w:bookmarkStart w:id="3179" w:name="_Toc38440976"/>
      <w:bookmarkStart w:id="3180" w:name="_Toc38441308"/>
      <w:bookmarkStart w:id="3181" w:name="_Toc38441640"/>
      <w:bookmarkStart w:id="3182" w:name="_Toc38441968"/>
      <w:bookmarkStart w:id="3183" w:name="_Toc38442300"/>
      <w:bookmarkStart w:id="3184" w:name="_Toc38442632"/>
      <w:bookmarkStart w:id="3185" w:name="_Toc38442963"/>
      <w:bookmarkStart w:id="3186" w:name="_Toc38443294"/>
      <w:bookmarkStart w:id="3187" w:name="_Toc38443625"/>
      <w:bookmarkStart w:id="3188" w:name="_Toc38443955"/>
      <w:bookmarkStart w:id="3189" w:name="_Toc38438423"/>
      <w:bookmarkStart w:id="3190" w:name="_Toc38438760"/>
      <w:bookmarkStart w:id="3191" w:name="_Toc38439097"/>
      <w:bookmarkStart w:id="3192" w:name="_Toc38439434"/>
      <w:bookmarkStart w:id="3193" w:name="_Toc38439771"/>
      <w:bookmarkStart w:id="3194" w:name="_Toc38440108"/>
      <w:bookmarkStart w:id="3195" w:name="_Toc38440445"/>
      <w:bookmarkStart w:id="3196" w:name="_Toc38440977"/>
      <w:bookmarkStart w:id="3197" w:name="_Toc38441309"/>
      <w:bookmarkStart w:id="3198" w:name="_Toc38441641"/>
      <w:bookmarkStart w:id="3199" w:name="_Toc38441969"/>
      <w:bookmarkStart w:id="3200" w:name="_Toc38442301"/>
      <w:bookmarkStart w:id="3201" w:name="_Toc38442633"/>
      <w:bookmarkStart w:id="3202" w:name="_Toc38442964"/>
      <w:bookmarkStart w:id="3203" w:name="_Toc38443295"/>
      <w:bookmarkStart w:id="3204" w:name="_Toc38443626"/>
      <w:bookmarkStart w:id="3205" w:name="_Toc38443956"/>
      <w:bookmarkStart w:id="3206" w:name="_Toc38438424"/>
      <w:bookmarkStart w:id="3207" w:name="_Toc38438761"/>
      <w:bookmarkStart w:id="3208" w:name="_Toc38439098"/>
      <w:bookmarkStart w:id="3209" w:name="_Toc38439435"/>
      <w:bookmarkStart w:id="3210" w:name="_Toc38439772"/>
      <w:bookmarkStart w:id="3211" w:name="_Toc38440109"/>
      <w:bookmarkStart w:id="3212" w:name="_Toc38440446"/>
      <w:bookmarkStart w:id="3213" w:name="_Toc38440978"/>
      <w:bookmarkStart w:id="3214" w:name="_Toc38441310"/>
      <w:bookmarkStart w:id="3215" w:name="_Toc38441642"/>
      <w:bookmarkStart w:id="3216" w:name="_Toc38441970"/>
      <w:bookmarkStart w:id="3217" w:name="_Toc38442302"/>
      <w:bookmarkStart w:id="3218" w:name="_Toc38442634"/>
      <w:bookmarkStart w:id="3219" w:name="_Toc38442965"/>
      <w:bookmarkStart w:id="3220" w:name="_Toc38443296"/>
      <w:bookmarkStart w:id="3221" w:name="_Toc38443627"/>
      <w:bookmarkStart w:id="3222" w:name="_Toc38443957"/>
      <w:bookmarkStart w:id="3223" w:name="_Toc38438425"/>
      <w:bookmarkStart w:id="3224" w:name="_Toc38438762"/>
      <w:bookmarkStart w:id="3225" w:name="_Toc38439099"/>
      <w:bookmarkStart w:id="3226" w:name="_Toc38439436"/>
      <w:bookmarkStart w:id="3227" w:name="_Toc38439773"/>
      <w:bookmarkStart w:id="3228" w:name="_Toc38440110"/>
      <w:bookmarkStart w:id="3229" w:name="_Toc38440447"/>
      <w:bookmarkStart w:id="3230" w:name="_Toc38440979"/>
      <w:bookmarkStart w:id="3231" w:name="_Toc38441311"/>
      <w:bookmarkStart w:id="3232" w:name="_Toc38441643"/>
      <w:bookmarkStart w:id="3233" w:name="_Toc38441971"/>
      <w:bookmarkStart w:id="3234" w:name="_Toc38442303"/>
      <w:bookmarkStart w:id="3235" w:name="_Toc38442635"/>
      <w:bookmarkStart w:id="3236" w:name="_Toc38442966"/>
      <w:bookmarkStart w:id="3237" w:name="_Toc38443297"/>
      <w:bookmarkStart w:id="3238" w:name="_Toc38443628"/>
      <w:bookmarkStart w:id="3239" w:name="_Toc38443958"/>
      <w:bookmarkStart w:id="3240" w:name="_Toc38438426"/>
      <w:bookmarkStart w:id="3241" w:name="_Toc38438763"/>
      <w:bookmarkStart w:id="3242" w:name="_Toc38439100"/>
      <w:bookmarkStart w:id="3243" w:name="_Toc38439437"/>
      <w:bookmarkStart w:id="3244" w:name="_Toc38439774"/>
      <w:bookmarkStart w:id="3245" w:name="_Toc38440111"/>
      <w:bookmarkStart w:id="3246" w:name="_Toc38440448"/>
      <w:bookmarkStart w:id="3247" w:name="_Toc38440980"/>
      <w:bookmarkStart w:id="3248" w:name="_Toc38441312"/>
      <w:bookmarkStart w:id="3249" w:name="_Toc38441644"/>
      <w:bookmarkStart w:id="3250" w:name="_Toc38441972"/>
      <w:bookmarkStart w:id="3251" w:name="_Toc38442304"/>
      <w:bookmarkStart w:id="3252" w:name="_Toc38442636"/>
      <w:bookmarkStart w:id="3253" w:name="_Toc38442967"/>
      <w:bookmarkStart w:id="3254" w:name="_Toc38443298"/>
      <w:bookmarkStart w:id="3255" w:name="_Toc38443629"/>
      <w:bookmarkStart w:id="3256" w:name="_Toc38443959"/>
      <w:bookmarkStart w:id="3257" w:name="_Toc38438427"/>
      <w:bookmarkStart w:id="3258" w:name="_Toc38438764"/>
      <w:bookmarkStart w:id="3259" w:name="_Toc38439101"/>
      <w:bookmarkStart w:id="3260" w:name="_Toc38439438"/>
      <w:bookmarkStart w:id="3261" w:name="_Toc38439775"/>
      <w:bookmarkStart w:id="3262" w:name="_Toc38440112"/>
      <w:bookmarkStart w:id="3263" w:name="_Toc38440449"/>
      <w:bookmarkStart w:id="3264" w:name="_Toc38440981"/>
      <w:bookmarkStart w:id="3265" w:name="_Toc38441313"/>
      <w:bookmarkStart w:id="3266" w:name="_Toc38441645"/>
      <w:bookmarkStart w:id="3267" w:name="_Toc38441973"/>
      <w:bookmarkStart w:id="3268" w:name="_Toc38442305"/>
      <w:bookmarkStart w:id="3269" w:name="_Toc38442637"/>
      <w:bookmarkStart w:id="3270" w:name="_Toc38442968"/>
      <w:bookmarkStart w:id="3271" w:name="_Toc38443299"/>
      <w:bookmarkStart w:id="3272" w:name="_Toc38443630"/>
      <w:bookmarkStart w:id="3273" w:name="_Toc38443960"/>
      <w:bookmarkStart w:id="3274" w:name="_Toc38438428"/>
      <w:bookmarkStart w:id="3275" w:name="_Toc38438765"/>
      <w:bookmarkStart w:id="3276" w:name="_Toc38439102"/>
      <w:bookmarkStart w:id="3277" w:name="_Toc38439439"/>
      <w:bookmarkStart w:id="3278" w:name="_Toc38439776"/>
      <w:bookmarkStart w:id="3279" w:name="_Toc38440113"/>
      <w:bookmarkStart w:id="3280" w:name="_Toc38440450"/>
      <w:bookmarkStart w:id="3281" w:name="_Toc38440982"/>
      <w:bookmarkStart w:id="3282" w:name="_Toc38441314"/>
      <w:bookmarkStart w:id="3283" w:name="_Toc38441646"/>
      <w:bookmarkStart w:id="3284" w:name="_Toc38441974"/>
      <w:bookmarkStart w:id="3285" w:name="_Toc38442306"/>
      <w:bookmarkStart w:id="3286" w:name="_Toc38442638"/>
      <w:bookmarkStart w:id="3287" w:name="_Toc38442969"/>
      <w:bookmarkStart w:id="3288" w:name="_Toc38443300"/>
      <w:bookmarkStart w:id="3289" w:name="_Toc38443631"/>
      <w:bookmarkStart w:id="3290" w:name="_Toc38443961"/>
      <w:bookmarkStart w:id="3291" w:name="_Toc38438429"/>
      <w:bookmarkStart w:id="3292" w:name="_Toc38438766"/>
      <w:bookmarkStart w:id="3293" w:name="_Toc38439103"/>
      <w:bookmarkStart w:id="3294" w:name="_Toc38439440"/>
      <w:bookmarkStart w:id="3295" w:name="_Toc38439777"/>
      <w:bookmarkStart w:id="3296" w:name="_Toc38440114"/>
      <w:bookmarkStart w:id="3297" w:name="_Toc38440451"/>
      <w:bookmarkStart w:id="3298" w:name="_Toc38440983"/>
      <w:bookmarkStart w:id="3299" w:name="_Toc38441315"/>
      <w:bookmarkStart w:id="3300" w:name="_Toc38441647"/>
      <w:bookmarkStart w:id="3301" w:name="_Toc38441975"/>
      <w:bookmarkStart w:id="3302" w:name="_Toc38442307"/>
      <w:bookmarkStart w:id="3303" w:name="_Toc38442639"/>
      <w:bookmarkStart w:id="3304" w:name="_Toc38442970"/>
      <w:bookmarkStart w:id="3305" w:name="_Toc38443301"/>
      <w:bookmarkStart w:id="3306" w:name="_Toc38443632"/>
      <w:bookmarkStart w:id="3307" w:name="_Toc38443962"/>
      <w:bookmarkStart w:id="3308" w:name="_Toc38438430"/>
      <w:bookmarkStart w:id="3309" w:name="_Toc38438767"/>
      <w:bookmarkStart w:id="3310" w:name="_Toc38439104"/>
      <w:bookmarkStart w:id="3311" w:name="_Toc38439441"/>
      <w:bookmarkStart w:id="3312" w:name="_Toc38439778"/>
      <w:bookmarkStart w:id="3313" w:name="_Toc38440115"/>
      <w:bookmarkStart w:id="3314" w:name="_Toc38440452"/>
      <w:bookmarkStart w:id="3315" w:name="_Toc38440984"/>
      <w:bookmarkStart w:id="3316" w:name="_Toc38441316"/>
      <w:bookmarkStart w:id="3317" w:name="_Toc38441648"/>
      <w:bookmarkStart w:id="3318" w:name="_Toc38441976"/>
      <w:bookmarkStart w:id="3319" w:name="_Toc38442308"/>
      <w:bookmarkStart w:id="3320" w:name="_Toc38442640"/>
      <w:bookmarkStart w:id="3321" w:name="_Toc38442971"/>
      <w:bookmarkStart w:id="3322" w:name="_Toc38443302"/>
      <w:bookmarkStart w:id="3323" w:name="_Toc38443633"/>
      <w:bookmarkStart w:id="3324" w:name="_Toc38443963"/>
      <w:bookmarkStart w:id="3325" w:name="_Toc38438431"/>
      <w:bookmarkStart w:id="3326" w:name="_Toc38438768"/>
      <w:bookmarkStart w:id="3327" w:name="_Toc38439105"/>
      <w:bookmarkStart w:id="3328" w:name="_Toc38439442"/>
      <w:bookmarkStart w:id="3329" w:name="_Toc38439779"/>
      <w:bookmarkStart w:id="3330" w:name="_Toc38440116"/>
      <w:bookmarkStart w:id="3331" w:name="_Toc38440453"/>
      <w:bookmarkStart w:id="3332" w:name="_Toc38440985"/>
      <w:bookmarkStart w:id="3333" w:name="_Toc38441317"/>
      <w:bookmarkStart w:id="3334" w:name="_Toc38441649"/>
      <w:bookmarkStart w:id="3335" w:name="_Toc38441977"/>
      <w:bookmarkStart w:id="3336" w:name="_Toc38442309"/>
      <w:bookmarkStart w:id="3337" w:name="_Toc38442641"/>
      <w:bookmarkStart w:id="3338" w:name="_Toc38442972"/>
      <w:bookmarkStart w:id="3339" w:name="_Toc38443303"/>
      <w:bookmarkStart w:id="3340" w:name="_Toc38443634"/>
      <w:bookmarkStart w:id="3341" w:name="_Toc38443964"/>
      <w:bookmarkStart w:id="3342" w:name="_Toc38438432"/>
      <w:bookmarkStart w:id="3343" w:name="_Toc38438769"/>
      <w:bookmarkStart w:id="3344" w:name="_Toc38439106"/>
      <w:bookmarkStart w:id="3345" w:name="_Toc38439443"/>
      <w:bookmarkStart w:id="3346" w:name="_Toc38439780"/>
      <w:bookmarkStart w:id="3347" w:name="_Toc38440117"/>
      <w:bookmarkStart w:id="3348" w:name="_Toc38440454"/>
      <w:bookmarkStart w:id="3349" w:name="_Toc38440986"/>
      <w:bookmarkStart w:id="3350" w:name="_Toc38441318"/>
      <w:bookmarkStart w:id="3351" w:name="_Toc38441650"/>
      <w:bookmarkStart w:id="3352" w:name="_Toc38441978"/>
      <w:bookmarkStart w:id="3353" w:name="_Toc38442310"/>
      <w:bookmarkStart w:id="3354" w:name="_Toc38442642"/>
      <w:bookmarkStart w:id="3355" w:name="_Toc38442973"/>
      <w:bookmarkStart w:id="3356" w:name="_Toc38443304"/>
      <w:bookmarkStart w:id="3357" w:name="_Toc38443635"/>
      <w:bookmarkStart w:id="3358" w:name="_Toc38443965"/>
      <w:bookmarkStart w:id="3359" w:name="_Toc38438433"/>
      <w:bookmarkStart w:id="3360" w:name="_Toc38438770"/>
      <w:bookmarkStart w:id="3361" w:name="_Toc38439107"/>
      <w:bookmarkStart w:id="3362" w:name="_Toc38439444"/>
      <w:bookmarkStart w:id="3363" w:name="_Toc38439781"/>
      <w:bookmarkStart w:id="3364" w:name="_Toc38440118"/>
      <w:bookmarkStart w:id="3365" w:name="_Toc38440455"/>
      <w:bookmarkStart w:id="3366" w:name="_Toc38440987"/>
      <w:bookmarkStart w:id="3367" w:name="_Toc38441319"/>
      <w:bookmarkStart w:id="3368" w:name="_Toc38441651"/>
      <w:bookmarkStart w:id="3369" w:name="_Toc38441979"/>
      <w:bookmarkStart w:id="3370" w:name="_Toc38442311"/>
      <w:bookmarkStart w:id="3371" w:name="_Toc38442643"/>
      <w:bookmarkStart w:id="3372" w:name="_Toc38442974"/>
      <w:bookmarkStart w:id="3373" w:name="_Toc38443305"/>
      <w:bookmarkStart w:id="3374" w:name="_Toc38443636"/>
      <w:bookmarkStart w:id="3375" w:name="_Toc38443966"/>
      <w:bookmarkStart w:id="3376" w:name="_Toc38438434"/>
      <w:bookmarkStart w:id="3377" w:name="_Toc38438771"/>
      <w:bookmarkStart w:id="3378" w:name="_Toc38439108"/>
      <w:bookmarkStart w:id="3379" w:name="_Toc38439445"/>
      <w:bookmarkStart w:id="3380" w:name="_Toc38439782"/>
      <w:bookmarkStart w:id="3381" w:name="_Toc38440119"/>
      <w:bookmarkStart w:id="3382" w:name="_Toc38440456"/>
      <w:bookmarkStart w:id="3383" w:name="_Toc38440988"/>
      <w:bookmarkStart w:id="3384" w:name="_Toc38441320"/>
      <w:bookmarkStart w:id="3385" w:name="_Toc38441652"/>
      <w:bookmarkStart w:id="3386" w:name="_Toc38441980"/>
      <w:bookmarkStart w:id="3387" w:name="_Toc38442312"/>
      <w:bookmarkStart w:id="3388" w:name="_Toc38442644"/>
      <w:bookmarkStart w:id="3389" w:name="_Toc38442975"/>
      <w:bookmarkStart w:id="3390" w:name="_Toc38443306"/>
      <w:bookmarkStart w:id="3391" w:name="_Toc38443637"/>
      <w:bookmarkStart w:id="3392" w:name="_Toc38443967"/>
      <w:bookmarkStart w:id="3393" w:name="_Toc38438435"/>
      <w:bookmarkStart w:id="3394" w:name="_Toc38438772"/>
      <w:bookmarkStart w:id="3395" w:name="_Toc38439109"/>
      <w:bookmarkStart w:id="3396" w:name="_Toc38439446"/>
      <w:bookmarkStart w:id="3397" w:name="_Toc38439783"/>
      <w:bookmarkStart w:id="3398" w:name="_Toc38440120"/>
      <w:bookmarkStart w:id="3399" w:name="_Toc38440457"/>
      <w:bookmarkStart w:id="3400" w:name="_Toc38440989"/>
      <w:bookmarkStart w:id="3401" w:name="_Toc38441321"/>
      <w:bookmarkStart w:id="3402" w:name="_Toc38441653"/>
      <w:bookmarkStart w:id="3403" w:name="_Toc38441981"/>
      <w:bookmarkStart w:id="3404" w:name="_Toc38442313"/>
      <w:bookmarkStart w:id="3405" w:name="_Toc38442645"/>
      <w:bookmarkStart w:id="3406" w:name="_Toc38442976"/>
      <w:bookmarkStart w:id="3407" w:name="_Toc38443307"/>
      <w:bookmarkStart w:id="3408" w:name="_Toc38443638"/>
      <w:bookmarkStart w:id="3409" w:name="_Toc38443968"/>
      <w:bookmarkStart w:id="3410" w:name="_Toc38438436"/>
      <w:bookmarkStart w:id="3411" w:name="_Toc38438773"/>
      <w:bookmarkStart w:id="3412" w:name="_Toc38439110"/>
      <w:bookmarkStart w:id="3413" w:name="_Toc38439447"/>
      <w:bookmarkStart w:id="3414" w:name="_Toc38439784"/>
      <w:bookmarkStart w:id="3415" w:name="_Toc38440121"/>
      <w:bookmarkStart w:id="3416" w:name="_Toc38440458"/>
      <w:bookmarkStart w:id="3417" w:name="_Toc38440990"/>
      <w:bookmarkStart w:id="3418" w:name="_Toc38441322"/>
      <w:bookmarkStart w:id="3419" w:name="_Toc38441654"/>
      <w:bookmarkStart w:id="3420" w:name="_Toc38441982"/>
      <w:bookmarkStart w:id="3421" w:name="_Toc38442314"/>
      <w:bookmarkStart w:id="3422" w:name="_Toc38442646"/>
      <w:bookmarkStart w:id="3423" w:name="_Toc38442977"/>
      <w:bookmarkStart w:id="3424" w:name="_Toc38443308"/>
      <w:bookmarkStart w:id="3425" w:name="_Toc38443639"/>
      <w:bookmarkStart w:id="3426" w:name="_Toc38443969"/>
      <w:bookmarkStart w:id="3427" w:name="_Toc38438437"/>
      <w:bookmarkStart w:id="3428" w:name="_Toc38438774"/>
      <w:bookmarkStart w:id="3429" w:name="_Toc38439111"/>
      <w:bookmarkStart w:id="3430" w:name="_Toc38439448"/>
      <w:bookmarkStart w:id="3431" w:name="_Toc38439785"/>
      <w:bookmarkStart w:id="3432" w:name="_Toc38440122"/>
      <w:bookmarkStart w:id="3433" w:name="_Toc38440459"/>
      <w:bookmarkStart w:id="3434" w:name="_Toc38440991"/>
      <w:bookmarkStart w:id="3435" w:name="_Toc38441323"/>
      <w:bookmarkStart w:id="3436" w:name="_Toc38441655"/>
      <w:bookmarkStart w:id="3437" w:name="_Toc38441983"/>
      <w:bookmarkStart w:id="3438" w:name="_Toc38442315"/>
      <w:bookmarkStart w:id="3439" w:name="_Toc38442647"/>
      <w:bookmarkStart w:id="3440" w:name="_Toc38442978"/>
      <w:bookmarkStart w:id="3441" w:name="_Toc38443309"/>
      <w:bookmarkStart w:id="3442" w:name="_Toc38443640"/>
      <w:bookmarkStart w:id="3443" w:name="_Toc38443970"/>
      <w:bookmarkStart w:id="3444" w:name="_Toc38438438"/>
      <w:bookmarkStart w:id="3445" w:name="_Toc38438775"/>
      <w:bookmarkStart w:id="3446" w:name="_Toc38439112"/>
      <w:bookmarkStart w:id="3447" w:name="_Toc38439449"/>
      <w:bookmarkStart w:id="3448" w:name="_Toc38439786"/>
      <w:bookmarkStart w:id="3449" w:name="_Toc38440123"/>
      <w:bookmarkStart w:id="3450" w:name="_Toc38440460"/>
      <w:bookmarkStart w:id="3451" w:name="_Toc38440992"/>
      <w:bookmarkStart w:id="3452" w:name="_Toc38441324"/>
      <w:bookmarkStart w:id="3453" w:name="_Toc38441656"/>
      <w:bookmarkStart w:id="3454" w:name="_Toc38441984"/>
      <w:bookmarkStart w:id="3455" w:name="_Toc38442316"/>
      <w:bookmarkStart w:id="3456" w:name="_Toc38442648"/>
      <w:bookmarkStart w:id="3457" w:name="_Toc38442979"/>
      <w:bookmarkStart w:id="3458" w:name="_Toc38443310"/>
      <w:bookmarkStart w:id="3459" w:name="_Toc38443641"/>
      <w:bookmarkStart w:id="3460" w:name="_Toc38443971"/>
      <w:bookmarkStart w:id="3461" w:name="_Toc38438439"/>
      <w:bookmarkStart w:id="3462" w:name="_Toc38438776"/>
      <w:bookmarkStart w:id="3463" w:name="_Toc38439113"/>
      <w:bookmarkStart w:id="3464" w:name="_Toc38439450"/>
      <w:bookmarkStart w:id="3465" w:name="_Toc38439787"/>
      <w:bookmarkStart w:id="3466" w:name="_Toc38440124"/>
      <w:bookmarkStart w:id="3467" w:name="_Toc38440461"/>
      <w:bookmarkStart w:id="3468" w:name="_Toc38440993"/>
      <w:bookmarkStart w:id="3469" w:name="_Toc38441325"/>
      <w:bookmarkStart w:id="3470" w:name="_Toc38441657"/>
      <w:bookmarkStart w:id="3471" w:name="_Toc38441985"/>
      <w:bookmarkStart w:id="3472" w:name="_Toc38442317"/>
      <w:bookmarkStart w:id="3473" w:name="_Toc38442649"/>
      <w:bookmarkStart w:id="3474" w:name="_Toc38442980"/>
      <w:bookmarkStart w:id="3475" w:name="_Toc38443311"/>
      <w:bookmarkStart w:id="3476" w:name="_Toc38443642"/>
      <w:bookmarkStart w:id="3477" w:name="_Toc38443972"/>
      <w:bookmarkStart w:id="3478" w:name="_Toc38438440"/>
      <w:bookmarkStart w:id="3479" w:name="_Toc38438777"/>
      <w:bookmarkStart w:id="3480" w:name="_Toc38439114"/>
      <w:bookmarkStart w:id="3481" w:name="_Toc38439451"/>
      <w:bookmarkStart w:id="3482" w:name="_Toc38439788"/>
      <w:bookmarkStart w:id="3483" w:name="_Toc38440125"/>
      <w:bookmarkStart w:id="3484" w:name="_Toc38440462"/>
      <w:bookmarkStart w:id="3485" w:name="_Toc38440994"/>
      <w:bookmarkStart w:id="3486" w:name="_Toc38441326"/>
      <w:bookmarkStart w:id="3487" w:name="_Toc38441658"/>
      <w:bookmarkStart w:id="3488" w:name="_Toc38441986"/>
      <w:bookmarkStart w:id="3489" w:name="_Toc38442318"/>
      <w:bookmarkStart w:id="3490" w:name="_Toc38442650"/>
      <w:bookmarkStart w:id="3491" w:name="_Toc38442981"/>
      <w:bookmarkStart w:id="3492" w:name="_Toc38443312"/>
      <w:bookmarkStart w:id="3493" w:name="_Toc38443643"/>
      <w:bookmarkStart w:id="3494" w:name="_Toc38443973"/>
      <w:bookmarkStart w:id="3495" w:name="_Toc38438441"/>
      <w:bookmarkStart w:id="3496" w:name="_Toc38438778"/>
      <w:bookmarkStart w:id="3497" w:name="_Toc38439115"/>
      <w:bookmarkStart w:id="3498" w:name="_Toc38439452"/>
      <w:bookmarkStart w:id="3499" w:name="_Toc38439789"/>
      <w:bookmarkStart w:id="3500" w:name="_Toc38440126"/>
      <w:bookmarkStart w:id="3501" w:name="_Toc38440463"/>
      <w:bookmarkStart w:id="3502" w:name="_Toc38440995"/>
      <w:bookmarkStart w:id="3503" w:name="_Toc38441327"/>
      <w:bookmarkStart w:id="3504" w:name="_Toc38441659"/>
      <w:bookmarkStart w:id="3505" w:name="_Toc38441987"/>
      <w:bookmarkStart w:id="3506" w:name="_Toc38442319"/>
      <w:bookmarkStart w:id="3507" w:name="_Toc38442651"/>
      <w:bookmarkStart w:id="3508" w:name="_Toc38442982"/>
      <w:bookmarkStart w:id="3509" w:name="_Toc38443313"/>
      <w:bookmarkStart w:id="3510" w:name="_Toc38443644"/>
      <w:bookmarkStart w:id="3511" w:name="_Toc38443974"/>
      <w:bookmarkStart w:id="3512" w:name="_Toc38438442"/>
      <w:bookmarkStart w:id="3513" w:name="_Toc38438779"/>
      <w:bookmarkStart w:id="3514" w:name="_Toc38439116"/>
      <w:bookmarkStart w:id="3515" w:name="_Toc38439453"/>
      <w:bookmarkStart w:id="3516" w:name="_Toc38439790"/>
      <w:bookmarkStart w:id="3517" w:name="_Toc38440127"/>
      <w:bookmarkStart w:id="3518" w:name="_Toc38440464"/>
      <w:bookmarkStart w:id="3519" w:name="_Toc38440996"/>
      <w:bookmarkStart w:id="3520" w:name="_Toc38441328"/>
      <w:bookmarkStart w:id="3521" w:name="_Toc38441660"/>
      <w:bookmarkStart w:id="3522" w:name="_Toc38441988"/>
      <w:bookmarkStart w:id="3523" w:name="_Toc38442320"/>
      <w:bookmarkStart w:id="3524" w:name="_Toc38442652"/>
      <w:bookmarkStart w:id="3525" w:name="_Toc38442983"/>
      <w:bookmarkStart w:id="3526" w:name="_Toc38443314"/>
      <w:bookmarkStart w:id="3527" w:name="_Toc38443645"/>
      <w:bookmarkStart w:id="3528" w:name="_Toc38443975"/>
      <w:bookmarkStart w:id="3529" w:name="_Toc38438443"/>
      <w:bookmarkStart w:id="3530" w:name="_Toc38438780"/>
      <w:bookmarkStart w:id="3531" w:name="_Toc38439117"/>
      <w:bookmarkStart w:id="3532" w:name="_Toc38439454"/>
      <w:bookmarkStart w:id="3533" w:name="_Toc38439791"/>
      <w:bookmarkStart w:id="3534" w:name="_Toc38440128"/>
      <w:bookmarkStart w:id="3535" w:name="_Toc38440465"/>
      <w:bookmarkStart w:id="3536" w:name="_Toc38440997"/>
      <w:bookmarkStart w:id="3537" w:name="_Toc38441329"/>
      <w:bookmarkStart w:id="3538" w:name="_Toc38441661"/>
      <w:bookmarkStart w:id="3539" w:name="_Toc38441989"/>
      <w:bookmarkStart w:id="3540" w:name="_Toc38442321"/>
      <w:bookmarkStart w:id="3541" w:name="_Toc38442653"/>
      <w:bookmarkStart w:id="3542" w:name="_Toc38442984"/>
      <w:bookmarkStart w:id="3543" w:name="_Toc38443315"/>
      <w:bookmarkStart w:id="3544" w:name="_Toc38443646"/>
      <w:bookmarkStart w:id="3545" w:name="_Toc38443976"/>
      <w:bookmarkStart w:id="3546" w:name="_Toc38438444"/>
      <w:bookmarkStart w:id="3547" w:name="_Toc38438781"/>
      <w:bookmarkStart w:id="3548" w:name="_Toc38439118"/>
      <w:bookmarkStart w:id="3549" w:name="_Toc38439455"/>
      <w:bookmarkStart w:id="3550" w:name="_Toc38439792"/>
      <w:bookmarkStart w:id="3551" w:name="_Toc38440129"/>
      <w:bookmarkStart w:id="3552" w:name="_Toc38440466"/>
      <w:bookmarkStart w:id="3553" w:name="_Toc38440998"/>
      <w:bookmarkStart w:id="3554" w:name="_Toc38441330"/>
      <w:bookmarkStart w:id="3555" w:name="_Toc38441662"/>
      <w:bookmarkStart w:id="3556" w:name="_Toc38441990"/>
      <w:bookmarkStart w:id="3557" w:name="_Toc38442322"/>
      <w:bookmarkStart w:id="3558" w:name="_Toc38442654"/>
      <w:bookmarkStart w:id="3559" w:name="_Toc38442985"/>
      <w:bookmarkStart w:id="3560" w:name="_Toc38443316"/>
      <w:bookmarkStart w:id="3561" w:name="_Toc38443647"/>
      <w:bookmarkStart w:id="3562" w:name="_Toc38443977"/>
      <w:bookmarkStart w:id="3563" w:name="_Toc38438445"/>
      <w:bookmarkStart w:id="3564" w:name="_Toc38438782"/>
      <w:bookmarkStart w:id="3565" w:name="_Toc38439119"/>
      <w:bookmarkStart w:id="3566" w:name="_Toc38439456"/>
      <w:bookmarkStart w:id="3567" w:name="_Toc38439793"/>
      <w:bookmarkStart w:id="3568" w:name="_Toc38440130"/>
      <w:bookmarkStart w:id="3569" w:name="_Toc38440467"/>
      <w:bookmarkStart w:id="3570" w:name="_Toc38440999"/>
      <w:bookmarkStart w:id="3571" w:name="_Toc38441331"/>
      <w:bookmarkStart w:id="3572" w:name="_Toc38441663"/>
      <w:bookmarkStart w:id="3573" w:name="_Toc38441991"/>
      <w:bookmarkStart w:id="3574" w:name="_Toc38442323"/>
      <w:bookmarkStart w:id="3575" w:name="_Toc38442655"/>
      <w:bookmarkStart w:id="3576" w:name="_Toc38442986"/>
      <w:bookmarkStart w:id="3577" w:name="_Toc38443317"/>
      <w:bookmarkStart w:id="3578" w:name="_Toc38443648"/>
      <w:bookmarkStart w:id="3579" w:name="_Toc38443978"/>
      <w:bookmarkStart w:id="3580" w:name="_Toc38438446"/>
      <w:bookmarkStart w:id="3581" w:name="_Toc38438783"/>
      <w:bookmarkStart w:id="3582" w:name="_Toc38439120"/>
      <w:bookmarkStart w:id="3583" w:name="_Toc38439457"/>
      <w:bookmarkStart w:id="3584" w:name="_Toc38439794"/>
      <w:bookmarkStart w:id="3585" w:name="_Toc38440131"/>
      <w:bookmarkStart w:id="3586" w:name="_Toc38440468"/>
      <w:bookmarkStart w:id="3587" w:name="_Toc38441000"/>
      <w:bookmarkStart w:id="3588" w:name="_Toc38441332"/>
      <w:bookmarkStart w:id="3589" w:name="_Toc38441664"/>
      <w:bookmarkStart w:id="3590" w:name="_Toc38441992"/>
      <w:bookmarkStart w:id="3591" w:name="_Toc38442324"/>
      <w:bookmarkStart w:id="3592" w:name="_Toc38442656"/>
      <w:bookmarkStart w:id="3593" w:name="_Toc38442987"/>
      <w:bookmarkStart w:id="3594" w:name="_Toc38443318"/>
      <w:bookmarkStart w:id="3595" w:name="_Toc38443649"/>
      <w:bookmarkStart w:id="3596" w:name="_Toc38443979"/>
      <w:bookmarkStart w:id="3597" w:name="_Toc38438447"/>
      <w:bookmarkStart w:id="3598" w:name="_Toc38438784"/>
      <w:bookmarkStart w:id="3599" w:name="_Toc38439121"/>
      <w:bookmarkStart w:id="3600" w:name="_Toc38439458"/>
      <w:bookmarkStart w:id="3601" w:name="_Toc38439795"/>
      <w:bookmarkStart w:id="3602" w:name="_Toc38440132"/>
      <w:bookmarkStart w:id="3603" w:name="_Toc38440469"/>
      <w:bookmarkStart w:id="3604" w:name="_Toc38441001"/>
      <w:bookmarkStart w:id="3605" w:name="_Toc38441333"/>
      <w:bookmarkStart w:id="3606" w:name="_Toc38441665"/>
      <w:bookmarkStart w:id="3607" w:name="_Toc38441993"/>
      <w:bookmarkStart w:id="3608" w:name="_Toc38442325"/>
      <w:bookmarkStart w:id="3609" w:name="_Toc38442657"/>
      <w:bookmarkStart w:id="3610" w:name="_Toc38442988"/>
      <w:bookmarkStart w:id="3611" w:name="_Toc38443319"/>
      <w:bookmarkStart w:id="3612" w:name="_Toc38443650"/>
      <w:bookmarkStart w:id="3613" w:name="_Toc38443980"/>
      <w:bookmarkStart w:id="3614" w:name="_Toc38438448"/>
      <w:bookmarkStart w:id="3615" w:name="_Toc38438785"/>
      <w:bookmarkStart w:id="3616" w:name="_Toc38439122"/>
      <w:bookmarkStart w:id="3617" w:name="_Toc38439459"/>
      <w:bookmarkStart w:id="3618" w:name="_Toc38439796"/>
      <w:bookmarkStart w:id="3619" w:name="_Toc38440133"/>
      <w:bookmarkStart w:id="3620" w:name="_Toc38440470"/>
      <w:bookmarkStart w:id="3621" w:name="_Toc38441002"/>
      <w:bookmarkStart w:id="3622" w:name="_Toc38441334"/>
      <w:bookmarkStart w:id="3623" w:name="_Toc38441666"/>
      <w:bookmarkStart w:id="3624" w:name="_Toc38441994"/>
      <w:bookmarkStart w:id="3625" w:name="_Toc38442326"/>
      <w:bookmarkStart w:id="3626" w:name="_Toc38442658"/>
      <w:bookmarkStart w:id="3627" w:name="_Toc38442989"/>
      <w:bookmarkStart w:id="3628" w:name="_Toc38443320"/>
      <w:bookmarkStart w:id="3629" w:name="_Toc38443651"/>
      <w:bookmarkStart w:id="3630" w:name="_Toc38443981"/>
      <w:bookmarkStart w:id="3631" w:name="_Toc38438449"/>
      <w:bookmarkStart w:id="3632" w:name="_Toc38438786"/>
      <w:bookmarkStart w:id="3633" w:name="_Toc38439123"/>
      <w:bookmarkStart w:id="3634" w:name="_Toc38439460"/>
      <w:bookmarkStart w:id="3635" w:name="_Toc38439797"/>
      <w:bookmarkStart w:id="3636" w:name="_Toc38440134"/>
      <w:bookmarkStart w:id="3637" w:name="_Toc38440471"/>
      <w:bookmarkStart w:id="3638" w:name="_Toc38441003"/>
      <w:bookmarkStart w:id="3639" w:name="_Toc38441335"/>
      <w:bookmarkStart w:id="3640" w:name="_Toc38441667"/>
      <w:bookmarkStart w:id="3641" w:name="_Toc38441995"/>
      <w:bookmarkStart w:id="3642" w:name="_Toc38442327"/>
      <w:bookmarkStart w:id="3643" w:name="_Toc38442659"/>
      <w:bookmarkStart w:id="3644" w:name="_Toc38442990"/>
      <w:bookmarkStart w:id="3645" w:name="_Toc38443321"/>
      <w:bookmarkStart w:id="3646" w:name="_Toc38443652"/>
      <w:bookmarkStart w:id="3647" w:name="_Toc38443982"/>
      <w:bookmarkStart w:id="3648" w:name="_Toc38438450"/>
      <w:bookmarkStart w:id="3649" w:name="_Toc38438787"/>
      <w:bookmarkStart w:id="3650" w:name="_Toc38439124"/>
      <w:bookmarkStart w:id="3651" w:name="_Toc38439461"/>
      <w:bookmarkStart w:id="3652" w:name="_Toc38439798"/>
      <w:bookmarkStart w:id="3653" w:name="_Toc38440135"/>
      <w:bookmarkStart w:id="3654" w:name="_Toc38440472"/>
      <w:bookmarkStart w:id="3655" w:name="_Toc38441004"/>
      <w:bookmarkStart w:id="3656" w:name="_Toc38441336"/>
      <w:bookmarkStart w:id="3657" w:name="_Toc38441668"/>
      <w:bookmarkStart w:id="3658" w:name="_Toc38441996"/>
      <w:bookmarkStart w:id="3659" w:name="_Toc38442328"/>
      <w:bookmarkStart w:id="3660" w:name="_Toc38442660"/>
      <w:bookmarkStart w:id="3661" w:name="_Toc38442991"/>
      <w:bookmarkStart w:id="3662" w:name="_Toc38443322"/>
      <w:bookmarkStart w:id="3663" w:name="_Toc38443653"/>
      <w:bookmarkStart w:id="3664" w:name="_Toc38443983"/>
      <w:bookmarkStart w:id="3665" w:name="_Toc38438451"/>
      <w:bookmarkStart w:id="3666" w:name="_Toc38438788"/>
      <w:bookmarkStart w:id="3667" w:name="_Toc38439125"/>
      <w:bookmarkStart w:id="3668" w:name="_Toc38439462"/>
      <w:bookmarkStart w:id="3669" w:name="_Toc38439799"/>
      <w:bookmarkStart w:id="3670" w:name="_Toc38440136"/>
      <w:bookmarkStart w:id="3671" w:name="_Toc38440473"/>
      <w:bookmarkStart w:id="3672" w:name="_Toc38441005"/>
      <w:bookmarkStart w:id="3673" w:name="_Toc38441337"/>
      <w:bookmarkStart w:id="3674" w:name="_Toc38441669"/>
      <w:bookmarkStart w:id="3675" w:name="_Toc38441997"/>
      <w:bookmarkStart w:id="3676" w:name="_Toc38442329"/>
      <w:bookmarkStart w:id="3677" w:name="_Toc38442661"/>
      <w:bookmarkStart w:id="3678" w:name="_Toc38442992"/>
      <w:bookmarkStart w:id="3679" w:name="_Toc38443323"/>
      <w:bookmarkStart w:id="3680" w:name="_Toc38443654"/>
      <w:bookmarkStart w:id="3681" w:name="_Toc38443984"/>
      <w:bookmarkStart w:id="3682" w:name="_Toc38438452"/>
      <w:bookmarkStart w:id="3683" w:name="_Toc38438789"/>
      <w:bookmarkStart w:id="3684" w:name="_Toc38439126"/>
      <w:bookmarkStart w:id="3685" w:name="_Toc38439463"/>
      <w:bookmarkStart w:id="3686" w:name="_Toc38439800"/>
      <w:bookmarkStart w:id="3687" w:name="_Toc38440137"/>
      <w:bookmarkStart w:id="3688" w:name="_Toc38440474"/>
      <w:bookmarkStart w:id="3689" w:name="_Toc38441006"/>
      <w:bookmarkStart w:id="3690" w:name="_Toc38441338"/>
      <w:bookmarkStart w:id="3691" w:name="_Toc38441670"/>
      <w:bookmarkStart w:id="3692" w:name="_Toc38441998"/>
      <w:bookmarkStart w:id="3693" w:name="_Toc38442330"/>
      <w:bookmarkStart w:id="3694" w:name="_Toc38442662"/>
      <w:bookmarkStart w:id="3695" w:name="_Toc38442993"/>
      <w:bookmarkStart w:id="3696" w:name="_Toc38443324"/>
      <w:bookmarkStart w:id="3697" w:name="_Toc38443655"/>
      <w:bookmarkStart w:id="3698" w:name="_Toc38443985"/>
      <w:bookmarkStart w:id="3699" w:name="_Toc38438453"/>
      <w:bookmarkStart w:id="3700" w:name="_Toc38438790"/>
      <w:bookmarkStart w:id="3701" w:name="_Toc38439127"/>
      <w:bookmarkStart w:id="3702" w:name="_Toc38439464"/>
      <w:bookmarkStart w:id="3703" w:name="_Toc38439801"/>
      <w:bookmarkStart w:id="3704" w:name="_Toc38440138"/>
      <w:bookmarkStart w:id="3705" w:name="_Toc38440475"/>
      <w:bookmarkStart w:id="3706" w:name="_Toc38441007"/>
      <w:bookmarkStart w:id="3707" w:name="_Toc38441339"/>
      <w:bookmarkStart w:id="3708" w:name="_Toc38441671"/>
      <w:bookmarkStart w:id="3709" w:name="_Toc38441999"/>
      <w:bookmarkStart w:id="3710" w:name="_Toc38442331"/>
      <w:bookmarkStart w:id="3711" w:name="_Toc38442663"/>
      <w:bookmarkStart w:id="3712" w:name="_Toc38442994"/>
      <w:bookmarkStart w:id="3713" w:name="_Toc38443325"/>
      <w:bookmarkStart w:id="3714" w:name="_Toc38443656"/>
      <w:bookmarkStart w:id="3715" w:name="_Toc38443986"/>
      <w:bookmarkStart w:id="3716" w:name="_Toc38438454"/>
      <w:bookmarkStart w:id="3717" w:name="_Toc38438791"/>
      <w:bookmarkStart w:id="3718" w:name="_Toc38439128"/>
      <w:bookmarkStart w:id="3719" w:name="_Toc38439465"/>
      <w:bookmarkStart w:id="3720" w:name="_Toc38439802"/>
      <w:bookmarkStart w:id="3721" w:name="_Toc38440139"/>
      <w:bookmarkStart w:id="3722" w:name="_Toc38440476"/>
      <w:bookmarkStart w:id="3723" w:name="_Toc38441008"/>
      <w:bookmarkStart w:id="3724" w:name="_Toc38441340"/>
      <w:bookmarkStart w:id="3725" w:name="_Toc38441672"/>
      <w:bookmarkStart w:id="3726" w:name="_Toc38442000"/>
      <w:bookmarkStart w:id="3727" w:name="_Toc38442332"/>
      <w:bookmarkStart w:id="3728" w:name="_Toc38442664"/>
      <w:bookmarkStart w:id="3729" w:name="_Toc38442995"/>
      <w:bookmarkStart w:id="3730" w:name="_Toc38443326"/>
      <w:bookmarkStart w:id="3731" w:name="_Toc38443657"/>
      <w:bookmarkStart w:id="3732" w:name="_Toc38443987"/>
      <w:bookmarkStart w:id="3733" w:name="_Toc38438455"/>
      <w:bookmarkStart w:id="3734" w:name="_Toc38438792"/>
      <w:bookmarkStart w:id="3735" w:name="_Toc38439129"/>
      <w:bookmarkStart w:id="3736" w:name="_Toc38439466"/>
      <w:bookmarkStart w:id="3737" w:name="_Toc38439803"/>
      <w:bookmarkStart w:id="3738" w:name="_Toc38440140"/>
      <w:bookmarkStart w:id="3739" w:name="_Toc38440477"/>
      <w:bookmarkStart w:id="3740" w:name="_Toc38441009"/>
      <w:bookmarkStart w:id="3741" w:name="_Toc38441341"/>
      <w:bookmarkStart w:id="3742" w:name="_Toc38441673"/>
      <w:bookmarkStart w:id="3743" w:name="_Toc38442001"/>
      <w:bookmarkStart w:id="3744" w:name="_Toc38442333"/>
      <w:bookmarkStart w:id="3745" w:name="_Toc38442665"/>
      <w:bookmarkStart w:id="3746" w:name="_Toc38442996"/>
      <w:bookmarkStart w:id="3747" w:name="_Toc38443327"/>
      <w:bookmarkStart w:id="3748" w:name="_Toc38443658"/>
      <w:bookmarkStart w:id="3749" w:name="_Toc38443988"/>
      <w:bookmarkStart w:id="3750" w:name="_Toc38438456"/>
      <w:bookmarkStart w:id="3751" w:name="_Toc38438793"/>
      <w:bookmarkStart w:id="3752" w:name="_Toc38439130"/>
      <w:bookmarkStart w:id="3753" w:name="_Toc38439467"/>
      <w:bookmarkStart w:id="3754" w:name="_Toc38439804"/>
      <w:bookmarkStart w:id="3755" w:name="_Toc38440141"/>
      <w:bookmarkStart w:id="3756" w:name="_Toc38440478"/>
      <w:bookmarkStart w:id="3757" w:name="_Toc38441010"/>
      <w:bookmarkStart w:id="3758" w:name="_Toc38441342"/>
      <w:bookmarkStart w:id="3759" w:name="_Toc38441674"/>
      <w:bookmarkStart w:id="3760" w:name="_Toc38442002"/>
      <w:bookmarkStart w:id="3761" w:name="_Toc38442334"/>
      <w:bookmarkStart w:id="3762" w:name="_Toc38442666"/>
      <w:bookmarkStart w:id="3763" w:name="_Toc38442997"/>
      <w:bookmarkStart w:id="3764" w:name="_Toc38443328"/>
      <w:bookmarkStart w:id="3765" w:name="_Toc38443659"/>
      <w:bookmarkStart w:id="3766" w:name="_Toc38443989"/>
      <w:bookmarkStart w:id="3767" w:name="_Toc38438457"/>
      <w:bookmarkStart w:id="3768" w:name="_Toc38438794"/>
      <w:bookmarkStart w:id="3769" w:name="_Toc38439131"/>
      <w:bookmarkStart w:id="3770" w:name="_Toc38439468"/>
      <w:bookmarkStart w:id="3771" w:name="_Toc38439805"/>
      <w:bookmarkStart w:id="3772" w:name="_Toc38440142"/>
      <w:bookmarkStart w:id="3773" w:name="_Toc38440479"/>
      <w:bookmarkStart w:id="3774" w:name="_Toc38441011"/>
      <w:bookmarkStart w:id="3775" w:name="_Toc38441343"/>
      <w:bookmarkStart w:id="3776" w:name="_Toc38441675"/>
      <w:bookmarkStart w:id="3777" w:name="_Toc38442003"/>
      <w:bookmarkStart w:id="3778" w:name="_Toc38442335"/>
      <w:bookmarkStart w:id="3779" w:name="_Toc38442667"/>
      <w:bookmarkStart w:id="3780" w:name="_Toc38442998"/>
      <w:bookmarkStart w:id="3781" w:name="_Toc38443329"/>
      <w:bookmarkStart w:id="3782" w:name="_Toc38443660"/>
      <w:bookmarkStart w:id="3783" w:name="_Toc38443990"/>
      <w:bookmarkStart w:id="3784" w:name="_Toc38438458"/>
      <w:bookmarkStart w:id="3785" w:name="_Toc38438795"/>
      <w:bookmarkStart w:id="3786" w:name="_Toc38439132"/>
      <w:bookmarkStart w:id="3787" w:name="_Toc38439469"/>
      <w:bookmarkStart w:id="3788" w:name="_Toc38439806"/>
      <w:bookmarkStart w:id="3789" w:name="_Toc38440143"/>
      <w:bookmarkStart w:id="3790" w:name="_Toc38440480"/>
      <w:bookmarkStart w:id="3791" w:name="_Toc38441012"/>
      <w:bookmarkStart w:id="3792" w:name="_Toc38441344"/>
      <w:bookmarkStart w:id="3793" w:name="_Toc38441676"/>
      <w:bookmarkStart w:id="3794" w:name="_Toc38442004"/>
      <w:bookmarkStart w:id="3795" w:name="_Toc38442336"/>
      <w:bookmarkStart w:id="3796" w:name="_Toc38442668"/>
      <w:bookmarkStart w:id="3797" w:name="_Toc38442999"/>
      <w:bookmarkStart w:id="3798" w:name="_Toc38443330"/>
      <w:bookmarkStart w:id="3799" w:name="_Toc38443661"/>
      <w:bookmarkStart w:id="3800" w:name="_Toc38443991"/>
      <w:bookmarkStart w:id="3801" w:name="_Toc7587006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r w:rsidRPr="00FA7BE2">
        <w:rPr>
          <w:rFonts w:asciiTheme="minorEastAsia" w:eastAsiaTheme="minorEastAsia" w:hAnsiTheme="minorEastAsia" w:hint="eastAsia"/>
          <w:b/>
        </w:rPr>
        <w:lastRenderedPageBreak/>
        <w:t>二十</w:t>
      </w:r>
      <w:r w:rsidR="009E2EF4" w:rsidRPr="00FA7BE2">
        <w:rPr>
          <w:rFonts w:asciiTheme="minorEastAsia" w:eastAsiaTheme="minorEastAsia" w:hAnsiTheme="minorEastAsia" w:hint="eastAsia"/>
          <w:b/>
        </w:rPr>
        <w:t>六</w:t>
      </w:r>
      <w:r w:rsidRPr="00FA7BE2">
        <w:rPr>
          <w:rFonts w:asciiTheme="minorEastAsia" w:eastAsiaTheme="minorEastAsia" w:hAnsiTheme="minorEastAsia" w:hint="eastAsia"/>
          <w:b/>
        </w:rPr>
        <w:t>、招募说明书存放及查阅方式</w:t>
      </w:r>
      <w:bookmarkEnd w:id="3801"/>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本《招募说明书》存放在基金管理人、基金托管人及基金销售机构</w:t>
      </w:r>
      <w:r w:rsidR="00AA4119" w:rsidRPr="00FA7BE2">
        <w:rPr>
          <w:rFonts w:asciiTheme="minorEastAsia" w:eastAsiaTheme="minorEastAsia" w:hAnsiTheme="minorEastAsia" w:hint="eastAsia"/>
        </w:rPr>
        <w:t>处</w:t>
      </w:r>
      <w:r w:rsidRPr="00FA7BE2">
        <w:rPr>
          <w:rFonts w:asciiTheme="minorEastAsia" w:eastAsiaTheme="minorEastAsia" w:hAnsiTheme="minorEastAsia" w:hint="eastAsia"/>
        </w:rPr>
        <w:t>，投资者可在营业时间免费查阅，也可按工本费购买复印件。</w:t>
      </w:r>
      <w:r w:rsidRPr="00FA7BE2">
        <w:rPr>
          <w:rFonts w:asciiTheme="minorEastAsia" w:eastAsiaTheme="minorEastAsia" w:hAnsiTheme="minorEastAsia"/>
        </w:rPr>
        <w:t>基金管理人和基金托管人保证</w:t>
      </w:r>
      <w:r w:rsidRPr="00FA7BE2">
        <w:rPr>
          <w:rFonts w:asciiTheme="minorEastAsia" w:eastAsiaTheme="minorEastAsia" w:hAnsiTheme="minorEastAsia" w:hint="eastAsia"/>
        </w:rPr>
        <w:t>其所提供的</w:t>
      </w:r>
      <w:r w:rsidRPr="00FA7BE2">
        <w:rPr>
          <w:rFonts w:asciiTheme="minorEastAsia" w:eastAsiaTheme="minorEastAsia" w:hAnsiTheme="minorEastAsia"/>
        </w:rPr>
        <w:t>文本的内容与所公告的内容完全一致。</w:t>
      </w: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snapToGrid w:val="0"/>
        <w:spacing w:line="360" w:lineRule="auto"/>
        <w:ind w:firstLine="480"/>
        <w:rPr>
          <w:rFonts w:asciiTheme="minorEastAsia" w:eastAsiaTheme="minorEastAsia" w:hAnsiTheme="minorEastAsia"/>
        </w:rPr>
      </w:pPr>
    </w:p>
    <w:p w:rsidR="00D21CF5" w:rsidRPr="00FA7BE2" w:rsidRDefault="00D21CF5" w:rsidP="00D21CF5">
      <w:pPr>
        <w:pStyle w:val="1"/>
        <w:snapToGrid w:val="0"/>
        <w:spacing w:beforeLines="0" w:afterLines="0" w:line="360" w:lineRule="auto"/>
        <w:ind w:firstLine="643"/>
        <w:rPr>
          <w:rFonts w:asciiTheme="minorEastAsia" w:eastAsiaTheme="minorEastAsia" w:hAnsiTheme="minorEastAsia"/>
        </w:rPr>
      </w:pPr>
      <w:bookmarkStart w:id="3802" w:name="_Toc75870069"/>
      <w:r w:rsidRPr="00FA7BE2">
        <w:rPr>
          <w:rFonts w:asciiTheme="minorEastAsia" w:eastAsiaTheme="minorEastAsia" w:hAnsiTheme="minorEastAsia" w:hint="eastAsia"/>
          <w:b/>
        </w:rPr>
        <w:lastRenderedPageBreak/>
        <w:t>二十</w:t>
      </w:r>
      <w:r w:rsidR="009E2EF4" w:rsidRPr="00FA7BE2">
        <w:rPr>
          <w:rFonts w:asciiTheme="minorEastAsia" w:eastAsiaTheme="minorEastAsia" w:hAnsiTheme="minorEastAsia" w:hint="eastAsia"/>
          <w:b/>
        </w:rPr>
        <w:t>七</w:t>
      </w:r>
      <w:r w:rsidRPr="00FA7BE2">
        <w:rPr>
          <w:rFonts w:asciiTheme="minorEastAsia" w:eastAsiaTheme="minorEastAsia" w:hAnsiTheme="minorEastAsia" w:hint="eastAsia"/>
          <w:b/>
        </w:rPr>
        <w:t>、备查文件</w:t>
      </w:r>
      <w:bookmarkEnd w:id="3802"/>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1、中国证监会批准易方达月月收益中短期债券投资基金募集的文件；</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2、中国证监会核准易方达月月收益中短期债券投资基金基金份额持有人大会决议的文件；</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3、《易方达稳健收益债券型证券投资基金基金合同》；</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4、《易方达稳健收益债券型证券投资基金托管协议》；</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5、《易方达基金管理有限公司开放式基金业务规则》；</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6、法律意见书；</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7、基金管理人业务资格批件和营业执照；</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8、基金托管人业务资格批件和营业执照</w:t>
      </w:r>
      <w:r w:rsidR="00E3582F" w:rsidRPr="00FA7BE2">
        <w:rPr>
          <w:rFonts w:asciiTheme="minorEastAsia" w:eastAsiaTheme="minorEastAsia" w:hAnsiTheme="minorEastAsia"/>
        </w:rPr>
        <w:t>。</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存放地点：基金管理人、基金托管人处</w:t>
      </w:r>
    </w:p>
    <w:p w:rsidR="00D21CF5" w:rsidRPr="00FA7BE2" w:rsidRDefault="00D21CF5" w:rsidP="00D21CF5">
      <w:pPr>
        <w:snapToGrid w:val="0"/>
        <w:spacing w:line="360" w:lineRule="auto"/>
        <w:ind w:firstLine="480"/>
        <w:rPr>
          <w:rFonts w:asciiTheme="minorEastAsia" w:eastAsiaTheme="minorEastAsia" w:hAnsiTheme="minorEastAsia"/>
        </w:rPr>
      </w:pPr>
      <w:r w:rsidRPr="00FA7BE2">
        <w:rPr>
          <w:rFonts w:asciiTheme="minorEastAsia" w:eastAsiaTheme="minorEastAsia" w:hAnsiTheme="minorEastAsia" w:hint="eastAsia"/>
        </w:rPr>
        <w:t>查阅方式：投资者可在营</w:t>
      </w:r>
      <w:bookmarkStart w:id="3803" w:name="_GoBack"/>
      <w:bookmarkEnd w:id="3803"/>
      <w:r w:rsidRPr="00FA7BE2">
        <w:rPr>
          <w:rFonts w:asciiTheme="minorEastAsia" w:eastAsiaTheme="minorEastAsia" w:hAnsiTheme="minorEastAsia" w:hint="eastAsia"/>
        </w:rPr>
        <w:t>业时间免费查阅，也可按工本费购买复印件。</w:t>
      </w:r>
    </w:p>
    <w:p w:rsidR="00D21CF5" w:rsidRPr="00FA7BE2" w:rsidRDefault="00D21CF5" w:rsidP="00D21CF5">
      <w:pPr>
        <w:snapToGrid w:val="0"/>
        <w:spacing w:line="360" w:lineRule="auto"/>
        <w:ind w:firstLineChars="300" w:firstLine="630"/>
        <w:rPr>
          <w:rFonts w:asciiTheme="minorEastAsia" w:eastAsiaTheme="minorEastAsia" w:hAnsiTheme="minorEastAsia"/>
        </w:rPr>
      </w:pPr>
    </w:p>
    <w:p w:rsidR="00D21CF5" w:rsidRPr="00FA7BE2" w:rsidRDefault="00D21CF5" w:rsidP="00D21CF5">
      <w:pPr>
        <w:snapToGrid w:val="0"/>
        <w:spacing w:line="360" w:lineRule="auto"/>
        <w:ind w:firstLineChars="300" w:firstLine="630"/>
        <w:rPr>
          <w:rFonts w:asciiTheme="minorEastAsia" w:eastAsiaTheme="minorEastAsia" w:hAnsiTheme="minorEastAsia"/>
        </w:rPr>
      </w:pPr>
    </w:p>
    <w:p w:rsidR="00D21CF5" w:rsidRPr="00FA7BE2" w:rsidRDefault="00D21CF5" w:rsidP="00D21CF5">
      <w:pPr>
        <w:snapToGrid w:val="0"/>
        <w:spacing w:line="360" w:lineRule="auto"/>
        <w:ind w:left="360"/>
        <w:jc w:val="right"/>
        <w:rPr>
          <w:rFonts w:asciiTheme="minorEastAsia" w:eastAsiaTheme="minorEastAsia" w:hAnsiTheme="minorEastAsia"/>
        </w:rPr>
      </w:pPr>
      <w:bookmarkStart w:id="3804" w:name="_PictureBullets"/>
      <w:bookmarkEnd w:id="3804"/>
      <w:r w:rsidRPr="00FA7BE2">
        <w:rPr>
          <w:rFonts w:asciiTheme="minorEastAsia" w:eastAsiaTheme="minorEastAsia" w:hAnsiTheme="minorEastAsia" w:hint="eastAsia"/>
        </w:rPr>
        <w:t>易方达基金管理有限公司</w:t>
      </w:r>
    </w:p>
    <w:p w:rsidR="00E7679C" w:rsidRPr="00FA7BE2" w:rsidRDefault="003D59C8" w:rsidP="00AF36DE">
      <w:pPr>
        <w:jc w:val="right"/>
        <w:rPr>
          <w:rFonts w:asciiTheme="minorEastAsia" w:eastAsiaTheme="minorEastAsia" w:hAnsiTheme="minorEastAsia"/>
        </w:rPr>
      </w:pPr>
      <w:r w:rsidRPr="00FA7BE2">
        <w:rPr>
          <w:rFonts w:asciiTheme="minorEastAsia" w:eastAsiaTheme="minorEastAsia" w:hAnsiTheme="minorEastAsia"/>
        </w:rPr>
        <w:t>2021年6月30日</w:t>
      </w:r>
    </w:p>
    <w:sectPr w:rsidR="00E7679C" w:rsidRPr="00FA7BE2" w:rsidSect="004F61AF">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E0" w:rsidRDefault="00E253E0" w:rsidP="00D21CF5">
      <w:r>
        <w:separator/>
      </w:r>
    </w:p>
  </w:endnote>
  <w:endnote w:type="continuationSeparator" w:id="0">
    <w:p w:rsidR="00E253E0" w:rsidRDefault="00E253E0" w:rsidP="00D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rsidP="004F61AF">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sidR="00306598">
      <w:rPr>
        <w:rStyle w:val="ac"/>
        <w:noProof/>
      </w:rPr>
      <w:t>V</w:t>
    </w:r>
    <w:r>
      <w:rPr>
        <w:rStyle w:val="ac"/>
      </w:rPr>
      <w:fldChar w:fldCharType="end"/>
    </w:r>
  </w:p>
  <w:p w:rsidR="007D049F" w:rsidRDefault="007D049F" w:rsidP="004F61A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rsidP="004F61AF">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sidR="00306598">
      <w:rPr>
        <w:rStyle w:val="ac"/>
        <w:noProof/>
      </w:rPr>
      <w:t>177</w:t>
    </w:r>
    <w:r>
      <w:rPr>
        <w:rStyle w:val="ac"/>
      </w:rPr>
      <w:fldChar w:fldCharType="end"/>
    </w:r>
  </w:p>
  <w:p w:rsidR="007D049F" w:rsidRDefault="007D049F" w:rsidP="004F61A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7"/>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7D049F" w:rsidRDefault="007D049F">
    <w:pPr>
      <w:pStyle w:val="a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E0" w:rsidRDefault="00E253E0" w:rsidP="00D21CF5">
      <w:r>
        <w:separator/>
      </w:r>
    </w:p>
  </w:footnote>
  <w:footnote w:type="continuationSeparator" w:id="0">
    <w:p w:rsidR="00E253E0" w:rsidRDefault="00E253E0" w:rsidP="00D2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9F" w:rsidRDefault="007D049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41B6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70587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342E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4112C2A4"/>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2FB20F7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AF2F03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040581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94857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DA0B2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9EEE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A4038FD"/>
    <w:multiLevelType w:val="hybridMultilevel"/>
    <w:tmpl w:val="127218AA"/>
    <w:lvl w:ilvl="0" w:tplc="8CC60EF0">
      <w:start w:val="1"/>
      <w:numFmt w:val="japaneseCounting"/>
      <w:pStyle w:val="211"/>
      <w:lvlText w:val="%1、"/>
      <w:lvlJc w:val="left"/>
      <w:pPr>
        <w:tabs>
          <w:tab w:val="num" w:pos="3243"/>
        </w:tabs>
        <w:ind w:left="3243" w:hanging="720"/>
      </w:pPr>
      <w:rPr>
        <w:rFonts w:hint="eastAsia"/>
      </w:rPr>
    </w:lvl>
    <w:lvl w:ilvl="1" w:tplc="7B18ED0C" w:tentative="1">
      <w:start w:val="1"/>
      <w:numFmt w:val="lowerLetter"/>
      <w:lvlText w:val="%2)"/>
      <w:lvlJc w:val="left"/>
      <w:pPr>
        <w:tabs>
          <w:tab w:val="num" w:pos="840"/>
        </w:tabs>
        <w:ind w:left="840" w:hanging="420"/>
      </w:pPr>
    </w:lvl>
    <w:lvl w:ilvl="2" w:tplc="8AC8B956" w:tentative="1">
      <w:start w:val="1"/>
      <w:numFmt w:val="lowerRoman"/>
      <w:lvlText w:val="%3."/>
      <w:lvlJc w:val="right"/>
      <w:pPr>
        <w:tabs>
          <w:tab w:val="num" w:pos="1260"/>
        </w:tabs>
        <w:ind w:left="1260" w:hanging="420"/>
      </w:pPr>
    </w:lvl>
    <w:lvl w:ilvl="3" w:tplc="BBE49ABE" w:tentative="1">
      <w:start w:val="1"/>
      <w:numFmt w:val="decimal"/>
      <w:lvlText w:val="%4."/>
      <w:lvlJc w:val="left"/>
      <w:pPr>
        <w:tabs>
          <w:tab w:val="num" w:pos="1680"/>
        </w:tabs>
        <w:ind w:left="1680" w:hanging="420"/>
      </w:pPr>
    </w:lvl>
    <w:lvl w:ilvl="4" w:tplc="D2E066D2" w:tentative="1">
      <w:start w:val="1"/>
      <w:numFmt w:val="lowerLetter"/>
      <w:lvlText w:val="%5)"/>
      <w:lvlJc w:val="left"/>
      <w:pPr>
        <w:tabs>
          <w:tab w:val="num" w:pos="2100"/>
        </w:tabs>
        <w:ind w:left="2100" w:hanging="420"/>
      </w:pPr>
    </w:lvl>
    <w:lvl w:ilvl="5" w:tplc="03B8185E" w:tentative="1">
      <w:start w:val="1"/>
      <w:numFmt w:val="lowerRoman"/>
      <w:lvlText w:val="%6."/>
      <w:lvlJc w:val="right"/>
      <w:pPr>
        <w:tabs>
          <w:tab w:val="num" w:pos="2520"/>
        </w:tabs>
        <w:ind w:left="2520" w:hanging="420"/>
      </w:pPr>
    </w:lvl>
    <w:lvl w:ilvl="6" w:tplc="0E5408D2" w:tentative="1">
      <w:start w:val="1"/>
      <w:numFmt w:val="decimal"/>
      <w:lvlText w:val="%7."/>
      <w:lvlJc w:val="left"/>
      <w:pPr>
        <w:tabs>
          <w:tab w:val="num" w:pos="2940"/>
        </w:tabs>
        <w:ind w:left="2940" w:hanging="420"/>
      </w:pPr>
    </w:lvl>
    <w:lvl w:ilvl="7" w:tplc="A4864D82" w:tentative="1">
      <w:start w:val="1"/>
      <w:numFmt w:val="lowerLetter"/>
      <w:lvlText w:val="%8)"/>
      <w:lvlJc w:val="left"/>
      <w:pPr>
        <w:tabs>
          <w:tab w:val="num" w:pos="3360"/>
        </w:tabs>
        <w:ind w:left="3360" w:hanging="420"/>
      </w:pPr>
    </w:lvl>
    <w:lvl w:ilvl="8" w:tplc="009A5F9A" w:tentative="1">
      <w:start w:val="1"/>
      <w:numFmt w:val="lowerRoman"/>
      <w:lvlText w:val="%9."/>
      <w:lvlJc w:val="right"/>
      <w:pPr>
        <w:tabs>
          <w:tab w:val="num" w:pos="3780"/>
        </w:tabs>
        <w:ind w:left="3780" w:hanging="420"/>
      </w:pPr>
    </w:lvl>
  </w:abstractNum>
  <w:abstractNum w:abstractNumId="11" w15:restartNumberingAfterBreak="0">
    <w:nsid w:val="1BF11592"/>
    <w:multiLevelType w:val="hybridMultilevel"/>
    <w:tmpl w:val="62361BBC"/>
    <w:lvl w:ilvl="0" w:tplc="CB2E463A">
      <w:start w:val="1"/>
      <w:numFmt w:val="chineseCountingThousand"/>
      <w:lvlText w:val="(%1)"/>
      <w:lvlJc w:val="left"/>
      <w:pPr>
        <w:tabs>
          <w:tab w:val="num" w:pos="780"/>
        </w:tabs>
        <w:ind w:left="136" w:firstLine="284"/>
      </w:pPr>
      <w:rPr>
        <w:b/>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1"/>
      <w:suff w:val="nothing"/>
      <w:lvlText w:val=""/>
      <w:lvlJc w:val="left"/>
      <w:pPr>
        <w:ind w:left="851" w:firstLine="0"/>
      </w:pPr>
      <w:rPr>
        <w:rFonts w:hint="eastAsia"/>
      </w:rPr>
    </w:lvl>
    <w:lvl w:ilvl="4">
      <w:start w:val="1"/>
      <w:numFmt w:val="none"/>
      <w:pStyle w:val="51"/>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3" w15:restartNumberingAfterBreak="0">
    <w:nsid w:val="2E4A15C2"/>
    <w:multiLevelType w:val="hybridMultilevel"/>
    <w:tmpl w:val="AFCC9B3A"/>
    <w:lvl w:ilvl="0" w:tplc="4342AABE">
      <w:start w:val="1"/>
      <w:numFmt w:val="decimal"/>
      <w:lvlText w:val="%1、"/>
      <w:lvlJc w:val="left"/>
      <w:pPr>
        <w:tabs>
          <w:tab w:val="num" w:pos="360"/>
        </w:tabs>
        <w:ind w:left="360" w:hanging="360"/>
      </w:pPr>
      <w:rPr>
        <w:rFonts w:hint="default"/>
      </w:rPr>
    </w:lvl>
    <w:lvl w:ilvl="1" w:tplc="892CF7F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E0501E2"/>
    <w:multiLevelType w:val="singleLevel"/>
    <w:tmpl w:val="C83654EA"/>
    <w:lvl w:ilvl="0">
      <w:start w:val="1"/>
      <w:numFmt w:val="decimal"/>
      <w:pStyle w:val="ParaChar"/>
      <w:lvlText w:val="(%1)"/>
      <w:lvlJc w:val="left"/>
      <w:pPr>
        <w:tabs>
          <w:tab w:val="num" w:pos="420"/>
        </w:tabs>
        <w:ind w:left="420" w:hanging="420"/>
      </w:pPr>
      <w:rPr>
        <w:rFonts w:hint="eastAsia"/>
      </w:rPr>
    </w:lvl>
  </w:abstractNum>
  <w:abstractNum w:abstractNumId="15" w15:restartNumberingAfterBreak="0">
    <w:nsid w:val="45342383"/>
    <w:multiLevelType w:val="multilevel"/>
    <w:tmpl w:val="0409001D"/>
    <w:styleLink w:val="5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6" w15:restartNumberingAfterBreak="0">
    <w:nsid w:val="4B385D0F"/>
    <w:multiLevelType w:val="hybridMultilevel"/>
    <w:tmpl w:val="36E8BDCC"/>
    <w:lvl w:ilvl="0" w:tplc="969A1656">
      <w:start w:val="1"/>
      <w:numFmt w:val="japaneseCounting"/>
      <w:lvlText w:val="（%1）"/>
      <w:lvlJc w:val="left"/>
      <w:pPr>
        <w:tabs>
          <w:tab w:val="num" w:pos="720"/>
        </w:tabs>
        <w:ind w:left="720" w:hanging="720"/>
      </w:pPr>
      <w:rPr>
        <w:rFonts w:hint="eastAsia"/>
      </w:rPr>
    </w:lvl>
    <w:lvl w:ilvl="1" w:tplc="2EDE44AA">
      <w:start w:val="1"/>
      <w:numFmt w:val="decimal"/>
      <w:pStyle w:val="a1"/>
      <w:lvlText w:val="%2、"/>
      <w:lvlJc w:val="left"/>
      <w:pPr>
        <w:tabs>
          <w:tab w:val="num" w:pos="780"/>
        </w:tabs>
        <w:ind w:left="780" w:hanging="360"/>
      </w:pPr>
      <w:rPr>
        <w:rFonts w:hint="eastAsia"/>
      </w:rPr>
    </w:lvl>
    <w:lvl w:ilvl="2" w:tplc="9904AFBA" w:tentative="1">
      <w:start w:val="1"/>
      <w:numFmt w:val="lowerRoman"/>
      <w:lvlText w:val="%3."/>
      <w:lvlJc w:val="right"/>
      <w:pPr>
        <w:tabs>
          <w:tab w:val="num" w:pos="1260"/>
        </w:tabs>
        <w:ind w:left="1260" w:hanging="420"/>
      </w:pPr>
    </w:lvl>
    <w:lvl w:ilvl="3" w:tplc="1BB8B48C" w:tentative="1">
      <w:start w:val="1"/>
      <w:numFmt w:val="decimal"/>
      <w:lvlText w:val="%4."/>
      <w:lvlJc w:val="left"/>
      <w:pPr>
        <w:tabs>
          <w:tab w:val="num" w:pos="1680"/>
        </w:tabs>
        <w:ind w:left="1680" w:hanging="420"/>
      </w:pPr>
    </w:lvl>
    <w:lvl w:ilvl="4" w:tplc="DEC857D0" w:tentative="1">
      <w:start w:val="1"/>
      <w:numFmt w:val="lowerLetter"/>
      <w:lvlText w:val="%5)"/>
      <w:lvlJc w:val="left"/>
      <w:pPr>
        <w:tabs>
          <w:tab w:val="num" w:pos="2100"/>
        </w:tabs>
        <w:ind w:left="2100" w:hanging="420"/>
      </w:pPr>
    </w:lvl>
    <w:lvl w:ilvl="5" w:tplc="21DEA434" w:tentative="1">
      <w:start w:val="1"/>
      <w:numFmt w:val="lowerRoman"/>
      <w:lvlText w:val="%6."/>
      <w:lvlJc w:val="right"/>
      <w:pPr>
        <w:tabs>
          <w:tab w:val="num" w:pos="2520"/>
        </w:tabs>
        <w:ind w:left="2520" w:hanging="420"/>
      </w:pPr>
    </w:lvl>
    <w:lvl w:ilvl="6" w:tplc="DBCE026A" w:tentative="1">
      <w:start w:val="1"/>
      <w:numFmt w:val="decimal"/>
      <w:lvlText w:val="%7."/>
      <w:lvlJc w:val="left"/>
      <w:pPr>
        <w:tabs>
          <w:tab w:val="num" w:pos="2940"/>
        </w:tabs>
        <w:ind w:left="2940" w:hanging="420"/>
      </w:pPr>
    </w:lvl>
    <w:lvl w:ilvl="7" w:tplc="EAD80834" w:tentative="1">
      <w:start w:val="1"/>
      <w:numFmt w:val="lowerLetter"/>
      <w:lvlText w:val="%8)"/>
      <w:lvlJc w:val="left"/>
      <w:pPr>
        <w:tabs>
          <w:tab w:val="num" w:pos="3360"/>
        </w:tabs>
        <w:ind w:left="3360" w:hanging="420"/>
      </w:pPr>
    </w:lvl>
    <w:lvl w:ilvl="8" w:tplc="372C0FD8" w:tentative="1">
      <w:start w:val="1"/>
      <w:numFmt w:val="lowerRoman"/>
      <w:lvlText w:val="%9."/>
      <w:lvlJc w:val="right"/>
      <w:pPr>
        <w:tabs>
          <w:tab w:val="num" w:pos="3780"/>
        </w:tabs>
        <w:ind w:left="3780" w:hanging="420"/>
      </w:pPr>
    </w:lvl>
  </w:abstractNum>
  <w:abstractNum w:abstractNumId="1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1"/>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8" w15:restartNumberingAfterBreak="0">
    <w:nsid w:val="77B4748A"/>
    <w:multiLevelType w:val="hybridMultilevel"/>
    <w:tmpl w:val="51F23EE6"/>
    <w:lvl w:ilvl="0" w:tplc="1AE654EC">
      <w:start w:val="1"/>
      <w:numFmt w:val="decimal"/>
      <w:lvlText w:val="%1."/>
      <w:lvlJc w:val="left"/>
      <w:pPr>
        <w:tabs>
          <w:tab w:val="num" w:pos="780"/>
        </w:tabs>
        <w:ind w:left="420" w:firstLine="0"/>
      </w:pPr>
      <w:rPr>
        <w:rFonts w:hint="eastAsia"/>
      </w:rPr>
    </w:lvl>
    <w:lvl w:ilvl="1" w:tplc="6494E216">
      <w:start w:val="1"/>
      <w:numFmt w:val="decimal"/>
      <w:lvlText w:val="（%2）"/>
      <w:lvlJc w:val="left"/>
      <w:pPr>
        <w:tabs>
          <w:tab w:val="num" w:pos="851"/>
        </w:tabs>
        <w:ind w:left="851" w:hanging="567"/>
      </w:pPr>
      <w:rPr>
        <w:rFonts w:hint="eastAsia"/>
      </w:rPr>
    </w:lvl>
    <w:lvl w:ilvl="2" w:tplc="0298CCAC" w:tentative="1">
      <w:start w:val="1"/>
      <w:numFmt w:val="lowerRoman"/>
      <w:lvlText w:val="%3."/>
      <w:lvlJc w:val="right"/>
      <w:pPr>
        <w:tabs>
          <w:tab w:val="num" w:pos="1260"/>
        </w:tabs>
        <w:ind w:left="1260" w:hanging="420"/>
      </w:pPr>
    </w:lvl>
    <w:lvl w:ilvl="3" w:tplc="61626260" w:tentative="1">
      <w:start w:val="1"/>
      <w:numFmt w:val="decimal"/>
      <w:lvlText w:val="%4."/>
      <w:lvlJc w:val="left"/>
      <w:pPr>
        <w:tabs>
          <w:tab w:val="num" w:pos="1680"/>
        </w:tabs>
        <w:ind w:left="1680" w:hanging="420"/>
      </w:pPr>
    </w:lvl>
    <w:lvl w:ilvl="4" w:tplc="81AE54C4" w:tentative="1">
      <w:start w:val="1"/>
      <w:numFmt w:val="lowerLetter"/>
      <w:lvlText w:val="%5)"/>
      <w:lvlJc w:val="left"/>
      <w:pPr>
        <w:tabs>
          <w:tab w:val="num" w:pos="2100"/>
        </w:tabs>
        <w:ind w:left="2100" w:hanging="420"/>
      </w:pPr>
    </w:lvl>
    <w:lvl w:ilvl="5" w:tplc="4A7AB5D8" w:tentative="1">
      <w:start w:val="1"/>
      <w:numFmt w:val="lowerRoman"/>
      <w:lvlText w:val="%6."/>
      <w:lvlJc w:val="right"/>
      <w:pPr>
        <w:tabs>
          <w:tab w:val="num" w:pos="2520"/>
        </w:tabs>
        <w:ind w:left="2520" w:hanging="420"/>
      </w:pPr>
    </w:lvl>
    <w:lvl w:ilvl="6" w:tplc="9126FD9A" w:tentative="1">
      <w:start w:val="1"/>
      <w:numFmt w:val="decimal"/>
      <w:lvlText w:val="%7."/>
      <w:lvlJc w:val="left"/>
      <w:pPr>
        <w:tabs>
          <w:tab w:val="num" w:pos="2940"/>
        </w:tabs>
        <w:ind w:left="2940" w:hanging="420"/>
      </w:pPr>
    </w:lvl>
    <w:lvl w:ilvl="7" w:tplc="84EE0142" w:tentative="1">
      <w:start w:val="1"/>
      <w:numFmt w:val="lowerLetter"/>
      <w:lvlText w:val="%8)"/>
      <w:lvlJc w:val="left"/>
      <w:pPr>
        <w:tabs>
          <w:tab w:val="num" w:pos="3360"/>
        </w:tabs>
        <w:ind w:left="3360" w:hanging="420"/>
      </w:pPr>
    </w:lvl>
    <w:lvl w:ilvl="8" w:tplc="99A83E62" w:tentative="1">
      <w:start w:val="1"/>
      <w:numFmt w:val="lowerRoman"/>
      <w:lvlText w:val="%9."/>
      <w:lvlJc w:val="right"/>
      <w:pPr>
        <w:tabs>
          <w:tab w:val="num" w:pos="3780"/>
        </w:tabs>
        <w:ind w:left="3780" w:hanging="420"/>
      </w:pPr>
    </w:lvl>
  </w:abstractNum>
  <w:abstractNum w:abstractNumId="19" w15:restartNumberingAfterBreak="0">
    <w:nsid w:val="7EF97684"/>
    <w:multiLevelType w:val="hybridMultilevel"/>
    <w:tmpl w:val="E93A1AB2"/>
    <w:lvl w:ilvl="0" w:tplc="892CF7F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10"/>
  </w:num>
  <w:num w:numId="3">
    <w:abstractNumId w:val="12"/>
  </w:num>
  <w:num w:numId="4">
    <w:abstractNumId w:val="17"/>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5"/>
    <w:rsid w:val="00032F24"/>
    <w:rsid w:val="000726F4"/>
    <w:rsid w:val="00097285"/>
    <w:rsid w:val="000D2AA7"/>
    <w:rsid w:val="000E3A96"/>
    <w:rsid w:val="000E3AAA"/>
    <w:rsid w:val="000F243A"/>
    <w:rsid w:val="000F6C14"/>
    <w:rsid w:val="00141FF2"/>
    <w:rsid w:val="00152F99"/>
    <w:rsid w:val="001A67A7"/>
    <w:rsid w:val="001B78BE"/>
    <w:rsid w:val="001C11A4"/>
    <w:rsid w:val="001D1F29"/>
    <w:rsid w:val="001D4156"/>
    <w:rsid w:val="001E30B8"/>
    <w:rsid w:val="00207221"/>
    <w:rsid w:val="00217FFB"/>
    <w:rsid w:val="002269BB"/>
    <w:rsid w:val="00234D49"/>
    <w:rsid w:val="00262D31"/>
    <w:rsid w:val="00277F8B"/>
    <w:rsid w:val="00284879"/>
    <w:rsid w:val="002A5432"/>
    <w:rsid w:val="00306598"/>
    <w:rsid w:val="0032333B"/>
    <w:rsid w:val="003349D9"/>
    <w:rsid w:val="0035002D"/>
    <w:rsid w:val="00352075"/>
    <w:rsid w:val="00353775"/>
    <w:rsid w:val="00360231"/>
    <w:rsid w:val="00366DAE"/>
    <w:rsid w:val="00385079"/>
    <w:rsid w:val="00395367"/>
    <w:rsid w:val="003B6835"/>
    <w:rsid w:val="003D59C8"/>
    <w:rsid w:val="003F015B"/>
    <w:rsid w:val="003F6BA8"/>
    <w:rsid w:val="00426F24"/>
    <w:rsid w:val="00442F43"/>
    <w:rsid w:val="00444270"/>
    <w:rsid w:val="00451348"/>
    <w:rsid w:val="00461058"/>
    <w:rsid w:val="00476A54"/>
    <w:rsid w:val="00480C27"/>
    <w:rsid w:val="0048767A"/>
    <w:rsid w:val="004C2DBB"/>
    <w:rsid w:val="004C3382"/>
    <w:rsid w:val="004C4FCB"/>
    <w:rsid w:val="004D044F"/>
    <w:rsid w:val="004D549F"/>
    <w:rsid w:val="004E0529"/>
    <w:rsid w:val="004E7C72"/>
    <w:rsid w:val="004F61AF"/>
    <w:rsid w:val="0054043C"/>
    <w:rsid w:val="00554091"/>
    <w:rsid w:val="00571B47"/>
    <w:rsid w:val="00580247"/>
    <w:rsid w:val="005835D8"/>
    <w:rsid w:val="005B1BCC"/>
    <w:rsid w:val="005B461F"/>
    <w:rsid w:val="005B520A"/>
    <w:rsid w:val="005B6C43"/>
    <w:rsid w:val="005C6736"/>
    <w:rsid w:val="00612D71"/>
    <w:rsid w:val="00631E3B"/>
    <w:rsid w:val="0065162F"/>
    <w:rsid w:val="00671FFB"/>
    <w:rsid w:val="0069179E"/>
    <w:rsid w:val="006B7120"/>
    <w:rsid w:val="0072095A"/>
    <w:rsid w:val="00725B55"/>
    <w:rsid w:val="00726117"/>
    <w:rsid w:val="00780B8A"/>
    <w:rsid w:val="00793253"/>
    <w:rsid w:val="007D049F"/>
    <w:rsid w:val="007D1635"/>
    <w:rsid w:val="007E181D"/>
    <w:rsid w:val="007E1FB6"/>
    <w:rsid w:val="008016BD"/>
    <w:rsid w:val="00805A29"/>
    <w:rsid w:val="008062E5"/>
    <w:rsid w:val="008228E1"/>
    <w:rsid w:val="0085273D"/>
    <w:rsid w:val="0085483D"/>
    <w:rsid w:val="0085702B"/>
    <w:rsid w:val="00867C44"/>
    <w:rsid w:val="008847CA"/>
    <w:rsid w:val="00884E3C"/>
    <w:rsid w:val="008A3487"/>
    <w:rsid w:val="008A5A59"/>
    <w:rsid w:val="008B55E4"/>
    <w:rsid w:val="008B6765"/>
    <w:rsid w:val="008E39D7"/>
    <w:rsid w:val="008E7279"/>
    <w:rsid w:val="00906C0E"/>
    <w:rsid w:val="0092110D"/>
    <w:rsid w:val="00922813"/>
    <w:rsid w:val="00930A6C"/>
    <w:rsid w:val="00946F2D"/>
    <w:rsid w:val="00980DCF"/>
    <w:rsid w:val="009E127E"/>
    <w:rsid w:val="009E2EF4"/>
    <w:rsid w:val="009E6688"/>
    <w:rsid w:val="009F427B"/>
    <w:rsid w:val="00A21805"/>
    <w:rsid w:val="00A345A3"/>
    <w:rsid w:val="00A57B17"/>
    <w:rsid w:val="00A80D42"/>
    <w:rsid w:val="00A81F70"/>
    <w:rsid w:val="00A90966"/>
    <w:rsid w:val="00A91940"/>
    <w:rsid w:val="00AA03DA"/>
    <w:rsid w:val="00AA1E7C"/>
    <w:rsid w:val="00AA4119"/>
    <w:rsid w:val="00AA54AE"/>
    <w:rsid w:val="00AC165C"/>
    <w:rsid w:val="00AD26D9"/>
    <w:rsid w:val="00AD4514"/>
    <w:rsid w:val="00AD7CBE"/>
    <w:rsid w:val="00AE6900"/>
    <w:rsid w:val="00AF36DE"/>
    <w:rsid w:val="00B11652"/>
    <w:rsid w:val="00B1290F"/>
    <w:rsid w:val="00B148CA"/>
    <w:rsid w:val="00B25ECB"/>
    <w:rsid w:val="00B26047"/>
    <w:rsid w:val="00B3420B"/>
    <w:rsid w:val="00B35195"/>
    <w:rsid w:val="00B64A7E"/>
    <w:rsid w:val="00B86B1E"/>
    <w:rsid w:val="00B87BA8"/>
    <w:rsid w:val="00BB0008"/>
    <w:rsid w:val="00BD2EEF"/>
    <w:rsid w:val="00BE1987"/>
    <w:rsid w:val="00BE56C9"/>
    <w:rsid w:val="00BF4AB4"/>
    <w:rsid w:val="00C2055C"/>
    <w:rsid w:val="00C73DB8"/>
    <w:rsid w:val="00CA34AB"/>
    <w:rsid w:val="00CD39BB"/>
    <w:rsid w:val="00CF599E"/>
    <w:rsid w:val="00D03BF8"/>
    <w:rsid w:val="00D21CF5"/>
    <w:rsid w:val="00D27219"/>
    <w:rsid w:val="00D37DEF"/>
    <w:rsid w:val="00D51B53"/>
    <w:rsid w:val="00D61D14"/>
    <w:rsid w:val="00D666F2"/>
    <w:rsid w:val="00D723BA"/>
    <w:rsid w:val="00D72D36"/>
    <w:rsid w:val="00D77DF5"/>
    <w:rsid w:val="00D817E2"/>
    <w:rsid w:val="00D83876"/>
    <w:rsid w:val="00D87851"/>
    <w:rsid w:val="00DA07D8"/>
    <w:rsid w:val="00DB5D27"/>
    <w:rsid w:val="00DC478D"/>
    <w:rsid w:val="00DD3105"/>
    <w:rsid w:val="00E075F9"/>
    <w:rsid w:val="00E253E0"/>
    <w:rsid w:val="00E26D59"/>
    <w:rsid w:val="00E27927"/>
    <w:rsid w:val="00E33EE2"/>
    <w:rsid w:val="00E3582F"/>
    <w:rsid w:val="00E7679C"/>
    <w:rsid w:val="00E87053"/>
    <w:rsid w:val="00EA039F"/>
    <w:rsid w:val="00EC51F1"/>
    <w:rsid w:val="00ED790C"/>
    <w:rsid w:val="00EF4395"/>
    <w:rsid w:val="00F43817"/>
    <w:rsid w:val="00F45915"/>
    <w:rsid w:val="00F663D1"/>
    <w:rsid w:val="00F814EA"/>
    <w:rsid w:val="00FA7BE2"/>
    <w:rsid w:val="00FB39D4"/>
    <w:rsid w:val="00FF0086"/>
    <w:rsid w:val="00FF0572"/>
    <w:rsid w:val="00FF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2EE68A8-3829-4DE5-8FEE-76AB6455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21CF5"/>
    <w:pPr>
      <w:widowControl w:val="0"/>
      <w:jc w:val="both"/>
    </w:pPr>
    <w:rPr>
      <w:rFonts w:ascii="Times New Roman" w:eastAsia="宋体" w:hAnsi="Times New Roman" w:cs="Times New Roman"/>
      <w:szCs w:val="24"/>
    </w:rPr>
  </w:style>
  <w:style w:type="paragraph" w:styleId="1">
    <w:name w:val="heading 1"/>
    <w:aliases w:val="Heading 0,H1,PIM 1,Heading 11,level 1,Level 1 Head,h1,123321,Level 1 Topic Heading"/>
    <w:basedOn w:val="a2"/>
    <w:next w:val="a2"/>
    <w:link w:val="1Char"/>
    <w:uiPriority w:val="99"/>
    <w:qFormat/>
    <w:rsid w:val="00D21CF5"/>
    <w:pPr>
      <w:keepNext/>
      <w:spacing w:beforeLines="100" w:afterLines="100"/>
      <w:ind w:firstLineChars="200" w:firstLine="200"/>
      <w:jc w:val="center"/>
      <w:outlineLvl w:val="0"/>
    </w:pPr>
    <w:rPr>
      <w:rFonts w:ascii="黑体" w:eastAsia="黑体"/>
      <w:sz w:val="32"/>
      <w:szCs w:val="32"/>
    </w:rPr>
  </w:style>
  <w:style w:type="paragraph" w:styleId="21">
    <w:name w:val="heading 2"/>
    <w:aliases w:val="标题 2 Char Char,H2,Heading 2 Hidden,Heading 2 CCBS,2nd level,h2,2,Header 2,PIM2,l2,Level 2 Head,proj2,proj21,proj22,proj23,proj24,proj25,proj26,proj27,proj28,proj29,proj210,proj211,proj212,proj221,proj231,proj241,proj251,proj261,proj271,proj281"/>
    <w:basedOn w:val="a2"/>
    <w:next w:val="a2"/>
    <w:link w:val="2Char"/>
    <w:uiPriority w:val="99"/>
    <w:qFormat/>
    <w:rsid w:val="00D21CF5"/>
    <w:pPr>
      <w:keepNext/>
      <w:keepLines/>
      <w:spacing w:beforeLines="100" w:afterLines="100"/>
      <w:ind w:firstLineChars="200" w:firstLine="200"/>
      <w:outlineLvl w:val="1"/>
    </w:pPr>
    <w:rPr>
      <w:rFonts w:ascii="Arial" w:hAnsi="Arial"/>
      <w:b/>
      <w:sz w:val="28"/>
      <w:szCs w:val="28"/>
    </w:rPr>
  </w:style>
  <w:style w:type="paragraph" w:styleId="31">
    <w:name w:val="heading 3"/>
    <w:aliases w:val="Heading 3 - old,H3,l3,CT,h3,3rd level,Level 3 Head,level_3,PIM 3,sect1.2.3,Bold Head,bh,3,heading 3,标题 4.1.1,Fab-3,sect1.2.31,sect1.2.32,sect1.2.311,sect1.2.33,sect1.2.312"/>
    <w:basedOn w:val="a2"/>
    <w:next w:val="a2"/>
    <w:link w:val="3Char"/>
    <w:qFormat/>
    <w:rsid w:val="00D21CF5"/>
    <w:pPr>
      <w:numPr>
        <w:ilvl w:val="2"/>
        <w:numId w:val="4"/>
      </w:numPr>
      <w:spacing w:before="260" w:after="260" w:line="416" w:lineRule="auto"/>
      <w:outlineLvl w:val="2"/>
    </w:pPr>
    <w:rPr>
      <w:rFonts w:ascii="仿宋_GB2312" w:eastAsia="仿宋_GB2312"/>
      <w:sz w:val="24"/>
      <w:szCs w:val="20"/>
    </w:rPr>
  </w:style>
  <w:style w:type="paragraph" w:styleId="41">
    <w:name w:val="heading 4"/>
    <w:basedOn w:val="a2"/>
    <w:next w:val="a2"/>
    <w:link w:val="4Char"/>
    <w:qFormat/>
    <w:rsid w:val="00D21CF5"/>
    <w:pPr>
      <w:keepNext/>
      <w:keepLines/>
      <w:numPr>
        <w:ilvl w:val="3"/>
        <w:numId w:val="3"/>
      </w:numPr>
      <w:spacing w:before="280" w:after="290" w:line="376" w:lineRule="auto"/>
      <w:outlineLvl w:val="3"/>
    </w:pPr>
    <w:rPr>
      <w:rFonts w:ascii="Arial" w:eastAsia="黑体" w:hAnsi="Arial"/>
      <w:b/>
      <w:bCs/>
      <w:sz w:val="28"/>
      <w:szCs w:val="28"/>
    </w:rPr>
  </w:style>
  <w:style w:type="paragraph" w:styleId="51">
    <w:name w:val="heading 5"/>
    <w:basedOn w:val="a2"/>
    <w:next w:val="a2"/>
    <w:link w:val="5Char"/>
    <w:qFormat/>
    <w:rsid w:val="00D21CF5"/>
    <w:pPr>
      <w:keepNext/>
      <w:keepLines/>
      <w:numPr>
        <w:ilvl w:val="4"/>
        <w:numId w:val="3"/>
      </w:numPr>
      <w:spacing w:before="280" w:after="290" w:line="376" w:lineRule="auto"/>
      <w:ind w:firstLineChars="200" w:firstLine="200"/>
      <w:outlineLvl w:val="4"/>
    </w:pPr>
    <w:rPr>
      <w:b/>
      <w:bCs/>
      <w:sz w:val="28"/>
      <w:szCs w:val="28"/>
    </w:rPr>
  </w:style>
  <w:style w:type="paragraph" w:styleId="6">
    <w:name w:val="heading 6"/>
    <w:basedOn w:val="a2"/>
    <w:next w:val="a2"/>
    <w:link w:val="6Char"/>
    <w:qFormat/>
    <w:rsid w:val="00D21CF5"/>
    <w:pPr>
      <w:keepNext/>
      <w:keepLines/>
      <w:numPr>
        <w:ilvl w:val="5"/>
        <w:numId w:val="3"/>
      </w:numPr>
      <w:spacing w:before="240" w:after="64" w:line="320" w:lineRule="auto"/>
      <w:ind w:firstLineChars="200" w:firstLine="200"/>
      <w:outlineLvl w:val="5"/>
    </w:pPr>
    <w:rPr>
      <w:rFonts w:ascii="Arial" w:eastAsia="黑体" w:hAnsi="Arial"/>
      <w:b/>
      <w:bCs/>
      <w:sz w:val="24"/>
    </w:rPr>
  </w:style>
  <w:style w:type="paragraph" w:styleId="7">
    <w:name w:val="heading 7"/>
    <w:basedOn w:val="a2"/>
    <w:next w:val="a2"/>
    <w:link w:val="7Char"/>
    <w:qFormat/>
    <w:rsid w:val="00D21CF5"/>
    <w:pPr>
      <w:keepNext/>
      <w:keepLines/>
      <w:numPr>
        <w:ilvl w:val="6"/>
        <w:numId w:val="3"/>
      </w:numPr>
      <w:spacing w:before="240" w:after="64" w:line="320" w:lineRule="auto"/>
      <w:ind w:firstLineChars="200" w:firstLine="200"/>
      <w:outlineLvl w:val="6"/>
    </w:pPr>
    <w:rPr>
      <w:b/>
      <w:bCs/>
      <w:sz w:val="24"/>
    </w:rPr>
  </w:style>
  <w:style w:type="paragraph" w:styleId="8">
    <w:name w:val="heading 8"/>
    <w:basedOn w:val="a2"/>
    <w:next w:val="a2"/>
    <w:link w:val="8Char"/>
    <w:qFormat/>
    <w:rsid w:val="00D21CF5"/>
    <w:pPr>
      <w:keepNext/>
      <w:keepLines/>
      <w:numPr>
        <w:ilvl w:val="7"/>
        <w:numId w:val="3"/>
      </w:numPr>
      <w:spacing w:before="240" w:after="64" w:line="320" w:lineRule="auto"/>
      <w:ind w:firstLineChars="200" w:firstLine="200"/>
      <w:outlineLvl w:val="7"/>
    </w:pPr>
    <w:rPr>
      <w:rFonts w:ascii="Arial" w:eastAsia="黑体" w:hAnsi="Arial"/>
      <w:sz w:val="24"/>
    </w:rPr>
  </w:style>
  <w:style w:type="paragraph" w:styleId="9">
    <w:name w:val="heading 9"/>
    <w:basedOn w:val="a2"/>
    <w:next w:val="a2"/>
    <w:link w:val="9Char"/>
    <w:qFormat/>
    <w:rsid w:val="00D21CF5"/>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D21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D21CF5"/>
    <w:rPr>
      <w:sz w:val="18"/>
      <w:szCs w:val="18"/>
    </w:rPr>
  </w:style>
  <w:style w:type="paragraph" w:styleId="a7">
    <w:name w:val="footer"/>
    <w:basedOn w:val="a2"/>
    <w:link w:val="Char0"/>
    <w:uiPriority w:val="99"/>
    <w:unhideWhenUsed/>
    <w:rsid w:val="00D21CF5"/>
    <w:pPr>
      <w:tabs>
        <w:tab w:val="center" w:pos="4153"/>
        <w:tab w:val="right" w:pos="8306"/>
      </w:tabs>
      <w:snapToGrid w:val="0"/>
      <w:jc w:val="left"/>
    </w:pPr>
    <w:rPr>
      <w:sz w:val="18"/>
      <w:szCs w:val="18"/>
    </w:rPr>
  </w:style>
  <w:style w:type="character" w:customStyle="1" w:styleId="Char0">
    <w:name w:val="页脚 Char"/>
    <w:basedOn w:val="a3"/>
    <w:link w:val="a7"/>
    <w:uiPriority w:val="99"/>
    <w:rsid w:val="00D21CF5"/>
    <w:rPr>
      <w:sz w:val="18"/>
      <w:szCs w:val="18"/>
    </w:rPr>
  </w:style>
  <w:style w:type="character" w:customStyle="1" w:styleId="1Char">
    <w:name w:val="标题 1 Char"/>
    <w:aliases w:val="Heading 0 Char,H1 Char,PIM 1 Char,Heading 11 Char,level 1 Char,Level 1 Head Char,h1 Char,123321 Char,Level 1 Topic Heading Char"/>
    <w:basedOn w:val="a3"/>
    <w:link w:val="1"/>
    <w:uiPriority w:val="99"/>
    <w:rsid w:val="00D21CF5"/>
    <w:rPr>
      <w:rFonts w:ascii="黑体" w:eastAsia="黑体" w:hAnsi="Times New Roman" w:cs="Times New Roman"/>
      <w:sz w:val="32"/>
      <w:szCs w:val="32"/>
    </w:rPr>
  </w:style>
  <w:style w:type="character" w:customStyle="1" w:styleId="2Char">
    <w:name w:val="标题 2 Char"/>
    <w:aliases w:val="标题 2 Char Char Char,H2 Char,Heading 2 Hidden Char,Heading 2 CCBS Char,2nd level Char,h2 Char,2 Char,Header 2 Char,PIM2 Char,l2 Char,Level 2 Head Char,proj2 Char,proj21 Char,proj22 Char,proj23 Char,proj24 Char,proj25 Char,proj26 Char"/>
    <w:basedOn w:val="a3"/>
    <w:link w:val="21"/>
    <w:uiPriority w:val="99"/>
    <w:rsid w:val="00D21CF5"/>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3"/>
    <w:link w:val="31"/>
    <w:rsid w:val="00D21CF5"/>
    <w:rPr>
      <w:rFonts w:ascii="仿宋_GB2312" w:eastAsia="仿宋_GB2312" w:hAnsi="Times New Roman" w:cs="Times New Roman"/>
      <w:sz w:val="24"/>
      <w:szCs w:val="20"/>
    </w:rPr>
  </w:style>
  <w:style w:type="character" w:customStyle="1" w:styleId="4Char">
    <w:name w:val="标题 4 Char"/>
    <w:basedOn w:val="a3"/>
    <w:link w:val="41"/>
    <w:rsid w:val="00D21CF5"/>
    <w:rPr>
      <w:rFonts w:ascii="Arial" w:eastAsia="黑体" w:hAnsi="Arial" w:cs="Times New Roman"/>
      <w:b/>
      <w:bCs/>
      <w:sz w:val="28"/>
      <w:szCs w:val="28"/>
    </w:rPr>
  </w:style>
  <w:style w:type="character" w:customStyle="1" w:styleId="5Char">
    <w:name w:val="标题 5 Char"/>
    <w:basedOn w:val="a3"/>
    <w:link w:val="51"/>
    <w:rsid w:val="00D21CF5"/>
    <w:rPr>
      <w:rFonts w:ascii="Times New Roman" w:eastAsia="宋体" w:hAnsi="Times New Roman" w:cs="Times New Roman"/>
      <w:b/>
      <w:bCs/>
      <w:sz w:val="28"/>
      <w:szCs w:val="28"/>
    </w:rPr>
  </w:style>
  <w:style w:type="character" w:customStyle="1" w:styleId="6Char">
    <w:name w:val="标题 6 Char"/>
    <w:basedOn w:val="a3"/>
    <w:link w:val="6"/>
    <w:rsid w:val="00D21CF5"/>
    <w:rPr>
      <w:rFonts w:ascii="Arial" w:eastAsia="黑体" w:hAnsi="Arial" w:cs="Times New Roman"/>
      <w:b/>
      <w:bCs/>
      <w:sz w:val="24"/>
      <w:szCs w:val="24"/>
    </w:rPr>
  </w:style>
  <w:style w:type="character" w:customStyle="1" w:styleId="7Char">
    <w:name w:val="标题 7 Char"/>
    <w:basedOn w:val="a3"/>
    <w:link w:val="7"/>
    <w:rsid w:val="00D21CF5"/>
    <w:rPr>
      <w:rFonts w:ascii="Times New Roman" w:eastAsia="宋体" w:hAnsi="Times New Roman" w:cs="Times New Roman"/>
      <w:b/>
      <w:bCs/>
      <w:sz w:val="24"/>
      <w:szCs w:val="24"/>
    </w:rPr>
  </w:style>
  <w:style w:type="character" w:customStyle="1" w:styleId="8Char">
    <w:name w:val="标题 8 Char"/>
    <w:basedOn w:val="a3"/>
    <w:link w:val="8"/>
    <w:rsid w:val="00D21CF5"/>
    <w:rPr>
      <w:rFonts w:ascii="Arial" w:eastAsia="黑体" w:hAnsi="Arial" w:cs="Times New Roman"/>
      <w:sz w:val="24"/>
      <w:szCs w:val="24"/>
    </w:rPr>
  </w:style>
  <w:style w:type="character" w:customStyle="1" w:styleId="9Char">
    <w:name w:val="标题 9 Char"/>
    <w:basedOn w:val="a3"/>
    <w:link w:val="9"/>
    <w:rsid w:val="00D21CF5"/>
    <w:rPr>
      <w:rFonts w:ascii="Arial" w:eastAsia="黑体" w:hAnsi="Arial" w:cs="Times New Roman"/>
      <w:sz w:val="24"/>
      <w:szCs w:val="21"/>
    </w:rPr>
  </w:style>
  <w:style w:type="paragraph" w:customStyle="1" w:styleId="211">
    <w:name w:val="样式 标题 2 + 段前: 1 行 段后: 1 行"/>
    <w:basedOn w:val="21"/>
    <w:rsid w:val="00D21CF5"/>
    <w:pPr>
      <w:numPr>
        <w:numId w:val="2"/>
      </w:numPr>
      <w:spacing w:before="447" w:after="447"/>
    </w:pPr>
    <w:rPr>
      <w:b w:val="0"/>
      <w:szCs w:val="20"/>
    </w:rPr>
  </w:style>
  <w:style w:type="paragraph" w:customStyle="1" w:styleId="211211">
    <w:name w:val="样式 样式 标题 2 + 段前: 1 行 段后: 1 行2 + 段前: 1 行 段后: 1 行"/>
    <w:basedOn w:val="2112"/>
    <w:rsid w:val="00D21CF5"/>
    <w:pPr>
      <w:tabs>
        <w:tab w:val="num" w:pos="720"/>
      </w:tabs>
      <w:ind w:left="720" w:hanging="720"/>
    </w:pPr>
  </w:style>
  <w:style w:type="paragraph" w:customStyle="1" w:styleId="2112">
    <w:name w:val="样式 标题 2 + 段前: 1 行 段后: 1 行2"/>
    <w:basedOn w:val="21"/>
    <w:rsid w:val="00D21CF5"/>
    <w:rPr>
      <w:bCs/>
      <w:szCs w:val="20"/>
    </w:rPr>
  </w:style>
  <w:style w:type="paragraph" w:styleId="a8">
    <w:name w:val="Normal Indent"/>
    <w:aliases w:val="正文缩进1,ALT+Z"/>
    <w:basedOn w:val="a2"/>
    <w:uiPriority w:val="99"/>
    <w:rsid w:val="00D21CF5"/>
    <w:pPr>
      <w:ind w:firstLine="420"/>
    </w:pPr>
    <w:rPr>
      <w:szCs w:val="20"/>
    </w:rPr>
  </w:style>
  <w:style w:type="paragraph" w:styleId="10">
    <w:name w:val="toc 1"/>
    <w:basedOn w:val="a2"/>
    <w:next w:val="a2"/>
    <w:autoRedefine/>
    <w:uiPriority w:val="39"/>
    <w:rsid w:val="00D21CF5"/>
    <w:pPr>
      <w:tabs>
        <w:tab w:val="right" w:leader="dot" w:pos="8296"/>
      </w:tabs>
      <w:jc w:val="left"/>
    </w:pPr>
    <w:rPr>
      <w:rFonts w:ascii="宋体" w:eastAsia="黑体" w:hAnsi="宋体"/>
      <w:caps/>
      <w:noProof/>
      <w:sz w:val="24"/>
      <w:szCs w:val="28"/>
    </w:rPr>
  </w:style>
  <w:style w:type="paragraph" w:styleId="22">
    <w:name w:val="toc 2"/>
    <w:basedOn w:val="a2"/>
    <w:next w:val="a2"/>
    <w:autoRedefine/>
    <w:uiPriority w:val="39"/>
    <w:rsid w:val="00D21CF5"/>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D21CF5"/>
    <w:pPr>
      <w:pageBreakBefore/>
    </w:pPr>
    <w:rPr>
      <w:rFonts w:hAnsi="黑体"/>
      <w:b/>
    </w:rPr>
  </w:style>
  <w:style w:type="paragraph" w:customStyle="1" w:styleId="111">
    <w:name w:val="样式 标题 1 + 段前: 1 行 段后: 1 行"/>
    <w:basedOn w:val="1"/>
    <w:rsid w:val="00D21CF5"/>
    <w:pPr>
      <w:pageBreakBefore/>
    </w:pPr>
    <w:rPr>
      <w:szCs w:val="20"/>
    </w:rPr>
  </w:style>
  <w:style w:type="paragraph" w:customStyle="1" w:styleId="115">
    <w:name w:val="样式 标题 1 + 段前: 1.5 行"/>
    <w:basedOn w:val="a2"/>
    <w:rsid w:val="00D21CF5"/>
    <w:pPr>
      <w:tabs>
        <w:tab w:val="num" w:pos="990"/>
      </w:tabs>
      <w:ind w:left="990" w:hanging="840"/>
    </w:pPr>
    <w:rPr>
      <w:sz w:val="24"/>
      <w:szCs w:val="20"/>
    </w:rPr>
  </w:style>
  <w:style w:type="paragraph" w:styleId="32">
    <w:name w:val="Body Text Indent 3"/>
    <w:basedOn w:val="a2"/>
    <w:link w:val="3Char0"/>
    <w:uiPriority w:val="99"/>
    <w:rsid w:val="00D21CF5"/>
    <w:pPr>
      <w:ind w:firstLineChars="200" w:firstLine="480"/>
    </w:pPr>
    <w:rPr>
      <w:rFonts w:ascii="宋体" w:hAnsi="宋体"/>
      <w:color w:val="FF0000"/>
      <w:sz w:val="24"/>
      <w:szCs w:val="20"/>
    </w:rPr>
  </w:style>
  <w:style w:type="character" w:customStyle="1" w:styleId="3Char0">
    <w:name w:val="正文文本缩进 3 Char"/>
    <w:basedOn w:val="a3"/>
    <w:link w:val="32"/>
    <w:uiPriority w:val="99"/>
    <w:rsid w:val="00D21CF5"/>
    <w:rPr>
      <w:rFonts w:ascii="宋体" w:eastAsia="宋体" w:hAnsi="宋体" w:cs="Times New Roman"/>
      <w:color w:val="FF0000"/>
      <w:sz w:val="24"/>
      <w:szCs w:val="20"/>
    </w:rPr>
  </w:style>
  <w:style w:type="paragraph" w:styleId="a9">
    <w:name w:val="Plain Text"/>
    <w:basedOn w:val="a2"/>
    <w:link w:val="Char1"/>
    <w:rsid w:val="00D21CF5"/>
    <w:pPr>
      <w:ind w:firstLineChars="200" w:firstLine="200"/>
    </w:pPr>
    <w:rPr>
      <w:rFonts w:ascii="宋体" w:hAnsi="Courier New"/>
      <w:sz w:val="24"/>
      <w:szCs w:val="21"/>
    </w:rPr>
  </w:style>
  <w:style w:type="character" w:customStyle="1" w:styleId="Char1">
    <w:name w:val="纯文本 Char"/>
    <w:basedOn w:val="a3"/>
    <w:link w:val="a9"/>
    <w:rsid w:val="00D21CF5"/>
    <w:rPr>
      <w:rFonts w:ascii="宋体" w:eastAsia="宋体" w:hAnsi="Courier New" w:cs="Times New Roman"/>
      <w:sz w:val="24"/>
      <w:szCs w:val="21"/>
    </w:rPr>
  </w:style>
  <w:style w:type="paragraph" w:styleId="aa">
    <w:name w:val="Body Text Indent"/>
    <w:basedOn w:val="a2"/>
    <w:link w:val="Char2"/>
    <w:uiPriority w:val="99"/>
    <w:rsid w:val="00D21CF5"/>
    <w:pPr>
      <w:ind w:firstLineChars="200" w:firstLine="480"/>
    </w:pPr>
    <w:rPr>
      <w:rFonts w:ascii="宋体" w:hAnsi="宋体"/>
      <w:sz w:val="24"/>
    </w:rPr>
  </w:style>
  <w:style w:type="character" w:customStyle="1" w:styleId="Char2">
    <w:name w:val="正文文本缩进 Char"/>
    <w:basedOn w:val="a3"/>
    <w:link w:val="aa"/>
    <w:uiPriority w:val="99"/>
    <w:rsid w:val="00D21CF5"/>
    <w:rPr>
      <w:rFonts w:ascii="宋体" w:eastAsia="宋体" w:hAnsi="宋体" w:cs="Times New Roman"/>
      <w:sz w:val="24"/>
      <w:szCs w:val="24"/>
    </w:rPr>
  </w:style>
  <w:style w:type="paragraph" w:customStyle="1" w:styleId="23">
    <w:name w:val="样式 首行缩进:  2 字符"/>
    <w:basedOn w:val="a2"/>
    <w:rsid w:val="00D21CF5"/>
    <w:pPr>
      <w:spacing w:before="100" w:beforeAutospacing="1" w:after="100" w:afterAutospacing="1" w:line="360" w:lineRule="auto"/>
      <w:ind w:firstLineChars="200" w:firstLine="480"/>
    </w:pPr>
    <w:rPr>
      <w:szCs w:val="20"/>
    </w:rPr>
  </w:style>
  <w:style w:type="paragraph" w:customStyle="1" w:styleId="2211">
    <w:name w:val="样式 标题 2 + 首行缩进:  2 字符 段前: 1 行 段后: 1 行"/>
    <w:basedOn w:val="21"/>
    <w:rsid w:val="00D21CF5"/>
    <w:pPr>
      <w:tabs>
        <w:tab w:val="num" w:pos="1319"/>
      </w:tabs>
      <w:ind w:left="1319" w:firstLineChars="0" w:hanging="420"/>
    </w:pPr>
    <w:rPr>
      <w:bCs/>
      <w:szCs w:val="20"/>
    </w:rPr>
  </w:style>
  <w:style w:type="character" w:styleId="ab">
    <w:name w:val="Hyperlink"/>
    <w:basedOn w:val="a3"/>
    <w:uiPriority w:val="99"/>
    <w:rsid w:val="00D21CF5"/>
    <w:rPr>
      <w:color w:val="0000FF"/>
      <w:u w:val="single"/>
    </w:rPr>
  </w:style>
  <w:style w:type="character" w:styleId="ac">
    <w:name w:val="page number"/>
    <w:basedOn w:val="a3"/>
    <w:uiPriority w:val="99"/>
    <w:rsid w:val="00D21CF5"/>
  </w:style>
  <w:style w:type="paragraph" w:customStyle="1" w:styleId="2111111">
    <w:name w:val="样式 样式 样式 标题 2 + 段前: 1 行 段后: 1 行1 + 段前: 1 行 段后: 1 行 + 段前: 1 行 段后..."/>
    <w:basedOn w:val="a2"/>
    <w:rsid w:val="00D21CF5"/>
    <w:pPr>
      <w:keepNext/>
      <w:keepLines/>
      <w:numPr>
        <w:ilvl w:val="1"/>
        <w:numId w:val="3"/>
      </w:numPr>
      <w:spacing w:beforeLines="100" w:afterLines="100"/>
      <w:outlineLvl w:val="1"/>
    </w:pPr>
    <w:rPr>
      <w:rFonts w:ascii="Arial" w:hAnsi="Arial"/>
      <w:b/>
      <w:bCs/>
      <w:sz w:val="28"/>
      <w:szCs w:val="20"/>
    </w:rPr>
  </w:style>
  <w:style w:type="paragraph" w:styleId="24">
    <w:name w:val="Body Text Indent 2"/>
    <w:basedOn w:val="a2"/>
    <w:link w:val="2Char0"/>
    <w:uiPriority w:val="99"/>
    <w:rsid w:val="00D21CF5"/>
    <w:pPr>
      <w:autoSpaceDE w:val="0"/>
      <w:autoSpaceDN w:val="0"/>
      <w:adjustRightInd w:val="0"/>
      <w:ind w:firstLineChars="225" w:firstLine="540"/>
      <w:jc w:val="left"/>
    </w:pPr>
    <w:rPr>
      <w:rFonts w:ascii="宋体" w:hAnsi="宋体"/>
      <w:sz w:val="24"/>
    </w:rPr>
  </w:style>
  <w:style w:type="character" w:customStyle="1" w:styleId="2Char0">
    <w:name w:val="正文文本缩进 2 Char"/>
    <w:basedOn w:val="a3"/>
    <w:link w:val="24"/>
    <w:uiPriority w:val="99"/>
    <w:rsid w:val="00D21CF5"/>
    <w:rPr>
      <w:rFonts w:ascii="宋体" w:eastAsia="宋体" w:hAnsi="宋体" w:cs="Times New Roman"/>
      <w:sz w:val="24"/>
      <w:szCs w:val="24"/>
    </w:rPr>
  </w:style>
  <w:style w:type="paragraph" w:styleId="a1">
    <w:name w:val="Body Text"/>
    <w:aliases w:val="正文文字 Char Char Char Char Char Char Char"/>
    <w:basedOn w:val="a2"/>
    <w:link w:val="Char3"/>
    <w:uiPriority w:val="99"/>
    <w:rsid w:val="00D21CF5"/>
    <w:pPr>
      <w:numPr>
        <w:ilvl w:val="1"/>
        <w:numId w:val="5"/>
      </w:numPr>
      <w:autoSpaceDE w:val="0"/>
      <w:autoSpaceDN w:val="0"/>
      <w:adjustRightInd w:val="0"/>
      <w:jc w:val="left"/>
    </w:pPr>
    <w:rPr>
      <w:rFonts w:ascii="宋体"/>
      <w:kern w:val="0"/>
      <w:sz w:val="24"/>
    </w:rPr>
  </w:style>
  <w:style w:type="character" w:customStyle="1" w:styleId="Char3">
    <w:name w:val="正文文本 Char"/>
    <w:aliases w:val="正文文字 Char Char Char Char Char Char Char Char"/>
    <w:basedOn w:val="a3"/>
    <w:link w:val="a1"/>
    <w:uiPriority w:val="99"/>
    <w:rsid w:val="00D21CF5"/>
    <w:rPr>
      <w:rFonts w:ascii="宋体" w:eastAsia="宋体" w:hAnsi="Times New Roman" w:cs="Times New Roman"/>
      <w:kern w:val="0"/>
      <w:sz w:val="24"/>
      <w:szCs w:val="24"/>
    </w:rPr>
  </w:style>
  <w:style w:type="paragraph" w:customStyle="1" w:styleId="2111">
    <w:name w:val="样式 标题 2 + 段前: 1 行 段后: 1 行1"/>
    <w:basedOn w:val="21"/>
    <w:rsid w:val="00D21CF5"/>
    <w:pPr>
      <w:ind w:firstLineChars="0" w:firstLine="0"/>
    </w:pPr>
    <w:rPr>
      <w:bCs/>
      <w:szCs w:val="20"/>
    </w:rPr>
  </w:style>
  <w:style w:type="paragraph" w:customStyle="1" w:styleId="211111">
    <w:name w:val="样式 样式 标题 2 + 段前: 1 行 段后: 1 行1 + 段前: 1 行 段后: 1 行"/>
    <w:basedOn w:val="2111"/>
    <w:rsid w:val="00D21CF5"/>
  </w:style>
  <w:style w:type="paragraph" w:customStyle="1" w:styleId="1211">
    <w:name w:val="样式 标题 1 + 首行缩进:  2 字符 段前: 1 行 段后: 1 行"/>
    <w:basedOn w:val="1"/>
    <w:rsid w:val="00D21CF5"/>
    <w:pPr>
      <w:pageBreakBefore/>
      <w:ind w:firstLineChars="0" w:firstLine="0"/>
    </w:pPr>
    <w:rPr>
      <w:szCs w:val="20"/>
    </w:rPr>
  </w:style>
  <w:style w:type="paragraph" w:customStyle="1" w:styleId="22111">
    <w:name w:val="样式 标题 2 + 首行缩进:  2 字符 段前: 1 行 段后: 1 行1"/>
    <w:basedOn w:val="21"/>
    <w:rsid w:val="00D21CF5"/>
    <w:pPr>
      <w:ind w:firstLineChars="0" w:firstLine="0"/>
    </w:pPr>
    <w:rPr>
      <w:bCs/>
      <w:szCs w:val="20"/>
    </w:rPr>
  </w:style>
  <w:style w:type="paragraph" w:customStyle="1" w:styleId="2113">
    <w:name w:val="样式 标题 2 + 段前: 1 行 段后: 1 行3"/>
    <w:basedOn w:val="21"/>
    <w:rsid w:val="00D21CF5"/>
    <w:pPr>
      <w:ind w:firstLineChars="0" w:firstLine="0"/>
    </w:pPr>
    <w:rPr>
      <w:bCs/>
      <w:szCs w:val="20"/>
    </w:rPr>
  </w:style>
  <w:style w:type="paragraph" w:customStyle="1" w:styleId="211311">
    <w:name w:val="样式 样式 标题 2 + 段前: 1 行 段后: 1 行3 + 段前: 1 行 段后: 1 行"/>
    <w:basedOn w:val="2113"/>
    <w:rsid w:val="00D21CF5"/>
    <w:pPr>
      <w:spacing w:before="440" w:after="440"/>
      <w:jc w:val="center"/>
    </w:pPr>
  </w:style>
  <w:style w:type="paragraph" w:styleId="ad">
    <w:name w:val="Balloon Text"/>
    <w:basedOn w:val="a2"/>
    <w:link w:val="Char4"/>
    <w:uiPriority w:val="99"/>
    <w:semiHidden/>
    <w:rsid w:val="00D21CF5"/>
    <w:pPr>
      <w:ind w:firstLineChars="200" w:firstLine="200"/>
    </w:pPr>
    <w:rPr>
      <w:sz w:val="16"/>
      <w:szCs w:val="16"/>
    </w:rPr>
  </w:style>
  <w:style w:type="character" w:customStyle="1" w:styleId="Char4">
    <w:name w:val="批注框文本 Char"/>
    <w:basedOn w:val="a3"/>
    <w:link w:val="ad"/>
    <w:uiPriority w:val="99"/>
    <w:semiHidden/>
    <w:rsid w:val="00D21CF5"/>
    <w:rPr>
      <w:rFonts w:ascii="Times New Roman" w:eastAsia="宋体" w:hAnsi="Times New Roman" w:cs="Times New Roman"/>
      <w:sz w:val="16"/>
      <w:szCs w:val="16"/>
    </w:rPr>
  </w:style>
  <w:style w:type="paragraph" w:styleId="25">
    <w:name w:val="Body Text 2"/>
    <w:basedOn w:val="a2"/>
    <w:link w:val="2Char1"/>
    <w:rsid w:val="00D21CF5"/>
    <w:pPr>
      <w:widowControl/>
      <w:tabs>
        <w:tab w:val="left" w:pos="1470"/>
      </w:tabs>
      <w:autoSpaceDE w:val="0"/>
      <w:autoSpaceDN w:val="0"/>
      <w:spacing w:beforeLines="50" w:afterLines="50" w:line="360" w:lineRule="auto"/>
      <w:textAlignment w:val="bottom"/>
    </w:pPr>
    <w:rPr>
      <w:sz w:val="24"/>
    </w:rPr>
  </w:style>
  <w:style w:type="character" w:customStyle="1" w:styleId="2Char1">
    <w:name w:val="正文文本 2 Char"/>
    <w:basedOn w:val="a3"/>
    <w:link w:val="25"/>
    <w:rsid w:val="00D21CF5"/>
    <w:rPr>
      <w:rFonts w:ascii="Times New Roman" w:eastAsia="宋体" w:hAnsi="Times New Roman" w:cs="Times New Roman"/>
      <w:sz w:val="24"/>
      <w:szCs w:val="24"/>
    </w:rPr>
  </w:style>
  <w:style w:type="paragraph" w:styleId="ae">
    <w:name w:val="footnote text"/>
    <w:basedOn w:val="a2"/>
    <w:link w:val="Char5"/>
    <w:uiPriority w:val="99"/>
    <w:semiHidden/>
    <w:rsid w:val="00D21CF5"/>
    <w:pPr>
      <w:snapToGrid w:val="0"/>
      <w:jc w:val="left"/>
    </w:pPr>
    <w:rPr>
      <w:sz w:val="18"/>
      <w:szCs w:val="18"/>
    </w:rPr>
  </w:style>
  <w:style w:type="character" w:customStyle="1" w:styleId="Char5">
    <w:name w:val="脚注文本 Char"/>
    <w:basedOn w:val="a3"/>
    <w:link w:val="ae"/>
    <w:uiPriority w:val="99"/>
    <w:semiHidden/>
    <w:rsid w:val="00D21CF5"/>
    <w:rPr>
      <w:rFonts w:ascii="Times New Roman" w:eastAsia="宋体" w:hAnsi="Times New Roman" w:cs="Times New Roman"/>
      <w:sz w:val="18"/>
      <w:szCs w:val="18"/>
    </w:rPr>
  </w:style>
  <w:style w:type="paragraph" w:styleId="33">
    <w:name w:val="toc 3"/>
    <w:basedOn w:val="a2"/>
    <w:next w:val="a2"/>
    <w:autoRedefine/>
    <w:uiPriority w:val="39"/>
    <w:rsid w:val="00D21CF5"/>
    <w:pPr>
      <w:ind w:leftChars="400" w:left="840"/>
    </w:pPr>
    <w:rPr>
      <w:rFonts w:eastAsia="仿宋_GB2312"/>
    </w:rPr>
  </w:style>
  <w:style w:type="paragraph" w:styleId="42">
    <w:name w:val="toc 4"/>
    <w:basedOn w:val="a2"/>
    <w:next w:val="a2"/>
    <w:autoRedefine/>
    <w:uiPriority w:val="39"/>
    <w:rsid w:val="00D21CF5"/>
    <w:pPr>
      <w:ind w:leftChars="600" w:left="1260"/>
    </w:pPr>
  </w:style>
  <w:style w:type="paragraph" w:styleId="53">
    <w:name w:val="toc 5"/>
    <w:basedOn w:val="a2"/>
    <w:next w:val="a2"/>
    <w:autoRedefine/>
    <w:uiPriority w:val="39"/>
    <w:rsid w:val="00D21CF5"/>
    <w:pPr>
      <w:ind w:leftChars="800" w:left="1680"/>
    </w:pPr>
  </w:style>
  <w:style w:type="paragraph" w:styleId="60">
    <w:name w:val="toc 6"/>
    <w:basedOn w:val="a2"/>
    <w:next w:val="a2"/>
    <w:autoRedefine/>
    <w:uiPriority w:val="39"/>
    <w:rsid w:val="00D21CF5"/>
    <w:pPr>
      <w:ind w:leftChars="1000" w:left="2100"/>
    </w:pPr>
  </w:style>
  <w:style w:type="paragraph" w:styleId="70">
    <w:name w:val="toc 7"/>
    <w:basedOn w:val="a2"/>
    <w:next w:val="a2"/>
    <w:autoRedefine/>
    <w:uiPriority w:val="39"/>
    <w:rsid w:val="00D21CF5"/>
    <w:pPr>
      <w:ind w:leftChars="1200" w:left="2520"/>
    </w:pPr>
  </w:style>
  <w:style w:type="paragraph" w:styleId="80">
    <w:name w:val="toc 8"/>
    <w:basedOn w:val="a2"/>
    <w:next w:val="a2"/>
    <w:autoRedefine/>
    <w:uiPriority w:val="39"/>
    <w:rsid w:val="00D21CF5"/>
    <w:pPr>
      <w:ind w:leftChars="1400" w:left="2940"/>
    </w:pPr>
  </w:style>
  <w:style w:type="paragraph" w:styleId="90">
    <w:name w:val="toc 9"/>
    <w:basedOn w:val="a2"/>
    <w:next w:val="a2"/>
    <w:autoRedefine/>
    <w:uiPriority w:val="39"/>
    <w:rsid w:val="00D21CF5"/>
    <w:pPr>
      <w:ind w:leftChars="1600" w:left="3360"/>
    </w:pPr>
  </w:style>
  <w:style w:type="character" w:styleId="af">
    <w:name w:val="footnote reference"/>
    <w:basedOn w:val="a3"/>
    <w:uiPriority w:val="99"/>
    <w:rsid w:val="00D21CF5"/>
    <w:rPr>
      <w:vertAlign w:val="superscript"/>
    </w:rPr>
  </w:style>
  <w:style w:type="paragraph" w:styleId="af0">
    <w:name w:val="Document Map"/>
    <w:basedOn w:val="a2"/>
    <w:link w:val="Char6"/>
    <w:rsid w:val="00D21CF5"/>
    <w:pPr>
      <w:shd w:val="clear" w:color="auto" w:fill="000080"/>
    </w:pPr>
  </w:style>
  <w:style w:type="character" w:customStyle="1" w:styleId="Char6">
    <w:name w:val="文档结构图 Char"/>
    <w:basedOn w:val="a3"/>
    <w:link w:val="af0"/>
    <w:rsid w:val="00D21CF5"/>
    <w:rPr>
      <w:rFonts w:ascii="Times New Roman" w:eastAsia="宋体" w:hAnsi="Times New Roman" w:cs="Times New Roman"/>
      <w:szCs w:val="24"/>
      <w:shd w:val="clear" w:color="auto" w:fill="000080"/>
    </w:rPr>
  </w:style>
  <w:style w:type="character" w:customStyle="1" w:styleId="big1">
    <w:name w:val="big1"/>
    <w:basedOn w:val="a3"/>
    <w:rsid w:val="00D21CF5"/>
    <w:rPr>
      <w:spacing w:val="360"/>
      <w:sz w:val="22"/>
      <w:szCs w:val="22"/>
    </w:rPr>
  </w:style>
  <w:style w:type="character" w:styleId="af1">
    <w:name w:val="FollowedHyperlink"/>
    <w:basedOn w:val="a3"/>
    <w:uiPriority w:val="99"/>
    <w:rsid w:val="00D21CF5"/>
    <w:rPr>
      <w:color w:val="800080"/>
      <w:u w:val="single"/>
    </w:rPr>
  </w:style>
  <w:style w:type="character" w:customStyle="1" w:styleId="sm1">
    <w:name w:val="sm1"/>
    <w:basedOn w:val="a3"/>
    <w:rsid w:val="00D21CF5"/>
    <w:rPr>
      <w:spacing w:val="280"/>
      <w:sz w:val="18"/>
      <w:szCs w:val="18"/>
    </w:rPr>
  </w:style>
  <w:style w:type="character" w:customStyle="1" w:styleId="md2">
    <w:name w:val="md2"/>
    <w:basedOn w:val="a3"/>
    <w:rsid w:val="00D21CF5"/>
    <w:rPr>
      <w:spacing w:val="300"/>
      <w:sz w:val="21"/>
      <w:szCs w:val="21"/>
    </w:rPr>
  </w:style>
  <w:style w:type="paragraph" w:customStyle="1" w:styleId="12">
    <w:name w:val="1"/>
    <w:basedOn w:val="a2"/>
    <w:rsid w:val="00D21CF5"/>
    <w:pPr>
      <w:spacing w:before="100" w:beforeAutospacing="1" w:after="120" w:afterAutospacing="1" w:line="360" w:lineRule="auto"/>
      <w:ind w:leftChars="200" w:left="420"/>
    </w:pPr>
  </w:style>
  <w:style w:type="character" w:customStyle="1" w:styleId="read1">
    <w:name w:val="read1"/>
    <w:basedOn w:val="a3"/>
    <w:rsid w:val="00D21CF5"/>
    <w:rPr>
      <w:rFonts w:ascii="ˎ̥" w:hAnsi="ˎ̥" w:hint="default"/>
      <w:strike w:val="0"/>
      <w:dstrike w:val="0"/>
      <w:color w:val="000000"/>
      <w:u w:val="none"/>
      <w:effect w:val="none"/>
    </w:rPr>
  </w:style>
  <w:style w:type="paragraph" w:customStyle="1" w:styleId="unnamed1">
    <w:name w:val="unnamed1"/>
    <w:basedOn w:val="a2"/>
    <w:rsid w:val="00D21CF5"/>
    <w:pPr>
      <w:widowControl/>
      <w:spacing w:before="60" w:after="60"/>
      <w:ind w:left="15" w:right="15"/>
      <w:jc w:val="left"/>
    </w:pPr>
    <w:rPr>
      <w:rFonts w:ascii="宋体" w:hAnsi="宋体" w:cs="Arial Unicode MS" w:hint="eastAsia"/>
      <w:color w:val="000000"/>
      <w:kern w:val="0"/>
      <w:sz w:val="18"/>
      <w:szCs w:val="18"/>
    </w:rPr>
  </w:style>
  <w:style w:type="paragraph" w:styleId="HTML">
    <w:name w:val="HTML Address"/>
    <w:basedOn w:val="a2"/>
    <w:link w:val="HTMLChar"/>
    <w:rsid w:val="00D21CF5"/>
    <w:rPr>
      <w:i/>
      <w:iCs/>
    </w:rPr>
  </w:style>
  <w:style w:type="character" w:customStyle="1" w:styleId="HTMLChar">
    <w:name w:val="HTML 地址 Char"/>
    <w:basedOn w:val="a3"/>
    <w:link w:val="HTML"/>
    <w:rsid w:val="00D21CF5"/>
    <w:rPr>
      <w:rFonts w:ascii="Times New Roman" w:eastAsia="宋体" w:hAnsi="Times New Roman" w:cs="Times New Roman"/>
      <w:i/>
      <w:iCs/>
      <w:szCs w:val="24"/>
    </w:rPr>
  </w:style>
  <w:style w:type="paragraph" w:styleId="HTML0">
    <w:name w:val="HTML Preformatted"/>
    <w:basedOn w:val="a2"/>
    <w:link w:val="HTMLChar0"/>
    <w:uiPriority w:val="99"/>
    <w:rsid w:val="00D21CF5"/>
    <w:rPr>
      <w:rFonts w:ascii="Courier New" w:hAnsi="Courier New" w:cs="仿宋_GB2312"/>
      <w:sz w:val="20"/>
      <w:szCs w:val="20"/>
    </w:rPr>
  </w:style>
  <w:style w:type="character" w:customStyle="1" w:styleId="HTMLChar0">
    <w:name w:val="HTML 预设格式 Char"/>
    <w:basedOn w:val="a3"/>
    <w:link w:val="HTML0"/>
    <w:uiPriority w:val="99"/>
    <w:rsid w:val="00D21CF5"/>
    <w:rPr>
      <w:rFonts w:ascii="Courier New" w:eastAsia="宋体" w:hAnsi="Courier New" w:cs="仿宋_GB2312"/>
      <w:sz w:val="20"/>
      <w:szCs w:val="20"/>
    </w:rPr>
  </w:style>
  <w:style w:type="paragraph" w:styleId="af2">
    <w:name w:val="Title"/>
    <w:basedOn w:val="a2"/>
    <w:link w:val="Char7"/>
    <w:qFormat/>
    <w:rsid w:val="00D21CF5"/>
    <w:pPr>
      <w:spacing w:before="240" w:after="60"/>
      <w:jc w:val="center"/>
      <w:outlineLvl w:val="0"/>
    </w:pPr>
    <w:rPr>
      <w:rFonts w:ascii="Arial" w:hAnsi="Arial" w:cs="Arial"/>
      <w:b/>
      <w:bCs/>
      <w:sz w:val="32"/>
      <w:szCs w:val="32"/>
    </w:rPr>
  </w:style>
  <w:style w:type="character" w:customStyle="1" w:styleId="Char7">
    <w:name w:val="标题 Char"/>
    <w:basedOn w:val="a3"/>
    <w:link w:val="af2"/>
    <w:rsid w:val="00D21CF5"/>
    <w:rPr>
      <w:rFonts w:ascii="Arial" w:eastAsia="宋体" w:hAnsi="Arial" w:cs="Arial"/>
      <w:b/>
      <w:bCs/>
      <w:sz w:val="32"/>
      <w:szCs w:val="32"/>
    </w:rPr>
  </w:style>
  <w:style w:type="paragraph" w:styleId="af3">
    <w:name w:val="Salutation"/>
    <w:basedOn w:val="a2"/>
    <w:next w:val="a2"/>
    <w:link w:val="Char8"/>
    <w:rsid w:val="00D21CF5"/>
  </w:style>
  <w:style w:type="character" w:customStyle="1" w:styleId="Char8">
    <w:name w:val="称呼 Char"/>
    <w:basedOn w:val="a3"/>
    <w:link w:val="af3"/>
    <w:rsid w:val="00D21CF5"/>
    <w:rPr>
      <w:rFonts w:ascii="Times New Roman" w:eastAsia="宋体" w:hAnsi="Times New Roman" w:cs="Times New Roman"/>
      <w:szCs w:val="24"/>
    </w:rPr>
  </w:style>
  <w:style w:type="paragraph" w:styleId="af4">
    <w:name w:val="E-mail Signature"/>
    <w:basedOn w:val="a2"/>
    <w:link w:val="Char9"/>
    <w:rsid w:val="00D21CF5"/>
  </w:style>
  <w:style w:type="character" w:customStyle="1" w:styleId="Char9">
    <w:name w:val="电子邮件签名 Char"/>
    <w:basedOn w:val="a3"/>
    <w:link w:val="af4"/>
    <w:rsid w:val="00D21CF5"/>
    <w:rPr>
      <w:rFonts w:ascii="Times New Roman" w:eastAsia="宋体" w:hAnsi="Times New Roman" w:cs="Times New Roman"/>
      <w:szCs w:val="24"/>
    </w:rPr>
  </w:style>
  <w:style w:type="paragraph" w:styleId="af5">
    <w:name w:val="macro"/>
    <w:link w:val="Chara"/>
    <w:semiHidden/>
    <w:rsid w:val="00D21CF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仿宋_GB2312"/>
      <w:sz w:val="24"/>
      <w:szCs w:val="24"/>
    </w:rPr>
  </w:style>
  <w:style w:type="character" w:customStyle="1" w:styleId="Chara">
    <w:name w:val="宏文本 Char"/>
    <w:basedOn w:val="a3"/>
    <w:link w:val="af5"/>
    <w:semiHidden/>
    <w:rsid w:val="00D21CF5"/>
    <w:rPr>
      <w:rFonts w:ascii="Courier New" w:eastAsia="宋体" w:hAnsi="Courier New" w:cs="仿宋_GB2312"/>
      <w:sz w:val="24"/>
      <w:szCs w:val="24"/>
    </w:rPr>
  </w:style>
  <w:style w:type="paragraph" w:styleId="af6">
    <w:name w:val="envelope return"/>
    <w:basedOn w:val="a2"/>
    <w:rsid w:val="00D21CF5"/>
    <w:pPr>
      <w:snapToGrid w:val="0"/>
    </w:pPr>
    <w:rPr>
      <w:rFonts w:ascii="Arial" w:hAnsi="Arial" w:cs="Arial"/>
    </w:rPr>
  </w:style>
  <w:style w:type="paragraph" w:styleId="af7">
    <w:name w:val="Closing"/>
    <w:basedOn w:val="a2"/>
    <w:link w:val="Charb"/>
    <w:rsid w:val="00D21CF5"/>
    <w:pPr>
      <w:ind w:leftChars="2100" w:left="100"/>
    </w:pPr>
  </w:style>
  <w:style w:type="character" w:customStyle="1" w:styleId="Charb">
    <w:name w:val="结束语 Char"/>
    <w:basedOn w:val="a3"/>
    <w:link w:val="af7"/>
    <w:rsid w:val="00D21CF5"/>
    <w:rPr>
      <w:rFonts w:ascii="Times New Roman" w:eastAsia="宋体" w:hAnsi="Times New Roman" w:cs="Times New Roman"/>
      <w:szCs w:val="24"/>
    </w:rPr>
  </w:style>
  <w:style w:type="paragraph" w:styleId="af8">
    <w:name w:val="List"/>
    <w:basedOn w:val="a2"/>
    <w:uiPriority w:val="99"/>
    <w:rsid w:val="00D21CF5"/>
    <w:pPr>
      <w:ind w:left="200" w:hangingChars="200" w:hanging="200"/>
    </w:pPr>
  </w:style>
  <w:style w:type="paragraph" w:styleId="26">
    <w:name w:val="List 2"/>
    <w:basedOn w:val="a2"/>
    <w:rsid w:val="00D21CF5"/>
    <w:pPr>
      <w:ind w:leftChars="200" w:left="100" w:hangingChars="200" w:hanging="200"/>
    </w:pPr>
  </w:style>
  <w:style w:type="paragraph" w:styleId="34">
    <w:name w:val="List 3"/>
    <w:basedOn w:val="a2"/>
    <w:rsid w:val="00D21CF5"/>
    <w:pPr>
      <w:ind w:leftChars="400" w:left="100" w:hangingChars="200" w:hanging="200"/>
    </w:pPr>
  </w:style>
  <w:style w:type="paragraph" w:styleId="43">
    <w:name w:val="List 4"/>
    <w:basedOn w:val="a2"/>
    <w:rsid w:val="00D21CF5"/>
    <w:pPr>
      <w:ind w:leftChars="600" w:left="100" w:hangingChars="200" w:hanging="200"/>
    </w:pPr>
  </w:style>
  <w:style w:type="paragraph" w:styleId="54">
    <w:name w:val="List 5"/>
    <w:basedOn w:val="a2"/>
    <w:rsid w:val="00D21CF5"/>
    <w:pPr>
      <w:ind w:leftChars="800" w:left="100" w:hangingChars="200" w:hanging="200"/>
    </w:pPr>
  </w:style>
  <w:style w:type="paragraph" w:styleId="a">
    <w:name w:val="List Number"/>
    <w:basedOn w:val="a2"/>
    <w:rsid w:val="00D21CF5"/>
    <w:pPr>
      <w:numPr>
        <w:numId w:val="6"/>
      </w:numPr>
    </w:pPr>
  </w:style>
  <w:style w:type="paragraph" w:styleId="2">
    <w:name w:val="List Number 2"/>
    <w:basedOn w:val="a2"/>
    <w:rsid w:val="00D21CF5"/>
    <w:pPr>
      <w:numPr>
        <w:numId w:val="7"/>
      </w:numPr>
    </w:pPr>
  </w:style>
  <w:style w:type="paragraph" w:styleId="3">
    <w:name w:val="List Number 3"/>
    <w:basedOn w:val="a2"/>
    <w:rsid w:val="00D21CF5"/>
    <w:pPr>
      <w:numPr>
        <w:numId w:val="8"/>
      </w:numPr>
    </w:pPr>
  </w:style>
  <w:style w:type="paragraph" w:styleId="4">
    <w:name w:val="List Number 4"/>
    <w:basedOn w:val="a2"/>
    <w:rsid w:val="00D21CF5"/>
    <w:pPr>
      <w:numPr>
        <w:numId w:val="9"/>
      </w:numPr>
    </w:pPr>
  </w:style>
  <w:style w:type="paragraph" w:styleId="5">
    <w:name w:val="List Number 5"/>
    <w:basedOn w:val="a2"/>
    <w:rsid w:val="00D21CF5"/>
    <w:pPr>
      <w:numPr>
        <w:numId w:val="10"/>
      </w:numPr>
    </w:pPr>
  </w:style>
  <w:style w:type="paragraph" w:styleId="af9">
    <w:name w:val="List Continue"/>
    <w:basedOn w:val="a2"/>
    <w:rsid w:val="00D21CF5"/>
    <w:pPr>
      <w:spacing w:after="120"/>
      <w:ind w:leftChars="200" w:left="420"/>
    </w:pPr>
  </w:style>
  <w:style w:type="paragraph" w:styleId="27">
    <w:name w:val="List Continue 2"/>
    <w:basedOn w:val="a2"/>
    <w:rsid w:val="00D21CF5"/>
    <w:pPr>
      <w:spacing w:after="120"/>
      <w:ind w:leftChars="400" w:left="840"/>
    </w:pPr>
  </w:style>
  <w:style w:type="paragraph" w:styleId="35">
    <w:name w:val="List Continue 3"/>
    <w:basedOn w:val="a2"/>
    <w:rsid w:val="00D21CF5"/>
    <w:pPr>
      <w:spacing w:after="120"/>
      <w:ind w:leftChars="600" w:left="1260"/>
    </w:pPr>
  </w:style>
  <w:style w:type="paragraph" w:styleId="44">
    <w:name w:val="List Continue 4"/>
    <w:basedOn w:val="a2"/>
    <w:rsid w:val="00D21CF5"/>
    <w:pPr>
      <w:spacing w:after="120"/>
      <w:ind w:leftChars="800" w:left="1680"/>
    </w:pPr>
  </w:style>
  <w:style w:type="paragraph" w:styleId="55">
    <w:name w:val="List Continue 5"/>
    <w:basedOn w:val="a2"/>
    <w:rsid w:val="00D21CF5"/>
    <w:pPr>
      <w:spacing w:after="120"/>
      <w:ind w:leftChars="1000" w:left="2100"/>
    </w:pPr>
  </w:style>
  <w:style w:type="paragraph" w:styleId="a0">
    <w:name w:val="List Bullet"/>
    <w:basedOn w:val="a2"/>
    <w:autoRedefine/>
    <w:rsid w:val="00D21CF5"/>
    <w:pPr>
      <w:numPr>
        <w:numId w:val="11"/>
      </w:numPr>
    </w:pPr>
  </w:style>
  <w:style w:type="paragraph" w:styleId="20">
    <w:name w:val="List Bullet 2"/>
    <w:basedOn w:val="a2"/>
    <w:autoRedefine/>
    <w:rsid w:val="00D21CF5"/>
    <w:pPr>
      <w:numPr>
        <w:numId w:val="12"/>
      </w:numPr>
    </w:pPr>
  </w:style>
  <w:style w:type="paragraph" w:styleId="30">
    <w:name w:val="List Bullet 3"/>
    <w:basedOn w:val="a2"/>
    <w:autoRedefine/>
    <w:rsid w:val="00D21CF5"/>
    <w:pPr>
      <w:numPr>
        <w:numId w:val="13"/>
      </w:numPr>
    </w:pPr>
  </w:style>
  <w:style w:type="paragraph" w:styleId="40">
    <w:name w:val="List Bullet 4"/>
    <w:basedOn w:val="a2"/>
    <w:autoRedefine/>
    <w:rsid w:val="00D21CF5"/>
    <w:pPr>
      <w:numPr>
        <w:numId w:val="14"/>
      </w:numPr>
    </w:pPr>
  </w:style>
  <w:style w:type="paragraph" w:styleId="50">
    <w:name w:val="List Bullet 5"/>
    <w:basedOn w:val="a2"/>
    <w:autoRedefine/>
    <w:rsid w:val="00D21CF5"/>
    <w:pPr>
      <w:numPr>
        <w:numId w:val="15"/>
      </w:numPr>
    </w:pPr>
  </w:style>
  <w:style w:type="paragraph" w:styleId="afa">
    <w:name w:val="annotation text"/>
    <w:basedOn w:val="a2"/>
    <w:link w:val="Charc"/>
    <w:uiPriority w:val="99"/>
    <w:rsid w:val="00D21CF5"/>
    <w:pPr>
      <w:jc w:val="left"/>
    </w:pPr>
  </w:style>
  <w:style w:type="character" w:customStyle="1" w:styleId="Charc">
    <w:name w:val="批注文字 Char"/>
    <w:basedOn w:val="a3"/>
    <w:link w:val="afa"/>
    <w:uiPriority w:val="99"/>
    <w:rsid w:val="00D21CF5"/>
    <w:rPr>
      <w:rFonts w:ascii="Times New Roman" w:eastAsia="宋体" w:hAnsi="Times New Roman" w:cs="Times New Roman"/>
      <w:szCs w:val="24"/>
    </w:rPr>
  </w:style>
  <w:style w:type="paragraph" w:styleId="afb">
    <w:name w:val="Normal (Web)"/>
    <w:basedOn w:val="a2"/>
    <w:uiPriority w:val="99"/>
    <w:rsid w:val="00D21CF5"/>
    <w:rPr>
      <w:sz w:val="24"/>
    </w:rPr>
  </w:style>
  <w:style w:type="paragraph" w:styleId="afc">
    <w:name w:val="Signature"/>
    <w:basedOn w:val="a2"/>
    <w:link w:val="Chard"/>
    <w:rsid w:val="00D21CF5"/>
    <w:pPr>
      <w:ind w:leftChars="2100" w:left="100"/>
    </w:pPr>
  </w:style>
  <w:style w:type="character" w:customStyle="1" w:styleId="Chard">
    <w:name w:val="签名 Char"/>
    <w:basedOn w:val="a3"/>
    <w:link w:val="afc"/>
    <w:rsid w:val="00D21CF5"/>
    <w:rPr>
      <w:rFonts w:ascii="Times New Roman" w:eastAsia="宋体" w:hAnsi="Times New Roman" w:cs="Times New Roman"/>
      <w:szCs w:val="24"/>
    </w:rPr>
  </w:style>
  <w:style w:type="paragraph" w:styleId="afd">
    <w:name w:val="Date"/>
    <w:basedOn w:val="a2"/>
    <w:next w:val="a2"/>
    <w:link w:val="Chare"/>
    <w:uiPriority w:val="99"/>
    <w:rsid w:val="00D21CF5"/>
    <w:pPr>
      <w:ind w:leftChars="2500" w:left="100"/>
    </w:pPr>
  </w:style>
  <w:style w:type="character" w:customStyle="1" w:styleId="Chare">
    <w:name w:val="日期 Char"/>
    <w:basedOn w:val="a3"/>
    <w:link w:val="afd"/>
    <w:uiPriority w:val="99"/>
    <w:rsid w:val="00D21CF5"/>
    <w:rPr>
      <w:rFonts w:ascii="Times New Roman" w:eastAsia="宋体" w:hAnsi="Times New Roman" w:cs="Times New Roman"/>
      <w:szCs w:val="24"/>
    </w:rPr>
  </w:style>
  <w:style w:type="paragraph" w:styleId="13">
    <w:name w:val="index 1"/>
    <w:basedOn w:val="a2"/>
    <w:next w:val="a2"/>
    <w:autoRedefine/>
    <w:uiPriority w:val="99"/>
    <w:semiHidden/>
    <w:rsid w:val="00D21CF5"/>
  </w:style>
  <w:style w:type="paragraph" w:styleId="28">
    <w:name w:val="index 2"/>
    <w:basedOn w:val="a2"/>
    <w:next w:val="a2"/>
    <w:autoRedefine/>
    <w:semiHidden/>
    <w:rsid w:val="00D21CF5"/>
    <w:pPr>
      <w:ind w:leftChars="200" w:left="200"/>
    </w:pPr>
  </w:style>
  <w:style w:type="paragraph" w:styleId="36">
    <w:name w:val="index 3"/>
    <w:basedOn w:val="a2"/>
    <w:next w:val="a2"/>
    <w:autoRedefine/>
    <w:semiHidden/>
    <w:rsid w:val="00D21CF5"/>
    <w:pPr>
      <w:ind w:leftChars="400" w:left="400"/>
    </w:pPr>
  </w:style>
  <w:style w:type="paragraph" w:styleId="45">
    <w:name w:val="index 4"/>
    <w:basedOn w:val="a2"/>
    <w:next w:val="a2"/>
    <w:autoRedefine/>
    <w:semiHidden/>
    <w:rsid w:val="00D21CF5"/>
    <w:pPr>
      <w:ind w:leftChars="600" w:left="600"/>
    </w:pPr>
  </w:style>
  <w:style w:type="paragraph" w:styleId="56">
    <w:name w:val="index 5"/>
    <w:basedOn w:val="a2"/>
    <w:next w:val="a2"/>
    <w:autoRedefine/>
    <w:semiHidden/>
    <w:rsid w:val="00D21CF5"/>
    <w:pPr>
      <w:ind w:leftChars="800" w:left="800"/>
    </w:pPr>
  </w:style>
  <w:style w:type="paragraph" w:styleId="61">
    <w:name w:val="index 6"/>
    <w:basedOn w:val="a2"/>
    <w:next w:val="a2"/>
    <w:autoRedefine/>
    <w:semiHidden/>
    <w:rsid w:val="00D21CF5"/>
    <w:pPr>
      <w:ind w:leftChars="1000" w:left="1000"/>
    </w:pPr>
  </w:style>
  <w:style w:type="paragraph" w:styleId="71">
    <w:name w:val="index 7"/>
    <w:basedOn w:val="a2"/>
    <w:next w:val="a2"/>
    <w:autoRedefine/>
    <w:semiHidden/>
    <w:rsid w:val="00D21CF5"/>
    <w:pPr>
      <w:ind w:leftChars="1200" w:left="1200"/>
    </w:pPr>
  </w:style>
  <w:style w:type="paragraph" w:styleId="81">
    <w:name w:val="index 8"/>
    <w:basedOn w:val="a2"/>
    <w:next w:val="a2"/>
    <w:autoRedefine/>
    <w:semiHidden/>
    <w:rsid w:val="00D21CF5"/>
    <w:pPr>
      <w:ind w:leftChars="1400" w:left="1400"/>
    </w:pPr>
  </w:style>
  <w:style w:type="paragraph" w:styleId="91">
    <w:name w:val="index 9"/>
    <w:basedOn w:val="a2"/>
    <w:next w:val="a2"/>
    <w:autoRedefine/>
    <w:semiHidden/>
    <w:rsid w:val="00D21CF5"/>
    <w:pPr>
      <w:ind w:leftChars="1600" w:left="1600"/>
    </w:pPr>
  </w:style>
  <w:style w:type="paragraph" w:styleId="afe">
    <w:name w:val="index heading"/>
    <w:basedOn w:val="a2"/>
    <w:next w:val="13"/>
    <w:semiHidden/>
    <w:rsid w:val="00D21CF5"/>
    <w:rPr>
      <w:rFonts w:ascii="Arial" w:hAnsi="Arial" w:cs="Arial"/>
      <w:b/>
      <w:bCs/>
    </w:rPr>
  </w:style>
  <w:style w:type="paragraph" w:styleId="aff">
    <w:name w:val="Subtitle"/>
    <w:basedOn w:val="a2"/>
    <w:link w:val="Charf"/>
    <w:qFormat/>
    <w:rsid w:val="00D21CF5"/>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3"/>
    <w:link w:val="aff"/>
    <w:rsid w:val="00D21CF5"/>
    <w:rPr>
      <w:rFonts w:ascii="Arial" w:eastAsia="宋体" w:hAnsi="Arial" w:cs="Arial"/>
      <w:b/>
      <w:bCs/>
      <w:kern w:val="28"/>
      <w:sz w:val="32"/>
      <w:szCs w:val="32"/>
    </w:rPr>
  </w:style>
  <w:style w:type="paragraph" w:styleId="aff0">
    <w:name w:val="caption"/>
    <w:basedOn w:val="a2"/>
    <w:next w:val="a2"/>
    <w:qFormat/>
    <w:rsid w:val="00D21CF5"/>
    <w:pPr>
      <w:spacing w:before="152" w:after="160"/>
    </w:pPr>
    <w:rPr>
      <w:rFonts w:ascii="Arial" w:eastAsia="黑体" w:hAnsi="Arial" w:cs="Arial"/>
      <w:sz w:val="20"/>
      <w:szCs w:val="20"/>
    </w:rPr>
  </w:style>
  <w:style w:type="paragraph" w:styleId="aff1">
    <w:name w:val="table of figures"/>
    <w:basedOn w:val="a2"/>
    <w:next w:val="a2"/>
    <w:semiHidden/>
    <w:rsid w:val="00D21CF5"/>
    <w:pPr>
      <w:ind w:leftChars="200" w:left="840" w:hangingChars="200" w:hanging="420"/>
    </w:pPr>
  </w:style>
  <w:style w:type="paragraph" w:styleId="aff2">
    <w:name w:val="endnote text"/>
    <w:basedOn w:val="a2"/>
    <w:link w:val="Charf0"/>
    <w:semiHidden/>
    <w:rsid w:val="00D21CF5"/>
    <w:pPr>
      <w:snapToGrid w:val="0"/>
      <w:jc w:val="left"/>
    </w:pPr>
  </w:style>
  <w:style w:type="character" w:customStyle="1" w:styleId="Charf0">
    <w:name w:val="尾注文本 Char"/>
    <w:basedOn w:val="a3"/>
    <w:link w:val="aff2"/>
    <w:semiHidden/>
    <w:rsid w:val="00D21CF5"/>
    <w:rPr>
      <w:rFonts w:ascii="Times New Roman" w:eastAsia="宋体" w:hAnsi="Times New Roman" w:cs="Times New Roman"/>
      <w:szCs w:val="24"/>
    </w:rPr>
  </w:style>
  <w:style w:type="paragraph" w:styleId="aff3">
    <w:name w:val="Block Text"/>
    <w:basedOn w:val="a2"/>
    <w:rsid w:val="00D21CF5"/>
    <w:pPr>
      <w:spacing w:after="120"/>
      <w:ind w:leftChars="700" w:left="1440" w:rightChars="700" w:right="1440"/>
    </w:pPr>
  </w:style>
  <w:style w:type="paragraph" w:styleId="aff4">
    <w:name w:val="envelope address"/>
    <w:basedOn w:val="a2"/>
    <w:rsid w:val="00D21CF5"/>
    <w:pPr>
      <w:framePr w:w="7920" w:h="1980" w:hRule="exact" w:hSpace="180" w:wrap="auto" w:hAnchor="page" w:xAlign="center" w:yAlign="bottom"/>
      <w:snapToGrid w:val="0"/>
      <w:ind w:leftChars="1400" w:left="100"/>
    </w:pPr>
    <w:rPr>
      <w:rFonts w:ascii="Arial" w:hAnsi="Arial" w:cs="Arial"/>
      <w:sz w:val="24"/>
    </w:rPr>
  </w:style>
  <w:style w:type="paragraph" w:styleId="aff5">
    <w:name w:val="Message Header"/>
    <w:basedOn w:val="a2"/>
    <w:link w:val="Charf1"/>
    <w:rsid w:val="00D21C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3"/>
    <w:link w:val="aff5"/>
    <w:rsid w:val="00D21CF5"/>
    <w:rPr>
      <w:rFonts w:ascii="Arial" w:eastAsia="宋体" w:hAnsi="Arial" w:cs="Arial"/>
      <w:sz w:val="24"/>
      <w:szCs w:val="24"/>
      <w:shd w:val="pct20" w:color="auto" w:fill="auto"/>
    </w:rPr>
  </w:style>
  <w:style w:type="paragraph" w:styleId="aff6">
    <w:name w:val="table of authorities"/>
    <w:basedOn w:val="a2"/>
    <w:next w:val="a2"/>
    <w:semiHidden/>
    <w:rsid w:val="00D21CF5"/>
    <w:pPr>
      <w:ind w:leftChars="200" w:left="420"/>
    </w:pPr>
  </w:style>
  <w:style w:type="paragraph" w:styleId="aff7">
    <w:name w:val="toa heading"/>
    <w:basedOn w:val="a2"/>
    <w:next w:val="a2"/>
    <w:semiHidden/>
    <w:rsid w:val="00D21CF5"/>
    <w:pPr>
      <w:spacing w:before="120"/>
    </w:pPr>
    <w:rPr>
      <w:rFonts w:ascii="Arial" w:hAnsi="Arial" w:cs="Arial"/>
      <w:sz w:val="24"/>
    </w:rPr>
  </w:style>
  <w:style w:type="paragraph" w:styleId="aff8">
    <w:name w:val="Body Text First Indent"/>
    <w:basedOn w:val="a1"/>
    <w:link w:val="Charf2"/>
    <w:rsid w:val="00D21CF5"/>
    <w:pPr>
      <w:numPr>
        <w:ilvl w:val="0"/>
        <w:numId w:val="0"/>
      </w:numPr>
      <w:autoSpaceDE/>
      <w:autoSpaceDN/>
      <w:adjustRightInd/>
      <w:spacing w:after="120"/>
      <w:ind w:firstLineChars="100" w:firstLine="420"/>
      <w:jc w:val="both"/>
    </w:pPr>
    <w:rPr>
      <w:rFonts w:ascii="Times New Roman"/>
      <w:kern w:val="2"/>
      <w:sz w:val="21"/>
    </w:rPr>
  </w:style>
  <w:style w:type="character" w:customStyle="1" w:styleId="Charf2">
    <w:name w:val="正文首行缩进 Char"/>
    <w:basedOn w:val="Char3"/>
    <w:link w:val="aff8"/>
    <w:rsid w:val="00D21CF5"/>
    <w:rPr>
      <w:rFonts w:ascii="Times New Roman" w:eastAsia="宋体" w:hAnsi="Times New Roman" w:cs="Times New Roman"/>
      <w:kern w:val="0"/>
      <w:sz w:val="24"/>
      <w:szCs w:val="24"/>
    </w:rPr>
  </w:style>
  <w:style w:type="paragraph" w:styleId="29">
    <w:name w:val="Body Text First Indent 2"/>
    <w:basedOn w:val="aa"/>
    <w:link w:val="2Char2"/>
    <w:rsid w:val="00D21CF5"/>
    <w:pPr>
      <w:spacing w:after="120"/>
      <w:ind w:leftChars="200" w:left="420" w:firstLine="210"/>
    </w:pPr>
    <w:rPr>
      <w:rFonts w:ascii="Times New Roman" w:hAnsi="Times New Roman"/>
      <w:sz w:val="21"/>
    </w:rPr>
  </w:style>
  <w:style w:type="character" w:customStyle="1" w:styleId="2Char2">
    <w:name w:val="正文首行缩进 2 Char"/>
    <w:basedOn w:val="Char2"/>
    <w:link w:val="29"/>
    <w:rsid w:val="00D21CF5"/>
    <w:rPr>
      <w:rFonts w:ascii="Times New Roman" w:eastAsia="宋体" w:hAnsi="Times New Roman" w:cs="Times New Roman"/>
      <w:sz w:val="24"/>
      <w:szCs w:val="24"/>
    </w:rPr>
  </w:style>
  <w:style w:type="paragraph" w:styleId="37">
    <w:name w:val="Body Text 3"/>
    <w:basedOn w:val="a2"/>
    <w:link w:val="3Char1"/>
    <w:rsid w:val="00D21CF5"/>
    <w:pPr>
      <w:spacing w:after="120"/>
    </w:pPr>
    <w:rPr>
      <w:sz w:val="16"/>
      <w:szCs w:val="16"/>
    </w:rPr>
  </w:style>
  <w:style w:type="character" w:customStyle="1" w:styleId="3Char1">
    <w:name w:val="正文文本 3 Char"/>
    <w:basedOn w:val="a3"/>
    <w:link w:val="37"/>
    <w:rsid w:val="00D21CF5"/>
    <w:rPr>
      <w:rFonts w:ascii="Times New Roman" w:eastAsia="宋体" w:hAnsi="Times New Roman" w:cs="Times New Roman"/>
      <w:sz w:val="16"/>
      <w:szCs w:val="16"/>
    </w:rPr>
  </w:style>
  <w:style w:type="paragraph" w:styleId="aff9">
    <w:name w:val="Note Heading"/>
    <w:basedOn w:val="a2"/>
    <w:next w:val="a2"/>
    <w:link w:val="Charf3"/>
    <w:rsid w:val="00D21CF5"/>
    <w:pPr>
      <w:jc w:val="center"/>
    </w:pPr>
  </w:style>
  <w:style w:type="character" w:customStyle="1" w:styleId="Charf3">
    <w:name w:val="注释标题 Char"/>
    <w:basedOn w:val="a3"/>
    <w:link w:val="aff9"/>
    <w:rsid w:val="00D21CF5"/>
    <w:rPr>
      <w:rFonts w:ascii="Times New Roman" w:eastAsia="宋体" w:hAnsi="Times New Roman" w:cs="Times New Roman"/>
      <w:szCs w:val="24"/>
    </w:rPr>
  </w:style>
  <w:style w:type="paragraph" w:customStyle="1" w:styleId="affa">
    <w:name w:val="项目"/>
    <w:basedOn w:val="41"/>
    <w:rsid w:val="00D21CF5"/>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fb">
    <w:name w:val="表格文字"/>
    <w:basedOn w:val="a1"/>
    <w:rsid w:val="00D21CF5"/>
    <w:pPr>
      <w:numPr>
        <w:ilvl w:val="0"/>
        <w:numId w:val="0"/>
      </w:numPr>
      <w:autoSpaceDE/>
      <w:autoSpaceDN/>
      <w:adjustRightInd/>
      <w:spacing w:before="60" w:after="60"/>
      <w:jc w:val="center"/>
    </w:pPr>
    <w:rPr>
      <w:rFonts w:ascii="Times New Roman" w:eastAsia="楷体_GB2312"/>
      <w:bCs/>
      <w:kern w:val="2"/>
      <w:sz w:val="21"/>
      <w:szCs w:val="20"/>
    </w:rPr>
  </w:style>
  <w:style w:type="character" w:customStyle="1" w:styleId="font141">
    <w:name w:val="font141"/>
    <w:basedOn w:val="a3"/>
    <w:rsid w:val="00D21CF5"/>
    <w:rPr>
      <w:rFonts w:ascii="宋体" w:eastAsia="宋体" w:hAnsi="宋体" w:hint="eastAsia"/>
      <w:spacing w:val="300"/>
      <w:sz w:val="21"/>
      <w:szCs w:val="21"/>
    </w:rPr>
  </w:style>
  <w:style w:type="character" w:customStyle="1" w:styleId="da">
    <w:name w:val="da"/>
    <w:basedOn w:val="a3"/>
    <w:rsid w:val="00D21CF5"/>
  </w:style>
  <w:style w:type="paragraph" w:customStyle="1" w:styleId="affc">
    <w:name w:val="特点"/>
    <w:aliases w:val="表正文,正文非缩进,段1"/>
    <w:basedOn w:val="a2"/>
    <w:next w:val="a8"/>
    <w:rsid w:val="00D21CF5"/>
    <w:pPr>
      <w:ind w:firstLine="420"/>
    </w:pPr>
    <w:rPr>
      <w:szCs w:val="20"/>
    </w:rPr>
  </w:style>
  <w:style w:type="paragraph" w:customStyle="1" w:styleId="14">
    <w:name w:val="列表1"/>
    <w:basedOn w:val="a2"/>
    <w:next w:val="a2"/>
    <w:rsid w:val="00D21CF5"/>
    <w:pPr>
      <w:tabs>
        <w:tab w:val="num" w:pos="644"/>
      </w:tabs>
      <w:spacing w:line="360" w:lineRule="auto"/>
      <w:ind w:left="567" w:hanging="283"/>
    </w:pPr>
    <w:rPr>
      <w:szCs w:val="20"/>
    </w:rPr>
  </w:style>
  <w:style w:type="paragraph" w:customStyle="1" w:styleId="xl33">
    <w:name w:val="xl33"/>
    <w:basedOn w:val="a2"/>
    <w:uiPriority w:val="99"/>
    <w:rsid w:val="00D21C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character" w:styleId="affd">
    <w:name w:val="annotation reference"/>
    <w:basedOn w:val="a3"/>
    <w:rsid w:val="00D21CF5"/>
    <w:rPr>
      <w:sz w:val="21"/>
      <w:szCs w:val="21"/>
    </w:rPr>
  </w:style>
  <w:style w:type="paragraph" w:styleId="affe">
    <w:name w:val="annotation subject"/>
    <w:basedOn w:val="afa"/>
    <w:next w:val="afa"/>
    <w:link w:val="Charf4"/>
    <w:uiPriority w:val="99"/>
    <w:semiHidden/>
    <w:rsid w:val="00D21CF5"/>
    <w:rPr>
      <w:b/>
      <w:bCs/>
    </w:rPr>
  </w:style>
  <w:style w:type="character" w:customStyle="1" w:styleId="Charf4">
    <w:name w:val="批注主题 Char"/>
    <w:basedOn w:val="Charc"/>
    <w:link w:val="affe"/>
    <w:uiPriority w:val="99"/>
    <w:semiHidden/>
    <w:rsid w:val="00D21CF5"/>
    <w:rPr>
      <w:rFonts w:ascii="Times New Roman" w:eastAsia="宋体" w:hAnsi="Times New Roman" w:cs="Times New Roman"/>
      <w:b/>
      <w:bCs/>
      <w:szCs w:val="24"/>
    </w:rPr>
  </w:style>
  <w:style w:type="paragraph" w:customStyle="1" w:styleId="CharCharCharChar">
    <w:name w:val="Char Char Char Char"/>
    <w:basedOn w:val="a2"/>
    <w:autoRedefine/>
    <w:rsid w:val="00D21CF5"/>
    <w:pPr>
      <w:tabs>
        <w:tab w:val="num" w:pos="360"/>
      </w:tabs>
    </w:pPr>
    <w:rPr>
      <w:sz w:val="24"/>
    </w:rPr>
  </w:style>
  <w:style w:type="table" w:styleId="afff">
    <w:name w:val="Table Grid"/>
    <w:basedOn w:val="a4"/>
    <w:qFormat/>
    <w:rsid w:val="00D21C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4"/>
    <w:rsid w:val="00D21C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正文所"/>
    <w:basedOn w:val="a2"/>
    <w:rsid w:val="00D21CF5"/>
    <w:pPr>
      <w:spacing w:line="360" w:lineRule="auto"/>
      <w:ind w:firstLineChars="200" w:firstLine="420"/>
    </w:pPr>
  </w:style>
  <w:style w:type="character" w:customStyle="1" w:styleId="afff2">
    <w:name w:val="a"/>
    <w:basedOn w:val="a3"/>
    <w:rsid w:val="00D21CF5"/>
  </w:style>
  <w:style w:type="paragraph" w:customStyle="1" w:styleId="Char20">
    <w:name w:val="Char2"/>
    <w:basedOn w:val="a2"/>
    <w:rsid w:val="00D21CF5"/>
  </w:style>
  <w:style w:type="paragraph" w:customStyle="1" w:styleId="ParaChar">
    <w:name w:val="默认段落字体 Para Char"/>
    <w:basedOn w:val="a2"/>
    <w:autoRedefine/>
    <w:rsid w:val="00D21CF5"/>
    <w:pPr>
      <w:numPr>
        <w:numId w:val="1"/>
      </w:numPr>
      <w:tabs>
        <w:tab w:val="num" w:pos="360"/>
      </w:tabs>
      <w:ind w:left="0" w:firstLine="0"/>
    </w:pPr>
    <w:rPr>
      <w:sz w:val="24"/>
    </w:rPr>
  </w:style>
  <w:style w:type="character" w:styleId="HTML1">
    <w:name w:val="HTML Typewriter"/>
    <w:basedOn w:val="a3"/>
    <w:uiPriority w:val="99"/>
    <w:rsid w:val="00D21CF5"/>
    <w:rPr>
      <w:rFonts w:ascii="黑体" w:eastAsia="黑体" w:hAnsi="Courier New" w:cs="Courier New"/>
      <w:sz w:val="20"/>
      <w:szCs w:val="20"/>
    </w:rPr>
  </w:style>
  <w:style w:type="character" w:styleId="afff3">
    <w:name w:val="Strong"/>
    <w:basedOn w:val="a3"/>
    <w:qFormat/>
    <w:rsid w:val="00D21CF5"/>
    <w:rPr>
      <w:b/>
      <w:bCs/>
    </w:rPr>
  </w:style>
  <w:style w:type="character" w:customStyle="1" w:styleId="text1">
    <w:name w:val="text1"/>
    <w:basedOn w:val="a3"/>
    <w:rsid w:val="00D21CF5"/>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3"/>
    <w:rsid w:val="00D21CF5"/>
    <w:rPr>
      <w:rFonts w:ascii="Arial" w:hAnsi="Arial" w:cs="Arial" w:hint="default"/>
    </w:rPr>
  </w:style>
  <w:style w:type="character" w:customStyle="1" w:styleId="fontcolor3">
    <w:name w:val="fontcolor3"/>
    <w:basedOn w:val="a3"/>
    <w:rsid w:val="00D21CF5"/>
    <w:rPr>
      <w:color w:val="6C057B"/>
    </w:rPr>
  </w:style>
  <w:style w:type="paragraph" w:customStyle="1" w:styleId="Charf5">
    <w:name w:val="Char"/>
    <w:basedOn w:val="a2"/>
    <w:uiPriority w:val="99"/>
    <w:rsid w:val="00D21CF5"/>
  </w:style>
  <w:style w:type="paragraph" w:customStyle="1" w:styleId="CharCharCharChar1">
    <w:name w:val="Char Char Char Char1"/>
    <w:basedOn w:val="a2"/>
    <w:autoRedefine/>
    <w:rsid w:val="00D21CF5"/>
    <w:pPr>
      <w:tabs>
        <w:tab w:val="num" w:pos="360"/>
      </w:tabs>
      <w:spacing w:before="312" w:after="312" w:line="360" w:lineRule="auto"/>
    </w:pPr>
    <w:rPr>
      <w:sz w:val="24"/>
    </w:rPr>
  </w:style>
  <w:style w:type="character" w:customStyle="1" w:styleId="15">
    <w:name w:val="15"/>
    <w:basedOn w:val="a3"/>
    <w:rsid w:val="00D21CF5"/>
  </w:style>
  <w:style w:type="paragraph" w:customStyle="1" w:styleId="CharCharCharCharCharCharChar">
    <w:name w:val="Char Char Char Char Char Char Char"/>
    <w:basedOn w:val="a2"/>
    <w:rsid w:val="00D21CF5"/>
  </w:style>
  <w:style w:type="paragraph" w:styleId="afff4">
    <w:name w:val="Revision"/>
    <w:hidden/>
    <w:uiPriority w:val="99"/>
    <w:semiHidden/>
    <w:rsid w:val="00D21CF5"/>
    <w:rPr>
      <w:rFonts w:ascii="Times New Roman" w:eastAsia="宋体" w:hAnsi="Times New Roman" w:cs="Times New Roman"/>
      <w:szCs w:val="24"/>
    </w:rPr>
  </w:style>
  <w:style w:type="character" w:customStyle="1" w:styleId="CharChar">
    <w:name w:val="Char Char"/>
    <w:basedOn w:val="a3"/>
    <w:semiHidden/>
    <w:locked/>
    <w:rsid w:val="00D21CF5"/>
    <w:rPr>
      <w:rFonts w:ascii="宋体" w:eastAsia="宋体" w:hAnsi="Courier New" w:cs="Courier New"/>
      <w:kern w:val="2"/>
      <w:sz w:val="21"/>
      <w:szCs w:val="21"/>
      <w:lang w:val="en-US" w:eastAsia="zh-CN" w:bidi="ar-SA"/>
    </w:rPr>
  </w:style>
  <w:style w:type="paragraph" w:customStyle="1" w:styleId="Char10">
    <w:name w:val="Char1"/>
    <w:basedOn w:val="a2"/>
    <w:uiPriority w:val="99"/>
    <w:rsid w:val="00D21CF5"/>
  </w:style>
  <w:style w:type="paragraph" w:customStyle="1" w:styleId="CharCharCharCharCharCharChar1">
    <w:name w:val="Char Char Char Char Char Char Char1"/>
    <w:basedOn w:val="a2"/>
    <w:rsid w:val="00D21CF5"/>
  </w:style>
  <w:style w:type="paragraph" w:customStyle="1" w:styleId="msonormalcxspmiddle">
    <w:name w:val="msonormalcxspmiddle"/>
    <w:basedOn w:val="a2"/>
    <w:rsid w:val="00D21CF5"/>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3"/>
    <w:locked/>
    <w:rsid w:val="00D21CF5"/>
    <w:rPr>
      <w:rFonts w:ascii="宋体" w:eastAsia="宋体" w:hAnsi="Courier New" w:cs="Courier New"/>
      <w:kern w:val="2"/>
      <w:sz w:val="21"/>
      <w:szCs w:val="21"/>
      <w:lang w:val="en-US" w:eastAsia="zh-CN" w:bidi="ar-SA"/>
    </w:rPr>
  </w:style>
  <w:style w:type="character" w:customStyle="1" w:styleId="Char11">
    <w:name w:val="纯文本 Char1"/>
    <w:basedOn w:val="a3"/>
    <w:semiHidden/>
    <w:locked/>
    <w:rsid w:val="00D21CF5"/>
    <w:rPr>
      <w:rFonts w:ascii="宋体" w:hAnsi="Courier New" w:cs="Courier New"/>
      <w:kern w:val="2"/>
      <w:sz w:val="21"/>
      <w:szCs w:val="21"/>
    </w:rPr>
  </w:style>
  <w:style w:type="paragraph" w:styleId="afff5">
    <w:name w:val="List Paragraph"/>
    <w:basedOn w:val="a2"/>
    <w:uiPriority w:val="34"/>
    <w:qFormat/>
    <w:rsid w:val="00D21CF5"/>
    <w:pPr>
      <w:ind w:firstLineChars="200" w:firstLine="420"/>
    </w:pPr>
  </w:style>
  <w:style w:type="character" w:customStyle="1" w:styleId="read">
    <w:name w:val="read"/>
    <w:basedOn w:val="a3"/>
    <w:rsid w:val="00D21CF5"/>
  </w:style>
  <w:style w:type="character" w:customStyle="1" w:styleId="unnamed11">
    <w:name w:val="unnamed11"/>
    <w:basedOn w:val="a3"/>
    <w:rsid w:val="00D21CF5"/>
    <w:rPr>
      <w:rFonts w:ascii="宋体" w:eastAsia="宋体" w:hAnsi="宋体" w:hint="eastAsia"/>
      <w:sz w:val="18"/>
      <w:szCs w:val="18"/>
    </w:rPr>
  </w:style>
  <w:style w:type="character" w:customStyle="1" w:styleId="CharChar1">
    <w:name w:val="Char Char1"/>
    <w:basedOn w:val="a3"/>
    <w:rsid w:val="00D21CF5"/>
    <w:rPr>
      <w:rFonts w:eastAsia="宋体"/>
      <w:kern w:val="2"/>
      <w:sz w:val="21"/>
      <w:szCs w:val="24"/>
      <w:lang w:val="en-US" w:eastAsia="zh-CN" w:bidi="ar-SA"/>
    </w:rPr>
  </w:style>
  <w:style w:type="character" w:customStyle="1" w:styleId="t1">
    <w:name w:val="t1"/>
    <w:basedOn w:val="a3"/>
    <w:uiPriority w:val="99"/>
    <w:rsid w:val="00D21CF5"/>
    <w:rPr>
      <w:color w:val="990000"/>
    </w:rPr>
  </w:style>
  <w:style w:type="paragraph" w:customStyle="1" w:styleId="Default">
    <w:name w:val="Default"/>
    <w:uiPriority w:val="99"/>
    <w:rsid w:val="00D21CF5"/>
    <w:pPr>
      <w:widowControl w:val="0"/>
      <w:autoSpaceDE w:val="0"/>
      <w:autoSpaceDN w:val="0"/>
      <w:adjustRightInd w:val="0"/>
    </w:pPr>
    <w:rPr>
      <w:rFonts w:ascii="宋体" w:eastAsia="宋体" w:hAnsi="Times New Roman" w:cs="宋体"/>
      <w:color w:val="000000"/>
      <w:kern w:val="0"/>
      <w:sz w:val="24"/>
      <w:szCs w:val="24"/>
    </w:rPr>
  </w:style>
  <w:style w:type="paragraph" w:customStyle="1" w:styleId="font5">
    <w:name w:val="font5"/>
    <w:basedOn w:val="a2"/>
    <w:uiPriority w:val="99"/>
    <w:semiHidden/>
    <w:rsid w:val="004C2DBB"/>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2"/>
    <w:uiPriority w:val="99"/>
    <w:semiHidden/>
    <w:rsid w:val="004C2DB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4">
    <w:name w:val="xl34"/>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2"/>
    <w:uiPriority w:val="99"/>
    <w:semiHidden/>
    <w:rsid w:val="004C2DB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2"/>
    <w:uiPriority w:val="99"/>
    <w:semiHidden/>
    <w:rsid w:val="004C2DB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2"/>
    <w:uiPriority w:val="99"/>
    <w:semiHidden/>
    <w:rsid w:val="004C2DB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16">
    <w:name w:val="已访问的超链接1"/>
    <w:uiPriority w:val="99"/>
    <w:rsid w:val="004C2DBB"/>
    <w:rPr>
      <w:color w:val="800080"/>
      <w:u w:val="single"/>
    </w:rPr>
  </w:style>
  <w:style w:type="character" w:customStyle="1" w:styleId="c1">
    <w:name w:val="c1"/>
    <w:uiPriority w:val="99"/>
    <w:rsid w:val="004C2DBB"/>
    <w:rPr>
      <w:color w:val="000000"/>
      <w:sz w:val="18"/>
    </w:rPr>
  </w:style>
  <w:style w:type="numbering" w:customStyle="1" w:styleId="52">
    <w:name w:val="样式5"/>
    <w:rsid w:val="004C2DB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1057">
      <w:bodyDiv w:val="1"/>
      <w:marLeft w:val="0"/>
      <w:marRight w:val="0"/>
      <w:marTop w:val="0"/>
      <w:marBottom w:val="0"/>
      <w:divBdr>
        <w:top w:val="none" w:sz="0" w:space="0" w:color="auto"/>
        <w:left w:val="none" w:sz="0" w:space="0" w:color="auto"/>
        <w:bottom w:val="none" w:sz="0" w:space="0" w:color="auto"/>
        <w:right w:val="none" w:sz="0" w:space="0" w:color="auto"/>
      </w:divBdr>
    </w:div>
    <w:div w:id="256522607">
      <w:bodyDiv w:val="1"/>
      <w:marLeft w:val="0"/>
      <w:marRight w:val="0"/>
      <w:marTop w:val="0"/>
      <w:marBottom w:val="0"/>
      <w:divBdr>
        <w:top w:val="none" w:sz="0" w:space="0" w:color="auto"/>
        <w:left w:val="none" w:sz="0" w:space="0" w:color="auto"/>
        <w:bottom w:val="none" w:sz="0" w:space="0" w:color="auto"/>
        <w:right w:val="none" w:sz="0" w:space="0" w:color="auto"/>
      </w:divBdr>
    </w:div>
    <w:div w:id="501893534">
      <w:bodyDiv w:val="1"/>
      <w:marLeft w:val="0"/>
      <w:marRight w:val="0"/>
      <w:marTop w:val="0"/>
      <w:marBottom w:val="0"/>
      <w:divBdr>
        <w:top w:val="none" w:sz="0" w:space="0" w:color="auto"/>
        <w:left w:val="none" w:sz="0" w:space="0" w:color="auto"/>
        <w:bottom w:val="none" w:sz="0" w:space="0" w:color="auto"/>
        <w:right w:val="none" w:sz="0" w:space="0" w:color="auto"/>
      </w:divBdr>
    </w:div>
    <w:div w:id="570507601">
      <w:bodyDiv w:val="1"/>
      <w:marLeft w:val="0"/>
      <w:marRight w:val="0"/>
      <w:marTop w:val="0"/>
      <w:marBottom w:val="0"/>
      <w:divBdr>
        <w:top w:val="none" w:sz="0" w:space="0" w:color="auto"/>
        <w:left w:val="none" w:sz="0" w:space="0" w:color="auto"/>
        <w:bottom w:val="none" w:sz="0" w:space="0" w:color="auto"/>
        <w:right w:val="none" w:sz="0" w:space="0" w:color="auto"/>
      </w:divBdr>
    </w:div>
    <w:div w:id="655884427">
      <w:bodyDiv w:val="1"/>
      <w:marLeft w:val="0"/>
      <w:marRight w:val="0"/>
      <w:marTop w:val="0"/>
      <w:marBottom w:val="0"/>
      <w:divBdr>
        <w:top w:val="none" w:sz="0" w:space="0" w:color="auto"/>
        <w:left w:val="none" w:sz="0" w:space="0" w:color="auto"/>
        <w:bottom w:val="none" w:sz="0" w:space="0" w:color="auto"/>
        <w:right w:val="none" w:sz="0" w:space="0" w:color="auto"/>
      </w:divBdr>
    </w:div>
    <w:div w:id="742064352">
      <w:bodyDiv w:val="1"/>
      <w:marLeft w:val="0"/>
      <w:marRight w:val="0"/>
      <w:marTop w:val="0"/>
      <w:marBottom w:val="0"/>
      <w:divBdr>
        <w:top w:val="none" w:sz="0" w:space="0" w:color="auto"/>
        <w:left w:val="none" w:sz="0" w:space="0" w:color="auto"/>
        <w:bottom w:val="none" w:sz="0" w:space="0" w:color="auto"/>
        <w:right w:val="none" w:sz="0" w:space="0" w:color="auto"/>
      </w:divBdr>
    </w:div>
    <w:div w:id="796289893">
      <w:bodyDiv w:val="1"/>
      <w:marLeft w:val="0"/>
      <w:marRight w:val="0"/>
      <w:marTop w:val="0"/>
      <w:marBottom w:val="0"/>
      <w:divBdr>
        <w:top w:val="none" w:sz="0" w:space="0" w:color="auto"/>
        <w:left w:val="none" w:sz="0" w:space="0" w:color="auto"/>
        <w:bottom w:val="none" w:sz="0" w:space="0" w:color="auto"/>
        <w:right w:val="none" w:sz="0" w:space="0" w:color="auto"/>
      </w:divBdr>
    </w:div>
    <w:div w:id="957875974">
      <w:bodyDiv w:val="1"/>
      <w:marLeft w:val="0"/>
      <w:marRight w:val="0"/>
      <w:marTop w:val="0"/>
      <w:marBottom w:val="0"/>
      <w:divBdr>
        <w:top w:val="none" w:sz="0" w:space="0" w:color="auto"/>
        <w:left w:val="none" w:sz="0" w:space="0" w:color="auto"/>
        <w:bottom w:val="none" w:sz="0" w:space="0" w:color="auto"/>
        <w:right w:val="none" w:sz="0" w:space="0" w:color="auto"/>
      </w:divBdr>
    </w:div>
    <w:div w:id="1305089429">
      <w:bodyDiv w:val="1"/>
      <w:marLeft w:val="0"/>
      <w:marRight w:val="0"/>
      <w:marTop w:val="0"/>
      <w:marBottom w:val="0"/>
      <w:divBdr>
        <w:top w:val="none" w:sz="0" w:space="0" w:color="auto"/>
        <w:left w:val="none" w:sz="0" w:space="0" w:color="auto"/>
        <w:bottom w:val="none" w:sz="0" w:space="0" w:color="auto"/>
        <w:right w:val="none" w:sz="0" w:space="0" w:color="auto"/>
      </w:divBdr>
    </w:div>
    <w:div w:id="1491019813">
      <w:bodyDiv w:val="1"/>
      <w:marLeft w:val="0"/>
      <w:marRight w:val="0"/>
      <w:marTop w:val="0"/>
      <w:marBottom w:val="0"/>
      <w:divBdr>
        <w:top w:val="none" w:sz="0" w:space="0" w:color="auto"/>
        <w:left w:val="none" w:sz="0" w:space="0" w:color="auto"/>
        <w:bottom w:val="none" w:sz="0" w:space="0" w:color="auto"/>
        <w:right w:val="none" w:sz="0" w:space="0" w:color="auto"/>
      </w:divBdr>
    </w:div>
    <w:div w:id="1496451936">
      <w:bodyDiv w:val="1"/>
      <w:marLeft w:val="0"/>
      <w:marRight w:val="0"/>
      <w:marTop w:val="0"/>
      <w:marBottom w:val="0"/>
      <w:divBdr>
        <w:top w:val="none" w:sz="0" w:space="0" w:color="auto"/>
        <w:left w:val="none" w:sz="0" w:space="0" w:color="auto"/>
        <w:bottom w:val="none" w:sz="0" w:space="0" w:color="auto"/>
        <w:right w:val="none" w:sz="0" w:space="0" w:color="auto"/>
      </w:divBdr>
    </w:div>
    <w:div w:id="1773544952">
      <w:bodyDiv w:val="1"/>
      <w:marLeft w:val="0"/>
      <w:marRight w:val="0"/>
      <w:marTop w:val="0"/>
      <w:marBottom w:val="0"/>
      <w:divBdr>
        <w:top w:val="none" w:sz="0" w:space="0" w:color="auto"/>
        <w:left w:val="none" w:sz="0" w:space="0" w:color="auto"/>
        <w:bottom w:val="none" w:sz="0" w:space="0" w:color="auto"/>
        <w:right w:val="none" w:sz="0" w:space="0" w:color="auto"/>
      </w:divBdr>
    </w:div>
    <w:div w:id="1853373565">
      <w:bodyDiv w:val="1"/>
      <w:marLeft w:val="0"/>
      <w:marRight w:val="0"/>
      <w:marTop w:val="0"/>
      <w:marBottom w:val="0"/>
      <w:divBdr>
        <w:top w:val="none" w:sz="0" w:space="0" w:color="auto"/>
        <w:left w:val="none" w:sz="0" w:space="0" w:color="auto"/>
        <w:bottom w:val="none" w:sz="0" w:space="0" w:color="auto"/>
        <w:right w:val="none" w:sz="0" w:space="0" w:color="auto"/>
      </w:divBdr>
    </w:div>
    <w:div w:id="1948848487">
      <w:bodyDiv w:val="1"/>
      <w:marLeft w:val="0"/>
      <w:marRight w:val="0"/>
      <w:marTop w:val="0"/>
      <w:marBottom w:val="0"/>
      <w:divBdr>
        <w:top w:val="none" w:sz="0" w:space="0" w:color="auto"/>
        <w:left w:val="none" w:sz="0" w:space="0" w:color="auto"/>
        <w:bottom w:val="none" w:sz="0" w:space="0" w:color="auto"/>
        <w:right w:val="none" w:sz="0" w:space="0" w:color="auto"/>
      </w:divBdr>
    </w:div>
    <w:div w:id="2046756045">
      <w:bodyDiv w:val="1"/>
      <w:marLeft w:val="0"/>
      <w:marRight w:val="0"/>
      <w:marTop w:val="0"/>
      <w:marBottom w:val="0"/>
      <w:divBdr>
        <w:top w:val="none" w:sz="0" w:space="0" w:color="auto"/>
        <w:left w:val="none" w:sz="0" w:space="0" w:color="auto"/>
        <w:bottom w:val="none" w:sz="0" w:space="0" w:color="auto"/>
        <w:right w:val="none" w:sz="0" w:space="0" w:color="auto"/>
      </w:divBdr>
    </w:div>
    <w:div w:id="2098402762">
      <w:bodyDiv w:val="1"/>
      <w:marLeft w:val="0"/>
      <w:marRight w:val="0"/>
      <w:marTop w:val="0"/>
      <w:marBottom w:val="0"/>
      <w:divBdr>
        <w:top w:val="none" w:sz="0" w:space="0" w:color="auto"/>
        <w:left w:val="none" w:sz="0" w:space="0" w:color="auto"/>
        <w:bottom w:val="none" w:sz="0" w:space="0" w:color="auto"/>
        <w:right w:val="none" w:sz="0" w:space="0" w:color="auto"/>
      </w:divBdr>
    </w:div>
    <w:div w:id="2134983973">
      <w:bodyDiv w:val="1"/>
      <w:marLeft w:val="0"/>
      <w:marRight w:val="0"/>
      <w:marTop w:val="0"/>
      <w:marBottom w:val="0"/>
      <w:divBdr>
        <w:top w:val="none" w:sz="0" w:space="0" w:color="auto"/>
        <w:left w:val="none" w:sz="0" w:space="0" w:color="auto"/>
        <w:bottom w:val="none" w:sz="0" w:space="0" w:color="auto"/>
        <w:right w:val="none" w:sz="0" w:space="0" w:color="auto"/>
      </w:divBdr>
    </w:div>
    <w:div w:id="21420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E039-2A4A-4B6B-9B30-4D9EFD6E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184</Pages>
  <Words>20040</Words>
  <Characters>114231</Characters>
  <Application>Microsoft Office Word</Application>
  <DocSecurity>0</DocSecurity>
  <Lines>951</Lines>
  <Paragraphs>268</Paragraphs>
  <ScaleCrop>false</ScaleCrop>
  <Company>E FUND</Company>
  <LinksUpToDate>false</LinksUpToDate>
  <CharactersWithSpaces>134003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陈红</dc:creator>
  <cp:keywords/>
  <dc:description/>
  <cp:lastModifiedBy>陈红</cp:lastModifiedBy>
  <cp:revision>7</cp:revision>
  <cp:lastPrinted>2019-10-24T09:44:00Z</cp:lastPrinted>
  <dcterms:created xsi:type="dcterms:W3CDTF">2021-06-17T06:36:00Z</dcterms:created>
  <dcterms:modified xsi:type="dcterms:W3CDTF">2021-06-29T06:38:00Z</dcterms:modified>
</cp:coreProperties>
</file>