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1A7CDB" w:rsidRPr="001C6480"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1C6480"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1C6480"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1C6480"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1C6480" w:rsidP="00F71D3B">
      <w:pPr>
        <w:snapToGrid w:val="0"/>
        <w:spacing w:line="360" w:lineRule="auto"/>
        <w:jc w:val="center"/>
        <w:rPr>
          <w:rFonts w:asciiTheme="minorEastAsia" w:eastAsiaTheme="minorEastAsia" w:hAnsiTheme="minorEastAsia" w:cs="Times New Roman"/>
          <w:b/>
          <w:color w:val="000000" w:themeColor="text1"/>
          <w:kern w:val="2"/>
          <w:sz w:val="44"/>
          <w:szCs w:val="24"/>
        </w:rPr>
      </w:pPr>
      <w:r w:rsidRPr="001C6480">
        <w:rPr>
          <w:rFonts w:asciiTheme="minorEastAsia" w:eastAsiaTheme="minorEastAsia" w:hAnsiTheme="minorEastAsia" w:cs="Times New Roman" w:hint="eastAsia"/>
          <w:b/>
          <w:color w:val="000000" w:themeColor="text1"/>
          <w:kern w:val="2"/>
          <w:sz w:val="44"/>
          <w:szCs w:val="24"/>
        </w:rPr>
        <w:t>易方达沪深300量化增强证券投资基金</w:t>
      </w:r>
    </w:p>
    <w:p w:rsidR="001A7CDB" w:rsidRPr="001C6480" w:rsidP="00F71D3B">
      <w:pPr>
        <w:snapToGrid w:val="0"/>
        <w:spacing w:line="360" w:lineRule="auto"/>
        <w:jc w:val="center"/>
        <w:rPr>
          <w:rFonts w:asciiTheme="minorEastAsia" w:eastAsiaTheme="minorEastAsia" w:hAnsiTheme="minorEastAsia" w:cs="Times New Roman"/>
          <w:b/>
          <w:color w:val="000000" w:themeColor="text1"/>
          <w:kern w:val="2"/>
          <w:sz w:val="44"/>
          <w:szCs w:val="24"/>
        </w:rPr>
      </w:pPr>
      <w:r w:rsidRPr="001C6480">
        <w:rPr>
          <w:rFonts w:asciiTheme="minorEastAsia" w:eastAsiaTheme="minorEastAsia" w:hAnsiTheme="minorEastAsia" w:cs="Times New Roman" w:hint="eastAsia"/>
          <w:b/>
          <w:color w:val="000000" w:themeColor="text1"/>
          <w:kern w:val="2"/>
          <w:sz w:val="44"/>
          <w:szCs w:val="24"/>
        </w:rPr>
        <w:t>更新的招募说明书</w:t>
      </w:r>
    </w:p>
    <w:p w:rsidR="001A7CDB" w:rsidRPr="001C6480" w:rsidP="00F71D3B">
      <w:pPr>
        <w:snapToGrid w:val="0"/>
        <w:spacing w:line="360" w:lineRule="auto"/>
        <w:rPr>
          <w:rFonts w:asciiTheme="minorEastAsia" w:eastAsiaTheme="minorEastAsia" w:hAnsiTheme="minorEastAsia" w:cs="Arial"/>
          <w:color w:val="000000" w:themeColor="text1"/>
          <w:sz w:val="30"/>
          <w:szCs w:val="30"/>
        </w:rPr>
      </w:pPr>
    </w:p>
    <w:p w:rsidR="00F71D3B" w:rsidRPr="001C6480" w:rsidP="00F71D3B">
      <w:pPr>
        <w:snapToGrid w:val="0"/>
        <w:spacing w:line="360" w:lineRule="auto"/>
        <w:rPr>
          <w:rFonts w:asciiTheme="minorEastAsia" w:eastAsiaTheme="minorEastAsia" w:hAnsiTheme="minorEastAsia" w:cs="Arial"/>
          <w:color w:val="000000" w:themeColor="text1"/>
          <w:sz w:val="30"/>
          <w:szCs w:val="30"/>
        </w:rPr>
      </w:pPr>
    </w:p>
    <w:p w:rsidR="00F71D3B" w:rsidRPr="001C6480" w:rsidP="00F71D3B">
      <w:pPr>
        <w:snapToGrid w:val="0"/>
        <w:spacing w:line="360" w:lineRule="auto"/>
        <w:rPr>
          <w:rFonts w:asciiTheme="minorEastAsia" w:eastAsiaTheme="minorEastAsia" w:hAnsiTheme="minorEastAsia" w:cs="Arial"/>
          <w:color w:val="000000" w:themeColor="text1"/>
          <w:sz w:val="30"/>
          <w:szCs w:val="30"/>
        </w:rPr>
      </w:pPr>
    </w:p>
    <w:p w:rsidR="001A7CDB" w:rsidRPr="001C6480" w:rsidP="00F71D3B">
      <w:pPr>
        <w:snapToGrid w:val="0"/>
        <w:spacing w:line="360" w:lineRule="auto"/>
        <w:rPr>
          <w:rFonts w:asciiTheme="minorEastAsia" w:eastAsiaTheme="minorEastAsia" w:hAnsiTheme="minorEastAsia" w:cs="Arial"/>
          <w:color w:val="000000" w:themeColor="text1"/>
          <w:sz w:val="30"/>
          <w:szCs w:val="30"/>
        </w:rPr>
      </w:pPr>
    </w:p>
    <w:p w:rsidR="001A7CDB" w:rsidRPr="001C6480" w:rsidP="00F71D3B">
      <w:pPr>
        <w:snapToGrid w:val="0"/>
        <w:spacing w:line="360" w:lineRule="auto"/>
        <w:rPr>
          <w:rFonts w:asciiTheme="minorEastAsia" w:eastAsiaTheme="minorEastAsia" w:hAnsiTheme="minorEastAsia" w:cs="Arial"/>
          <w:color w:val="000000" w:themeColor="text1"/>
          <w:sz w:val="30"/>
          <w:szCs w:val="30"/>
        </w:rPr>
      </w:pPr>
    </w:p>
    <w:p w:rsidR="00EB2D68" w:rsidRPr="001C6480" w:rsidP="00F71D3B">
      <w:pPr>
        <w:snapToGrid w:val="0"/>
        <w:spacing w:line="360" w:lineRule="auto"/>
        <w:rPr>
          <w:rFonts w:asciiTheme="minorEastAsia" w:eastAsiaTheme="minorEastAsia" w:hAnsiTheme="minorEastAsia" w:cs="Arial"/>
          <w:color w:val="000000" w:themeColor="text1"/>
          <w:sz w:val="30"/>
          <w:szCs w:val="30"/>
        </w:rPr>
      </w:pPr>
    </w:p>
    <w:p w:rsidR="001A7CDB" w:rsidRPr="001C6480" w:rsidP="00F71D3B">
      <w:pPr>
        <w:snapToGrid w:val="0"/>
        <w:spacing w:line="360" w:lineRule="auto"/>
        <w:rPr>
          <w:rFonts w:asciiTheme="minorEastAsia" w:eastAsiaTheme="minorEastAsia" w:hAnsiTheme="minorEastAsia" w:cs="Arial"/>
          <w:color w:val="000000" w:themeColor="text1"/>
          <w:sz w:val="30"/>
          <w:szCs w:val="30"/>
        </w:rPr>
      </w:pPr>
    </w:p>
    <w:p w:rsidR="001A7CDB" w:rsidRPr="001C6480" w:rsidP="00F71D3B">
      <w:pPr>
        <w:snapToGrid w:val="0"/>
        <w:spacing w:line="360" w:lineRule="auto"/>
        <w:rPr>
          <w:rFonts w:asciiTheme="minorEastAsia" w:eastAsiaTheme="minorEastAsia" w:hAnsiTheme="minorEastAsia" w:cs="Arial"/>
          <w:color w:val="000000" w:themeColor="text1"/>
          <w:sz w:val="30"/>
          <w:szCs w:val="30"/>
        </w:rPr>
      </w:pPr>
    </w:p>
    <w:p w:rsidR="001A7CDB" w:rsidRPr="001C6480" w:rsidP="00F71D3B">
      <w:pPr>
        <w:snapToGrid w:val="0"/>
        <w:spacing w:line="360" w:lineRule="auto"/>
        <w:jc w:val="center"/>
        <w:rPr>
          <w:rFonts w:asciiTheme="minorEastAsia" w:eastAsiaTheme="minorEastAsia" w:hAnsiTheme="minorEastAsia" w:cs="Arial"/>
          <w:color w:val="000000" w:themeColor="text1"/>
          <w:sz w:val="30"/>
          <w:szCs w:val="30"/>
        </w:rPr>
      </w:pPr>
      <w:r w:rsidRPr="001C6480">
        <w:rPr>
          <w:rFonts w:asciiTheme="minorEastAsia" w:eastAsiaTheme="minorEastAsia" w:hAnsiTheme="minorEastAsia" w:cs="Arial"/>
          <w:color w:val="000000" w:themeColor="text1"/>
          <w:sz w:val="30"/>
          <w:szCs w:val="30"/>
        </w:rPr>
        <w:t>基金管理人：易方达基金管理有限公司</w:t>
      </w:r>
    </w:p>
    <w:p w:rsidR="001A7CDB" w:rsidRPr="001C6480" w:rsidP="00F71D3B">
      <w:pPr>
        <w:snapToGrid w:val="0"/>
        <w:spacing w:line="360" w:lineRule="auto"/>
        <w:jc w:val="center"/>
        <w:rPr>
          <w:rFonts w:asciiTheme="minorEastAsia" w:eastAsiaTheme="minorEastAsia" w:hAnsiTheme="minorEastAsia" w:cs="Arial"/>
          <w:color w:val="000000" w:themeColor="text1"/>
          <w:sz w:val="30"/>
          <w:szCs w:val="30"/>
        </w:rPr>
      </w:pPr>
      <w:r w:rsidRPr="001C6480">
        <w:rPr>
          <w:rFonts w:asciiTheme="minorEastAsia" w:eastAsiaTheme="minorEastAsia" w:hAnsiTheme="minorEastAsia" w:cs="Arial"/>
          <w:color w:val="000000" w:themeColor="text1"/>
          <w:sz w:val="30"/>
          <w:szCs w:val="30"/>
        </w:rPr>
        <w:t>基金托管人：中国建设银行股份有限公司</w:t>
      </w:r>
    </w:p>
    <w:p w:rsidR="001A7CDB" w:rsidRPr="001C6480" w:rsidP="00F71D3B">
      <w:pPr>
        <w:snapToGrid w:val="0"/>
        <w:spacing w:line="360" w:lineRule="auto"/>
        <w:jc w:val="center"/>
        <w:rPr>
          <w:rFonts w:asciiTheme="minorEastAsia" w:eastAsiaTheme="minorEastAsia" w:hAnsiTheme="minorEastAsia" w:cs="Arial"/>
          <w:b/>
          <w:color w:val="000000" w:themeColor="text1"/>
          <w:sz w:val="24"/>
        </w:rPr>
      </w:pPr>
    </w:p>
    <w:p w:rsidR="00146FC0" w:rsidRPr="001C6480" w:rsidP="00F71D3B">
      <w:pPr>
        <w:snapToGrid w:val="0"/>
        <w:spacing w:line="360" w:lineRule="auto"/>
        <w:jc w:val="center"/>
        <w:rPr>
          <w:rFonts w:asciiTheme="minorEastAsia" w:eastAsiaTheme="minorEastAsia" w:hAnsiTheme="minorEastAsia" w:cs="Arial"/>
          <w:color w:val="000000" w:themeColor="text1"/>
          <w:sz w:val="30"/>
          <w:szCs w:val="30"/>
        </w:rPr>
      </w:pPr>
      <w:r w:rsidRPr="001C6480">
        <w:rPr>
          <w:rFonts w:asciiTheme="minorEastAsia" w:eastAsiaTheme="minorEastAsia" w:hAnsiTheme="minorEastAsia"/>
          <w:color w:val="000000" w:themeColor="text1"/>
          <w:sz w:val="30"/>
        </w:rPr>
        <w:t>二〇二二年二月</w:t>
      </w:r>
    </w:p>
    <w:p w:rsidR="004646BE" w:rsidRPr="001C6480" w:rsidP="00F71D3B">
      <w:pPr>
        <w:snapToGrid w:val="0"/>
        <w:spacing w:line="360" w:lineRule="auto"/>
        <w:jc w:val="center"/>
        <w:rPr>
          <w:rFonts w:asciiTheme="minorEastAsia" w:eastAsiaTheme="minorEastAsia" w:hAnsiTheme="minorEastAsia" w:cs="Arial"/>
          <w:color w:val="000000" w:themeColor="text1"/>
          <w:sz w:val="30"/>
          <w:szCs w:val="30"/>
        </w:rPr>
      </w:pPr>
    </w:p>
    <w:p w:rsidR="004646BE" w:rsidRPr="001C6480" w:rsidP="00F71D3B">
      <w:pPr>
        <w:snapToGrid w:val="0"/>
        <w:spacing w:line="360" w:lineRule="auto"/>
        <w:jc w:val="center"/>
        <w:rPr>
          <w:rFonts w:asciiTheme="minorEastAsia" w:eastAsiaTheme="minorEastAsia" w:hAnsiTheme="minorEastAsia" w:cs="Arial"/>
          <w:color w:val="000000" w:themeColor="text1"/>
          <w:sz w:val="30"/>
          <w:szCs w:val="30"/>
        </w:rPr>
      </w:pPr>
    </w:p>
    <w:p w:rsidR="001A7CDB" w:rsidRPr="001C6480" w:rsidP="00F71D3B">
      <w:pPr>
        <w:snapToGrid w:val="0"/>
        <w:spacing w:line="360" w:lineRule="auto"/>
        <w:jc w:val="center"/>
        <w:rPr>
          <w:rFonts w:asciiTheme="minorEastAsia" w:eastAsiaTheme="minorEastAsia" w:hAnsiTheme="minorEastAsia" w:cs="Arial"/>
          <w:b/>
          <w:color w:val="000000" w:themeColor="text1"/>
          <w:sz w:val="24"/>
        </w:rPr>
      </w:pPr>
      <w:r w:rsidRPr="001C6480">
        <w:rPr>
          <w:rFonts w:asciiTheme="minorEastAsia" w:eastAsiaTheme="minorEastAsia" w:hAnsiTheme="minorEastAsia" w:cs="Arial"/>
          <w:b/>
          <w:color w:val="000000" w:themeColor="text1"/>
          <w:sz w:val="24"/>
        </w:rPr>
        <w:t>重要提示</w:t>
      </w:r>
    </w:p>
    <w:p w:rsidR="00A80737" w:rsidRPr="001C6480" w:rsidP="00F71D3B">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易方达沪深</w:t>
      </w:r>
      <w:r w:rsidRPr="001C6480">
        <w:rPr>
          <w:rFonts w:asciiTheme="minorEastAsia" w:eastAsiaTheme="minorEastAsia" w:hAnsiTheme="minorEastAsia" w:cs="Arial"/>
          <w:b/>
          <w:color w:val="000000" w:themeColor="text1"/>
        </w:rPr>
        <w:t>300</w:t>
      </w:r>
      <w:r w:rsidRPr="001C6480">
        <w:rPr>
          <w:rFonts w:asciiTheme="minorEastAsia" w:eastAsiaTheme="minorEastAsia" w:hAnsiTheme="minorEastAsia" w:cs="Arial" w:hint="eastAsia"/>
          <w:b/>
          <w:color w:val="000000" w:themeColor="text1"/>
        </w:rPr>
        <w:t>量化增强证券投资基金</w:t>
      </w:r>
      <w:r w:rsidRPr="001C6480" w:rsidR="00B564D9">
        <w:rPr>
          <w:rFonts w:asciiTheme="minorEastAsia" w:eastAsiaTheme="minorEastAsia" w:hAnsiTheme="minorEastAsia" w:cs="Arial" w:hint="eastAsia"/>
          <w:b/>
          <w:color w:val="000000" w:themeColor="text1"/>
        </w:rPr>
        <w:t>（以下简称“本基金”）</w:t>
      </w:r>
      <w:r w:rsidRPr="001C6480">
        <w:rPr>
          <w:rFonts w:asciiTheme="minorEastAsia" w:eastAsiaTheme="minorEastAsia" w:hAnsiTheme="minorEastAsia" w:cs="Arial" w:hint="eastAsia"/>
          <w:b/>
          <w:color w:val="000000" w:themeColor="text1"/>
        </w:rPr>
        <w:t>由易方达量化衍伸股票型证券投资基金变更</w:t>
      </w:r>
      <w:r w:rsidRPr="001C6480" w:rsidR="00631B4E">
        <w:rPr>
          <w:rFonts w:asciiTheme="minorEastAsia" w:eastAsiaTheme="minorEastAsia" w:hAnsiTheme="minorEastAsia" w:cs="Arial" w:hint="eastAsia"/>
          <w:b/>
          <w:color w:val="000000" w:themeColor="text1"/>
        </w:rPr>
        <w:t>基金的投资及其他相关</w:t>
      </w:r>
      <w:r w:rsidRPr="001C6480">
        <w:rPr>
          <w:rFonts w:asciiTheme="minorEastAsia" w:eastAsiaTheme="minorEastAsia" w:hAnsiTheme="minorEastAsia" w:cs="Arial" w:hint="eastAsia"/>
          <w:b/>
          <w:color w:val="000000" w:themeColor="text1"/>
        </w:rPr>
        <w:t>事宜而来。《</w:t>
      </w:r>
      <w:r w:rsidRPr="001C6480" w:rsidR="00631B4E">
        <w:rPr>
          <w:rFonts w:asciiTheme="minorEastAsia" w:eastAsiaTheme="minorEastAsia" w:hAnsiTheme="minorEastAsia" w:cs="Arial" w:hint="eastAsia"/>
          <w:b/>
          <w:color w:val="000000" w:themeColor="text1"/>
        </w:rPr>
        <w:t>关于易方达量化衍伸股票型证券投资基金变更基金的投资及其他相关事项的议案</w:t>
      </w:r>
      <w:r w:rsidRPr="001C6480">
        <w:rPr>
          <w:rFonts w:asciiTheme="minorEastAsia" w:eastAsiaTheme="minorEastAsia" w:hAnsiTheme="minorEastAsia" w:cs="Arial" w:hint="eastAsia"/>
          <w:b/>
          <w:color w:val="000000" w:themeColor="text1"/>
        </w:rPr>
        <w:t>》经</w:t>
      </w:r>
      <w:r w:rsidRPr="001C6480">
        <w:rPr>
          <w:rFonts w:asciiTheme="minorEastAsia" w:eastAsiaTheme="minorEastAsia" w:hAnsiTheme="minorEastAsia" w:cs="Arial"/>
          <w:b/>
          <w:color w:val="000000" w:themeColor="text1"/>
        </w:rPr>
        <w:t>2013</w:t>
      </w:r>
      <w:r w:rsidRPr="001C6480">
        <w:rPr>
          <w:rFonts w:asciiTheme="minorEastAsia" w:eastAsiaTheme="minorEastAsia" w:hAnsiTheme="minorEastAsia" w:cs="Arial" w:hint="eastAsia"/>
          <w:b/>
          <w:color w:val="000000" w:themeColor="text1"/>
        </w:rPr>
        <w:t>年</w:t>
      </w:r>
      <w:r w:rsidRPr="001C6480" w:rsidR="007454A5">
        <w:rPr>
          <w:rFonts w:asciiTheme="minorEastAsia" w:eastAsiaTheme="minorEastAsia" w:hAnsiTheme="minorEastAsia" w:cs="Arial" w:hint="eastAsia"/>
          <w:b/>
          <w:color w:val="000000" w:themeColor="text1"/>
        </w:rPr>
        <w:t>4</w:t>
      </w:r>
      <w:r w:rsidRPr="001C6480">
        <w:rPr>
          <w:rFonts w:asciiTheme="minorEastAsia" w:eastAsiaTheme="minorEastAsia" w:hAnsiTheme="minorEastAsia" w:cs="Arial" w:hint="eastAsia"/>
          <w:b/>
          <w:color w:val="000000" w:themeColor="text1"/>
        </w:rPr>
        <w:t>月</w:t>
      </w:r>
      <w:r w:rsidRPr="001C6480" w:rsidR="007454A5">
        <w:rPr>
          <w:rFonts w:asciiTheme="minorEastAsia" w:eastAsiaTheme="minorEastAsia" w:hAnsiTheme="minorEastAsia" w:cs="Arial" w:hint="eastAsia"/>
          <w:b/>
          <w:color w:val="000000" w:themeColor="text1"/>
        </w:rPr>
        <w:t>1</w:t>
      </w:r>
      <w:r w:rsidRPr="001C6480">
        <w:rPr>
          <w:rFonts w:asciiTheme="minorEastAsia" w:eastAsiaTheme="minorEastAsia" w:hAnsiTheme="minorEastAsia" w:cs="Arial" w:hint="eastAsia"/>
          <w:b/>
          <w:color w:val="000000" w:themeColor="text1"/>
        </w:rPr>
        <w:t>日</w:t>
      </w:r>
      <w:r w:rsidRPr="001C6480" w:rsidR="007454A5">
        <w:rPr>
          <w:rFonts w:asciiTheme="minorEastAsia" w:eastAsiaTheme="minorEastAsia" w:hAnsiTheme="minorEastAsia" w:cs="Arial"/>
          <w:b/>
          <w:color w:val="000000" w:themeColor="text1"/>
        </w:rPr>
        <w:t>至</w:t>
      </w:r>
      <w:r w:rsidRPr="001C6480" w:rsidR="007454A5">
        <w:rPr>
          <w:rFonts w:asciiTheme="minorEastAsia" w:eastAsiaTheme="minorEastAsia" w:hAnsiTheme="minorEastAsia" w:cs="Arial" w:hint="eastAsia"/>
          <w:b/>
          <w:color w:val="000000" w:themeColor="text1"/>
        </w:rPr>
        <w:t>2013年4月30日</w:t>
      </w:r>
      <w:r w:rsidRPr="001C6480">
        <w:rPr>
          <w:rFonts w:asciiTheme="minorEastAsia" w:eastAsiaTheme="minorEastAsia" w:hAnsiTheme="minorEastAsia" w:cs="Arial" w:hint="eastAsia"/>
          <w:b/>
          <w:color w:val="000000" w:themeColor="text1"/>
        </w:rPr>
        <w:t>易方达量化衍伸股票型证券投资基金基金份额持有人大会决议通过，并获中国证监会</w:t>
      </w:r>
      <w:r w:rsidRPr="001C6480">
        <w:rPr>
          <w:rFonts w:asciiTheme="minorEastAsia" w:eastAsiaTheme="minorEastAsia" w:hAnsiTheme="minorEastAsia" w:cs="Arial"/>
          <w:b/>
          <w:color w:val="000000" w:themeColor="text1"/>
        </w:rPr>
        <w:t>2013</w:t>
      </w:r>
      <w:r w:rsidRPr="001C6480">
        <w:rPr>
          <w:rFonts w:asciiTheme="minorEastAsia" w:eastAsiaTheme="minorEastAsia" w:hAnsiTheme="minorEastAsia" w:cs="Arial" w:hint="eastAsia"/>
          <w:b/>
          <w:color w:val="000000" w:themeColor="text1"/>
        </w:rPr>
        <w:t>年</w:t>
      </w:r>
      <w:r w:rsidRPr="001C6480" w:rsidR="001B62B0">
        <w:rPr>
          <w:rFonts w:asciiTheme="minorEastAsia" w:eastAsiaTheme="minorEastAsia" w:hAnsiTheme="minorEastAsia" w:cs="Arial" w:hint="eastAsia"/>
          <w:b/>
          <w:color w:val="000000" w:themeColor="text1"/>
        </w:rPr>
        <w:t>6</w:t>
      </w:r>
      <w:r w:rsidRPr="001C6480">
        <w:rPr>
          <w:rFonts w:asciiTheme="minorEastAsia" w:eastAsiaTheme="minorEastAsia" w:hAnsiTheme="minorEastAsia" w:cs="Arial" w:hint="eastAsia"/>
          <w:b/>
          <w:color w:val="000000" w:themeColor="text1"/>
        </w:rPr>
        <w:t>月</w:t>
      </w:r>
      <w:r w:rsidRPr="001C6480" w:rsidR="001B62B0">
        <w:rPr>
          <w:rFonts w:asciiTheme="minorEastAsia" w:eastAsiaTheme="minorEastAsia" w:hAnsiTheme="minorEastAsia" w:cs="Arial" w:hint="eastAsia"/>
          <w:b/>
          <w:color w:val="000000" w:themeColor="text1"/>
        </w:rPr>
        <w:t>7</w:t>
      </w:r>
      <w:r w:rsidRPr="001C6480">
        <w:rPr>
          <w:rFonts w:asciiTheme="minorEastAsia" w:eastAsiaTheme="minorEastAsia" w:hAnsiTheme="minorEastAsia" w:cs="Arial" w:hint="eastAsia"/>
          <w:b/>
          <w:color w:val="000000" w:themeColor="text1"/>
        </w:rPr>
        <w:t>日证监许可［</w:t>
      </w:r>
      <w:r w:rsidRPr="001C6480">
        <w:rPr>
          <w:rFonts w:asciiTheme="minorEastAsia" w:eastAsiaTheme="minorEastAsia" w:hAnsiTheme="minorEastAsia" w:cs="Arial"/>
          <w:b/>
          <w:color w:val="000000" w:themeColor="text1"/>
        </w:rPr>
        <w:t>2013</w:t>
      </w:r>
      <w:r w:rsidRPr="001C6480">
        <w:rPr>
          <w:rFonts w:asciiTheme="minorEastAsia" w:eastAsiaTheme="minorEastAsia" w:hAnsiTheme="minorEastAsia" w:cs="Arial" w:hint="eastAsia"/>
          <w:b/>
          <w:color w:val="000000" w:themeColor="text1"/>
        </w:rPr>
        <w:t>］</w:t>
      </w:r>
      <w:r w:rsidRPr="001C6480" w:rsidR="001B62B0">
        <w:rPr>
          <w:rFonts w:asciiTheme="minorEastAsia" w:eastAsiaTheme="minorEastAsia" w:hAnsiTheme="minorEastAsia" w:cs="Arial" w:hint="eastAsia"/>
          <w:b/>
          <w:color w:val="000000" w:themeColor="text1"/>
        </w:rPr>
        <w:t>742</w:t>
      </w:r>
      <w:r w:rsidRPr="001C6480">
        <w:rPr>
          <w:rFonts w:asciiTheme="minorEastAsia" w:eastAsiaTheme="minorEastAsia" w:hAnsiTheme="minorEastAsia" w:cs="Arial" w:hint="eastAsia"/>
          <w:b/>
          <w:color w:val="000000" w:themeColor="text1"/>
        </w:rPr>
        <w:t>号文核准。自</w:t>
      </w:r>
      <w:r w:rsidRPr="001C6480">
        <w:rPr>
          <w:rFonts w:asciiTheme="minorEastAsia" w:eastAsiaTheme="minorEastAsia" w:hAnsiTheme="minorEastAsia" w:cs="Arial"/>
          <w:b/>
          <w:color w:val="000000" w:themeColor="text1"/>
        </w:rPr>
        <w:t>2013</w:t>
      </w:r>
      <w:r w:rsidRPr="001C6480">
        <w:rPr>
          <w:rFonts w:asciiTheme="minorEastAsia" w:eastAsiaTheme="minorEastAsia" w:hAnsiTheme="minorEastAsia" w:cs="Arial" w:hint="eastAsia"/>
          <w:b/>
          <w:color w:val="000000" w:themeColor="text1"/>
        </w:rPr>
        <w:t>年</w:t>
      </w:r>
      <w:r w:rsidRPr="001C6480" w:rsidR="001B62B0">
        <w:rPr>
          <w:rFonts w:asciiTheme="minorEastAsia" w:eastAsiaTheme="minorEastAsia" w:hAnsiTheme="minorEastAsia" w:cs="Arial" w:hint="eastAsia"/>
          <w:b/>
          <w:color w:val="000000" w:themeColor="text1"/>
        </w:rPr>
        <w:t>6</w:t>
      </w:r>
      <w:r w:rsidRPr="001C6480">
        <w:rPr>
          <w:rFonts w:asciiTheme="minorEastAsia" w:eastAsiaTheme="minorEastAsia" w:hAnsiTheme="minorEastAsia" w:cs="Arial" w:hint="eastAsia"/>
          <w:b/>
          <w:color w:val="000000" w:themeColor="text1"/>
        </w:rPr>
        <w:t>月</w:t>
      </w:r>
      <w:r w:rsidRPr="001C6480" w:rsidR="001B62B0">
        <w:rPr>
          <w:rFonts w:asciiTheme="minorEastAsia" w:eastAsiaTheme="minorEastAsia" w:hAnsiTheme="minorEastAsia" w:cs="Arial" w:hint="eastAsia"/>
          <w:b/>
          <w:color w:val="000000" w:themeColor="text1"/>
        </w:rPr>
        <w:t>7</w:t>
      </w:r>
      <w:r w:rsidRPr="001C6480">
        <w:rPr>
          <w:rFonts w:asciiTheme="minorEastAsia" w:eastAsiaTheme="minorEastAsia" w:hAnsiTheme="minorEastAsia" w:cs="Arial" w:hint="eastAsia"/>
          <w:b/>
          <w:color w:val="000000" w:themeColor="text1"/>
        </w:rPr>
        <w:t>日起，由《易方达量化衍伸股票型证券投资基金基金合同》修订而成的《易方达沪深</w:t>
      </w:r>
      <w:r w:rsidRPr="001C6480">
        <w:rPr>
          <w:rFonts w:asciiTheme="minorEastAsia" w:eastAsiaTheme="minorEastAsia" w:hAnsiTheme="minorEastAsia" w:cs="Arial"/>
          <w:b/>
          <w:color w:val="000000" w:themeColor="text1"/>
        </w:rPr>
        <w:t>300</w:t>
      </w:r>
      <w:r w:rsidRPr="001C6480">
        <w:rPr>
          <w:rFonts w:asciiTheme="minorEastAsia" w:eastAsiaTheme="minorEastAsia" w:hAnsiTheme="minorEastAsia" w:cs="Arial" w:hint="eastAsia"/>
          <w:b/>
          <w:color w:val="000000" w:themeColor="text1"/>
        </w:rPr>
        <w:t>量化增强证券投资基金基金合同》生效。</w:t>
      </w:r>
    </w:p>
    <w:p w:rsidR="001A7CDB" w:rsidRPr="001C6480" w:rsidP="00F71D3B">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基金管理人保证《招募说明书》的内容真实、准确、完整。</w:t>
      </w:r>
    </w:p>
    <w:p w:rsidR="001A7CDB" w:rsidRPr="001C6480" w:rsidP="00F71D3B">
      <w:pPr>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基金管理人依照恪尽职守、诚实信用、谨慎勤勉的原则管理和运用基金财产，但不保证基金一定盈利，也不保证最低收益。</w:t>
      </w:r>
    </w:p>
    <w:p w:rsidR="001A7CDB" w:rsidRPr="001C6480" w:rsidP="00F71D3B">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本《招募说明书》经中国证监会核准，但中国证监会对本基金募集的核准，并不表明其对本基金的价值和收益作出实质性判断或保证，也不表明投资于本基金没有风险。</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本基金标的指数为沪深300指数。</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（1）指数样本空间</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指数样本空间由同时满足以下条件的非ST、*ST沪深A股和红筹企业发行的存托凭证组成：</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1）科创板证券：上市时间超过一年。</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2）创业板证券：上市时间超过三年。</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3）其他证券：上市时间超过一个季度，除非该证券自上市以来日均总市值排在前30位。</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（2）选样方法</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沪深300指数样本是按照以下方法选择经营状况良好、无违法违规事件、财务报告无重大问题、证券价格无明显异常波动或市场操纵的公司：</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1）对样本空间内证券按照过去一年的日均成交金额由高到低排名，剔除排名后50%的证券；</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2）对样本空间内剩余证券，按照过去一年的日均总市值由高到低排名，选取前300名的证券作为指数样本。</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（3）指数计算</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指数计算公式为：报告期指数=报告期样本的调整市值/除数×1000。其中，调整市值＝Σ（证券价格×调整股本数）。调整股本数的计算方法、除数修正方法参见计</w:t>
      </w:r>
      <w:r w:rsidRPr="001C6480">
        <w:rPr>
          <w:rFonts w:asciiTheme="minorEastAsia" w:eastAsiaTheme="minorEastAsia" w:hAnsiTheme="minorEastAsia" w:cs="Arial" w:hint="eastAsia"/>
          <w:b/>
          <w:color w:val="000000" w:themeColor="text1"/>
        </w:rPr>
        <w:t>算与维护细则。指数计算中的调整股本数系根据分级靠档的方法对样本股本进行调整而获得。要计算调整股本数，需要确定自由流通量和分级靠档两个因素。当样本名单、股本结构发生变化或样本的调整市值出现非交易因素的变动时，根据样本股本维护规则，采用“除数修正法”修正原除数，以保证指数的连续性。</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有关标的指数具体编制方案及成份股信息详见上海证券交易所网站，网址： www.sse.com.cn。</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本基金投资于证券</w:t>
      </w:r>
      <w:r w:rsidRPr="001C6480">
        <w:rPr>
          <w:rFonts w:asciiTheme="minorEastAsia" w:eastAsiaTheme="minorEastAsia" w:hAnsiTheme="minorEastAsia" w:cs="Arial" w:hint="eastAsia"/>
          <w:b/>
          <w:color w:val="000000" w:themeColor="text1"/>
        </w:rPr>
        <w:t>、期货</w:t>
      </w:r>
      <w:r w:rsidRPr="001C6480">
        <w:rPr>
          <w:rFonts w:asciiTheme="minorEastAsia" w:eastAsiaTheme="minorEastAsia" w:hAnsiTheme="minorEastAsia" w:cs="Arial"/>
          <w:b/>
          <w:color w:val="000000" w:themeColor="text1"/>
        </w:rPr>
        <w:t>市场，基金净值会因为证券</w:t>
      </w:r>
      <w:r w:rsidRPr="001C6480">
        <w:rPr>
          <w:rFonts w:asciiTheme="minorEastAsia" w:eastAsiaTheme="minorEastAsia" w:hAnsiTheme="minorEastAsia" w:cs="Arial" w:hint="eastAsia"/>
          <w:b/>
          <w:color w:val="000000" w:themeColor="text1"/>
        </w:rPr>
        <w:t>期货</w:t>
      </w:r>
      <w:r w:rsidRPr="001C6480">
        <w:rPr>
          <w:rFonts w:asciiTheme="minorEastAsia" w:eastAsiaTheme="minorEastAsia" w:hAnsiTheme="minorEastAsia" w:cs="Arial"/>
          <w:b/>
          <w:color w:val="000000" w:themeColor="text1"/>
        </w:rPr>
        <w:t>市场波动等因素</w:t>
      </w:r>
      <w:r w:rsidRPr="001C6480">
        <w:rPr>
          <w:rFonts w:asciiTheme="minorEastAsia" w:eastAsiaTheme="minorEastAsia" w:hAnsiTheme="minorEastAsia" w:cs="Arial" w:hint="eastAsia"/>
          <w:b/>
          <w:color w:val="000000" w:themeColor="text1"/>
        </w:rPr>
        <w:t>而</w:t>
      </w:r>
      <w:r w:rsidRPr="001C6480">
        <w:rPr>
          <w:rFonts w:asciiTheme="minorEastAsia" w:eastAsiaTheme="minorEastAsia" w:hAnsiTheme="minorEastAsia" w:cs="Arial"/>
          <w:b/>
          <w:color w:val="000000" w:themeColor="text1"/>
        </w:rPr>
        <w:t>产生波动。投资有风险，投资人在投资本基金前，</w:t>
      </w:r>
      <w:r w:rsidRPr="001C6480">
        <w:rPr>
          <w:rFonts w:asciiTheme="minorEastAsia" w:eastAsiaTheme="minorEastAsia" w:hAnsiTheme="minorEastAsia" w:cs="Arial" w:hint="eastAsia"/>
          <w:b/>
          <w:color w:val="000000" w:themeColor="text1"/>
        </w:rPr>
        <w:t>敬</w:t>
      </w:r>
      <w:r w:rsidRPr="001C6480">
        <w:rPr>
          <w:rFonts w:asciiTheme="minorEastAsia" w:eastAsiaTheme="minorEastAsia" w:hAnsiTheme="minorEastAsia" w:cs="Arial"/>
          <w:b/>
          <w:color w:val="000000" w:themeColor="text1"/>
        </w:rPr>
        <w:t>请认真阅读本招募说明书</w:t>
      </w:r>
      <w:r w:rsidRPr="001C6480">
        <w:rPr>
          <w:rFonts w:asciiTheme="minorEastAsia" w:eastAsiaTheme="minorEastAsia" w:hAnsiTheme="minorEastAsia" w:hint="eastAsia"/>
          <w:b/>
          <w:color w:val="000000" w:themeColor="text1"/>
        </w:rPr>
        <w:t>和基金产品资料概要</w:t>
      </w:r>
      <w:r w:rsidRPr="001C6480">
        <w:rPr>
          <w:rFonts w:asciiTheme="minorEastAsia" w:eastAsiaTheme="minorEastAsia" w:hAnsiTheme="minorEastAsia" w:cs="Arial"/>
          <w:b/>
          <w:color w:val="000000" w:themeColor="text1"/>
        </w:rPr>
        <w:t>，全面认识本基金的风险收益特征和产品特性，充分考虑自身的风险承受能力，理性判断市场，对申购基金的意愿、时机、数量等投资行为作出独立决策，获得基金投资收益，亦承担基金投资中出现的各类风险。投资本基金可能遇到的风险包括：</w:t>
      </w:r>
      <w:r w:rsidRPr="001C6480">
        <w:rPr>
          <w:rFonts w:asciiTheme="minorEastAsia" w:eastAsiaTheme="minorEastAsia" w:hAnsiTheme="minorEastAsia" w:cs="Arial" w:hint="eastAsia"/>
          <w:b/>
          <w:color w:val="000000" w:themeColor="text1"/>
        </w:rPr>
        <w:t>与采用量化模型进行指数增强投资及参与股指期货投资相关的特有风险；本基金可投资科创板股票，可能给本基金带来的额外风险；投资于存托凭证的风险；因政治、经济、投资者心理与交易制度等各种因素对证券价格产生影响而形成的市场风险；</w:t>
      </w:r>
      <w:r w:rsidRPr="001C6480">
        <w:rPr>
          <w:rFonts w:asciiTheme="minorEastAsia" w:eastAsiaTheme="minorEastAsia" w:hAnsiTheme="minorEastAsia" w:cs="Arial"/>
          <w:b/>
          <w:color w:val="000000" w:themeColor="text1"/>
        </w:rPr>
        <w:t>流动性风险；</w:t>
      </w:r>
      <w:r w:rsidRPr="001C6480">
        <w:rPr>
          <w:rFonts w:asciiTheme="minorEastAsia" w:eastAsiaTheme="minorEastAsia" w:hAnsiTheme="minorEastAsia" w:hint="eastAsia"/>
          <w:b/>
          <w:color w:val="000000" w:themeColor="text1"/>
        </w:rPr>
        <w:t>本基金法律文件中涉及基金风险特征的表述与销售机构对基金的风险评级可能不一致的风险；</w:t>
      </w:r>
      <w:r w:rsidRPr="001C6480">
        <w:rPr>
          <w:rFonts w:asciiTheme="minorEastAsia" w:eastAsiaTheme="minorEastAsia" w:hAnsiTheme="minorEastAsia" w:cs="Arial" w:hint="eastAsia"/>
          <w:b/>
          <w:color w:val="000000" w:themeColor="text1"/>
        </w:rPr>
        <w:t>基金管理人在基金管理实施过程中产生的管理风险，等等。投资者投资于本基金面临跟踪误差控制未达约定目标、指数编制机构停止服务、成份股停牌等潜在风险。</w:t>
      </w:r>
      <w:r w:rsidRPr="001C6480">
        <w:rPr>
          <w:rFonts w:asciiTheme="minorEastAsia" w:eastAsiaTheme="minorEastAsia" w:hAnsiTheme="minorEastAsia" w:cs="Arial"/>
          <w:b/>
          <w:color w:val="000000" w:themeColor="text1"/>
        </w:rPr>
        <w:t>基金管理人提醒投资人基金投资的</w:t>
      </w:r>
      <w:r w:rsidRPr="001C6480">
        <w:rPr>
          <w:rFonts w:asciiTheme="minorEastAsia" w:eastAsiaTheme="minorEastAsia" w:hAnsiTheme="minorEastAsia" w:cs="Arial" w:hint="eastAsia"/>
          <w:b/>
          <w:color w:val="000000" w:themeColor="text1"/>
        </w:rPr>
        <w:t>“</w:t>
      </w:r>
      <w:r w:rsidRPr="001C6480">
        <w:rPr>
          <w:rFonts w:asciiTheme="minorEastAsia" w:eastAsiaTheme="minorEastAsia" w:hAnsiTheme="minorEastAsia" w:cs="Arial"/>
          <w:b/>
          <w:color w:val="000000" w:themeColor="text1"/>
        </w:rPr>
        <w:t>买者自负</w:t>
      </w:r>
      <w:r w:rsidRPr="001C6480">
        <w:rPr>
          <w:rFonts w:asciiTheme="minorEastAsia" w:eastAsiaTheme="minorEastAsia" w:hAnsiTheme="minorEastAsia" w:cs="Arial" w:hint="eastAsia"/>
          <w:b/>
          <w:color w:val="000000" w:themeColor="text1"/>
        </w:rPr>
        <w:t>”</w:t>
      </w:r>
      <w:r w:rsidRPr="001C6480">
        <w:rPr>
          <w:rFonts w:asciiTheme="minorEastAsia" w:eastAsiaTheme="minorEastAsia" w:hAnsiTheme="minorEastAsia" w:cs="Arial"/>
          <w:b/>
          <w:color w:val="000000" w:themeColor="text1"/>
        </w:rPr>
        <w:t>原则，在投资人作出投资决策后，基金运营状况与基金净值变化引致的投资风险，由投资人自行负责。</w:t>
      </w:r>
    </w:p>
    <w:p w:rsidR="007C2A47" w:rsidRPr="001C6480" w:rsidP="007C2A47">
      <w:pPr>
        <w:widowControl w:val="0"/>
        <w:snapToGrid w:val="0"/>
        <w:spacing w:line="360" w:lineRule="auto"/>
        <w:ind w:firstLine="420" w:firstLineChars="200"/>
        <w:mirrorIndents/>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基金的过往业绩并不预示其未来表现。</w:t>
      </w:r>
    </w:p>
    <w:p w:rsidR="00564B98" w:rsidRPr="001C6480" w:rsidP="00B461DD">
      <w:pPr>
        <w:widowControl w:val="0"/>
        <w:snapToGrid w:val="0"/>
        <w:spacing w:line="360" w:lineRule="auto"/>
        <w:ind w:firstLine="420" w:firstLineChars="200"/>
        <w:mirrorIndents/>
        <w:rPr>
          <w:rFonts w:asciiTheme="minorEastAsia" w:eastAsiaTheme="minorEastAsia" w:hAnsiTheme="minorEastAsia" w:cs="Arial"/>
          <w:b/>
          <w:color w:val="000000" w:themeColor="text1"/>
          <w:sz w:val="24"/>
        </w:rPr>
      </w:pPr>
      <w:r w:rsidRPr="001C6480">
        <w:rPr>
          <w:rFonts w:asciiTheme="minorEastAsia" w:eastAsiaTheme="minorEastAsia" w:hAnsiTheme="minorEastAsia"/>
          <w:b/>
          <w:color w:val="000000" w:themeColor="text1"/>
        </w:rPr>
        <w:t>本基金有关财务数据截止日为2021年12月31日，净值表现截止日为2021年12月31日，主要人员情况截止日为2022年2月2</w:t>
      </w:r>
      <w:r w:rsidR="007A47F2">
        <w:rPr>
          <w:rFonts w:asciiTheme="minorEastAsia" w:eastAsiaTheme="minorEastAsia" w:hAnsiTheme="minorEastAsia"/>
          <w:b/>
          <w:color w:val="000000" w:themeColor="text1"/>
        </w:rPr>
        <w:t>5</w:t>
      </w:r>
      <w:r w:rsidRPr="001C6480">
        <w:rPr>
          <w:rFonts w:asciiTheme="minorEastAsia" w:eastAsiaTheme="minorEastAsia" w:hAnsiTheme="minorEastAsia"/>
          <w:b/>
          <w:color w:val="000000" w:themeColor="text1"/>
        </w:rPr>
        <w:t>日，除非另有说明，本招募说明书其他所载内容截止日为2022年1月16日。（本报告中财务数据未经审计）</w:t>
      </w:r>
    </w:p>
    <w:p w:rsidR="00564B98" w:rsidRPr="001C6480" w:rsidP="00F71D3B">
      <w:pPr>
        <w:snapToGrid w:val="0"/>
        <w:spacing w:line="360" w:lineRule="auto"/>
        <w:rPr>
          <w:rFonts w:asciiTheme="minorEastAsia" w:eastAsiaTheme="minorEastAsia" w:hAnsiTheme="minorEastAsia" w:cs="Arial"/>
          <w:b/>
          <w:color w:val="000000" w:themeColor="text1"/>
          <w:sz w:val="24"/>
        </w:rPr>
        <w:sectPr w:rsidSect="00D648D0">
          <w:headerReference w:type="default" r:id="rId5"/>
          <w:footerReference w:type="default" r:id="rId6"/>
          <w:footerReference w:type="first" r:id="rId7"/>
          <w:pgSz w:w="11907" w:h="16840" w:code="9"/>
          <w:pgMar w:top="1701" w:right="1814" w:bottom="1701" w:left="1814" w:header="1134" w:footer="1247" w:gutter="0"/>
          <w:pgNumType w:fmt="upperRoman" w:start="1"/>
          <w:cols w:space="425"/>
          <w:docGrid w:type="linesAndChars" w:linePitch="447"/>
        </w:sectPr>
      </w:pPr>
    </w:p>
    <w:p w:rsidR="001A7CDB" w:rsidRPr="001C6480" w:rsidP="00F71D3B">
      <w:pPr>
        <w:adjustRightInd w:val="0"/>
        <w:snapToGrid w:val="0"/>
        <w:spacing w:line="360" w:lineRule="auto"/>
        <w:jc w:val="center"/>
        <w:rPr>
          <w:rFonts w:asciiTheme="minorEastAsia" w:eastAsiaTheme="minorEastAsia" w:hAnsiTheme="minorEastAsia" w:cs="Arial"/>
          <w:b/>
          <w:color w:val="000000" w:themeColor="text1"/>
          <w:sz w:val="28"/>
          <w:szCs w:val="28"/>
        </w:rPr>
      </w:pPr>
      <w:r w:rsidRPr="001C6480">
        <w:rPr>
          <w:rFonts w:asciiTheme="minorEastAsia" w:eastAsiaTheme="minorEastAsia" w:hAnsiTheme="minorEastAsia" w:cs="Arial"/>
          <w:b/>
          <w:color w:val="000000" w:themeColor="text1"/>
          <w:sz w:val="28"/>
          <w:szCs w:val="28"/>
        </w:rPr>
        <w:t>目录</w:t>
      </w:r>
    </w:p>
    <w:p w:rsidR="00037207">
      <w:pPr>
        <w:pStyle w:val="TOC1"/>
        <w:rPr>
          <w:rFonts w:asciiTheme="minorHAnsi" w:eastAsiaTheme="minorEastAsia" w:hAnsiTheme="minorHAnsi" w:cstheme="minorBidi"/>
          <w:b w:val="0"/>
          <w:caps w:val="0"/>
          <w:sz w:val="21"/>
          <w:szCs w:val="22"/>
        </w:rPr>
      </w:pPr>
      <w:r w:rsidRPr="001C6480">
        <w:rPr>
          <w:rFonts w:asciiTheme="minorEastAsia" w:eastAsiaTheme="minorEastAsia" w:hAnsiTheme="minorEastAsia" w:cs="Arial"/>
          <w:b w:val="0"/>
          <w:color w:val="000000" w:themeColor="text1"/>
        </w:rPr>
        <w:fldChar w:fldCharType="begin"/>
      </w:r>
      <w:r w:rsidRPr="001C6480" w:rsidR="00A80907">
        <w:rPr>
          <w:rFonts w:asciiTheme="minorEastAsia" w:eastAsiaTheme="minorEastAsia" w:hAnsiTheme="minorEastAsia" w:cs="Arial"/>
          <w:b w:val="0"/>
          <w:color w:val="000000" w:themeColor="text1"/>
        </w:rPr>
        <w:instrText xml:space="preserve"> TOC \o "1-1" \h \z \u </w:instrText>
      </w:r>
      <w:r w:rsidRPr="001C6480">
        <w:rPr>
          <w:rFonts w:asciiTheme="minorEastAsia" w:eastAsiaTheme="minorEastAsia" w:hAnsiTheme="minorEastAsia" w:cs="Arial"/>
          <w:b w:val="0"/>
          <w:color w:val="000000" w:themeColor="text1"/>
        </w:rPr>
        <w:fldChar w:fldCharType="separate"/>
      </w:r>
      <w:hyperlink w:anchor="_Toc96595102" w:history="1">
        <w:r w:rsidRPr="004F4099">
          <w:rPr>
            <w:rStyle w:val="Hyperlink"/>
            <w:rFonts w:asciiTheme="minorEastAsia" w:hAnsiTheme="minorEastAsia" w:cs="Arial" w:hint="eastAsia"/>
          </w:rPr>
          <w:t>一、</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rPr>
          <w:t>绪言</w:t>
        </w:r>
        <w:r>
          <w:rPr>
            <w:webHidden/>
          </w:rPr>
          <w:tab/>
        </w:r>
        <w:r>
          <w:rPr>
            <w:webHidden/>
          </w:rPr>
          <w:fldChar w:fldCharType="begin"/>
        </w:r>
        <w:r>
          <w:rPr>
            <w:webHidden/>
          </w:rPr>
          <w:instrText xml:space="preserve"> PAGEREF _Toc96595102 \h </w:instrText>
        </w:r>
        <w:r>
          <w:rPr>
            <w:webHidden/>
          </w:rPr>
          <w:fldChar w:fldCharType="separate"/>
        </w:r>
        <w:r>
          <w:rPr>
            <w:webHidden/>
          </w:rPr>
          <w:t>1</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03" w:history="1">
        <w:r w:rsidRPr="004F4099">
          <w:rPr>
            <w:rStyle w:val="Hyperlink"/>
            <w:rFonts w:asciiTheme="minorEastAsia" w:hAnsiTheme="minorEastAsia" w:cs="Arial" w:hint="eastAsia"/>
          </w:rPr>
          <w:t>二、</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rPr>
          <w:t>释义</w:t>
        </w:r>
        <w:r>
          <w:rPr>
            <w:webHidden/>
          </w:rPr>
          <w:tab/>
        </w:r>
        <w:r>
          <w:rPr>
            <w:webHidden/>
          </w:rPr>
          <w:fldChar w:fldCharType="begin"/>
        </w:r>
        <w:r>
          <w:rPr>
            <w:webHidden/>
          </w:rPr>
          <w:instrText xml:space="preserve"> PAGEREF _Toc96595103 \h </w:instrText>
        </w:r>
        <w:r>
          <w:rPr>
            <w:webHidden/>
          </w:rPr>
          <w:fldChar w:fldCharType="separate"/>
        </w:r>
        <w:r>
          <w:rPr>
            <w:webHidden/>
          </w:rPr>
          <w:t>2</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04" w:history="1">
        <w:r w:rsidRPr="004F4099">
          <w:rPr>
            <w:rStyle w:val="Hyperlink"/>
            <w:rFonts w:asciiTheme="minorEastAsia" w:hAnsiTheme="minorEastAsia" w:cs="Arial" w:hint="eastAsia"/>
            <w:bCs/>
          </w:rPr>
          <w:t>三、</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基金管理人</w:t>
        </w:r>
        <w:r>
          <w:rPr>
            <w:webHidden/>
          </w:rPr>
          <w:tab/>
        </w:r>
        <w:r>
          <w:rPr>
            <w:webHidden/>
          </w:rPr>
          <w:fldChar w:fldCharType="begin"/>
        </w:r>
        <w:r>
          <w:rPr>
            <w:webHidden/>
          </w:rPr>
          <w:instrText xml:space="preserve"> PAGEREF _Toc96595104 \h </w:instrText>
        </w:r>
        <w:r>
          <w:rPr>
            <w:webHidden/>
          </w:rPr>
          <w:fldChar w:fldCharType="separate"/>
        </w:r>
        <w:r>
          <w:rPr>
            <w:webHidden/>
          </w:rPr>
          <w:t>6</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05" w:history="1">
        <w:r w:rsidRPr="004F4099">
          <w:rPr>
            <w:rStyle w:val="Hyperlink"/>
            <w:rFonts w:asciiTheme="minorEastAsia" w:hAnsiTheme="minorEastAsia" w:cs="Arial" w:hint="eastAsia"/>
            <w:bCs/>
          </w:rPr>
          <w:t>四、</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基金托管人</w:t>
        </w:r>
        <w:r>
          <w:rPr>
            <w:webHidden/>
          </w:rPr>
          <w:tab/>
        </w:r>
        <w:r>
          <w:rPr>
            <w:webHidden/>
          </w:rPr>
          <w:fldChar w:fldCharType="begin"/>
        </w:r>
        <w:r>
          <w:rPr>
            <w:webHidden/>
          </w:rPr>
          <w:instrText xml:space="preserve"> PAGEREF _Toc96595105 \h </w:instrText>
        </w:r>
        <w:r>
          <w:rPr>
            <w:webHidden/>
          </w:rPr>
          <w:fldChar w:fldCharType="separate"/>
        </w:r>
        <w:r>
          <w:rPr>
            <w:webHidden/>
          </w:rPr>
          <w:t>19</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06" w:history="1">
        <w:r w:rsidRPr="004F4099">
          <w:rPr>
            <w:rStyle w:val="Hyperlink"/>
            <w:rFonts w:asciiTheme="minorEastAsia" w:hAnsiTheme="minorEastAsia" w:cs="Arial" w:hint="eastAsia"/>
            <w:bCs/>
          </w:rPr>
          <w:t>五、</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相关服务机构</w:t>
        </w:r>
        <w:r>
          <w:rPr>
            <w:webHidden/>
          </w:rPr>
          <w:tab/>
        </w:r>
        <w:r>
          <w:rPr>
            <w:webHidden/>
          </w:rPr>
          <w:fldChar w:fldCharType="begin"/>
        </w:r>
        <w:r>
          <w:rPr>
            <w:webHidden/>
          </w:rPr>
          <w:instrText xml:space="preserve"> PAGEREF _Toc96595106 \h </w:instrText>
        </w:r>
        <w:r>
          <w:rPr>
            <w:webHidden/>
          </w:rPr>
          <w:fldChar w:fldCharType="separate"/>
        </w:r>
        <w:r>
          <w:rPr>
            <w:webHidden/>
          </w:rPr>
          <w:t>22</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07" w:history="1">
        <w:r w:rsidRPr="004F4099">
          <w:rPr>
            <w:rStyle w:val="Hyperlink"/>
            <w:rFonts w:asciiTheme="minorEastAsia" w:hAnsiTheme="minorEastAsia" w:cs="Arial" w:hint="eastAsia"/>
            <w:bCs/>
          </w:rPr>
          <w:t>六、</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基金的历史沿革</w:t>
        </w:r>
        <w:r>
          <w:rPr>
            <w:webHidden/>
          </w:rPr>
          <w:tab/>
        </w:r>
        <w:r>
          <w:rPr>
            <w:webHidden/>
          </w:rPr>
          <w:fldChar w:fldCharType="begin"/>
        </w:r>
        <w:r>
          <w:rPr>
            <w:webHidden/>
          </w:rPr>
          <w:instrText xml:space="preserve"> PAGEREF _Toc96595107 \h </w:instrText>
        </w:r>
        <w:r>
          <w:rPr>
            <w:webHidden/>
          </w:rPr>
          <w:fldChar w:fldCharType="separate"/>
        </w:r>
        <w:r>
          <w:rPr>
            <w:webHidden/>
          </w:rPr>
          <w:t>24</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08" w:history="1">
        <w:r w:rsidRPr="004F4099">
          <w:rPr>
            <w:rStyle w:val="Hyperlink"/>
            <w:rFonts w:asciiTheme="minorEastAsia" w:hAnsiTheme="minorEastAsia" w:cs="Arial" w:hint="eastAsia"/>
            <w:bCs/>
          </w:rPr>
          <w:t>七、</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基金的存续</w:t>
        </w:r>
        <w:r>
          <w:rPr>
            <w:webHidden/>
          </w:rPr>
          <w:tab/>
        </w:r>
        <w:r>
          <w:rPr>
            <w:webHidden/>
          </w:rPr>
          <w:fldChar w:fldCharType="begin"/>
        </w:r>
        <w:r>
          <w:rPr>
            <w:webHidden/>
          </w:rPr>
          <w:instrText xml:space="preserve"> PAGEREF _Toc96595108 \h </w:instrText>
        </w:r>
        <w:r>
          <w:rPr>
            <w:webHidden/>
          </w:rPr>
          <w:fldChar w:fldCharType="separate"/>
        </w:r>
        <w:r>
          <w:rPr>
            <w:webHidden/>
          </w:rPr>
          <w:t>25</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09" w:history="1">
        <w:r w:rsidRPr="004F4099">
          <w:rPr>
            <w:rStyle w:val="Hyperlink"/>
            <w:rFonts w:asciiTheme="minorEastAsia" w:hAnsiTheme="minorEastAsia" w:cs="Arial" w:hint="eastAsia"/>
            <w:bCs/>
          </w:rPr>
          <w:t>八、</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基金份额的申购、赎回</w:t>
        </w:r>
        <w:r>
          <w:rPr>
            <w:webHidden/>
          </w:rPr>
          <w:tab/>
        </w:r>
        <w:r>
          <w:rPr>
            <w:webHidden/>
          </w:rPr>
          <w:fldChar w:fldCharType="begin"/>
        </w:r>
        <w:r>
          <w:rPr>
            <w:webHidden/>
          </w:rPr>
          <w:instrText xml:space="preserve"> PAGEREF _Toc96595109 \h </w:instrText>
        </w:r>
        <w:r>
          <w:rPr>
            <w:webHidden/>
          </w:rPr>
          <w:fldChar w:fldCharType="separate"/>
        </w:r>
        <w:r>
          <w:rPr>
            <w:webHidden/>
          </w:rPr>
          <w:t>26</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0" w:history="1">
        <w:r w:rsidRPr="004F4099">
          <w:rPr>
            <w:rStyle w:val="Hyperlink"/>
            <w:rFonts w:asciiTheme="minorEastAsia" w:hAnsiTheme="minorEastAsia" w:cs="Arial" w:hint="eastAsia"/>
          </w:rPr>
          <w:t>九、</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rPr>
          <w:t>基金转换</w:t>
        </w:r>
        <w:r>
          <w:rPr>
            <w:webHidden/>
          </w:rPr>
          <w:tab/>
        </w:r>
        <w:r>
          <w:rPr>
            <w:webHidden/>
          </w:rPr>
          <w:fldChar w:fldCharType="begin"/>
        </w:r>
        <w:r>
          <w:rPr>
            <w:webHidden/>
          </w:rPr>
          <w:instrText xml:space="preserve"> PAGEREF _Toc96595110 \h </w:instrText>
        </w:r>
        <w:r>
          <w:rPr>
            <w:webHidden/>
          </w:rPr>
          <w:fldChar w:fldCharType="separate"/>
        </w:r>
        <w:r>
          <w:rPr>
            <w:webHidden/>
          </w:rPr>
          <w:t>34</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1" w:history="1">
        <w:r w:rsidRPr="004F4099">
          <w:rPr>
            <w:rStyle w:val="Hyperlink"/>
            <w:rFonts w:asciiTheme="minorEastAsia" w:hAnsiTheme="minorEastAsia" w:cs="Arial" w:hint="eastAsia"/>
            <w:bCs/>
          </w:rPr>
          <w:t>十、</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rPr>
          <w:t>基金的非交易过户、转托管及</w:t>
        </w:r>
        <w:r w:rsidRPr="004F4099">
          <w:rPr>
            <w:rStyle w:val="Hyperlink"/>
            <w:rFonts w:asciiTheme="minorEastAsia" w:hAnsiTheme="minorEastAsia" w:cs="Arial" w:hint="eastAsia"/>
            <w:bCs/>
          </w:rPr>
          <w:t>冻结与解冻</w:t>
        </w:r>
        <w:r>
          <w:rPr>
            <w:webHidden/>
          </w:rPr>
          <w:tab/>
        </w:r>
        <w:r>
          <w:rPr>
            <w:webHidden/>
          </w:rPr>
          <w:fldChar w:fldCharType="begin"/>
        </w:r>
        <w:r>
          <w:rPr>
            <w:webHidden/>
          </w:rPr>
          <w:instrText xml:space="preserve"> PAGEREF _Toc96595111 \h </w:instrText>
        </w:r>
        <w:r>
          <w:rPr>
            <w:webHidden/>
          </w:rPr>
          <w:fldChar w:fldCharType="separate"/>
        </w:r>
        <w:r>
          <w:rPr>
            <w:webHidden/>
          </w:rPr>
          <w:t>39</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2" w:history="1">
        <w:r w:rsidRPr="004F4099">
          <w:rPr>
            <w:rStyle w:val="Hyperlink"/>
            <w:rFonts w:asciiTheme="minorEastAsia" w:hAnsiTheme="minorEastAsia" w:cs="Arial" w:hint="eastAsia"/>
          </w:rPr>
          <w:t>十一、</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基金的投资</w:t>
        </w:r>
        <w:r>
          <w:rPr>
            <w:webHidden/>
          </w:rPr>
          <w:tab/>
        </w:r>
        <w:r>
          <w:rPr>
            <w:webHidden/>
          </w:rPr>
          <w:fldChar w:fldCharType="begin"/>
        </w:r>
        <w:r>
          <w:rPr>
            <w:webHidden/>
          </w:rPr>
          <w:instrText xml:space="preserve"> PAGEREF _Toc96595112 \h </w:instrText>
        </w:r>
        <w:r>
          <w:rPr>
            <w:webHidden/>
          </w:rPr>
          <w:fldChar w:fldCharType="separate"/>
        </w:r>
        <w:r>
          <w:rPr>
            <w:webHidden/>
          </w:rPr>
          <w:t>40</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3" w:history="1">
        <w:r w:rsidRPr="004F4099">
          <w:rPr>
            <w:rStyle w:val="Hyperlink"/>
            <w:rFonts w:asciiTheme="minorEastAsia" w:hAnsiTheme="minorEastAsia" w:cs="Arial" w:hint="eastAsia"/>
            <w:bCs/>
          </w:rPr>
          <w:t>十二、</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基金的业绩</w:t>
        </w:r>
        <w:r>
          <w:rPr>
            <w:webHidden/>
          </w:rPr>
          <w:tab/>
        </w:r>
        <w:r>
          <w:rPr>
            <w:webHidden/>
          </w:rPr>
          <w:fldChar w:fldCharType="begin"/>
        </w:r>
        <w:r>
          <w:rPr>
            <w:webHidden/>
          </w:rPr>
          <w:instrText xml:space="preserve"> PAGEREF _Toc96595113 \h </w:instrText>
        </w:r>
        <w:r>
          <w:rPr>
            <w:webHidden/>
          </w:rPr>
          <w:fldChar w:fldCharType="separate"/>
        </w:r>
        <w:r>
          <w:rPr>
            <w:webHidden/>
          </w:rPr>
          <w:t>51</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4" w:history="1">
        <w:r w:rsidRPr="004F4099">
          <w:rPr>
            <w:rStyle w:val="Hyperlink"/>
            <w:rFonts w:asciiTheme="minorEastAsia" w:hAnsiTheme="minorEastAsia" w:cs="Arial" w:hint="eastAsia"/>
            <w:bCs/>
          </w:rPr>
          <w:t>十三、</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基金的财产</w:t>
        </w:r>
        <w:r>
          <w:rPr>
            <w:webHidden/>
          </w:rPr>
          <w:tab/>
        </w:r>
        <w:r>
          <w:rPr>
            <w:webHidden/>
          </w:rPr>
          <w:fldChar w:fldCharType="begin"/>
        </w:r>
        <w:r>
          <w:rPr>
            <w:webHidden/>
          </w:rPr>
          <w:instrText xml:space="preserve"> PAGEREF _Toc96595114 \h </w:instrText>
        </w:r>
        <w:r>
          <w:rPr>
            <w:webHidden/>
          </w:rPr>
          <w:fldChar w:fldCharType="separate"/>
        </w:r>
        <w:r>
          <w:rPr>
            <w:webHidden/>
          </w:rPr>
          <w:t>53</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5" w:history="1">
        <w:r w:rsidRPr="004F4099">
          <w:rPr>
            <w:rStyle w:val="Hyperlink"/>
            <w:rFonts w:asciiTheme="minorEastAsia" w:hAnsiTheme="minorEastAsia" w:cs="Arial" w:hint="eastAsia"/>
            <w:bCs/>
          </w:rPr>
          <w:t>十四、</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基金资产估值</w:t>
        </w:r>
        <w:r>
          <w:rPr>
            <w:webHidden/>
          </w:rPr>
          <w:tab/>
        </w:r>
        <w:r>
          <w:rPr>
            <w:webHidden/>
          </w:rPr>
          <w:fldChar w:fldCharType="begin"/>
        </w:r>
        <w:r>
          <w:rPr>
            <w:webHidden/>
          </w:rPr>
          <w:instrText xml:space="preserve"> PAGEREF _Toc96595115 \h </w:instrText>
        </w:r>
        <w:r>
          <w:rPr>
            <w:webHidden/>
          </w:rPr>
          <w:fldChar w:fldCharType="separate"/>
        </w:r>
        <w:r>
          <w:rPr>
            <w:webHidden/>
          </w:rPr>
          <w:t>54</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6" w:history="1">
        <w:r w:rsidRPr="004F4099">
          <w:rPr>
            <w:rStyle w:val="Hyperlink"/>
            <w:rFonts w:asciiTheme="minorEastAsia" w:hAnsiTheme="minorEastAsia" w:cs="Arial" w:hint="eastAsia"/>
            <w:bCs/>
          </w:rPr>
          <w:t>十五、</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基金的收益与分配</w:t>
        </w:r>
        <w:r>
          <w:rPr>
            <w:webHidden/>
          </w:rPr>
          <w:tab/>
        </w:r>
        <w:r>
          <w:rPr>
            <w:webHidden/>
          </w:rPr>
          <w:fldChar w:fldCharType="begin"/>
        </w:r>
        <w:r>
          <w:rPr>
            <w:webHidden/>
          </w:rPr>
          <w:instrText xml:space="preserve"> PAGEREF _Toc96595116 \h </w:instrText>
        </w:r>
        <w:r>
          <w:rPr>
            <w:webHidden/>
          </w:rPr>
          <w:fldChar w:fldCharType="separate"/>
        </w:r>
        <w:r>
          <w:rPr>
            <w:webHidden/>
          </w:rPr>
          <w:t>58</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7" w:history="1">
        <w:r w:rsidRPr="004F4099">
          <w:rPr>
            <w:rStyle w:val="Hyperlink"/>
            <w:rFonts w:asciiTheme="minorEastAsia" w:hAnsiTheme="minorEastAsia" w:cs="Arial" w:hint="eastAsia"/>
            <w:bCs/>
          </w:rPr>
          <w:t>十六、</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基金的费用与税收</w:t>
        </w:r>
        <w:r>
          <w:rPr>
            <w:webHidden/>
          </w:rPr>
          <w:tab/>
        </w:r>
        <w:r>
          <w:rPr>
            <w:webHidden/>
          </w:rPr>
          <w:fldChar w:fldCharType="begin"/>
        </w:r>
        <w:r>
          <w:rPr>
            <w:webHidden/>
          </w:rPr>
          <w:instrText xml:space="preserve"> PAGEREF _Toc96595117 \h </w:instrText>
        </w:r>
        <w:r>
          <w:rPr>
            <w:webHidden/>
          </w:rPr>
          <w:fldChar w:fldCharType="separate"/>
        </w:r>
        <w:r>
          <w:rPr>
            <w:webHidden/>
          </w:rPr>
          <w:t>60</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8" w:history="1">
        <w:r w:rsidRPr="004F4099">
          <w:rPr>
            <w:rStyle w:val="Hyperlink"/>
            <w:rFonts w:asciiTheme="minorEastAsia" w:hAnsiTheme="minorEastAsia" w:cs="Arial" w:hint="eastAsia"/>
            <w:bCs/>
          </w:rPr>
          <w:t>十七、</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基金的会计与审计</w:t>
        </w:r>
        <w:r>
          <w:rPr>
            <w:webHidden/>
          </w:rPr>
          <w:tab/>
        </w:r>
        <w:r>
          <w:rPr>
            <w:webHidden/>
          </w:rPr>
          <w:fldChar w:fldCharType="begin"/>
        </w:r>
        <w:r>
          <w:rPr>
            <w:webHidden/>
          </w:rPr>
          <w:instrText xml:space="preserve"> PAGEREF _Toc96595118 \h </w:instrText>
        </w:r>
        <w:r>
          <w:rPr>
            <w:webHidden/>
          </w:rPr>
          <w:fldChar w:fldCharType="separate"/>
        </w:r>
        <w:r>
          <w:rPr>
            <w:webHidden/>
          </w:rPr>
          <w:t>63</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19" w:history="1">
        <w:r w:rsidRPr="004F4099">
          <w:rPr>
            <w:rStyle w:val="Hyperlink"/>
            <w:rFonts w:asciiTheme="minorEastAsia" w:hAnsiTheme="minorEastAsia" w:cs="Arial" w:hint="eastAsia"/>
            <w:bCs/>
          </w:rPr>
          <w:t>十八、</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基金的信息披露</w:t>
        </w:r>
        <w:r>
          <w:rPr>
            <w:webHidden/>
          </w:rPr>
          <w:tab/>
        </w:r>
        <w:r>
          <w:rPr>
            <w:webHidden/>
          </w:rPr>
          <w:fldChar w:fldCharType="begin"/>
        </w:r>
        <w:r>
          <w:rPr>
            <w:webHidden/>
          </w:rPr>
          <w:instrText xml:space="preserve"> PAGEREF _Toc96595119 \h </w:instrText>
        </w:r>
        <w:r>
          <w:rPr>
            <w:webHidden/>
          </w:rPr>
          <w:fldChar w:fldCharType="separate"/>
        </w:r>
        <w:r>
          <w:rPr>
            <w:webHidden/>
          </w:rPr>
          <w:t>64</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0" w:history="1">
        <w:r w:rsidRPr="004F4099">
          <w:rPr>
            <w:rStyle w:val="Hyperlink"/>
            <w:rFonts w:asciiTheme="minorEastAsia" w:hAnsiTheme="minorEastAsia" w:cs="Arial" w:hint="eastAsia"/>
          </w:rPr>
          <w:t>十九、</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风险揭示</w:t>
        </w:r>
        <w:r>
          <w:rPr>
            <w:webHidden/>
          </w:rPr>
          <w:tab/>
        </w:r>
        <w:r>
          <w:rPr>
            <w:webHidden/>
          </w:rPr>
          <w:fldChar w:fldCharType="begin"/>
        </w:r>
        <w:r>
          <w:rPr>
            <w:webHidden/>
          </w:rPr>
          <w:instrText xml:space="preserve"> PAGEREF _Toc96595120 \h </w:instrText>
        </w:r>
        <w:r>
          <w:rPr>
            <w:webHidden/>
          </w:rPr>
          <w:fldChar w:fldCharType="separate"/>
        </w:r>
        <w:r>
          <w:rPr>
            <w:webHidden/>
          </w:rPr>
          <w:t>69</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1" w:history="1">
        <w:r w:rsidRPr="004F4099">
          <w:rPr>
            <w:rStyle w:val="Hyperlink"/>
            <w:rFonts w:asciiTheme="minorEastAsia" w:hAnsiTheme="minorEastAsia" w:cs="Arial" w:hint="eastAsia"/>
            <w:bCs/>
          </w:rPr>
          <w:t>二十、</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基金合同的变更、终止与基金财产的清算</w:t>
        </w:r>
        <w:r>
          <w:rPr>
            <w:webHidden/>
          </w:rPr>
          <w:tab/>
        </w:r>
        <w:r>
          <w:rPr>
            <w:webHidden/>
          </w:rPr>
          <w:fldChar w:fldCharType="begin"/>
        </w:r>
        <w:r>
          <w:rPr>
            <w:webHidden/>
          </w:rPr>
          <w:instrText xml:space="preserve"> PAGEREF _Toc96595121 \h </w:instrText>
        </w:r>
        <w:r>
          <w:rPr>
            <w:webHidden/>
          </w:rPr>
          <w:fldChar w:fldCharType="separate"/>
        </w:r>
        <w:r>
          <w:rPr>
            <w:webHidden/>
          </w:rPr>
          <w:t>75</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2" w:history="1">
        <w:r w:rsidRPr="004F4099">
          <w:rPr>
            <w:rStyle w:val="Hyperlink"/>
            <w:rFonts w:asciiTheme="minorEastAsia" w:hAnsiTheme="minorEastAsia" w:cs="Arial" w:hint="eastAsia"/>
          </w:rPr>
          <w:t>二十一、</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基金合同的内容摘要</w:t>
        </w:r>
        <w:r>
          <w:rPr>
            <w:webHidden/>
          </w:rPr>
          <w:tab/>
        </w:r>
        <w:r>
          <w:rPr>
            <w:webHidden/>
          </w:rPr>
          <w:fldChar w:fldCharType="begin"/>
        </w:r>
        <w:r>
          <w:rPr>
            <w:webHidden/>
          </w:rPr>
          <w:instrText xml:space="preserve"> PAGEREF _Toc96595122 \h </w:instrText>
        </w:r>
        <w:r>
          <w:rPr>
            <w:webHidden/>
          </w:rPr>
          <w:fldChar w:fldCharType="separate"/>
        </w:r>
        <w:r>
          <w:rPr>
            <w:webHidden/>
          </w:rPr>
          <w:t>77</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3" w:history="1">
        <w:r w:rsidRPr="004F4099">
          <w:rPr>
            <w:rStyle w:val="Hyperlink"/>
            <w:rFonts w:asciiTheme="minorEastAsia" w:hAnsiTheme="minorEastAsia" w:cs="Arial" w:hint="eastAsia"/>
            <w:bCs/>
          </w:rPr>
          <w:t>二十二、</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基金托管协议的内容摘要</w:t>
        </w:r>
        <w:r>
          <w:rPr>
            <w:webHidden/>
          </w:rPr>
          <w:tab/>
        </w:r>
        <w:r>
          <w:rPr>
            <w:webHidden/>
          </w:rPr>
          <w:fldChar w:fldCharType="begin"/>
        </w:r>
        <w:r>
          <w:rPr>
            <w:webHidden/>
          </w:rPr>
          <w:instrText xml:space="preserve"> PAGEREF _Toc96595123 \h </w:instrText>
        </w:r>
        <w:r>
          <w:rPr>
            <w:webHidden/>
          </w:rPr>
          <w:fldChar w:fldCharType="separate"/>
        </w:r>
        <w:r>
          <w:rPr>
            <w:webHidden/>
          </w:rPr>
          <w:t>99</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4" w:history="1">
        <w:r w:rsidRPr="004F4099">
          <w:rPr>
            <w:rStyle w:val="Hyperlink"/>
            <w:rFonts w:asciiTheme="minorEastAsia" w:hAnsiTheme="minorEastAsia" w:cs="Arial" w:hint="eastAsia"/>
            <w:bCs/>
          </w:rPr>
          <w:t>二十三、</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对基金份额持有人的服务</w:t>
        </w:r>
        <w:r>
          <w:rPr>
            <w:webHidden/>
          </w:rPr>
          <w:tab/>
        </w:r>
        <w:r>
          <w:rPr>
            <w:webHidden/>
          </w:rPr>
          <w:fldChar w:fldCharType="begin"/>
        </w:r>
        <w:r>
          <w:rPr>
            <w:webHidden/>
          </w:rPr>
          <w:instrText xml:space="preserve"> PAGEREF _Toc96595124 \h </w:instrText>
        </w:r>
        <w:r>
          <w:rPr>
            <w:webHidden/>
          </w:rPr>
          <w:fldChar w:fldCharType="separate"/>
        </w:r>
        <w:r>
          <w:rPr>
            <w:webHidden/>
          </w:rPr>
          <w:t>110</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5" w:history="1">
        <w:r w:rsidRPr="004F4099">
          <w:rPr>
            <w:rStyle w:val="Hyperlink"/>
            <w:rFonts w:asciiTheme="minorEastAsia" w:hAnsiTheme="minorEastAsia" w:cs="Arial" w:hint="eastAsia"/>
            <w:bCs/>
          </w:rPr>
          <w:t>二十四、</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其他应披露事项</w:t>
        </w:r>
        <w:r>
          <w:rPr>
            <w:webHidden/>
          </w:rPr>
          <w:tab/>
        </w:r>
        <w:r>
          <w:rPr>
            <w:webHidden/>
          </w:rPr>
          <w:fldChar w:fldCharType="begin"/>
        </w:r>
        <w:r>
          <w:rPr>
            <w:webHidden/>
          </w:rPr>
          <w:instrText xml:space="preserve"> PAGEREF _Toc96595125 \h </w:instrText>
        </w:r>
        <w:r>
          <w:rPr>
            <w:webHidden/>
          </w:rPr>
          <w:fldChar w:fldCharType="separate"/>
        </w:r>
        <w:r>
          <w:rPr>
            <w:webHidden/>
          </w:rPr>
          <w:t>112</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6" w:history="1">
        <w:r w:rsidRPr="004F4099">
          <w:rPr>
            <w:rStyle w:val="Hyperlink"/>
            <w:rFonts w:asciiTheme="minorEastAsia" w:hAnsiTheme="minorEastAsia" w:cs="Arial" w:hint="eastAsia"/>
            <w:bCs/>
          </w:rPr>
          <w:t>二十五、</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bCs/>
          </w:rPr>
          <w:t>招募说明书存放及查阅方式</w:t>
        </w:r>
        <w:r>
          <w:rPr>
            <w:webHidden/>
          </w:rPr>
          <w:tab/>
        </w:r>
        <w:r>
          <w:rPr>
            <w:webHidden/>
          </w:rPr>
          <w:fldChar w:fldCharType="begin"/>
        </w:r>
        <w:r>
          <w:rPr>
            <w:webHidden/>
          </w:rPr>
          <w:instrText xml:space="preserve"> PAGEREF _Toc96595126 \h </w:instrText>
        </w:r>
        <w:r>
          <w:rPr>
            <w:webHidden/>
          </w:rPr>
          <w:fldChar w:fldCharType="separate"/>
        </w:r>
        <w:r>
          <w:rPr>
            <w:webHidden/>
          </w:rPr>
          <w:t>113</w:t>
        </w:r>
        <w:r>
          <w:rPr>
            <w:webHidden/>
          </w:rPr>
          <w:fldChar w:fldCharType="end"/>
        </w:r>
      </w:hyperlink>
    </w:p>
    <w:p w:rsidR="00037207">
      <w:pPr>
        <w:pStyle w:val="TOC1"/>
        <w:rPr>
          <w:rFonts w:asciiTheme="minorHAnsi" w:eastAsiaTheme="minorEastAsia" w:hAnsiTheme="minorHAnsi" w:cstheme="minorBidi"/>
          <w:b w:val="0"/>
          <w:caps w:val="0"/>
          <w:sz w:val="21"/>
          <w:szCs w:val="22"/>
        </w:rPr>
      </w:pPr>
      <w:hyperlink w:anchor="_Toc96595127" w:history="1">
        <w:r w:rsidRPr="004F4099">
          <w:rPr>
            <w:rStyle w:val="Hyperlink"/>
            <w:rFonts w:asciiTheme="minorEastAsia" w:hAnsiTheme="minorEastAsia" w:cs="Arial" w:hint="eastAsia"/>
          </w:rPr>
          <w:t>二十六、</w:t>
        </w:r>
        <w:r>
          <w:rPr>
            <w:rFonts w:asciiTheme="minorHAnsi" w:eastAsiaTheme="minorEastAsia" w:hAnsiTheme="minorHAnsi" w:cstheme="minorBidi"/>
            <w:b w:val="0"/>
            <w:caps w:val="0"/>
            <w:sz w:val="21"/>
            <w:szCs w:val="22"/>
          </w:rPr>
          <w:tab/>
        </w:r>
        <w:r w:rsidRPr="004F4099">
          <w:rPr>
            <w:rStyle w:val="Hyperlink"/>
            <w:rFonts w:asciiTheme="minorEastAsia" w:hAnsiTheme="minorEastAsia" w:cs="Arial" w:hint="eastAsia"/>
          </w:rPr>
          <w:t>备查文件</w:t>
        </w:r>
        <w:r>
          <w:rPr>
            <w:webHidden/>
          </w:rPr>
          <w:tab/>
        </w:r>
        <w:r>
          <w:rPr>
            <w:webHidden/>
          </w:rPr>
          <w:fldChar w:fldCharType="begin"/>
        </w:r>
        <w:r>
          <w:rPr>
            <w:webHidden/>
          </w:rPr>
          <w:instrText xml:space="preserve"> PAGEREF _Toc96595127 \h </w:instrText>
        </w:r>
        <w:r>
          <w:rPr>
            <w:webHidden/>
          </w:rPr>
          <w:fldChar w:fldCharType="separate"/>
        </w:r>
        <w:r>
          <w:rPr>
            <w:webHidden/>
          </w:rPr>
          <w:t>114</w:t>
        </w:r>
        <w:r>
          <w:rPr>
            <w:webHidden/>
          </w:rPr>
          <w:fldChar w:fldCharType="end"/>
        </w:r>
      </w:hyperlink>
    </w:p>
    <w:p w:rsidR="001A7CDB" w:rsidRPr="001C6480" w:rsidP="00F71D3B">
      <w:pPr>
        <w:snapToGrid w:val="0"/>
        <w:spacing w:line="360" w:lineRule="auto"/>
        <w:jc w:val="center"/>
        <w:rPr>
          <w:rFonts w:asciiTheme="minorEastAsia" w:eastAsiaTheme="minorEastAsia" w:hAnsiTheme="minorEastAsia" w:cs="Arial"/>
          <w:color w:val="000000" w:themeColor="text1"/>
        </w:rPr>
        <w:sectPr w:rsidSect="00D648D0">
          <w:footerReference w:type="default" r:id="rId8"/>
          <w:pgSz w:w="11907" w:h="16840" w:code="9"/>
          <w:pgMar w:top="1701" w:right="1814" w:bottom="1701" w:left="1814" w:header="1134" w:footer="1247" w:gutter="0"/>
          <w:pgNumType w:fmt="upperRoman" w:start="1"/>
          <w:cols w:space="425"/>
          <w:docGrid w:type="linesAndChars" w:linePitch="447"/>
        </w:sectPr>
      </w:pPr>
      <w:r w:rsidRPr="001C6480">
        <w:rPr>
          <w:rFonts w:asciiTheme="minorEastAsia" w:eastAsiaTheme="minorEastAsia" w:hAnsiTheme="minorEastAsia" w:cs="Arial"/>
          <w:noProof/>
          <w:color w:val="000000" w:themeColor="text1"/>
          <w:kern w:val="2"/>
          <w:sz w:val="24"/>
          <w:szCs w:val="28"/>
        </w:rPr>
        <w:fldChar w:fldCharType="end"/>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color w:val="000000" w:themeColor="text1"/>
        </w:rPr>
      </w:pPr>
      <w:bookmarkStart w:id="0" w:name="_Toc38432421"/>
      <w:bookmarkStart w:id="1" w:name="_Toc96595102"/>
      <w:r w:rsidRPr="001C6480">
        <w:rPr>
          <w:rFonts w:asciiTheme="minorEastAsia" w:eastAsiaTheme="minorEastAsia" w:hAnsiTheme="minorEastAsia" w:cs="Arial" w:hint="eastAsia"/>
          <w:color w:val="000000" w:themeColor="text1"/>
        </w:rPr>
        <w:t>绪言</w:t>
      </w:r>
      <w:bookmarkEnd w:id="0"/>
      <w:bookmarkEnd w:id="1"/>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本《招募说明书》依据《中华人民共和国证券投资基金法》（以下简称《基金法》）、《证券投资基金运作管理办法》（以下简称《运作办法》）、《证券投资基金销售管理办法》（以下简称《销售办法》）、《</w:t>
      </w:r>
      <w:r w:rsidRPr="001C6480">
        <w:rPr>
          <w:rFonts w:asciiTheme="minorEastAsia" w:eastAsiaTheme="minorEastAsia" w:hAnsiTheme="minorEastAsia" w:cs="Arial" w:hint="eastAsia"/>
          <w:color w:val="000000" w:themeColor="text1"/>
        </w:rPr>
        <w:t>公开募集</w:t>
      </w:r>
      <w:r w:rsidRPr="001C6480">
        <w:rPr>
          <w:rFonts w:asciiTheme="minorEastAsia" w:eastAsiaTheme="minorEastAsia" w:hAnsiTheme="minorEastAsia" w:cs="Arial"/>
          <w:color w:val="000000" w:themeColor="text1"/>
        </w:rPr>
        <w:t>证券投资基金信息披露管理办法》（以下简称《信息披露办法》）、《证券投资基金信息披露内容与格式准则第5号&lt;招募说明书的内容与格式&gt;》、</w:t>
      </w:r>
      <w:r w:rsidRPr="001C6480">
        <w:rPr>
          <w:rFonts w:asciiTheme="minorEastAsia" w:eastAsiaTheme="minorEastAsia" w:hAnsiTheme="minorEastAsia" w:cs="Arial" w:hint="eastAsia"/>
          <w:color w:val="000000" w:themeColor="text1"/>
        </w:rPr>
        <w:t>《公开募集开放式证券投资基金流动性风险管理规定》（以下简称“《管理规定》”）、《公开募集证券投资基金运作指引第3号——指数基金指引》（以下简称《指数基金指引》）</w:t>
      </w:r>
      <w:r w:rsidRPr="001C6480">
        <w:rPr>
          <w:rFonts w:asciiTheme="minorEastAsia" w:eastAsiaTheme="minorEastAsia" w:hAnsiTheme="minorEastAsia" w:cs="Arial"/>
          <w:color w:val="000000" w:themeColor="text1"/>
        </w:rPr>
        <w:t>等有关法律法规以及《易方达沪深300量化增强证券投资基金基金合同》编写。</w:t>
      </w:r>
    </w:p>
    <w:p w:rsidR="001A7CDB" w:rsidRPr="001C6480" w:rsidP="00F71D3B">
      <w:pPr>
        <w:snapToGrid w:val="0"/>
        <w:spacing w:line="360" w:lineRule="auto"/>
        <w:ind w:firstLine="420"/>
        <w:rPr>
          <w:rStyle w:val="da"/>
          <w:rFonts w:asciiTheme="minorEastAsia" w:eastAsiaTheme="minorEastAsia" w:hAnsiTheme="minorEastAsia" w:cs="Arial"/>
          <w:color w:val="000000" w:themeColor="text1"/>
        </w:rPr>
      </w:pPr>
      <w:r w:rsidRPr="001C6480">
        <w:rPr>
          <w:rStyle w:val="da"/>
          <w:rFonts w:asciiTheme="minorEastAsia" w:eastAsiaTheme="minorEastAsia" w:hAnsiTheme="minorEastAsia" w:cs="Arial"/>
          <w:color w:val="000000" w:themeColor="text1"/>
        </w:rPr>
        <w:t>基金管理人承诺本招募说明书不存在任何虚假记载、误导性陈述或者重大遗漏</w:t>
      </w:r>
      <w:r w:rsidRPr="001C6480" w:rsidR="00E909B5">
        <w:rPr>
          <w:rStyle w:val="da"/>
          <w:rFonts w:asciiTheme="minorEastAsia" w:eastAsiaTheme="minorEastAsia" w:hAnsiTheme="minorEastAsia" w:cs="Arial" w:hint="eastAsia"/>
          <w:color w:val="000000" w:themeColor="text1"/>
        </w:rPr>
        <w:t>，</w:t>
      </w:r>
      <w:r w:rsidRPr="001C6480">
        <w:rPr>
          <w:rStyle w:val="da"/>
          <w:rFonts w:asciiTheme="minorEastAsia" w:eastAsiaTheme="minorEastAsia" w:hAnsiTheme="minorEastAsia" w:cs="Arial"/>
          <w:color w:val="000000" w:themeColor="text1"/>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A7CDB" w:rsidRPr="001C6480" w:rsidP="00F71D3B">
      <w:pPr>
        <w:snapToGrid w:val="0"/>
        <w:spacing w:line="360" w:lineRule="auto"/>
        <w:ind w:firstLine="420"/>
        <w:rPr>
          <w:rStyle w:val="da"/>
          <w:rFonts w:asciiTheme="minorEastAsia" w:eastAsiaTheme="minorEastAsia" w:hAnsiTheme="minorEastAsia" w:cs="Arial"/>
          <w:color w:val="000000" w:themeColor="text1"/>
        </w:rPr>
      </w:pPr>
      <w:r w:rsidRPr="001C6480">
        <w:rPr>
          <w:rStyle w:val="da"/>
          <w:rFonts w:asciiTheme="minorEastAsia" w:eastAsiaTheme="minorEastAsia" w:hAnsiTheme="minorEastAsia" w:cs="Arial"/>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A7CDB" w:rsidRPr="001C6480" w:rsidP="00F71D3B">
      <w:pPr>
        <w:snapToGrid w:val="0"/>
        <w:spacing w:line="360" w:lineRule="auto"/>
        <w:rPr>
          <w:rFonts w:asciiTheme="minorEastAsia" w:eastAsiaTheme="minorEastAsia" w:hAnsiTheme="minorEastAsia" w:cs="Arial"/>
          <w:color w:val="000000" w:themeColor="text1"/>
        </w:r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color w:val="000000" w:themeColor="text1"/>
        </w:rPr>
      </w:pPr>
      <w:bookmarkStart w:id="2" w:name="_Toc38432422"/>
      <w:bookmarkStart w:id="3" w:name="_Toc96595103"/>
      <w:r w:rsidRPr="001C6480">
        <w:rPr>
          <w:rFonts w:asciiTheme="minorEastAsia" w:eastAsiaTheme="minorEastAsia" w:hAnsiTheme="minorEastAsia" w:cs="Arial" w:hint="eastAsia"/>
          <w:color w:val="000000" w:themeColor="text1"/>
        </w:rPr>
        <w:t>释义</w:t>
      </w:r>
      <w:bookmarkEnd w:id="2"/>
      <w:bookmarkEnd w:id="3"/>
    </w:p>
    <w:p w:rsidR="001A7CDB" w:rsidRPr="001C6480" w:rsidP="00F71D3B">
      <w:pPr>
        <w:snapToGrid w:val="0"/>
        <w:spacing w:line="360" w:lineRule="auto"/>
        <w:ind w:firstLine="48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本《招募说明书》中除非文意另有所指，下列词语有如下含义：</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、基金或本基金：指易方达沪深</w:t>
      </w:r>
      <w:r w:rsidRPr="001C6480">
        <w:rPr>
          <w:rFonts w:asciiTheme="minorEastAsia" w:eastAsiaTheme="minorEastAsia" w:hAnsiTheme="minorEastAsia"/>
          <w:bCs/>
          <w:color w:val="000000" w:themeColor="text1"/>
        </w:rPr>
        <w:t>300</w:t>
      </w:r>
      <w:r w:rsidRPr="001C6480">
        <w:rPr>
          <w:rFonts w:asciiTheme="minorEastAsia" w:eastAsiaTheme="minorEastAsia" w:hAnsiTheme="minorEastAsia" w:hint="eastAsia"/>
          <w:bCs/>
          <w:color w:val="000000" w:themeColor="text1"/>
        </w:rPr>
        <w:t>量化增强证券投资基金</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、基金管理人：指易方达基金管理有限公司</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、基金托管人：指中国建设银行股份有限公司</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w:t>
      </w:r>
      <w:r w:rsidRPr="001C6480">
        <w:rPr>
          <w:rFonts w:asciiTheme="minorEastAsia" w:eastAsiaTheme="minorEastAsia" w:hAnsiTheme="minorEastAsia" w:hint="eastAsia"/>
          <w:bCs/>
          <w:color w:val="000000" w:themeColor="text1"/>
        </w:rPr>
        <w:t>、基金合同：指《易方达沪深</w:t>
      </w:r>
      <w:r w:rsidRPr="001C6480">
        <w:rPr>
          <w:rFonts w:asciiTheme="minorEastAsia" w:eastAsiaTheme="minorEastAsia" w:hAnsiTheme="minorEastAsia"/>
          <w:bCs/>
          <w:color w:val="000000" w:themeColor="text1"/>
        </w:rPr>
        <w:t>300</w:t>
      </w:r>
      <w:r w:rsidRPr="001C6480">
        <w:rPr>
          <w:rFonts w:asciiTheme="minorEastAsia" w:eastAsiaTheme="minorEastAsia" w:hAnsiTheme="minorEastAsia" w:hint="eastAsia"/>
          <w:bCs/>
          <w:color w:val="000000" w:themeColor="text1"/>
        </w:rPr>
        <w:t>量化增强证券投资基金基金合同》及对基金合同的任何有效修订和补充</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5</w:t>
      </w:r>
      <w:r w:rsidRPr="001C6480">
        <w:rPr>
          <w:rFonts w:asciiTheme="minorEastAsia" w:eastAsiaTheme="minorEastAsia" w:hAnsiTheme="minorEastAsia" w:hint="eastAsia"/>
          <w:bCs/>
          <w:color w:val="000000" w:themeColor="text1"/>
        </w:rPr>
        <w:t>、托管协议：指基金管理人与基金托管人就本基金签订之《易方达沪深</w:t>
      </w:r>
      <w:r w:rsidRPr="001C6480">
        <w:rPr>
          <w:rFonts w:asciiTheme="minorEastAsia" w:eastAsiaTheme="minorEastAsia" w:hAnsiTheme="minorEastAsia"/>
          <w:bCs/>
          <w:color w:val="000000" w:themeColor="text1"/>
        </w:rPr>
        <w:t>300</w:t>
      </w:r>
      <w:r w:rsidRPr="001C6480">
        <w:rPr>
          <w:rFonts w:asciiTheme="minorEastAsia" w:eastAsiaTheme="minorEastAsia" w:hAnsiTheme="minorEastAsia" w:hint="eastAsia"/>
          <w:bCs/>
          <w:color w:val="000000" w:themeColor="text1"/>
        </w:rPr>
        <w:t>量化增强证券投资基金托管协议》及对该托管协议的任何有效修订和补充</w:t>
      </w:r>
    </w:p>
    <w:p w:rsidR="00051A06" w:rsidRPr="001C6480" w:rsidP="00051A06">
      <w:pPr>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、招募说明书或本招募说明书：指《易方达沪深</w:t>
      </w:r>
      <w:r w:rsidRPr="001C6480">
        <w:rPr>
          <w:rFonts w:asciiTheme="minorEastAsia" w:eastAsiaTheme="minorEastAsia" w:hAnsiTheme="minorEastAsia"/>
          <w:bCs/>
          <w:color w:val="000000" w:themeColor="text1"/>
        </w:rPr>
        <w:t>300</w:t>
      </w:r>
      <w:r w:rsidRPr="001C6480">
        <w:rPr>
          <w:rFonts w:asciiTheme="minorEastAsia" w:eastAsiaTheme="minorEastAsia" w:hAnsiTheme="minorEastAsia" w:hint="eastAsia"/>
          <w:bCs/>
          <w:color w:val="000000" w:themeColor="text1"/>
        </w:rPr>
        <w:t>量化增强证券投资基金招募说明书》及其更新</w:t>
      </w:r>
    </w:p>
    <w:p w:rsidR="00051A06" w:rsidRPr="001C6480" w:rsidP="006D6AC5">
      <w:pPr>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7</w:t>
      </w:r>
      <w:r w:rsidRPr="001C6480">
        <w:rPr>
          <w:rFonts w:asciiTheme="minorEastAsia" w:eastAsiaTheme="minorEastAsia" w:hAnsiTheme="minorEastAsia" w:hint="eastAsia"/>
          <w:bCs/>
          <w:color w:val="000000" w:themeColor="text1"/>
        </w:rPr>
        <w:t>、基金产品资料概要：指《易方达沪深</w:t>
      </w:r>
      <w:r w:rsidRPr="001C6480">
        <w:rPr>
          <w:rFonts w:asciiTheme="minorEastAsia" w:eastAsiaTheme="minorEastAsia" w:hAnsiTheme="minorEastAsia"/>
          <w:bCs/>
          <w:color w:val="000000" w:themeColor="text1"/>
        </w:rPr>
        <w:t>300</w:t>
      </w:r>
      <w:r w:rsidRPr="001C6480">
        <w:rPr>
          <w:rFonts w:asciiTheme="minorEastAsia" w:eastAsiaTheme="minorEastAsia" w:hAnsiTheme="minorEastAsia" w:hint="eastAsia"/>
          <w:bCs/>
          <w:color w:val="000000" w:themeColor="text1"/>
        </w:rPr>
        <w:t>量化增强证券投资基金基金产品资料概要》及其更新</w:t>
      </w:r>
    </w:p>
    <w:p w:rsidR="002B5E93"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8</w:t>
      </w:r>
      <w:r w:rsidRPr="001C6480" w:rsidR="00A03877">
        <w:rPr>
          <w:rFonts w:asciiTheme="minorEastAsia" w:eastAsiaTheme="minorEastAsia" w:hAnsiTheme="minorEastAsia" w:hint="eastAsia"/>
          <w:bCs/>
          <w:color w:val="000000" w:themeColor="text1"/>
        </w:rPr>
        <w:t>、</w:t>
      </w:r>
      <w:r w:rsidRPr="001C6480">
        <w:rPr>
          <w:rFonts w:asciiTheme="minorEastAsia" w:eastAsiaTheme="minorEastAsia" w:hAnsiTheme="minorEastAsia" w:hint="eastAsia"/>
          <w:bCs/>
          <w:color w:val="000000" w:themeColor="text1"/>
        </w:rPr>
        <w:t>标的指数：指中证指数有限公司编制并发布的沪深</w:t>
      </w:r>
      <w:r w:rsidRPr="001C6480">
        <w:rPr>
          <w:rFonts w:asciiTheme="minorEastAsia" w:eastAsiaTheme="minorEastAsia" w:hAnsiTheme="minorEastAsia"/>
          <w:bCs/>
          <w:color w:val="000000" w:themeColor="text1"/>
        </w:rPr>
        <w:t>300</w:t>
      </w:r>
      <w:r w:rsidRPr="001C6480">
        <w:rPr>
          <w:rFonts w:asciiTheme="minorEastAsia" w:eastAsiaTheme="minorEastAsia" w:hAnsiTheme="minorEastAsia" w:hint="eastAsia"/>
          <w:bCs/>
          <w:color w:val="000000" w:themeColor="text1"/>
        </w:rPr>
        <w:t>指数及其未来可能发生的变更</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sz w:val="24"/>
        </w:rPr>
      </w:pPr>
      <w:r w:rsidRPr="001C6480">
        <w:rPr>
          <w:rFonts w:asciiTheme="minorEastAsia" w:eastAsiaTheme="minorEastAsia" w:hAnsiTheme="minorEastAsia"/>
          <w:bCs/>
          <w:color w:val="000000" w:themeColor="text1"/>
        </w:rPr>
        <w:t>9</w:t>
      </w:r>
      <w:r w:rsidRPr="001C6480" w:rsidR="00002DCA">
        <w:rPr>
          <w:rFonts w:asciiTheme="minorEastAsia" w:eastAsiaTheme="minorEastAsia" w:hAnsiTheme="minorEastAsia" w:hint="eastAsia"/>
          <w:bCs/>
          <w:color w:val="000000" w:themeColor="text1"/>
        </w:rPr>
        <w:t>、</w:t>
      </w:r>
      <w:r w:rsidRPr="001C6480">
        <w:rPr>
          <w:rFonts w:asciiTheme="minorEastAsia" w:eastAsiaTheme="minorEastAsia" w:hAnsiTheme="minorEastAsia" w:hint="eastAsia"/>
          <w:bCs/>
          <w:color w:val="000000" w:themeColor="text1"/>
        </w:rPr>
        <w:t>法律法规：指中国现行有效并公布实施的法律、行政法规、规范性文件、司法解释、行政规章以及其他对基金合同当事人有约束力的决定、决议、通知等</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10</w:t>
      </w:r>
      <w:r w:rsidRPr="001C6480" w:rsidR="00002DCA">
        <w:rPr>
          <w:rFonts w:asciiTheme="minorEastAsia" w:eastAsiaTheme="minorEastAsia" w:hAnsiTheme="minorEastAsia" w:hint="eastAsia"/>
          <w:bCs/>
          <w:color w:val="000000" w:themeColor="text1"/>
        </w:rPr>
        <w:t>、</w:t>
      </w:r>
      <w:r w:rsidRPr="001C6480">
        <w:rPr>
          <w:rFonts w:asciiTheme="minorEastAsia" w:eastAsiaTheme="minorEastAsia" w:hAnsiTheme="minorEastAsia" w:hint="eastAsia"/>
          <w:bCs/>
          <w:color w:val="000000" w:themeColor="text1"/>
        </w:rPr>
        <w:t>《基金法》：指</w:t>
      </w:r>
      <w:r w:rsidRPr="001C6480">
        <w:rPr>
          <w:rFonts w:asciiTheme="minorEastAsia" w:eastAsiaTheme="minorEastAsia" w:hAnsiTheme="minorEastAsia"/>
          <w:bCs/>
          <w:color w:val="000000" w:themeColor="text1"/>
        </w:rPr>
        <w:t>2003</w:t>
      </w:r>
      <w:r w:rsidRPr="001C6480">
        <w:rPr>
          <w:rFonts w:asciiTheme="minorEastAsia" w:eastAsiaTheme="minorEastAsia" w:hAnsiTheme="minorEastAsia" w:hint="eastAsia"/>
          <w:bCs/>
          <w:color w:val="000000" w:themeColor="text1"/>
        </w:rPr>
        <w:t>年</w:t>
      </w:r>
      <w:r w:rsidRPr="001C6480">
        <w:rPr>
          <w:rFonts w:asciiTheme="minorEastAsia" w:eastAsiaTheme="minorEastAsia" w:hAnsiTheme="minorEastAsia"/>
          <w:bCs/>
          <w:color w:val="000000" w:themeColor="text1"/>
        </w:rPr>
        <w:t>10</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28</w:t>
      </w:r>
      <w:r w:rsidRPr="001C6480">
        <w:rPr>
          <w:rFonts w:asciiTheme="minorEastAsia" w:eastAsiaTheme="minorEastAsia" w:hAnsiTheme="minorEastAsia" w:hint="eastAsia"/>
          <w:bCs/>
          <w:color w:val="000000" w:themeColor="text1"/>
        </w:rPr>
        <w:t>日经第十届全国人民代表大会常务委员会第五次会议通过，自</w:t>
      </w:r>
      <w:r w:rsidRPr="001C6480">
        <w:rPr>
          <w:rFonts w:asciiTheme="minorEastAsia" w:eastAsiaTheme="minorEastAsia" w:hAnsiTheme="minorEastAsia"/>
          <w:bCs/>
          <w:color w:val="000000" w:themeColor="text1"/>
        </w:rPr>
        <w:t>2004</w:t>
      </w:r>
      <w:r w:rsidRPr="001C6480">
        <w:rPr>
          <w:rFonts w:asciiTheme="minorEastAsia" w:eastAsiaTheme="minorEastAsia" w:hAnsiTheme="minorEastAsia" w:hint="eastAsia"/>
          <w:bCs/>
          <w:color w:val="000000" w:themeColor="text1"/>
        </w:rPr>
        <w:t>年</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日起实施的《中华人民共和国证券投资基金法》及颁布机关对其不时做出的修订</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11</w:t>
      </w:r>
      <w:r w:rsidRPr="001C6480" w:rsidR="00002DCA">
        <w:rPr>
          <w:rFonts w:asciiTheme="minorEastAsia" w:eastAsiaTheme="minorEastAsia" w:hAnsiTheme="minorEastAsia" w:hint="eastAsia"/>
          <w:bCs/>
          <w:color w:val="000000" w:themeColor="text1"/>
        </w:rPr>
        <w:t>、</w:t>
      </w:r>
      <w:r w:rsidRPr="001C6480">
        <w:rPr>
          <w:rFonts w:asciiTheme="minorEastAsia" w:eastAsiaTheme="minorEastAsia" w:hAnsiTheme="minorEastAsia" w:hint="eastAsia"/>
          <w:bCs/>
          <w:color w:val="000000" w:themeColor="text1"/>
        </w:rPr>
        <w:t>《销售办法》：指中国证监会</w:t>
      </w:r>
      <w:r w:rsidRPr="001C6480">
        <w:rPr>
          <w:rFonts w:asciiTheme="minorEastAsia" w:eastAsiaTheme="minorEastAsia" w:hAnsiTheme="minorEastAsia"/>
          <w:bCs/>
          <w:color w:val="000000" w:themeColor="text1"/>
        </w:rPr>
        <w:t>2011</w:t>
      </w:r>
      <w:r w:rsidRPr="001C6480">
        <w:rPr>
          <w:rFonts w:asciiTheme="minorEastAsia" w:eastAsiaTheme="minorEastAsia" w:hAnsiTheme="minorEastAsia" w:hint="eastAsia"/>
          <w:bCs/>
          <w:color w:val="000000" w:themeColor="text1"/>
        </w:rPr>
        <w:t>年</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9</w:t>
      </w:r>
      <w:r w:rsidRPr="001C6480">
        <w:rPr>
          <w:rFonts w:asciiTheme="minorEastAsia" w:eastAsiaTheme="minorEastAsia" w:hAnsiTheme="minorEastAsia" w:hint="eastAsia"/>
          <w:bCs/>
          <w:color w:val="000000" w:themeColor="text1"/>
        </w:rPr>
        <w:t>日颁布、同年</w:t>
      </w:r>
      <w:r w:rsidRPr="001C6480">
        <w:rPr>
          <w:rFonts w:asciiTheme="minorEastAsia" w:eastAsiaTheme="minorEastAsia" w:hAnsiTheme="minorEastAsia"/>
          <w:bCs/>
          <w:color w:val="000000" w:themeColor="text1"/>
        </w:rPr>
        <w:t>10</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日实施的《证券投资基金销售管理办法》及颁布机关对其不时做出的修订</w:t>
      </w:r>
    </w:p>
    <w:p w:rsidR="00051A06"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12</w:t>
      </w:r>
      <w:r w:rsidRPr="001C6480" w:rsidR="00002DCA">
        <w:rPr>
          <w:rFonts w:asciiTheme="minorEastAsia" w:eastAsiaTheme="minorEastAsia" w:hAnsiTheme="minorEastAsia" w:hint="eastAsia"/>
          <w:bCs/>
          <w:color w:val="000000" w:themeColor="text1"/>
        </w:rPr>
        <w:t>、</w:t>
      </w:r>
      <w:r w:rsidRPr="001C6480" w:rsidR="00A03877">
        <w:rPr>
          <w:rFonts w:asciiTheme="minorEastAsia" w:eastAsiaTheme="minorEastAsia" w:hAnsiTheme="minorEastAsia" w:hint="eastAsia"/>
          <w:bCs/>
          <w:color w:val="000000" w:themeColor="text1"/>
        </w:rPr>
        <w:t>《信息披露办法》：</w:t>
      </w:r>
      <w:r w:rsidRPr="001C6480">
        <w:rPr>
          <w:rFonts w:asciiTheme="minorEastAsia" w:eastAsiaTheme="minorEastAsia" w:hAnsiTheme="minorEastAsia" w:hint="eastAsia"/>
          <w:bCs/>
          <w:color w:val="000000" w:themeColor="text1"/>
        </w:rPr>
        <w:t>指中国证监会</w:t>
      </w:r>
      <w:r w:rsidRPr="001C6480">
        <w:rPr>
          <w:rFonts w:asciiTheme="minorEastAsia" w:eastAsiaTheme="minorEastAsia" w:hAnsiTheme="minorEastAsia"/>
          <w:bCs/>
          <w:color w:val="000000" w:themeColor="text1"/>
        </w:rPr>
        <w:t>2019</w:t>
      </w:r>
      <w:r w:rsidRPr="001C6480">
        <w:rPr>
          <w:rFonts w:asciiTheme="minorEastAsia" w:eastAsiaTheme="minorEastAsia" w:hAnsiTheme="minorEastAsia" w:hint="eastAsia"/>
          <w:bCs/>
          <w:color w:val="000000" w:themeColor="text1"/>
        </w:rPr>
        <w:t>年</w:t>
      </w:r>
      <w:r w:rsidRPr="001C6480">
        <w:rPr>
          <w:rFonts w:asciiTheme="minorEastAsia" w:eastAsiaTheme="minorEastAsia" w:hAnsiTheme="minorEastAsia"/>
          <w:bCs/>
          <w:color w:val="000000" w:themeColor="text1"/>
        </w:rPr>
        <w:t>7</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26</w:t>
      </w:r>
      <w:r w:rsidRPr="001C6480">
        <w:rPr>
          <w:rFonts w:asciiTheme="minorEastAsia" w:eastAsiaTheme="minorEastAsia" w:hAnsiTheme="minorEastAsia" w:hint="eastAsia"/>
          <w:bCs/>
          <w:color w:val="000000" w:themeColor="text1"/>
        </w:rPr>
        <w:t>日颁布、同年</w:t>
      </w:r>
      <w:r w:rsidRPr="001C6480">
        <w:rPr>
          <w:rFonts w:asciiTheme="minorEastAsia" w:eastAsiaTheme="minorEastAsia" w:hAnsiTheme="minorEastAsia"/>
          <w:bCs/>
          <w:color w:val="000000" w:themeColor="text1"/>
        </w:rPr>
        <w:t>9</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日实施的《公开募集证券投资基金信息披露管理办法》及颁布机关对其不时做出的修订</w:t>
      </w:r>
    </w:p>
    <w:p w:rsidR="00A03877"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sidR="00051A06">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、《运作办法》：指中国证监会</w:t>
      </w:r>
      <w:r w:rsidRPr="001C6480">
        <w:rPr>
          <w:rFonts w:asciiTheme="minorEastAsia" w:eastAsiaTheme="minorEastAsia" w:hAnsiTheme="minorEastAsia"/>
          <w:bCs/>
          <w:color w:val="000000" w:themeColor="text1"/>
        </w:rPr>
        <w:t>2004</w:t>
      </w:r>
      <w:r w:rsidRPr="001C6480">
        <w:rPr>
          <w:rFonts w:asciiTheme="minorEastAsia" w:eastAsiaTheme="minorEastAsia" w:hAnsiTheme="minorEastAsia" w:hint="eastAsia"/>
          <w:bCs/>
          <w:color w:val="000000" w:themeColor="text1"/>
        </w:rPr>
        <w:t>年</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29</w:t>
      </w:r>
      <w:r w:rsidRPr="001C6480">
        <w:rPr>
          <w:rFonts w:asciiTheme="minorEastAsia" w:eastAsiaTheme="minorEastAsia" w:hAnsiTheme="minorEastAsia" w:hint="eastAsia"/>
          <w:bCs/>
          <w:color w:val="000000" w:themeColor="text1"/>
        </w:rPr>
        <w:t>日颁布、同年</w:t>
      </w:r>
      <w:r w:rsidRPr="001C6480">
        <w:rPr>
          <w:rFonts w:asciiTheme="minorEastAsia" w:eastAsiaTheme="minorEastAsia" w:hAnsiTheme="minorEastAsia"/>
          <w:bCs/>
          <w:color w:val="000000" w:themeColor="text1"/>
        </w:rPr>
        <w:t>7</w:t>
      </w:r>
      <w:r w:rsidRPr="001C6480">
        <w:rPr>
          <w:rFonts w:asciiTheme="minorEastAsia" w:eastAsiaTheme="minorEastAsia" w:hAnsiTheme="minorEastAsia" w:hint="eastAsia"/>
          <w:bCs/>
          <w:color w:val="000000" w:themeColor="text1"/>
        </w:rPr>
        <w:t>月</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日实施的《证券投资基金运作管理办法》及颁布机关对其不时做出的修订</w:t>
      </w:r>
    </w:p>
    <w:p w:rsidR="00E80743"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4</w:t>
      </w:r>
      <w:r w:rsidRPr="001C6480">
        <w:rPr>
          <w:rFonts w:asciiTheme="minorEastAsia" w:eastAsiaTheme="minorEastAsia" w:hAnsiTheme="minorEastAsia" w:hint="eastAsia"/>
          <w:bCs/>
          <w:color w:val="000000" w:themeColor="text1"/>
        </w:rPr>
        <w:t>、《管理规定》：指中国证监会2017年8月31日颁布、同年10月1日实施的《公开募集开放式证券投资基金流动性风险管理规定》及颁布机关对其不时做出的修订</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15</w:t>
      </w:r>
      <w:r w:rsidRPr="001C6480">
        <w:rPr>
          <w:rFonts w:asciiTheme="minorEastAsia" w:eastAsiaTheme="minorEastAsia" w:hAnsiTheme="minorEastAsia" w:hint="eastAsia"/>
          <w:bCs/>
          <w:color w:val="000000" w:themeColor="text1"/>
        </w:rPr>
        <w:t>、《指数基金指引》：指中国证监会2021年1月22日颁布、同年2月1日实施的《公开募集证券投资基金运作指引第3号——指数基金指引》及颁布机关对其不时做出的修订</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、中国证监会：指中国证券监督管理委员会</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17</w:t>
      </w:r>
      <w:r w:rsidRPr="001C6480">
        <w:rPr>
          <w:rFonts w:asciiTheme="minorEastAsia" w:eastAsiaTheme="minorEastAsia" w:hAnsiTheme="minorEastAsia" w:hint="eastAsia"/>
          <w:bCs/>
          <w:color w:val="000000" w:themeColor="text1"/>
        </w:rPr>
        <w:t>、银行业监督管理机构：指中国人民银行和</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或中国银行保险监督管理委员会</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18</w:t>
      </w:r>
      <w:r w:rsidRPr="001C6480">
        <w:rPr>
          <w:rFonts w:asciiTheme="minorEastAsia" w:eastAsiaTheme="minorEastAsia" w:hAnsiTheme="minorEastAsia" w:hint="eastAsia"/>
          <w:bCs/>
          <w:color w:val="000000" w:themeColor="text1"/>
        </w:rPr>
        <w:t>、基金合同当事人：指受基金合同约束，根据基金合同享有权利并承担义务的法律主体，包括基金管理人、基金托管人和基金份额持有人</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19</w:t>
      </w:r>
      <w:r w:rsidRPr="001C6480">
        <w:rPr>
          <w:rFonts w:asciiTheme="minorEastAsia" w:eastAsiaTheme="minorEastAsia" w:hAnsiTheme="minorEastAsia" w:hint="eastAsia"/>
          <w:bCs/>
          <w:color w:val="000000" w:themeColor="text1"/>
        </w:rPr>
        <w:t>、个人投资者：指依据有关法律法规规定可投资于证券投资基金的自然人</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20</w:t>
      </w:r>
      <w:r w:rsidRPr="001C6480">
        <w:rPr>
          <w:rFonts w:asciiTheme="minorEastAsia" w:eastAsiaTheme="minorEastAsia" w:hAnsiTheme="minorEastAsia" w:hint="eastAsia"/>
          <w:bCs/>
          <w:color w:val="000000" w:themeColor="text1"/>
        </w:rPr>
        <w:t>、机构投资者：指依法可以投资证券投资基金的、在中华人民共和国境内合法登记并存续或经有关政府部门批准设立并存续的企业法人、事业法人、社会团体或其他组织</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21</w:t>
      </w:r>
      <w:r w:rsidRPr="001C6480">
        <w:rPr>
          <w:rFonts w:asciiTheme="minorEastAsia" w:eastAsiaTheme="minorEastAsia" w:hAnsiTheme="minorEastAsia" w:hint="eastAsia"/>
          <w:bCs/>
          <w:color w:val="000000" w:themeColor="text1"/>
        </w:rPr>
        <w:t>、合格境外机构投资者：指符合现实有效的相关法律法规规定可以投资于中国境内证券市场的中国境外的机构投资者</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、投资人：指个人投资者、机构投资者和合格境外机构投资者以及法律法规或中国证监会允许购买证券投资基金的其他投资人的合称</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23</w:t>
      </w:r>
      <w:r w:rsidRPr="001C6480">
        <w:rPr>
          <w:rFonts w:asciiTheme="minorEastAsia" w:eastAsiaTheme="minorEastAsia" w:hAnsiTheme="minorEastAsia" w:hint="eastAsia"/>
          <w:bCs/>
          <w:color w:val="000000" w:themeColor="text1"/>
        </w:rPr>
        <w:t>、基金份额持有人：指依基金合同和招募说明书合法取得基金份额的投资人</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24</w:t>
      </w:r>
      <w:r w:rsidRPr="001C6480">
        <w:rPr>
          <w:rFonts w:asciiTheme="minorEastAsia" w:eastAsiaTheme="minorEastAsia" w:hAnsiTheme="minorEastAsia" w:hint="eastAsia"/>
          <w:bCs/>
          <w:color w:val="000000" w:themeColor="text1"/>
        </w:rPr>
        <w:t>、基金销售业务：指基金管理人或销售机构宣传推介基金，发售基金份额，办理基金份额的申购、赎回、转换、非交易过户、转托管及定期定额投资等业务</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25</w:t>
      </w:r>
      <w:r w:rsidRPr="001C6480">
        <w:rPr>
          <w:rFonts w:asciiTheme="minorEastAsia" w:eastAsiaTheme="minorEastAsia" w:hAnsiTheme="minorEastAsia" w:hint="eastAsia"/>
          <w:bCs/>
          <w:color w:val="000000" w:themeColor="text1"/>
        </w:rPr>
        <w:t>、销售机构：指易方达基金管理有限公司以及符合《销售办法》和中国证监会规定的其他条件，取得基金</w:t>
      </w:r>
      <w:r w:rsidRPr="001C6480">
        <w:rPr>
          <w:rFonts w:asciiTheme="minorEastAsia" w:eastAsiaTheme="minorEastAsia" w:hAnsiTheme="minorEastAsia" w:hint="eastAsia"/>
          <w:color w:val="000000" w:themeColor="text1"/>
        </w:rPr>
        <w:t>销售</w:t>
      </w:r>
      <w:r w:rsidRPr="001C6480">
        <w:rPr>
          <w:rFonts w:asciiTheme="minorEastAsia" w:eastAsiaTheme="minorEastAsia" w:hAnsiTheme="minorEastAsia" w:hint="eastAsia"/>
          <w:bCs/>
          <w:color w:val="000000" w:themeColor="text1"/>
        </w:rPr>
        <w:t>业务资格</w:t>
      </w:r>
      <w:r w:rsidRPr="001C6480">
        <w:rPr>
          <w:rFonts w:asciiTheme="minorEastAsia" w:eastAsiaTheme="minorEastAsia" w:hAnsiTheme="minorEastAsia" w:hint="eastAsia"/>
          <w:color w:val="000000" w:themeColor="text1"/>
        </w:rPr>
        <w:t>并与基金管理人签订了基金销售服务协议</w:t>
      </w:r>
      <w:r w:rsidRPr="001C6480">
        <w:rPr>
          <w:rFonts w:asciiTheme="minorEastAsia" w:eastAsiaTheme="minorEastAsia" w:hAnsiTheme="minorEastAsia" w:hint="eastAsia"/>
          <w:bCs/>
          <w:color w:val="000000" w:themeColor="text1"/>
        </w:rPr>
        <w:t>，办理基金销售业务的机构</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26</w:t>
      </w:r>
      <w:r w:rsidRPr="001C6480">
        <w:rPr>
          <w:rFonts w:asciiTheme="minorEastAsia" w:eastAsiaTheme="minorEastAsia" w:hAnsiTheme="minorEastAsia" w:hint="eastAsia"/>
          <w:bCs/>
          <w:color w:val="000000" w:themeColor="text1"/>
        </w:rPr>
        <w:t>、注册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27</w:t>
      </w:r>
      <w:r w:rsidRPr="001C6480">
        <w:rPr>
          <w:rFonts w:asciiTheme="minorEastAsia" w:eastAsiaTheme="minorEastAsia" w:hAnsiTheme="minorEastAsia" w:hint="eastAsia"/>
          <w:bCs/>
          <w:color w:val="000000" w:themeColor="text1"/>
        </w:rPr>
        <w:t>、注册登记机构：指办理注册登记业务的机构。本基金的注册登记机构为易方达基金管理有限公司或接受易方达基金管理有限公司委托代为办理登记业务的机构</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28</w:t>
      </w:r>
      <w:r w:rsidRPr="001C6480">
        <w:rPr>
          <w:rFonts w:asciiTheme="minorEastAsia" w:eastAsiaTheme="minorEastAsia" w:hAnsiTheme="minorEastAsia" w:hint="eastAsia"/>
          <w:bCs/>
          <w:color w:val="000000" w:themeColor="text1"/>
        </w:rPr>
        <w:t>、基金账户：指注册登记机构为投资人开立的、记录其持有的、基金管理人所管理的基金份额余额及其变动情况的账户</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29</w:t>
      </w:r>
      <w:r w:rsidRPr="001C6480">
        <w:rPr>
          <w:rFonts w:asciiTheme="minorEastAsia" w:eastAsiaTheme="minorEastAsia" w:hAnsiTheme="minorEastAsia" w:hint="eastAsia"/>
          <w:bCs/>
          <w:color w:val="000000" w:themeColor="text1"/>
        </w:rPr>
        <w:t>、基金交易账户：指销售机构为投资人开立的、记录投资人通过该销售机构买卖基金的基金份额变动及结余情况的账户</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30</w:t>
      </w:r>
      <w:r w:rsidRPr="001C6480">
        <w:rPr>
          <w:rFonts w:asciiTheme="minorEastAsia" w:eastAsiaTheme="minorEastAsia" w:hAnsiTheme="minorEastAsia" w:hint="eastAsia"/>
          <w:bCs/>
          <w:color w:val="000000" w:themeColor="text1"/>
        </w:rPr>
        <w:t>、基金合同生效日：指基金募集达到法律法规规定及基金合同规定的条件，基金管理人向中国证监会办理基金备案手续完毕，并获得中国证监会书面确认的日期</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31</w:t>
      </w:r>
      <w:r w:rsidRPr="001C6480">
        <w:rPr>
          <w:rFonts w:asciiTheme="minorEastAsia" w:eastAsiaTheme="minorEastAsia" w:hAnsiTheme="minorEastAsia" w:hint="eastAsia"/>
          <w:bCs/>
          <w:color w:val="000000" w:themeColor="text1"/>
        </w:rPr>
        <w:t>、基金合同终止日：指基金合同规定的基金合同终止事由出现后，基金财产清算完毕，清算结果报中国证监会备案并予以公告的日期</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、存续期：指基金合同生效至终止之间的不定期期限</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、工作日：指上海证券交易所、深圳证券交易所的正常交易日</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34</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T</w:t>
      </w:r>
      <w:r w:rsidRPr="001C6480">
        <w:rPr>
          <w:rFonts w:asciiTheme="minorEastAsia" w:eastAsiaTheme="minorEastAsia" w:hAnsiTheme="minorEastAsia" w:hint="eastAsia"/>
          <w:bCs/>
          <w:color w:val="000000" w:themeColor="text1"/>
        </w:rPr>
        <w:t>日：指销售机构在规定时间受理投资人申购、赎回或其他业务申请的开放日</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35</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T+n</w:t>
      </w:r>
      <w:r w:rsidRPr="001C6480">
        <w:rPr>
          <w:rFonts w:asciiTheme="minorEastAsia" w:eastAsiaTheme="minorEastAsia" w:hAnsiTheme="minorEastAsia" w:hint="eastAsia"/>
          <w:bCs/>
          <w:color w:val="000000" w:themeColor="text1"/>
        </w:rPr>
        <w:t>日：指自</w:t>
      </w:r>
      <w:r w:rsidRPr="001C6480">
        <w:rPr>
          <w:rFonts w:asciiTheme="minorEastAsia" w:eastAsiaTheme="minorEastAsia" w:hAnsiTheme="minorEastAsia"/>
          <w:bCs/>
          <w:color w:val="000000" w:themeColor="text1"/>
        </w:rPr>
        <w:t>T</w:t>
      </w:r>
      <w:r w:rsidRPr="001C6480">
        <w:rPr>
          <w:rFonts w:asciiTheme="minorEastAsia" w:eastAsiaTheme="minorEastAsia" w:hAnsiTheme="minorEastAsia" w:hint="eastAsia"/>
          <w:bCs/>
          <w:color w:val="000000" w:themeColor="text1"/>
        </w:rPr>
        <w:t>日起第</w:t>
      </w:r>
      <w:r w:rsidRPr="001C6480">
        <w:rPr>
          <w:rFonts w:asciiTheme="minorEastAsia" w:eastAsiaTheme="minorEastAsia" w:hAnsiTheme="minorEastAsia"/>
          <w:bCs/>
          <w:color w:val="000000" w:themeColor="text1"/>
        </w:rPr>
        <w:t>n</w:t>
      </w:r>
      <w:r w:rsidRPr="001C6480">
        <w:rPr>
          <w:rFonts w:asciiTheme="minorEastAsia" w:eastAsiaTheme="minorEastAsia" w:hAnsiTheme="minorEastAsia" w:hint="eastAsia"/>
          <w:bCs/>
          <w:color w:val="000000" w:themeColor="text1"/>
        </w:rPr>
        <w:t>个工作日</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不包含</w:t>
      </w:r>
      <w:r w:rsidRPr="001C6480">
        <w:rPr>
          <w:rFonts w:asciiTheme="minorEastAsia" w:eastAsiaTheme="minorEastAsia" w:hAnsiTheme="minorEastAsia"/>
          <w:bCs/>
          <w:color w:val="000000" w:themeColor="text1"/>
        </w:rPr>
        <w:t>T</w:t>
      </w:r>
      <w:r w:rsidRPr="001C6480">
        <w:rPr>
          <w:rFonts w:asciiTheme="minorEastAsia" w:eastAsiaTheme="minorEastAsia" w:hAnsiTheme="minorEastAsia" w:hint="eastAsia"/>
          <w:bCs/>
          <w:color w:val="000000" w:themeColor="text1"/>
        </w:rPr>
        <w:t>日</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n</w:t>
      </w:r>
      <w:r w:rsidRPr="001C6480">
        <w:rPr>
          <w:rFonts w:asciiTheme="minorEastAsia" w:eastAsiaTheme="minorEastAsia" w:hAnsiTheme="minorEastAsia" w:hint="eastAsia"/>
          <w:bCs/>
          <w:color w:val="000000" w:themeColor="text1"/>
        </w:rPr>
        <w:t>为自然数</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36</w:t>
      </w:r>
      <w:r w:rsidRPr="001C6480">
        <w:rPr>
          <w:rFonts w:asciiTheme="minorEastAsia" w:eastAsiaTheme="minorEastAsia" w:hAnsiTheme="minorEastAsia" w:hint="eastAsia"/>
          <w:bCs/>
          <w:color w:val="000000" w:themeColor="text1"/>
        </w:rPr>
        <w:t>、开放日：指为投资人办理基金份额申购、赎回或其他业务的工作日</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37</w:t>
      </w:r>
      <w:r w:rsidRPr="001C6480">
        <w:rPr>
          <w:rFonts w:asciiTheme="minorEastAsia" w:eastAsiaTheme="minorEastAsia" w:hAnsiTheme="minorEastAsia" w:hint="eastAsia"/>
          <w:bCs/>
          <w:color w:val="000000" w:themeColor="text1"/>
        </w:rPr>
        <w:t>、开放时间：指开放日基金接受申购、赎回或其他交易的时间段</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38</w:t>
      </w:r>
      <w:r w:rsidRPr="001C6480">
        <w:rPr>
          <w:rFonts w:asciiTheme="minorEastAsia" w:eastAsiaTheme="minorEastAsia" w:hAnsiTheme="minorEastAsia" w:hint="eastAsia"/>
          <w:bCs/>
          <w:color w:val="000000" w:themeColor="text1"/>
        </w:rPr>
        <w:t>、《业务规则》：指《易方达基金管理有限公司开放式基金业务规则》，是规范基金管理人所管理的开放式证券投资基金注册登记方面的业务规则，由基金管理人和投资人共同遵守</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39</w:t>
      </w:r>
      <w:r w:rsidRPr="001C6480">
        <w:rPr>
          <w:rFonts w:asciiTheme="minorEastAsia" w:eastAsiaTheme="minorEastAsia" w:hAnsiTheme="minorEastAsia" w:hint="eastAsia"/>
          <w:bCs/>
          <w:color w:val="000000" w:themeColor="text1"/>
        </w:rPr>
        <w:t>、认购：指在基金募集期内，投资人申请购买基金份额的行为</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40</w:t>
      </w:r>
      <w:r w:rsidRPr="001C6480">
        <w:rPr>
          <w:rFonts w:asciiTheme="minorEastAsia" w:eastAsiaTheme="minorEastAsia" w:hAnsiTheme="minorEastAsia" w:hint="eastAsia"/>
          <w:bCs/>
          <w:color w:val="000000" w:themeColor="text1"/>
        </w:rPr>
        <w:t>、申购：指基金合同生效后，投资人根据基金合同和招募说明书的规定申请购买基金份额的行为</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41</w:t>
      </w:r>
      <w:r w:rsidRPr="001C6480">
        <w:rPr>
          <w:rFonts w:asciiTheme="minorEastAsia" w:eastAsiaTheme="minorEastAsia" w:hAnsiTheme="minorEastAsia" w:hint="eastAsia"/>
          <w:bCs/>
          <w:color w:val="000000" w:themeColor="text1"/>
        </w:rPr>
        <w:t>、赎回：指基金合同生效后，基金份额持有人按基金合同和招募说明书</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规定的条件要求将基金份额兑换为现金的行为</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、基金转换：指基金份额持有人按照基金合同和基金管理人届时有效公告规定的条件，申请将其持有基金管理人管理的、某一基金的基金份额转换为基金管理人管理的其他基金基金份额的行为</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43</w:t>
      </w:r>
      <w:r w:rsidRPr="001C6480">
        <w:rPr>
          <w:rFonts w:asciiTheme="minorEastAsia" w:eastAsiaTheme="minorEastAsia" w:hAnsiTheme="minorEastAsia" w:hint="eastAsia"/>
          <w:bCs/>
          <w:color w:val="000000" w:themeColor="text1"/>
        </w:rPr>
        <w:t>、转托管：指基金份额持有人在本基金的不同销售机构之间实施的变更所持基金份额销售机构的操作</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44</w:t>
      </w:r>
      <w:r w:rsidRPr="001C6480">
        <w:rPr>
          <w:rFonts w:asciiTheme="minorEastAsia" w:eastAsiaTheme="minorEastAsia" w:hAnsiTheme="minorEastAsia" w:hint="eastAsia"/>
          <w:bCs/>
          <w:color w:val="000000" w:themeColor="text1"/>
        </w:rPr>
        <w:t>、定期定额投资计划：指投资人通过有关销售机构提出申请，约定每期申购日、申购金额及扣款方式，由销售机构于每期约定申购日在投资人指定银行账户内自动完成扣款及</w:t>
      </w:r>
      <w:r w:rsidRPr="001C6480">
        <w:rPr>
          <w:rFonts w:asciiTheme="minorEastAsia" w:eastAsiaTheme="minorEastAsia" w:hAnsiTheme="minorEastAsia" w:hint="eastAsia"/>
          <w:color w:val="000000" w:themeColor="text1"/>
          <w:spacing w:val="8"/>
        </w:rPr>
        <w:t>受理</w:t>
      </w:r>
      <w:r w:rsidRPr="001C6480">
        <w:rPr>
          <w:rFonts w:asciiTheme="minorEastAsia" w:eastAsiaTheme="minorEastAsia" w:hAnsiTheme="minorEastAsia" w:hint="eastAsia"/>
          <w:bCs/>
          <w:color w:val="000000" w:themeColor="text1"/>
        </w:rPr>
        <w:t>基金申购申请的一种投资方式</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45</w:t>
      </w:r>
      <w:r w:rsidRPr="001C6480">
        <w:rPr>
          <w:rFonts w:asciiTheme="minorEastAsia" w:eastAsiaTheme="minorEastAsia" w:hAnsiTheme="minorEastAsia" w:hint="eastAsia"/>
          <w:bCs/>
          <w:color w:val="000000" w:themeColor="text1"/>
        </w:rPr>
        <w:t>、巨额赎回：指本基金单个开放日，基金净赎回申请</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赎回申请份额总数加上基金转换中转出申请份额总数后扣除申购申请份额总数及基金转换中转入申请份额总数后的余额</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超过上一开放日基金总份额的</w:t>
      </w:r>
      <w:r w:rsidRPr="001C6480">
        <w:rPr>
          <w:rFonts w:asciiTheme="minorEastAsia" w:eastAsiaTheme="minorEastAsia" w:hAnsiTheme="minorEastAsia"/>
          <w:bCs/>
          <w:color w:val="000000" w:themeColor="text1"/>
        </w:rPr>
        <w:t>10%</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46</w:t>
      </w:r>
      <w:r w:rsidRPr="001C6480">
        <w:rPr>
          <w:rFonts w:asciiTheme="minorEastAsia" w:eastAsiaTheme="minorEastAsia" w:hAnsiTheme="minorEastAsia" w:hint="eastAsia"/>
          <w:bCs/>
          <w:color w:val="000000" w:themeColor="text1"/>
        </w:rPr>
        <w:t>、元：指人民币元</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47</w:t>
      </w:r>
      <w:r w:rsidRPr="001C6480">
        <w:rPr>
          <w:rFonts w:asciiTheme="minorEastAsia" w:eastAsiaTheme="minorEastAsia" w:hAnsiTheme="minorEastAsia" w:hint="eastAsia"/>
          <w:bCs/>
          <w:color w:val="000000" w:themeColor="text1"/>
        </w:rPr>
        <w:t>、基金收益：指基金投资所得红利、股息、债券利息、买卖证券价差、银行存款利息、已实现的其他合法收入及因运用基金财产带来的成本和费用的节约</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48</w:t>
      </w:r>
      <w:r w:rsidRPr="001C6480">
        <w:rPr>
          <w:rFonts w:asciiTheme="minorEastAsia" w:eastAsiaTheme="minorEastAsia" w:hAnsiTheme="minorEastAsia" w:hint="eastAsia"/>
          <w:bCs/>
          <w:color w:val="000000" w:themeColor="text1"/>
        </w:rPr>
        <w:t>、基金资产总值：指基金拥有的各类有价证券、银行存款本息、基金应收申购款及其他资产的价值总和</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49</w:t>
      </w:r>
      <w:r w:rsidRPr="001C6480">
        <w:rPr>
          <w:rFonts w:asciiTheme="minorEastAsia" w:eastAsiaTheme="minorEastAsia" w:hAnsiTheme="minorEastAsia" w:hint="eastAsia"/>
          <w:bCs/>
          <w:color w:val="000000" w:themeColor="text1"/>
        </w:rPr>
        <w:t>、基金资产净值：指基金资产总值减去基金负债后的价值</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50</w:t>
      </w:r>
      <w:r w:rsidRPr="001C6480">
        <w:rPr>
          <w:rFonts w:asciiTheme="minorEastAsia" w:eastAsiaTheme="minorEastAsia" w:hAnsiTheme="minorEastAsia" w:hint="eastAsia"/>
          <w:bCs/>
          <w:color w:val="000000" w:themeColor="text1"/>
        </w:rPr>
        <w:t>、基金份额净值：指计算日基金资产净值除以计算日基金份额总数</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51</w:t>
      </w:r>
      <w:r w:rsidRPr="001C6480">
        <w:rPr>
          <w:rFonts w:asciiTheme="minorEastAsia" w:eastAsiaTheme="minorEastAsia" w:hAnsiTheme="minorEastAsia" w:hint="eastAsia"/>
          <w:bCs/>
          <w:color w:val="000000" w:themeColor="text1"/>
        </w:rPr>
        <w:t>、基金资产估值：指计算评估基金资产和负债的价值，以确定基金资产净值和基金份额净值的过程</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5</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、指定媒介：指中国证监会指定的用以进行信息披露的全国性报刊及指定互联网网站（包括基金管理人网站、基金托管人网站、中国证监会基金电子披露网站）等媒介</w:t>
      </w:r>
    </w:p>
    <w:p w:rsidR="007C2A47" w:rsidRPr="001C6480" w:rsidP="007C2A47">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53</w:t>
      </w:r>
      <w:r w:rsidRPr="001C6480">
        <w:rPr>
          <w:rFonts w:asciiTheme="minorEastAsia" w:eastAsiaTheme="minorEastAsia" w:hAnsiTheme="minorEastAsia" w:hint="eastAsia"/>
          <w:bCs/>
          <w:color w:val="000000" w:themeColor="text1"/>
        </w:rPr>
        <w:t>、中国：指中华人民共和国。就基金合同而言，不包括香港特别行政区、澳门特别行政区和台湾地区</w:t>
      </w:r>
    </w:p>
    <w:p w:rsidR="007C2A47" w:rsidRPr="001C6480" w:rsidP="007C2A47">
      <w:pPr>
        <w:snapToGrid w:val="0"/>
        <w:spacing w:line="360" w:lineRule="auto"/>
        <w:ind w:firstLine="48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54</w:t>
      </w:r>
      <w:r w:rsidRPr="001C6480">
        <w:rPr>
          <w:rFonts w:asciiTheme="minorEastAsia" w:eastAsiaTheme="minorEastAsia" w:hAnsiTheme="minorEastAsia" w:hint="eastAsia"/>
          <w:bCs/>
          <w:color w:val="000000" w:themeColor="text1"/>
        </w:rPr>
        <w:t>、不可抗力：指合同当事人不能预见、不能避免且不能克服的客观事件。</w:t>
      </w:r>
    </w:p>
    <w:p w:rsidR="00E80743" w:rsidRPr="001C6480" w:rsidP="00F71D3B">
      <w:pPr>
        <w:snapToGrid w:val="0"/>
        <w:spacing w:line="360" w:lineRule="auto"/>
        <w:ind w:firstLine="48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w:t>
      </w:r>
      <w:r w:rsidRPr="001C6480">
        <w:rPr>
          <w:rFonts w:asciiTheme="minorEastAsia" w:eastAsiaTheme="minorEastAsia" w:hAnsiTheme="minorEastAsia" w:cs="Arial"/>
          <w:color w:val="000000" w:themeColor="text1"/>
        </w:rPr>
        <w:t>5</w:t>
      </w:r>
      <w:r w:rsidRPr="001C6480">
        <w:rPr>
          <w:rFonts w:asciiTheme="minorEastAsia" w:eastAsiaTheme="minorEastAsia" w:hAnsiTheme="minorEastAsia" w:cs="Arial"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1A7CDB" w:rsidRPr="001C6480" w:rsidP="00F71D3B">
      <w:pPr>
        <w:snapToGrid w:val="0"/>
        <w:spacing w:line="360" w:lineRule="auto"/>
        <w:ind w:firstLine="480"/>
        <w:rPr>
          <w:rFonts w:asciiTheme="minorEastAsia" w:eastAsiaTheme="minorEastAsia" w:hAnsiTheme="minorEastAsia" w:cs="Arial"/>
          <w:color w:val="000000" w:themeColor="text1"/>
        </w:rPr>
      </w:pPr>
    </w:p>
    <w:p w:rsidR="001A7CDB" w:rsidRPr="001C6480" w:rsidP="00F71D3B">
      <w:pPr>
        <w:snapToGrid w:val="0"/>
        <w:spacing w:line="360" w:lineRule="auto"/>
        <w:rPr>
          <w:rFonts w:asciiTheme="minorEastAsia" w:eastAsiaTheme="minorEastAsia" w:hAnsiTheme="minorEastAsia" w:cs="Arial"/>
          <w:color w:val="000000" w:themeColor="text1"/>
        </w:rPr>
        <w:sectPr w:rsidSect="00D648D0">
          <w:pgSz w:w="11907" w:h="16840" w:code="9"/>
          <w:pgMar w:top="1701" w:right="1814" w:bottom="1701" w:left="1814" w:header="851" w:footer="992" w:gutter="0"/>
          <w:pgNumType w:start="1"/>
          <w:cols w:space="425"/>
          <w:docGrid w:type="linesAndChars" w:linePitch="312"/>
        </w:sect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4" w:name="_Toc96595104"/>
      <w:r w:rsidRPr="001C6480">
        <w:rPr>
          <w:rFonts w:asciiTheme="minorEastAsia" w:eastAsiaTheme="minorEastAsia" w:hAnsiTheme="minorEastAsia" w:cs="Arial" w:hint="eastAsia"/>
          <w:bCs/>
          <w:color w:val="000000" w:themeColor="text1"/>
          <w:szCs w:val="21"/>
        </w:rPr>
        <w:t>基金管理人</w:t>
      </w:r>
      <w:bookmarkEnd w:id="4"/>
    </w:p>
    <w:p w:rsidR="001A7CDB" w:rsidRPr="001C6480" w:rsidP="00F71D3B">
      <w:pPr>
        <w:pStyle w:val="Heading2"/>
        <w:numPr>
          <w:ilvl w:val="0"/>
          <w:numId w:val="4"/>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5" w:name="_Toc133292563"/>
      <w:bookmarkStart w:id="6" w:name="_Toc163189520"/>
      <w:r w:rsidRPr="001C6480">
        <w:rPr>
          <w:rFonts w:asciiTheme="minorEastAsia" w:eastAsiaTheme="minorEastAsia" w:hAnsiTheme="minorEastAsia" w:cs="Arial"/>
          <w:b w:val="0"/>
          <w:bCs/>
          <w:color w:val="000000" w:themeColor="text1"/>
          <w:szCs w:val="21"/>
        </w:rPr>
        <w:t>基金管理人基本情况</w:t>
      </w:r>
      <w:bookmarkEnd w:id="5"/>
      <w:bookmarkEnd w:id="6"/>
    </w:p>
    <w:p w:rsidR="004026EF" w:rsidRPr="001C6480" w:rsidP="00F71D3B">
      <w:pPr>
        <w:pStyle w:val="a"/>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1、基金管理人：易方达基金管理有限公司</w:t>
      </w:r>
    </w:p>
    <w:p w:rsidR="004026EF" w:rsidRPr="001C6480" w:rsidP="00F71D3B">
      <w:pPr>
        <w:pStyle w:val="a"/>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olor w:val="000000" w:themeColor="text1"/>
        </w:rPr>
        <w:t>注册地址：广东省珠海市横琴新区荣粤道188号6层</w:t>
      </w:r>
    </w:p>
    <w:p w:rsidR="004026EF" w:rsidRPr="001C6480" w:rsidP="00F71D3B">
      <w:pPr>
        <w:pStyle w:val="a"/>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办公地址：广州市天河区珠江新城珠江东路30号广州银行大厦40-43楼</w:t>
      </w:r>
    </w:p>
    <w:p w:rsidR="004026EF" w:rsidRPr="001C6480" w:rsidP="00F71D3B">
      <w:pPr>
        <w:pStyle w:val="a"/>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设立日期：2001年4月17日</w:t>
      </w:r>
    </w:p>
    <w:p w:rsidR="004026EF" w:rsidRPr="001C6480" w:rsidP="00F71D3B">
      <w:pPr>
        <w:pStyle w:val="a"/>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法定代表人：</w:t>
      </w:r>
      <w:r w:rsidRPr="001C6480" w:rsidR="007F0578">
        <w:rPr>
          <w:rFonts w:asciiTheme="minorEastAsia" w:eastAsiaTheme="minorEastAsia" w:hAnsiTheme="minorEastAsia" w:cs="Arial" w:hint="eastAsia"/>
          <w:color w:val="000000" w:themeColor="text1"/>
        </w:rPr>
        <w:t>刘晓艳</w:t>
      </w:r>
    </w:p>
    <w:p w:rsidR="004026EF" w:rsidRPr="001C6480" w:rsidP="00F71D3B">
      <w:pPr>
        <w:pStyle w:val="a"/>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联系电话：4008818088</w:t>
      </w:r>
    </w:p>
    <w:p w:rsidR="004026EF" w:rsidRPr="001C6480" w:rsidP="00F71D3B">
      <w:pPr>
        <w:pStyle w:val="a"/>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联系人：李红枫</w:t>
      </w:r>
    </w:p>
    <w:p w:rsidR="004026EF"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注册资本：13,244.2万元人民币</w:t>
      </w:r>
    </w:p>
    <w:p w:rsidR="00CF1D11" w:rsidRPr="001C6480" w:rsidP="00F71D3B">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批准设立机关及文号：中国证券监督管理委员会，证监基金字[2001]4号</w:t>
      </w:r>
    </w:p>
    <w:p w:rsidR="00CF1D11" w:rsidRPr="001C6480" w:rsidP="00F71D3B">
      <w:pPr>
        <w:snapToGrid w:val="0"/>
        <w:spacing w:line="360" w:lineRule="auto"/>
        <w:ind w:firstLine="420" w:firstLineChars="200"/>
        <w:rPr>
          <w:rFonts w:asciiTheme="minorEastAsia" w:eastAsiaTheme="minorEastAsia" w:hAnsiTheme="minorEastAsia"/>
          <w:color w:val="000000" w:themeColor="text1"/>
          <w:szCs w:val="24"/>
        </w:rPr>
      </w:pPr>
      <w:r w:rsidRPr="001C6480">
        <w:rPr>
          <w:rFonts w:asciiTheme="minorEastAsia" w:eastAsiaTheme="minorEastAsia" w:hAnsiTheme="minorEastAsia" w:hint="eastAsia"/>
          <w:color w:val="000000" w:themeColor="text1"/>
        </w:rPr>
        <w:t>经营范围：</w:t>
      </w:r>
      <w:r w:rsidRPr="001C6480" w:rsidR="00AC6F8E">
        <w:rPr>
          <w:rFonts w:asciiTheme="minorEastAsia" w:eastAsiaTheme="minorEastAsia" w:hAnsiTheme="minorEastAsia" w:hint="eastAsia"/>
          <w:color w:val="000000" w:themeColor="text1"/>
        </w:rPr>
        <w:t>公开募集证券投资基金管理、基金销售、特定客户资产管理</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股权结构：</w:t>
      </w:r>
    </w:p>
    <w:tbl>
      <w:tblPr>
        <w:tblW w:w="4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9"/>
        <w:gridCol w:w="2569"/>
      </w:tblGrid>
      <w:tr w:rsidTr="00EB15C0">
        <w:tblPrEx>
          <w:tblW w:w="4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327" w:type="pct"/>
            <w:vAlign w:val="center"/>
          </w:tcPr>
          <w:p w:rsidR="001A7CDB" w:rsidRPr="001C6480" w:rsidP="00F71D3B">
            <w:pPr>
              <w:adjustRightInd w:val="0"/>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股东名称</w:t>
            </w:r>
          </w:p>
        </w:tc>
        <w:tc>
          <w:tcPr>
            <w:tcW w:w="1673" w:type="pct"/>
            <w:vAlign w:val="center"/>
          </w:tcPr>
          <w:p w:rsidR="001A7CDB" w:rsidRPr="001C6480" w:rsidP="00F71D3B">
            <w:pPr>
              <w:adjustRightInd w:val="0"/>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出资比例</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广东粤财信托有限公司</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22.6514％</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广发证券股份有限公司</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22.6514％</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盈峰集团有限公司</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22.6514％</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广东省广晟控股集团有限公司</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15.1010％</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广州市广永国有资产经营有限公司</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7.5505％</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珠海祺荣宝股权投资合伙企业（有限合伙）</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1.5087％</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珠海祺泰宝股权投资合伙企业（有限合伙）</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1.6205％</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珠海祺丰宝股权投资合伙企业（有限合伙）</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1.5309％</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珠海聚莱康股权投资合伙企业（有限合伙）</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1.7558％</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珠海聚宁康股权投资合伙企业（有限合伙）</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1.4396％</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珠海聚弘康股权投资合伙企业（有限合伙）</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1.5388％</w:t>
            </w:r>
          </w:p>
        </w:tc>
      </w:tr>
      <w:tr>
        <w:tblPrEx>
          <w:tblW w:w="4519" w:type="pct"/>
          <w:jc w:val="center"/>
          <w:tblLook w:val="0000"/>
        </w:tblPrEx>
        <w:trPr>
          <w:jc w:val="center"/>
        </w:trPr>
        <w:tc>
          <w:tcPr>
            <w:tcW w:w="510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总   计</w:t>
            </w:r>
          </w:p>
        </w:tc>
        <w:tc>
          <w:tcPr>
            <w:tcW w:w="2569"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100%</w:t>
            </w:r>
          </w:p>
        </w:tc>
      </w:tr>
    </w:tbl>
    <w:p w:rsidR="001A7CDB" w:rsidRPr="001C6480" w:rsidP="00F71D3B">
      <w:pPr>
        <w:pStyle w:val="Heading2"/>
        <w:numPr>
          <w:ilvl w:val="0"/>
          <w:numId w:val="4"/>
        </w:numPr>
        <w:snapToGrid w:val="0"/>
        <w:spacing w:beforeLines="0" w:afterLines="0" w:line="360" w:lineRule="auto"/>
        <w:ind w:firstLineChars="0"/>
        <w:rPr>
          <w:rFonts w:asciiTheme="minorEastAsia" w:eastAsiaTheme="minorEastAsia" w:hAnsiTheme="minorEastAsia" w:cs="Arial"/>
          <w:b w:val="0"/>
          <w:bCs/>
          <w:color w:val="000000" w:themeColor="text1"/>
          <w:kern w:val="0"/>
          <w:szCs w:val="24"/>
        </w:rPr>
      </w:pPr>
      <w:bookmarkStart w:id="7" w:name="_Toc133292564"/>
      <w:bookmarkStart w:id="8" w:name="_Toc163189521"/>
      <w:r w:rsidRPr="001C6480">
        <w:rPr>
          <w:rFonts w:asciiTheme="minorEastAsia" w:eastAsiaTheme="minorEastAsia" w:hAnsiTheme="minorEastAsia" w:cs="Arial"/>
          <w:b w:val="0"/>
          <w:bCs/>
          <w:color w:val="000000" w:themeColor="text1"/>
          <w:szCs w:val="21"/>
        </w:rPr>
        <w:t>主要人员情况</w:t>
      </w:r>
      <w:bookmarkEnd w:id="7"/>
      <w:bookmarkEnd w:id="8"/>
    </w:p>
    <w:p w:rsidR="00EF3018" w:rsidRPr="001C6480" w:rsidP="00FB0EBA">
      <w:pPr>
        <w:pStyle w:val="PlainText"/>
        <w:adjustRightInd w:val="0"/>
        <w:spacing w:line="348" w:lineRule="auto"/>
        <w:ind w:firstLine="420"/>
        <w:textAlignment w:val="baseline"/>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1、董事、监事及高级管理人员</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w:t>
      </w:r>
      <w:r w:rsidRPr="001C6480">
        <w:rPr>
          <w:rFonts w:asciiTheme="minorEastAsia" w:eastAsiaTheme="minorEastAsia" w:hAnsiTheme="minorEastAsia" w:hint="eastAsia"/>
          <w:color w:val="000000" w:themeColor="text1"/>
        </w:rPr>
        <w:t>全国社会保障基金理事会投资部资产配置处处长、投资部副主任、境外投资部主任、投资部主任、证券投资部主任。</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刘晓艳女士，经济学博士。现任易方达基金管理有限公司副董事长、总裁，易方达国际控股有限公司董事。曾任广发证券有限责任公司投资理财部副经理、基金经理</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基金投资理财部副总经理，易方达基金管理有限公司督察员、监察部总经理、总裁助理、市场总监、副总裁、常务副总裁，易方达资产管理有限公司董事，易方达资产管理（香港）有限公司董事长。</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秦力先生，经济学博士。现任易方达基金管理有限公司董事，广发证券股份有限公司执行董事、公司总监</w:t>
      </w:r>
      <w:r w:rsidRPr="001C6480">
        <w:rPr>
          <w:rFonts w:asciiTheme="minorEastAsia" w:eastAsiaTheme="minorEastAsia" w:hAnsiTheme="minorEastAsia"/>
          <w:color w:val="000000" w:themeColor="text1"/>
        </w:rPr>
        <w:t xml:space="preserve">, </w:t>
      </w:r>
      <w:r w:rsidRPr="001C6480">
        <w:rPr>
          <w:rFonts w:asciiTheme="minorEastAsia" w:eastAsiaTheme="minorEastAsia" w:hAnsiTheme="minorEastAsia" w:hint="eastAsia"/>
          <w:color w:val="000000" w:themeColor="text1"/>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w:t>
      </w:r>
      <w:r w:rsidRPr="001C6480">
        <w:rPr>
          <w:rFonts w:asciiTheme="minorEastAsia" w:eastAsiaTheme="minorEastAsia" w:hAnsiTheme="minorEastAsia" w:hint="eastAsia"/>
          <w:color w:val="000000" w:themeColor="text1"/>
        </w:rPr>
        <w:t>锡（深圳）融资租赁公司董事长，西藏巨龙铜业有限公司董事会秘书、董事，广晟有色金属股份有限公司董事会秘书。</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忻榕女士，工商行政管理博士。现任易方达基金管理有限公司独立董事，中欧国际工商学院教授，复星旅游文化集团（开曼）有限公司独立董事，上海汇招信息技术有限公司董事，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独立董事，美的置业控股有限公司独立非执行董事，中信证券华南股份有限公司独立董事，数字广东网络建设有限公司独立董事，广州农村商业银行股份有限公司独立董事，广州港集团有限公司外部董事，广州高新区现代能源集团有限公司外部董事。曾任邵阳市财会学校教师，中山大学管理学院助教、讲师、副教授，广州恒运企业集团股份有限公司独立董事，中国南方航空股份有限公司独立董事，珠海华发实业股份有限公司独立董事，中新广州知识城投资开发有限公司监事。</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w:t>
      </w:r>
      <w:r w:rsidRPr="001C6480">
        <w:rPr>
          <w:rFonts w:asciiTheme="minorEastAsia" w:eastAsiaTheme="minorEastAsia" w:hAnsiTheme="minorEastAsia" w:hint="eastAsia"/>
          <w:color w:val="000000" w:themeColor="text1"/>
        </w:rPr>
        <w:t>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刘炜先生，工商管理硕士（</w:t>
      </w:r>
      <w:r w:rsidRPr="001C6480">
        <w:rPr>
          <w:rFonts w:asciiTheme="minorEastAsia" w:eastAsiaTheme="minorEastAsia" w:hAnsiTheme="minorEastAsia"/>
          <w:color w:val="000000" w:themeColor="text1"/>
        </w:rPr>
        <w:t>EMBA</w:t>
      </w:r>
      <w:r w:rsidRPr="001C6480">
        <w:rPr>
          <w:rFonts w:asciiTheme="minorEastAsia" w:eastAsiaTheme="minorEastAsia" w:hAnsiTheme="minorEastAsia" w:hint="eastAsia"/>
          <w:color w:val="000000" w:themeColor="text1"/>
        </w:rPr>
        <w:t>）、法学硕士。现任易方达基金管理有限公司监事、人力资源部总经理。曾任易方达基金管理有限公司监察部监察员、上海分公司销售经理、市场部总经理助理、人力资源部副总经理、综合管理部总经理。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马骏先生，工商管理硕士（</w:t>
      </w:r>
      <w:r w:rsidRPr="001C6480">
        <w:rPr>
          <w:rFonts w:asciiTheme="minorEastAsia" w:eastAsiaTheme="minorEastAsia" w:hAnsiTheme="minorEastAsia"/>
          <w:color w:val="000000" w:themeColor="text1"/>
        </w:rPr>
        <w:t>EMBA</w:t>
      </w:r>
      <w:r w:rsidRPr="001C6480">
        <w:rPr>
          <w:rFonts w:asciiTheme="minorEastAsia" w:eastAsiaTheme="minorEastAsia" w:hAnsiTheme="minorEastAsia" w:hint="eastAsia"/>
          <w:color w:val="000000" w:themeColor="text1"/>
        </w:rPr>
        <w:t>）。现任易方达基金管理有限公司常务副总裁、固定收益投资决策委员会委员，易方达资产管理（香港）有限公司董事长、人民币合格境外投资者（</w:t>
      </w:r>
      <w:r w:rsidRPr="001C6480">
        <w:rPr>
          <w:rFonts w:asciiTheme="minorEastAsia" w:eastAsiaTheme="minorEastAsia" w:hAnsiTheme="minorEastAsia"/>
          <w:color w:val="000000" w:themeColor="text1"/>
        </w:rPr>
        <w:t>RQFII</w:t>
      </w:r>
      <w:r w:rsidRPr="001C6480">
        <w:rPr>
          <w:rFonts w:asciiTheme="minorEastAsia" w:eastAsiaTheme="minorEastAsia" w:hAnsiTheme="minorEastAsia" w:hint="eastAsia"/>
          <w:color w:val="000000" w:themeColor="text1"/>
        </w:rPr>
        <w:t>）业务负责人、证券交易负责人员（</w:t>
      </w:r>
      <w:r w:rsidRPr="001C6480">
        <w:rPr>
          <w:rFonts w:asciiTheme="minorEastAsia" w:eastAsiaTheme="minorEastAsia" w:hAnsiTheme="minorEastAsia"/>
          <w:color w:val="000000" w:themeColor="text1"/>
        </w:rPr>
        <w:t>RO</w:t>
      </w:r>
      <w:r w:rsidRPr="001C6480">
        <w:rPr>
          <w:rFonts w:asciiTheme="minorEastAsia" w:eastAsiaTheme="minorEastAsia" w:hAnsiTheme="minorEastAsia" w:hint="eastAsia"/>
          <w:color w:val="000000" w:themeColor="text1"/>
        </w:rPr>
        <w:t>）、就证券提供意见负责人员（</w:t>
      </w:r>
      <w:r w:rsidRPr="001C6480">
        <w:rPr>
          <w:rFonts w:asciiTheme="minorEastAsia" w:eastAsiaTheme="minorEastAsia" w:hAnsiTheme="minorEastAsia"/>
          <w:color w:val="000000" w:themeColor="text1"/>
        </w:rPr>
        <w:t>RO</w:t>
      </w:r>
      <w:r w:rsidRPr="001C6480">
        <w:rPr>
          <w:rFonts w:asciiTheme="minorEastAsia" w:eastAsiaTheme="minorEastAsia" w:hAnsiTheme="minorEastAsia" w:hint="eastAsia"/>
          <w:color w:val="000000" w:themeColor="text1"/>
        </w:rPr>
        <w:t>）、提供资产管理负责人员（</w:t>
      </w:r>
      <w:r w:rsidRPr="001C6480">
        <w:rPr>
          <w:rFonts w:asciiTheme="minorEastAsia" w:eastAsiaTheme="minorEastAsia" w:hAnsiTheme="minorEastAsia"/>
          <w:color w:val="000000" w:themeColor="text1"/>
        </w:rPr>
        <w:t>RO</w:t>
      </w:r>
      <w:r w:rsidRPr="001C6480">
        <w:rPr>
          <w:rFonts w:asciiTheme="minorEastAsia" w:eastAsiaTheme="minorEastAsia" w:hAnsiTheme="minorEastAsia" w:hint="eastAsia"/>
          <w:color w:val="000000" w:themeColor="text1"/>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张南女士，经济学博士。现任易方达基金管理有限公司督察长。曾任广东省经济贸易委员会主任科员、副处长，易方达基金管理有限公司市场拓展部副总经理、监察部总经理。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高松凡先生，工商管理硕士（</w:t>
      </w:r>
      <w:r w:rsidRPr="001C6480">
        <w:rPr>
          <w:rFonts w:asciiTheme="minorEastAsia" w:eastAsiaTheme="minorEastAsia" w:hAnsiTheme="minorEastAsia"/>
          <w:color w:val="000000" w:themeColor="text1"/>
        </w:rPr>
        <w:t>EMBA</w:t>
      </w:r>
      <w:r w:rsidRPr="001C6480">
        <w:rPr>
          <w:rFonts w:asciiTheme="minorEastAsia" w:eastAsiaTheme="minorEastAsia" w:hAnsiTheme="minorEastAsia" w:hint="eastAsia"/>
          <w:color w:val="000000" w:themeColor="text1"/>
        </w:rP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关秀霞女士，工商管理硕士、金融学硕士。现任易方达基金管理有限公司副总经理级高级管理人员。曾任中国银行（香港）有限公司分析员，</w:t>
      </w:r>
      <w:r w:rsidRPr="001C6480">
        <w:rPr>
          <w:rFonts w:asciiTheme="minorEastAsia" w:eastAsiaTheme="minorEastAsia" w:hAnsiTheme="minorEastAsia"/>
          <w:color w:val="000000" w:themeColor="text1"/>
        </w:rPr>
        <w:t>Daniel Dennis</w:t>
      </w:r>
      <w:r w:rsidRPr="001C6480">
        <w:rPr>
          <w:rFonts w:asciiTheme="minorEastAsia" w:eastAsiaTheme="minorEastAsia" w:hAnsiTheme="minorEastAsia" w:hint="eastAsia"/>
          <w:color w:val="000000" w:themeColor="text1"/>
        </w:rPr>
        <w:t>高级审计师，美国道富银行公司内部审计部高级审计师、美国共同基金业务风险经理、亚洲区（除日本外）机构服务主管、亚洲区（除日本外）副总裁、大中华地区董事总经理、大中华地区高级副总裁、中国区行长。</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上海）有限公司监事。曾任中国人民银行广州分行统</w:t>
      </w:r>
      <w:r w:rsidRPr="001C6480">
        <w:rPr>
          <w:rFonts w:asciiTheme="minorEastAsia" w:eastAsiaTheme="minorEastAsia" w:hAnsiTheme="minorEastAsia" w:hint="eastAsia"/>
          <w:color w:val="000000" w:themeColor="text1"/>
        </w:rPr>
        <w:t>计研究处科员，易方达基金管理有限公司运作支持部经理、核算部总经理助理、核算部副总经理、核算部总经理、投资风险管理部总经理、总裁助理、董事会秘书、公司财务中心主任。</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娄利舟女士，工商管理硕士（</w:t>
      </w:r>
      <w:r w:rsidRPr="001C6480">
        <w:rPr>
          <w:rFonts w:asciiTheme="minorEastAsia" w:eastAsiaTheme="minorEastAsia" w:hAnsiTheme="minorEastAsia"/>
          <w:color w:val="000000" w:themeColor="text1"/>
        </w:rPr>
        <w:t>EMBA</w:t>
      </w:r>
      <w:r w:rsidRPr="001C6480">
        <w:rPr>
          <w:rFonts w:asciiTheme="minorEastAsia" w:eastAsiaTheme="minorEastAsia" w:hAnsiTheme="minorEastAsia" w:hint="eastAsia"/>
          <w:color w:val="000000" w:themeColor="text1"/>
        </w:rPr>
        <w:t>）、经济学硕士。现任易方达基金管理有限公司副总经理级高级管理人员、FOF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7A0DDB" w:rsidRPr="001C6480" w:rsidP="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8F1DC3" w:rsidRPr="001C6480" w:rsidP="006B7EA8">
      <w:pPr>
        <w:pStyle w:val="PlainText"/>
        <w:adjustRightInd w:val="0"/>
        <w:spacing w:line="348" w:lineRule="auto"/>
        <w:ind w:firstLine="420"/>
        <w:textAlignment w:val="baseline"/>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2、基金经理</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杜才鸣先生，经济学硕士，本基金的基金经理。现任易方达基金管理有限公司易方达量化策略精选灵活配置混合型证券投资基金基金经理（自2021年3月20日起任职）、易方达沪深300量化增强证券投资基金基金经理（自2021年3月20日起任职）。曾任易方达基金管理有限公司集中交易室交易员、量化研究员、投资经理助理、投资经理。</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王建军先生，经济学博士，本基金的基金经理。现任易方达基金管理有限公司量化投资部副总经理、量化投资决策委员会委员、投资经理、易方达沪深300量化增强证券投资基金基金经理（自2021年9月4日起任职）。曾任汇添富基金管理有限公司数量分析师，易方达基金管理有限公司量化研究员、基金经理助理、指数与量化投资部总经理助理、指数与量化投资部副总经理、指数及增强投资部副总经理、易方达深证100交易型开放式指数基金基金经理（自2010年9月27日至2016年7月5日）、易方达深证100交易型开放式指数证券投资基金联接基金基金经理（自2010年9月27日至2016年7月5日）、易方达创业板交易型开放式指数证券投资基金基金经理（自2011年9月20日至2016年7月5日）、易方达创业板交易型开放式指数证券投资基金联接基金基金经理（自2011年9月</w:t>
      </w:r>
      <w:r w:rsidRPr="001C6480">
        <w:rPr>
          <w:rFonts w:asciiTheme="minorEastAsia" w:eastAsiaTheme="minorEastAsia" w:hAnsiTheme="minorEastAsia"/>
          <w:color w:val="000000" w:themeColor="text1"/>
        </w:rPr>
        <w:t>20日至2016年7月5日）、易方达中小板指数分级证券投资基金基金经理（自2012年9月20日至2016年7月5日）、易方达并购重组指数分级证券投资基金基金经理（自2015年6月3日至2016年7月5日）、易方达生物科技指数分级证券投资基金基金经理（自2015年6月3日至2016年7月5日）、易方达银行指数分级证券投资基金基金经理（自2015年6月3日至2016年7月5日）。</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本基金历任基金经理情况：刘震，管理时间为2012年7月5日至2013年1月7日；罗山，管理时间为2013年1月8日至2016年10月18日；官泽帆，管理时间为2016年9月24日至2021年9月3日；HUANG JIANSHENG（黄健生），管理时间为2020年3月12日至2021年9月3日。</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3、量化投资决策委员会成员</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本公司量化投资决策委员会成员包括：林飞先生、HUANG JIANSHENG（黄健生）先生、王建军先生。</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林飞先生，易方达基金管理有限公司基本面指数增强部总经理，易方达资产管理（香港）有限公司就证券提供意见负责人员（RO）、提供资产管理负责人员（RO）、证券交易负责人员（RO）。</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HUANG JIANSHENG（黄健生）先生，易方达基金管理有限公司量化投资部总经理、基金经理。</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王建军先生，同上。</w:t>
      </w:r>
    </w:p>
    <w:p w:rsidR="001A7CDB" w:rsidRPr="001C6480" w:rsidP="006B7EA8">
      <w:pPr>
        <w:pStyle w:val="PlainText"/>
        <w:adjustRightInd w:val="0"/>
        <w:spacing w:line="348" w:lineRule="auto"/>
        <w:ind w:firstLine="420"/>
        <w:textAlignment w:val="baseline"/>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4、上述人员之间均不存在近亲属关系。</w:t>
      </w:r>
    </w:p>
    <w:p w:rsidR="001A7CDB" w:rsidRPr="001C6480" w:rsidP="00F71D3B">
      <w:pPr>
        <w:pStyle w:val="Heading2"/>
        <w:numPr>
          <w:ilvl w:val="0"/>
          <w:numId w:val="4"/>
        </w:numPr>
        <w:snapToGrid w:val="0"/>
        <w:spacing w:beforeLines="0" w:afterLines="0" w:line="360" w:lineRule="auto"/>
        <w:ind w:firstLineChars="0"/>
        <w:rPr>
          <w:rFonts w:asciiTheme="minorEastAsia" w:eastAsiaTheme="minorEastAsia" w:hAnsiTheme="minorEastAsia" w:cs="Arial"/>
          <w:b w:val="0"/>
          <w:bCs/>
          <w:color w:val="000000" w:themeColor="text1"/>
        </w:rPr>
      </w:pPr>
      <w:bookmarkStart w:id="9" w:name="_Toc133292565"/>
      <w:bookmarkStart w:id="10" w:name="_Toc163189522"/>
      <w:r w:rsidRPr="001C6480">
        <w:rPr>
          <w:rFonts w:asciiTheme="minorEastAsia" w:eastAsiaTheme="minorEastAsia" w:hAnsiTheme="minorEastAsia" w:cs="Arial"/>
          <w:b w:val="0"/>
          <w:bCs/>
          <w:color w:val="000000" w:themeColor="text1"/>
          <w:szCs w:val="21"/>
        </w:rPr>
        <w:t>基金管理人的职责</w:t>
      </w:r>
      <w:bookmarkEnd w:id="9"/>
      <w:bookmarkEnd w:id="10"/>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sidR="00A85C4B">
        <w:rPr>
          <w:rFonts w:asciiTheme="minorEastAsia" w:eastAsiaTheme="minorEastAsia" w:hAnsiTheme="minorEastAsia" w:hint="eastAsia"/>
          <w:color w:val="000000" w:themeColor="text1"/>
        </w:rPr>
        <w:t>依法募集资金，办理基金份额的发售和登记事宜；</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办理基金备案手续；</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对所管理的不同基金财产分别管理、分别记账，进行证券投资；</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Pr>
          <w:rFonts w:asciiTheme="minorEastAsia" w:eastAsiaTheme="minorEastAsia" w:hAnsiTheme="minorEastAsia" w:cs="Arial"/>
          <w:color w:val="000000" w:themeColor="text1"/>
        </w:rPr>
        <w:t>按照基金合同的约定确定基金收益分配方案，及时向基金份额持有人分配收益；</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w:t>
      </w:r>
      <w:r w:rsidRPr="001C6480">
        <w:rPr>
          <w:rFonts w:asciiTheme="minorEastAsia" w:eastAsiaTheme="minorEastAsia" w:hAnsiTheme="minorEastAsia" w:cs="Arial"/>
          <w:color w:val="000000" w:themeColor="text1"/>
        </w:rPr>
        <w:t>进行基金会计核算并编制基金财务会计报告；</w:t>
      </w:r>
    </w:p>
    <w:p w:rsidR="00315BF7" w:rsidRPr="001C6480" w:rsidP="006D6AC5">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6</w:t>
      </w:r>
      <w:r w:rsidRPr="001C6480">
        <w:rPr>
          <w:rFonts w:asciiTheme="minorEastAsia" w:eastAsiaTheme="minorEastAsia" w:hAnsiTheme="minorEastAsia" w:cs="Arial" w:hint="eastAsia"/>
          <w:color w:val="000000" w:themeColor="text1"/>
        </w:rPr>
        <w:t>、编制季度报告、中期报告和年度报告；</w:t>
      </w:r>
    </w:p>
    <w:p w:rsidR="00315BF7" w:rsidRPr="001C6480" w:rsidP="006D6AC5">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7</w:t>
      </w:r>
      <w:r w:rsidRPr="001C6480">
        <w:rPr>
          <w:rFonts w:asciiTheme="minorEastAsia" w:eastAsiaTheme="minorEastAsia" w:hAnsiTheme="minorEastAsia" w:cs="Arial" w:hint="eastAsia"/>
          <w:color w:val="000000" w:themeColor="text1"/>
        </w:rPr>
        <w:t>、计算并公告基金净值信息，确定基金份额申购、赎回价格；</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8、</w:t>
      </w:r>
      <w:r w:rsidRPr="001C6480">
        <w:rPr>
          <w:rFonts w:asciiTheme="minorEastAsia" w:eastAsiaTheme="minorEastAsia" w:hAnsiTheme="minorEastAsia" w:cs="Arial"/>
          <w:color w:val="000000" w:themeColor="text1"/>
        </w:rPr>
        <w:t>办理与基金财产管理业务活动有关的信息披露事项；</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9、</w:t>
      </w:r>
      <w:r w:rsidRPr="001C6480" w:rsidR="00A85C4B">
        <w:rPr>
          <w:rFonts w:asciiTheme="minorEastAsia" w:eastAsiaTheme="minorEastAsia" w:hAnsiTheme="minorEastAsia" w:hint="eastAsia"/>
          <w:color w:val="000000" w:themeColor="text1"/>
        </w:rPr>
        <w:t>按照规定</w:t>
      </w:r>
      <w:r w:rsidRPr="001C6480">
        <w:rPr>
          <w:rFonts w:asciiTheme="minorEastAsia" w:eastAsiaTheme="minorEastAsia" w:hAnsiTheme="minorEastAsia" w:cs="Arial"/>
          <w:color w:val="000000" w:themeColor="text1"/>
        </w:rPr>
        <w:t>召集基金份额持有人大会；</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10、</w:t>
      </w:r>
      <w:r w:rsidRPr="001C6480">
        <w:rPr>
          <w:rFonts w:asciiTheme="minorEastAsia" w:eastAsiaTheme="minorEastAsia" w:hAnsiTheme="minorEastAsia" w:cs="Arial"/>
          <w:color w:val="000000" w:themeColor="text1"/>
        </w:rPr>
        <w:t>保存基金财产管理业务活动的记录、账册、报表和其他相关资料；</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11、</w:t>
      </w:r>
      <w:r w:rsidRPr="001C6480">
        <w:rPr>
          <w:rFonts w:asciiTheme="minorEastAsia" w:eastAsiaTheme="minorEastAsia" w:hAnsiTheme="minorEastAsia" w:cs="Arial"/>
          <w:color w:val="000000" w:themeColor="text1"/>
        </w:rPr>
        <w:t>以基金管理人名义，代表基金份额持有人利益行使诉讼权利或者实施其他法律行为；</w:t>
      </w:r>
    </w:p>
    <w:p w:rsidR="001A7CDB" w:rsidRPr="001C6480" w:rsidP="00F71D3B">
      <w:pPr>
        <w:tabs>
          <w:tab w:val="left" w:pos="426"/>
        </w:tabs>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12、</w:t>
      </w:r>
      <w:r w:rsidRPr="001C6480">
        <w:rPr>
          <w:rFonts w:asciiTheme="minorEastAsia" w:eastAsiaTheme="minorEastAsia" w:hAnsiTheme="minorEastAsia" w:cs="Arial"/>
          <w:color w:val="000000" w:themeColor="text1"/>
        </w:rPr>
        <w:t>中国证监会规定的其他职责。</w:t>
      </w:r>
    </w:p>
    <w:p w:rsidR="001A7CDB" w:rsidRPr="001C6480" w:rsidP="00F71D3B">
      <w:pPr>
        <w:pStyle w:val="Heading2"/>
        <w:numPr>
          <w:ilvl w:val="0"/>
          <w:numId w:val="4"/>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11" w:name="_Toc133292566"/>
      <w:bookmarkStart w:id="12" w:name="_Toc163189523"/>
      <w:r w:rsidRPr="001C6480">
        <w:rPr>
          <w:rFonts w:asciiTheme="minorEastAsia" w:eastAsiaTheme="minorEastAsia" w:hAnsiTheme="minorEastAsia" w:cs="Arial"/>
          <w:b w:val="0"/>
          <w:bCs/>
          <w:color w:val="000000" w:themeColor="text1"/>
          <w:szCs w:val="21"/>
        </w:rPr>
        <w:t>基金管理人的承诺</w:t>
      </w:r>
      <w:bookmarkEnd w:id="11"/>
      <w:bookmarkEnd w:id="12"/>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本基金管理人承诺严格遵守现行有效的相关法律</w:t>
      </w:r>
      <w:r w:rsidRPr="001C6480" w:rsidR="00AC7E12">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法规、</w:t>
      </w:r>
      <w:r w:rsidRPr="001C6480" w:rsidR="00AC7E12">
        <w:rPr>
          <w:rFonts w:asciiTheme="minorEastAsia" w:eastAsiaTheme="minorEastAsia" w:hAnsiTheme="minorEastAsia" w:cs="Arial" w:hint="eastAsia"/>
          <w:color w:val="000000" w:themeColor="text1"/>
        </w:rPr>
        <w:t>规章、</w:t>
      </w:r>
      <w:r w:rsidRPr="001C6480">
        <w:rPr>
          <w:rFonts w:asciiTheme="minorEastAsia" w:eastAsiaTheme="minorEastAsia" w:hAnsiTheme="minorEastAsia" w:cs="Arial"/>
          <w:color w:val="000000" w:themeColor="text1"/>
        </w:rPr>
        <w:t>基金合同和中国证监会的有关规定，建立健全内部控制制度，采取有效措施，防止违反现行有效的有关法律法规、基金合同和中国证监会有关规定的行为发生。</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本基金管理人承诺严格遵守《证券法》、《基金法》及有关法律法规，建立健全内部控制制度，采取有效措施，防止下列行为发生：</w:t>
      </w:r>
    </w:p>
    <w:p w:rsidR="001A7CDB" w:rsidRPr="001C6480"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将其固有财产或者他人财产混同于基金财产从事证券投资；</w:t>
      </w:r>
    </w:p>
    <w:p w:rsidR="001A7CDB" w:rsidRPr="001C6480"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不公平地对待其管理的不同基金财产；</w:t>
      </w:r>
    </w:p>
    <w:p w:rsidR="001A7CDB" w:rsidRPr="001C6480"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利用基金财产</w:t>
      </w:r>
      <w:r w:rsidRPr="001C6480" w:rsidR="00A85C4B">
        <w:rPr>
          <w:rStyle w:val="da"/>
          <w:rFonts w:asciiTheme="minorEastAsia" w:eastAsiaTheme="minorEastAsia" w:hAnsiTheme="minorEastAsia" w:hint="eastAsia"/>
          <w:color w:val="000000" w:themeColor="text1"/>
        </w:rPr>
        <w:t>或者职务之便</w:t>
      </w:r>
      <w:r w:rsidRPr="001C6480">
        <w:rPr>
          <w:rFonts w:asciiTheme="minorEastAsia" w:eastAsiaTheme="minorEastAsia" w:hAnsiTheme="minorEastAsia" w:cs="Arial"/>
          <w:color w:val="000000" w:themeColor="text1"/>
        </w:rPr>
        <w:t>为基金份额持有人以外的第三人谋取利益；</w:t>
      </w:r>
    </w:p>
    <w:p w:rsidR="001A7CDB" w:rsidRPr="001C6480"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Pr>
          <w:rFonts w:asciiTheme="minorEastAsia" w:eastAsiaTheme="minorEastAsia" w:hAnsiTheme="minorEastAsia" w:cs="Arial"/>
          <w:color w:val="000000" w:themeColor="text1"/>
        </w:rPr>
        <w:t>向基金份额持有人违规承诺收益或者承担损失；</w:t>
      </w:r>
    </w:p>
    <w:p w:rsidR="00A85C4B" w:rsidRPr="001C6480"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（5）侵占、挪用基金财产；</w:t>
      </w:r>
    </w:p>
    <w:p w:rsidR="00A85C4B" w:rsidRPr="001C6480"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（6）泄露因职务便利获取的未公开信息、利用该信息从事或者明示、暗示他人从事相关的交易活动；</w:t>
      </w:r>
    </w:p>
    <w:p w:rsidR="00A85C4B" w:rsidRPr="001C6480"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（7）玩忽职守，不按照规定履行职责；</w:t>
      </w:r>
    </w:p>
    <w:p w:rsidR="001A7CDB" w:rsidRPr="001C6480"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（8）法律、行政法规和中国证监会规定禁止的其他行为。</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本基金管理人承诺加强人员管理，强化职业操守，督促和约束员工遵守国家有关法律法规及行业规范，诚实信用、勤勉尽责，不从事以下活动：</w:t>
      </w:r>
    </w:p>
    <w:p w:rsidR="001A7CDB" w:rsidRPr="001C6480"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（1）越权或违规经营；</w:t>
      </w:r>
    </w:p>
    <w:p w:rsidR="001A7CDB" w:rsidRPr="001C6480"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（2）违反基金合同或托管协议；</w:t>
      </w:r>
    </w:p>
    <w:p w:rsidR="001A7CDB" w:rsidRPr="001C6480"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（3）故意损害基金份额持有人或其他基金相关机构的合法利益；</w:t>
      </w:r>
    </w:p>
    <w:p w:rsidR="001A7CDB" w:rsidRPr="001C6480"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（4）在向中国证监会报送的资料中弄虚作假；</w:t>
      </w:r>
    </w:p>
    <w:p w:rsidR="001A7CDB" w:rsidRPr="001C6480"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（5）拒绝、干扰、阻挠或严重影响中国证监会依法监管；</w:t>
      </w:r>
    </w:p>
    <w:p w:rsidR="001A7CDB" w:rsidRPr="001C6480"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（6）玩忽职守、滥用职权；</w:t>
      </w:r>
    </w:p>
    <w:p w:rsidR="001A7CDB" w:rsidRPr="001C6480" w:rsidP="00F71D3B">
      <w:pPr>
        <w:tabs>
          <w:tab w:val="left" w:pos="851"/>
        </w:tabs>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（7）违反现行有效的有关法律</w:t>
      </w:r>
      <w:r w:rsidRPr="001C6480" w:rsidR="00AC7E12">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法规、</w:t>
      </w:r>
      <w:r w:rsidRPr="001C6480" w:rsidR="00AC7E12">
        <w:rPr>
          <w:rFonts w:asciiTheme="minorEastAsia" w:eastAsiaTheme="minorEastAsia" w:hAnsiTheme="minorEastAsia" w:cs="Arial" w:hint="eastAsia"/>
          <w:color w:val="000000" w:themeColor="text1"/>
        </w:rPr>
        <w:t>规章、</w:t>
      </w:r>
      <w:r w:rsidRPr="001C6480">
        <w:rPr>
          <w:rFonts w:asciiTheme="minorEastAsia" w:eastAsiaTheme="minorEastAsia" w:hAnsiTheme="minorEastAsia" w:cs="Arial"/>
          <w:color w:val="000000" w:themeColor="text1"/>
        </w:rPr>
        <w:t>基金合同和中国证监会的有关规定，泄漏在任职期间知悉的有关证券、基金的商业秘密，尚未依法公开的基金投资内容、基金投资计划等信息；</w:t>
      </w:r>
    </w:p>
    <w:p w:rsidR="001A7CDB" w:rsidRPr="001C6480" w:rsidP="00F71D3B">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（8）违反证券交易场所业务规则，利用对敲、倒仓等手段操纵市场价格，扰乱市场秩序；</w:t>
      </w:r>
    </w:p>
    <w:p w:rsidR="001A7CDB" w:rsidRPr="001C6480" w:rsidP="00F71D3B">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（9）贬损同行，以抬高自己；</w:t>
      </w:r>
    </w:p>
    <w:p w:rsidR="001A7CDB" w:rsidRPr="001C6480" w:rsidP="00F71D3B">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（10）以不正当手段谋求业务发展；</w:t>
      </w:r>
    </w:p>
    <w:p w:rsidR="001A7CDB" w:rsidRPr="001C6480" w:rsidP="00F71D3B">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（11）有悖社会公德，损害证券投资基金人员形象；</w:t>
      </w:r>
    </w:p>
    <w:p w:rsidR="001A7CDB" w:rsidRPr="001C6480" w:rsidP="00F71D3B">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（12）在公开信息披露和广告中故意含有虚假、误导、欺诈成分；</w:t>
      </w:r>
    </w:p>
    <w:p w:rsidR="001A7CDB" w:rsidRPr="001C6480" w:rsidP="00F71D3B">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（13）其他法律、行政法规以及中国证监会禁止的行为。</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Pr>
          <w:rFonts w:asciiTheme="minorEastAsia" w:eastAsiaTheme="minorEastAsia" w:hAnsiTheme="minorEastAsia" w:cs="Arial"/>
          <w:color w:val="000000" w:themeColor="text1"/>
        </w:rPr>
        <w:t>基金经理承诺</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（1）依照有关法律法规和基金合同的规定，本着谨慎的原则为基金份额持有人谋取最大利益；</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（2）不利用职务之便为自己及其代理人、受雇人或任何第三人谋取利益；</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（3）不违反现行有效的有关法律</w:t>
      </w:r>
      <w:r w:rsidRPr="001C6480" w:rsidR="00AC7E12">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法规、</w:t>
      </w:r>
      <w:r w:rsidRPr="001C6480" w:rsidR="00AC7E12">
        <w:rPr>
          <w:rFonts w:asciiTheme="minorEastAsia" w:eastAsiaTheme="minorEastAsia" w:hAnsiTheme="minorEastAsia" w:cs="Arial" w:hint="eastAsia"/>
          <w:color w:val="000000" w:themeColor="text1"/>
        </w:rPr>
        <w:t>规章、</w:t>
      </w:r>
      <w:r w:rsidRPr="001C6480">
        <w:rPr>
          <w:rFonts w:asciiTheme="minorEastAsia" w:eastAsiaTheme="minorEastAsia" w:hAnsiTheme="minorEastAsia" w:cs="Arial"/>
          <w:color w:val="000000" w:themeColor="text1"/>
        </w:rPr>
        <w:t>基金合同和中国证监会的有关规定，泄漏在任职期间知悉的有关证券、基金的商业秘密、尚未依法公开的基金投资内容、基金投资计划等信息；</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（4）不从事损害基金财产和基金份额持有人利益的证券交易及其他活动。</w:t>
      </w:r>
    </w:p>
    <w:p w:rsidR="001A7CDB" w:rsidRPr="001C6480" w:rsidP="00F71D3B">
      <w:pPr>
        <w:pStyle w:val="Heading2"/>
        <w:numPr>
          <w:ilvl w:val="0"/>
          <w:numId w:val="4"/>
        </w:numPr>
        <w:snapToGrid w:val="0"/>
        <w:spacing w:beforeLines="0" w:afterLines="0" w:line="360" w:lineRule="auto"/>
        <w:ind w:firstLineChars="0"/>
        <w:rPr>
          <w:rFonts w:asciiTheme="minorEastAsia" w:eastAsiaTheme="minorEastAsia" w:hAnsiTheme="minorEastAsia"/>
          <w:b w:val="0"/>
          <w:bCs/>
          <w:color w:val="000000" w:themeColor="text1"/>
          <w:szCs w:val="21"/>
        </w:rPr>
      </w:pPr>
      <w:bookmarkStart w:id="13" w:name="_Toc133292567"/>
      <w:bookmarkStart w:id="14" w:name="_Toc163189524"/>
      <w:r w:rsidRPr="001C6480">
        <w:rPr>
          <w:rFonts w:asciiTheme="minorEastAsia" w:eastAsiaTheme="minorEastAsia" w:hAnsiTheme="minorEastAsia" w:cs="Arial"/>
          <w:b w:val="0"/>
          <w:bCs/>
          <w:color w:val="000000" w:themeColor="text1"/>
          <w:szCs w:val="21"/>
        </w:rPr>
        <w:t>基金管理人的内部控制制度</w:t>
      </w:r>
      <w:bookmarkEnd w:id="13"/>
      <w:bookmarkEnd w:id="14"/>
    </w:p>
    <w:p w:rsidR="001A7CDB" w:rsidRPr="001C6480" w:rsidP="00F71D3B">
      <w:pPr>
        <w:pStyle w:val="a"/>
        <w:autoSpaceDE w:val="0"/>
        <w:autoSpaceDN w:val="0"/>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1、公司内部控制的总体目标</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（1）保证公司经营管理活动的合法合规性；</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（2）保证各类基金份额持有人及委托人的合法权益不受侵犯；</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（4）督促公司全体员工恪守职业操守，正直诚信，廉洁自律，勤勉尽责；</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（5）维护公司的声誉，保持公司的良好形象。</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2、公司内部控制遵循的原则</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（2）有效性原则。通过科学的内控手段和方法，建立合理的内控程序，维护内控制度的有效执行。</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（4）相互制约原则。公司内部部门和岗位的设置应当体现权责分明、相互制衡。</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3、内部控制的制度体系</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4、关于授权、研究、投资、交易等方面的控制点</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（1）授权制度</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（2）公司研究业务</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（3）基金投资业务</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w:t>
      </w:r>
      <w:r w:rsidRPr="001C6480">
        <w:rPr>
          <w:rFonts w:asciiTheme="minorEastAsia" w:eastAsiaTheme="minorEastAsia" w:hAnsiTheme="minorEastAsia"/>
          <w:color w:val="000000" w:themeColor="text1"/>
        </w:rPr>
        <w:t>评估与管理制度，将重点投资限制在规定的风险权限范围内；建立科学的投资业绩评价体系，及时回顾分析和评估投资结果。</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（4）交易业务</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（5）基金会计核算</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（6）信息披露</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（7）监察与合规管理</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5、基金管理人关于内部控制制度声明书</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（1）本公司承诺以上关于内部控制制度的披露真实、准确；</w:t>
      </w:r>
    </w:p>
    <w:p w:rsidR="001A7CDB" w:rsidRPr="001C6480" w:rsidP="000257D4">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bCs/>
          <w:color w:val="000000" w:themeColor="text1"/>
        </w:rPr>
        <w:t>（2）本公司承诺根据市场变化和公司业务发展不断完善内部控制制度。</w:t>
      </w:r>
    </w:p>
    <w:p w:rsidR="001A7CDB" w:rsidRPr="001C6480" w:rsidP="00F71D3B">
      <w:pPr>
        <w:tabs>
          <w:tab w:val="left" w:pos="735"/>
        </w:tabs>
        <w:snapToGrid w:val="0"/>
        <w:spacing w:line="360" w:lineRule="auto"/>
        <w:rPr>
          <w:rFonts w:asciiTheme="minorEastAsia" w:eastAsiaTheme="minorEastAsia" w:hAnsiTheme="minorEastAsia" w:cs="Arial"/>
          <w:color w:val="000000" w:themeColor="text1"/>
        </w:rPr>
        <w:sectPr w:rsidSect="00D648D0">
          <w:pgSz w:w="11907" w:h="16840" w:code="9"/>
          <w:pgMar w:top="1701" w:right="1814" w:bottom="1701" w:left="1814" w:header="1134" w:footer="1247" w:gutter="0"/>
          <w:cols w:space="425"/>
          <w:docGrid w:type="linesAndChars" w:linePitch="312"/>
        </w:sect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15" w:name="_Toc96595105"/>
      <w:r w:rsidRPr="001C6480">
        <w:rPr>
          <w:rFonts w:asciiTheme="minorEastAsia" w:eastAsiaTheme="minorEastAsia" w:hAnsiTheme="minorEastAsia" w:cs="Arial" w:hint="eastAsia"/>
          <w:bCs/>
          <w:color w:val="000000" w:themeColor="text1"/>
          <w:szCs w:val="21"/>
        </w:rPr>
        <w:t>基金托管人</w:t>
      </w:r>
      <w:bookmarkEnd w:id="15"/>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（一）基金托管人情况</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基本情况</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名称：中国建设银行股份有限公司(简称：中国建设银行)</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住所：北京市西城区金融大街25号</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办公地址：北京市西城区闹市口大街1号院1号楼</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法定代表人：田国立</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成立时间：</w:t>
      </w:r>
      <w:smartTag w:uri="urn:schemas-microsoft-com:office:smarttags" w:element="chsdate">
        <w:smartTagPr>
          <w:attr w:name="Day" w:val="17"/>
          <w:attr w:name="IsLunarDate" w:val="False"/>
          <w:attr w:name="IsROCDate" w:val="False"/>
          <w:attr w:name="Month" w:val="09"/>
          <w:attr w:name="Year" w:val="2004"/>
        </w:smartTagPr>
        <w:r w:rsidRPr="001C6480">
          <w:rPr>
            <w:rFonts w:asciiTheme="minorEastAsia" w:eastAsiaTheme="minorEastAsia" w:hAnsiTheme="minorEastAsia" w:hint="eastAsia"/>
            <w:color w:val="000000" w:themeColor="text1"/>
          </w:rPr>
          <w:t>2004年09月17日</w:t>
        </w:r>
      </w:smartTag>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组织形式：股份有限公司</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注册资本：贰仟伍佰亿壹仟零玖拾柒万柒仟肆佰捌拾陆元整</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存续期间：持续经营</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基金托管资格批文及文号：中国证监会证监基字[1998]12号</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 xml:space="preserve">联系人：李申 </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联系电话：(021)6063 7102</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2、主要人员情况</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3、基金托管业务经营情况</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职业年金、存托业务等产品在内的托管业务体系，是目前国内托管业务品种最齐全的商业银行之一。截至2021年三季度末，中国建设银行已托管1120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2020、2021年分别荣获《亚洲银行家》颁发的“最佳托管系统实施奖”、“中国年度托管业务科</w:t>
      </w:r>
      <w:r w:rsidRPr="001C6480">
        <w:rPr>
          <w:rFonts w:asciiTheme="minorEastAsia" w:eastAsiaTheme="minorEastAsia" w:hAnsiTheme="minorEastAsia" w:hint="eastAsia"/>
          <w:color w:val="000000" w:themeColor="text1"/>
        </w:rPr>
        <w:t>技实施奖”、“中国年度托管银行（大型银行）”以及“中国最佳数字化资产托管银行”奖项。</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（二）基金托管人的内部控制制度</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1、内部控制目标</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中国建设银行托管业务确保贯彻落实国家有关法律法规及监管规定，勤勉尽责，恪尽职守，保证托管资产的安全、完整，保障所托管基金的稳健运行，维护基金份额持有人利益；规范业务操作，严格按规程进行业务处理和操作，有效管控托管业务风险；确保所披露信息的完整、及时，保证客户信息不泄漏。</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2、内部控制组织结构</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中国建设银行设有风险管理与内控管理委员会，负责全行风险管理与内部控制的研究、议事和协调工作。内部控制管理部门是牵头内部控制管理的职能部门，牵头内部控制体系的统筹规划、组织落实和检查评价。资产托管业务部设置专门负责内部控制工作的处室，配备了专职内控合规人员负责托管业务的内控合规工作。</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3、内部控制原则</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中国建设银行托管业务内部控制遵循全面性、重要性、制衡性、适应性和独立性原则。</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（1）全面性原则。内部控制贯穿和渗透于托管业务各项流程和各个环节，覆盖所有的机构、岗位，约束所有托管业务人员。</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（2）重要性原则。内部控制在全面控制的基础上，关注重要的托管业务事项和高风险托管业务领域。</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（3）制衡性原则。内部控制坚持风险为本、审慎经营的理念，设立托管机构和开办托管业务均坚持内控优先，在组织机构、权责分配、业务流程等方面形成相互制约、相互监督的机制。</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（4）适应性原则。内部控制与托管业务管理模式、业务规模、产品复杂程度、风险状况等相匹配，并根据情况变化及时调整。</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（5）独立性原则。保证客户资产与建设银行自有资产、托管的其他资产相互独立，对不同客户的资产分别设置账户、独立核算、分账管理。</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4、内部控制措施</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（1）托管资产保管控制。严格按照法律法规和合同约定履行托管人安全保管可控制账户内托管资产的职责，所托管资产与托管人自有资产、托管的其他资产严格分开，保证托管资产的安全、独立和完整。</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授权控制。托管业务纳入全行统一的授权管理体系，严格在授权范围内执行，严禁超范围经营。明确业务处理岗位权限，各级人员在授权范围内行使职权和承担责任。明确不相容岗位，实施相应的分离措施，形成各司其职、各负其责、相互制约的工作机制。</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（3）规章制度控制。制定系统化、规范化的托管业务管理制度，并定期重检与修订，持续维持托管业务规章制度的适应性和有效性，严格保障托管业务规范运营。</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（4）流程控制。严格指令接收、清算、核算、监督的流程化管理，控制关键风险点。</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（5）信息系统控制。持续加强内控手段的新技术运用，提高内控自动化水平和有效性。</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（6）业务连续性控制。建立托管业务应急响应及恢复机制，实现对运营中断事件的快速响应和及时处置。组织开展应急演练，保障托管业务持续运营。</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（7）运营环境控制。托管业务工作环境符合监管和控制要求，运营环境独立，录音、录像及门禁持续有效。系统实现独立与隔离，建立安全的数据传输通道和数据备份机制，保障数据传输和存储安全。</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 xml:space="preserve">（8）员工行为管理控制。明确员工行为守则，规范员工日常行为，加强职业道德和员工操守教育，培育忠于所托、勤勉尽责的合规文化。 </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自2007年起，资产托管业务部连续聘请外部会计师事务所对托管业务进行内部控制审计，均获无保留意见，并已经成为常规化的内控工作手段。</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（三）基金托管人对基金管理人运作基金进行监督的方法和程序</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1、监督方法</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依照《中华人民共和国证券投资基金法》、《公开募集证券投资基金运作管理办法》、《证券投资基金托管业务管理办法》及其配套法规和基金合同、托管协议的约定，监督所托管基金的投资运作，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2、监督流程</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托管人发现基金管理人的投资指令违反法律法规及基金托管协议的规定，应当拒绝执行，及时提示基金管理人，并依照法律法规的规定及时向中国证监会报告。基金托管人发现基金管理人依据交易程序已经生效的指令违反法律法规、基金托管协议规定的，应当及时提示基金管理人在规定期限内改正，并依照法律法规的规定及时向中国证监会报告。</w:t>
      </w:r>
    </w:p>
    <w:p w:rsidR="007A0880" w:rsidRPr="001C6480" w:rsidP="001C6480">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每个工作日对基金投资运作比例等情况进行监督，如发现异常情况，向基金管理人进行风险提示，与基金管理人进行情况核实，督促其改正，并依照法律法规的规定及时向中国证监会报告。</w:t>
      </w:r>
    </w:p>
    <w:p w:rsidR="000D7868" w:rsidRPr="001C6480" w:rsidP="001C6480">
      <w:pPr>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有义务配合和协助基金托管人的监督和核查，对基金托管人发出的提示，应在规定时间内答复并改正；对基金托管人的合理疑义，应及时解释或举证；对基金托管人按照法律法规和托管协议的要求需向中国证监会报告的事项，应积极配合提供相关数据资料和制度等。</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16" w:name="_Toc96595106"/>
      <w:r w:rsidRPr="001C6480">
        <w:rPr>
          <w:rFonts w:asciiTheme="minorEastAsia" w:eastAsiaTheme="minorEastAsia" w:hAnsiTheme="minorEastAsia" w:cs="Arial" w:hint="eastAsia"/>
          <w:bCs/>
          <w:color w:val="000000" w:themeColor="text1"/>
          <w:szCs w:val="21"/>
        </w:rPr>
        <w:t>相关服务机构</w:t>
      </w:r>
      <w:bookmarkEnd w:id="16"/>
    </w:p>
    <w:p w:rsidR="001A7CDB" w:rsidRPr="001C6480" w:rsidP="00F71D3B">
      <w:pPr>
        <w:pStyle w:val="Heading2"/>
        <w:numPr>
          <w:ilvl w:val="0"/>
          <w:numId w:val="5"/>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r w:rsidRPr="001C6480">
        <w:rPr>
          <w:rFonts w:asciiTheme="minorEastAsia" w:eastAsiaTheme="minorEastAsia" w:hAnsiTheme="minorEastAsia" w:cs="Arial"/>
          <w:b w:val="0"/>
          <w:bCs/>
          <w:color w:val="000000" w:themeColor="text1"/>
          <w:szCs w:val="21"/>
        </w:rPr>
        <w:t>基金份额</w:t>
      </w:r>
      <w:r w:rsidRPr="001C6480" w:rsidR="00AD3BAC">
        <w:rPr>
          <w:rFonts w:asciiTheme="minorEastAsia" w:eastAsiaTheme="minorEastAsia" w:hAnsiTheme="minorEastAsia" w:cs="Arial" w:hint="eastAsia"/>
          <w:b w:val="0"/>
          <w:bCs/>
          <w:color w:val="000000" w:themeColor="text1"/>
          <w:szCs w:val="21"/>
        </w:rPr>
        <w:t>销</w:t>
      </w:r>
      <w:r w:rsidRPr="001C6480" w:rsidR="00AD3BAC">
        <w:rPr>
          <w:rFonts w:asciiTheme="minorEastAsia" w:eastAsiaTheme="minorEastAsia" w:hAnsiTheme="minorEastAsia" w:cs="Arial"/>
          <w:b w:val="0"/>
          <w:bCs/>
          <w:color w:val="000000" w:themeColor="text1"/>
          <w:szCs w:val="21"/>
        </w:rPr>
        <w:t>售</w:t>
      </w:r>
      <w:r w:rsidRPr="001C6480">
        <w:rPr>
          <w:rFonts w:asciiTheme="minorEastAsia" w:eastAsiaTheme="minorEastAsia" w:hAnsiTheme="minorEastAsia" w:cs="Arial"/>
          <w:b w:val="0"/>
          <w:bCs/>
          <w:color w:val="000000" w:themeColor="text1"/>
          <w:szCs w:val="21"/>
        </w:rPr>
        <w:t>机构</w:t>
      </w:r>
    </w:p>
    <w:p w:rsidR="001A7CDB" w:rsidRPr="001C6480" w:rsidP="00F71D3B">
      <w:pPr>
        <w:snapToGrid w:val="0"/>
        <w:spacing w:line="360" w:lineRule="auto"/>
        <w:ind w:firstLine="420" w:firstLineChars="200"/>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1、</w:t>
      </w:r>
      <w:r w:rsidRPr="001C6480">
        <w:rPr>
          <w:rFonts w:asciiTheme="minorEastAsia" w:eastAsiaTheme="minorEastAsia" w:hAnsiTheme="minorEastAsia" w:cs="Arial"/>
          <w:b/>
          <w:color w:val="000000" w:themeColor="text1"/>
        </w:rPr>
        <w:t>直销机构</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易方达基金管理有限公司</w:t>
      </w:r>
    </w:p>
    <w:p w:rsidR="0034078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olor w:val="000000" w:themeColor="text1"/>
        </w:rPr>
        <w:t>注册地址：广东省珠海市横琴新区荣粤道188号6层</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办公地址：</w:t>
      </w:r>
      <w:r w:rsidRPr="001C6480" w:rsidR="009D2559">
        <w:rPr>
          <w:rFonts w:asciiTheme="minorEastAsia" w:eastAsiaTheme="minorEastAsia" w:hAnsiTheme="minorEastAsia" w:hint="eastAsia"/>
          <w:color w:val="000000" w:themeColor="text1"/>
        </w:rPr>
        <w:t>广州市天河区珠江新城珠江东路</w:t>
      </w:r>
      <w:r w:rsidRPr="001C6480" w:rsidR="009D2559">
        <w:rPr>
          <w:rFonts w:asciiTheme="minorEastAsia" w:eastAsiaTheme="minorEastAsia" w:hAnsiTheme="minorEastAsia"/>
          <w:color w:val="000000" w:themeColor="text1"/>
        </w:rPr>
        <w:t>30</w:t>
      </w:r>
      <w:r w:rsidRPr="001C6480" w:rsidR="009D2559">
        <w:rPr>
          <w:rFonts w:asciiTheme="minorEastAsia" w:eastAsiaTheme="minorEastAsia" w:hAnsiTheme="minorEastAsia" w:hint="eastAsia"/>
          <w:color w:val="000000" w:themeColor="text1"/>
        </w:rPr>
        <w:t>号广州银行大厦</w:t>
      </w:r>
      <w:r w:rsidRPr="001C6480" w:rsidR="009D2559">
        <w:rPr>
          <w:rFonts w:asciiTheme="minorEastAsia" w:eastAsiaTheme="minorEastAsia" w:hAnsiTheme="minorEastAsia"/>
          <w:color w:val="000000" w:themeColor="text1"/>
        </w:rPr>
        <w:t>40-43</w:t>
      </w:r>
      <w:r w:rsidRPr="001C6480" w:rsidR="009D2559">
        <w:rPr>
          <w:rFonts w:asciiTheme="minorEastAsia" w:eastAsiaTheme="minorEastAsia" w:hAnsiTheme="minorEastAsia" w:hint="eastAsia"/>
          <w:color w:val="000000" w:themeColor="text1"/>
        </w:rPr>
        <w:t>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法定代表人：</w:t>
      </w:r>
      <w:r w:rsidRPr="001C6480" w:rsidR="00D4354E">
        <w:rPr>
          <w:rFonts w:asciiTheme="minorEastAsia" w:eastAsiaTheme="minorEastAsia" w:hAnsiTheme="minorEastAsia" w:cs="Arial" w:hint="eastAsia"/>
          <w:color w:val="000000" w:themeColor="text1"/>
        </w:rPr>
        <w:t>刘晓艳</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电话：020</w:t>
      </w:r>
      <w:r w:rsidRPr="001C6480" w:rsidR="001E0F45">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hint="eastAsia"/>
          <w:color w:val="000000" w:themeColor="text1"/>
        </w:rPr>
        <w:t>85102506</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传真：4008818099</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olor w:val="000000" w:themeColor="text1"/>
        </w:rPr>
        <w:t>联系人：梁美</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网址：</w:t>
      </w:r>
      <w:r w:rsidRPr="001C6480" w:rsidR="00C40C61">
        <w:rPr>
          <w:rFonts w:asciiTheme="minorEastAsia" w:eastAsiaTheme="minorEastAsia" w:hAnsiTheme="minorEastAsia" w:cs="Arial"/>
          <w:color w:val="000000" w:themeColor="text1"/>
        </w:rPr>
        <w:t>www.efunds.com.cn</w:t>
      </w:r>
    </w:p>
    <w:p w:rsidR="00C258EE"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直销机构网点信息：</w:t>
      </w:r>
    </w:p>
    <w:p w:rsidR="00C258EE"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（1）易方达基金管理有限公司直销中心</w:t>
      </w:r>
    </w:p>
    <w:p w:rsidR="00C258EE"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办公地址：广州市天河区珠江新城珠江东路</w:t>
      </w:r>
      <w:r w:rsidRPr="001C6480">
        <w:rPr>
          <w:rFonts w:asciiTheme="minorEastAsia" w:eastAsiaTheme="minorEastAsia" w:hAnsiTheme="minorEastAsia"/>
          <w:color w:val="000000" w:themeColor="text1"/>
        </w:rPr>
        <w:t>30</w:t>
      </w:r>
      <w:r w:rsidRPr="001C6480">
        <w:rPr>
          <w:rFonts w:asciiTheme="minorEastAsia" w:eastAsiaTheme="minorEastAsia" w:hAnsiTheme="minorEastAsia" w:hint="eastAsia"/>
          <w:color w:val="000000" w:themeColor="text1"/>
        </w:rPr>
        <w:t>号广州银行大厦</w:t>
      </w:r>
      <w:r w:rsidRPr="001C6480">
        <w:rPr>
          <w:rFonts w:asciiTheme="minorEastAsia" w:eastAsiaTheme="minorEastAsia" w:hAnsiTheme="minorEastAsia"/>
          <w:color w:val="000000" w:themeColor="text1"/>
        </w:rPr>
        <w:t>40</w:t>
      </w:r>
      <w:r w:rsidRPr="001C6480">
        <w:rPr>
          <w:rFonts w:asciiTheme="minorEastAsia" w:eastAsiaTheme="minorEastAsia" w:hAnsiTheme="minorEastAsia" w:hint="eastAsia"/>
          <w:color w:val="000000" w:themeColor="text1"/>
        </w:rPr>
        <w:t>楼</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电话：020-85102506</w:t>
      </w:r>
    </w:p>
    <w:p w:rsidR="00FF24EB"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传真：4008818099</w:t>
      </w:r>
    </w:p>
    <w:p w:rsidR="00C258EE"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联系人：梁美</w:t>
      </w:r>
    </w:p>
    <w:p w:rsidR="00C258EE"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（2）易方达基金管理有限公司网上交易系统</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网址：</w:t>
      </w:r>
      <w:r w:rsidRPr="001C6480">
        <w:rPr>
          <w:rFonts w:asciiTheme="minorEastAsia" w:eastAsiaTheme="minorEastAsia" w:hAnsiTheme="minorEastAsia"/>
          <w:color w:val="000000" w:themeColor="text1"/>
        </w:rPr>
        <w:t>www.efunds.com.cn</w:t>
      </w:r>
    </w:p>
    <w:p w:rsidR="001A7CDB" w:rsidRPr="001C6480" w:rsidP="00F71D3B">
      <w:pPr>
        <w:snapToGrid w:val="0"/>
        <w:spacing w:line="360" w:lineRule="auto"/>
        <w:ind w:firstLine="420" w:firstLineChars="200"/>
        <w:rPr>
          <w:rFonts w:asciiTheme="minorEastAsia" w:eastAsiaTheme="minorEastAsia" w:hAnsiTheme="minorEastAsia" w:cs="Arial"/>
          <w:b/>
          <w:color w:val="000000" w:themeColor="text1"/>
        </w:rPr>
      </w:pPr>
      <w:r w:rsidRPr="001C6480">
        <w:rPr>
          <w:rFonts w:asciiTheme="minorEastAsia" w:eastAsiaTheme="minorEastAsia" w:hAnsiTheme="minorEastAsia" w:cs="Arial" w:hint="eastAsia"/>
          <w:b/>
          <w:color w:val="000000" w:themeColor="text1"/>
        </w:rPr>
        <w:t>2、</w:t>
      </w:r>
      <w:r w:rsidRPr="001C6480" w:rsidR="001940B3">
        <w:rPr>
          <w:rFonts w:asciiTheme="minorEastAsia" w:eastAsiaTheme="minorEastAsia" w:hAnsiTheme="minorEastAsia" w:cs="Arial" w:hint="eastAsia"/>
          <w:b/>
          <w:color w:val="000000" w:themeColor="text1"/>
        </w:rPr>
        <w:t>非直销销售</w:t>
      </w:r>
      <w:r w:rsidRPr="001C6480">
        <w:rPr>
          <w:rFonts w:asciiTheme="minorEastAsia" w:eastAsiaTheme="minorEastAsia" w:hAnsiTheme="minorEastAsia" w:cs="Arial"/>
          <w:b/>
          <w:color w:val="000000" w:themeColor="text1"/>
        </w:rPr>
        <w:t>机构</w:t>
      </w:r>
    </w:p>
    <w:p w:rsidR="008F1DC3" w:rsidRPr="001C6480" w:rsidP="00E9505A">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本基金非直销销售机构信息详见基金管理人网站公示。</w:t>
      </w:r>
    </w:p>
    <w:p w:rsidR="001A7CDB" w:rsidRPr="001C6480" w:rsidP="00F71D3B">
      <w:pPr>
        <w:pStyle w:val="Heading2"/>
        <w:numPr>
          <w:ilvl w:val="0"/>
          <w:numId w:val="5"/>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17" w:name="_Toc38432429"/>
      <w:r w:rsidRPr="001C6480">
        <w:rPr>
          <w:rFonts w:asciiTheme="minorEastAsia" w:eastAsiaTheme="minorEastAsia" w:hAnsiTheme="minorEastAsia" w:cs="Arial"/>
          <w:b w:val="0"/>
          <w:bCs/>
          <w:color w:val="000000" w:themeColor="text1"/>
          <w:szCs w:val="21"/>
        </w:rPr>
        <w:t>基金注册登记机构</w:t>
      </w:r>
      <w:bookmarkEnd w:id="17"/>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名称：易方达基金管理有限公司</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olor w:val="000000" w:themeColor="text1"/>
        </w:rPr>
        <w:t>注册地址：广东省珠海市横琴新区荣粤道188号6层</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办公地址：</w:t>
      </w:r>
      <w:r w:rsidRPr="001C6480" w:rsidR="00994622">
        <w:rPr>
          <w:rFonts w:asciiTheme="minorEastAsia" w:eastAsiaTheme="minorEastAsia" w:hAnsiTheme="minorEastAsia" w:hint="eastAsia"/>
          <w:color w:val="000000" w:themeColor="text1"/>
        </w:rPr>
        <w:t>广州市天河区珠江新城珠江东路</w:t>
      </w:r>
      <w:r w:rsidRPr="001C6480" w:rsidR="00994622">
        <w:rPr>
          <w:rFonts w:asciiTheme="minorEastAsia" w:eastAsiaTheme="minorEastAsia" w:hAnsiTheme="minorEastAsia"/>
          <w:color w:val="000000" w:themeColor="text1"/>
        </w:rPr>
        <w:t>30</w:t>
      </w:r>
      <w:r w:rsidRPr="001C6480" w:rsidR="00994622">
        <w:rPr>
          <w:rFonts w:asciiTheme="minorEastAsia" w:eastAsiaTheme="minorEastAsia" w:hAnsiTheme="minorEastAsia" w:hint="eastAsia"/>
          <w:color w:val="000000" w:themeColor="text1"/>
        </w:rPr>
        <w:t>号广州银行大厦</w:t>
      </w:r>
      <w:r w:rsidRPr="001C6480" w:rsidR="00994622">
        <w:rPr>
          <w:rFonts w:asciiTheme="minorEastAsia" w:eastAsiaTheme="minorEastAsia" w:hAnsiTheme="minorEastAsia"/>
          <w:color w:val="000000" w:themeColor="text1"/>
        </w:rPr>
        <w:t>40-43</w:t>
      </w:r>
      <w:r w:rsidRPr="001C6480" w:rsidR="00163D2D">
        <w:rPr>
          <w:rFonts w:asciiTheme="minorEastAsia" w:eastAsiaTheme="minorEastAsia" w:hAnsiTheme="minorEastAsia" w:hint="eastAsia"/>
          <w:color w:val="000000" w:themeColor="text1"/>
        </w:rPr>
        <w:t>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法定代表人：</w:t>
      </w:r>
      <w:r w:rsidRPr="001C6480" w:rsidR="002F4DEA">
        <w:rPr>
          <w:rFonts w:asciiTheme="minorEastAsia" w:eastAsiaTheme="minorEastAsia" w:hAnsiTheme="minorEastAsia" w:cs="Arial" w:hint="eastAsia"/>
          <w:color w:val="000000" w:themeColor="text1"/>
        </w:rPr>
        <w:t>刘晓艳</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电话：4008818088</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传真：</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020</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38799249</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联系人：余贤高</w:t>
      </w:r>
    </w:p>
    <w:p w:rsidR="001A7CDB" w:rsidRPr="001C6480" w:rsidP="00F71D3B">
      <w:pPr>
        <w:pStyle w:val="Heading2"/>
        <w:numPr>
          <w:ilvl w:val="0"/>
          <w:numId w:val="5"/>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18" w:name="_Toc38432430"/>
      <w:r w:rsidRPr="001C6480">
        <w:rPr>
          <w:rFonts w:asciiTheme="minorEastAsia" w:eastAsiaTheme="minorEastAsia" w:hAnsiTheme="minorEastAsia" w:cs="Arial"/>
          <w:b w:val="0"/>
          <w:bCs/>
          <w:color w:val="000000" w:themeColor="text1"/>
          <w:szCs w:val="21"/>
        </w:rPr>
        <w:t>律师事务所和经办律师</w:t>
      </w:r>
      <w:bookmarkEnd w:id="18"/>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律师事务所：上海源泰律师事务所</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地址：上海浦东南路256号华夏银行大厦1405室</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负责人：廖海</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电话：（021）51150298</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传真：（021）51150398</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经办律师：梁丽金、刘佳</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联系人：廖海</w:t>
      </w:r>
    </w:p>
    <w:p w:rsidR="001A7CDB" w:rsidRPr="001C6480" w:rsidP="00F71D3B">
      <w:pPr>
        <w:pStyle w:val="Heading2"/>
        <w:numPr>
          <w:ilvl w:val="0"/>
          <w:numId w:val="5"/>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19" w:name="_Toc38432431"/>
      <w:r w:rsidRPr="001C6480">
        <w:rPr>
          <w:rFonts w:asciiTheme="minorEastAsia" w:eastAsiaTheme="minorEastAsia" w:hAnsiTheme="minorEastAsia" w:cs="Arial"/>
          <w:b w:val="0"/>
          <w:bCs/>
          <w:color w:val="000000" w:themeColor="text1"/>
          <w:szCs w:val="21"/>
        </w:rPr>
        <w:t>会计师事务所和经办注册会计师</w:t>
      </w:r>
      <w:bookmarkEnd w:id="19"/>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会计师事务所：安永华明会计师事务所</w:t>
      </w:r>
      <w:r w:rsidRPr="001C6480" w:rsidR="00994622">
        <w:rPr>
          <w:rFonts w:asciiTheme="minorEastAsia" w:eastAsiaTheme="minorEastAsia" w:hAnsiTheme="minorEastAsia" w:cs="Arial" w:hint="eastAsia"/>
          <w:color w:val="000000" w:themeColor="text1"/>
        </w:rPr>
        <w:t>（特殊普通合伙）</w:t>
      </w:r>
    </w:p>
    <w:p w:rsidR="00994622"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主要经营场所</w:t>
      </w:r>
      <w:r w:rsidRPr="001C6480" w:rsidR="001A7CDB">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hint="eastAsia"/>
          <w:color w:val="000000" w:themeColor="text1"/>
        </w:rPr>
        <w:t>北京市东城区东长安街</w:t>
      </w: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号东方广场安永大楼</w:t>
      </w:r>
      <w:r w:rsidRPr="001C6480">
        <w:rPr>
          <w:rFonts w:asciiTheme="minorEastAsia" w:eastAsiaTheme="minorEastAsia" w:hAnsiTheme="minorEastAsia" w:cs="Arial"/>
          <w:color w:val="000000" w:themeColor="text1"/>
        </w:rPr>
        <w:t>17</w:t>
      </w:r>
      <w:r w:rsidRPr="001C6480">
        <w:rPr>
          <w:rFonts w:asciiTheme="minorEastAsia" w:eastAsiaTheme="minorEastAsia" w:hAnsiTheme="minorEastAsia" w:cs="Arial" w:hint="eastAsia"/>
          <w:color w:val="000000" w:themeColor="text1"/>
        </w:rPr>
        <w:t>层</w:t>
      </w:r>
      <w:r w:rsidRPr="001C6480">
        <w:rPr>
          <w:rFonts w:asciiTheme="minorEastAsia" w:eastAsiaTheme="minorEastAsia" w:hAnsiTheme="minorEastAsia" w:cs="Arial"/>
          <w:color w:val="000000" w:themeColor="text1"/>
        </w:rPr>
        <w:t>01-12</w:t>
      </w:r>
      <w:r w:rsidRPr="001C6480">
        <w:rPr>
          <w:rFonts w:asciiTheme="minorEastAsia" w:eastAsiaTheme="minorEastAsia" w:hAnsiTheme="minorEastAsia" w:cs="Arial" w:hint="eastAsia"/>
          <w:color w:val="000000" w:themeColor="text1"/>
        </w:rPr>
        <w:t>室</w:t>
      </w:r>
    </w:p>
    <w:p w:rsidR="0024471C"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执行事务合伙人</w:t>
      </w:r>
      <w:r w:rsidRPr="001C6480" w:rsidR="001A7CDB">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hint="eastAsia"/>
          <w:color w:val="000000" w:themeColor="text1"/>
        </w:rPr>
        <w:t>TonyMao毛鞍宁</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电话：(</w:t>
      </w:r>
      <w:r w:rsidRPr="001C6480">
        <w:rPr>
          <w:rFonts w:asciiTheme="minorEastAsia" w:eastAsiaTheme="minorEastAsia" w:hAnsiTheme="minorEastAsia" w:cs="Arial"/>
          <w:color w:val="000000" w:themeColor="text1"/>
        </w:rPr>
        <w:t>010</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58153000</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传真：(</w:t>
      </w:r>
      <w:r w:rsidRPr="001C6480">
        <w:rPr>
          <w:rFonts w:asciiTheme="minorEastAsia" w:eastAsiaTheme="minorEastAsia" w:hAnsiTheme="minorEastAsia" w:cs="Arial"/>
          <w:color w:val="000000" w:themeColor="text1"/>
        </w:rPr>
        <w:t>010</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85188298</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经办注册会计师：</w:t>
      </w:r>
      <w:r w:rsidRPr="001C6480" w:rsidR="00E41503">
        <w:rPr>
          <w:rFonts w:asciiTheme="minorEastAsia" w:eastAsiaTheme="minorEastAsia" w:hAnsiTheme="minorEastAsia" w:cs="Arial" w:hint="eastAsia"/>
          <w:color w:val="000000" w:themeColor="text1"/>
        </w:rPr>
        <w:t>昌华</w:t>
      </w:r>
      <w:r w:rsidRPr="001C6480" w:rsidR="00D6151B">
        <w:rPr>
          <w:rFonts w:asciiTheme="minorEastAsia" w:eastAsiaTheme="minorEastAsia" w:hAnsiTheme="minorEastAsia" w:cs="Arial" w:hint="eastAsia"/>
          <w:color w:val="000000" w:themeColor="text1"/>
        </w:rPr>
        <w:t>、马婧</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联系人：</w:t>
      </w:r>
      <w:r w:rsidRPr="001C6480" w:rsidR="00E41503">
        <w:rPr>
          <w:rFonts w:asciiTheme="minorEastAsia" w:eastAsiaTheme="minorEastAsia" w:hAnsiTheme="minorEastAsia" w:cs="Arial" w:hint="eastAsia"/>
          <w:color w:val="000000" w:themeColor="text1"/>
        </w:rPr>
        <w:t>昌华</w:t>
      </w:r>
    </w:p>
    <w:p w:rsidR="001A7CDB" w:rsidRPr="001C6480" w:rsidP="00F71D3B">
      <w:pPr>
        <w:snapToGrid w:val="0"/>
        <w:spacing w:line="360" w:lineRule="auto"/>
        <w:ind w:firstLine="420"/>
        <w:rPr>
          <w:rFonts w:asciiTheme="minorEastAsia" w:eastAsiaTheme="minorEastAsia" w:hAnsiTheme="minorEastAsia" w:cs="Arial"/>
          <w:color w:val="000000" w:themeColor="text1"/>
        </w:rPr>
      </w:pPr>
    </w:p>
    <w:p w:rsidR="00A459CE"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20" w:name="_Toc38432432"/>
      <w:bookmarkStart w:id="21" w:name="_Toc96595107"/>
      <w:r w:rsidRPr="001C6480">
        <w:rPr>
          <w:rFonts w:asciiTheme="minorEastAsia" w:eastAsiaTheme="minorEastAsia" w:hAnsiTheme="minorEastAsia" w:cs="Arial" w:hint="eastAsia"/>
          <w:bCs/>
          <w:color w:val="000000" w:themeColor="text1"/>
          <w:szCs w:val="21"/>
        </w:rPr>
        <w:t>基金的历史沿革</w:t>
      </w:r>
      <w:bookmarkEnd w:id="20"/>
      <w:bookmarkEnd w:id="21"/>
    </w:p>
    <w:p w:rsidR="000B64F7"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易方达沪深300量化增强证券投资基金由易方达量化衍伸股票型证券投资基金通过基金合同修订变更而来。</w:t>
      </w:r>
    </w:p>
    <w:p w:rsidR="000B64F7"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易方达量化衍伸股票型证券投资基金经中国证监会《</w:t>
      </w:r>
      <w:r w:rsidRPr="001C6480" w:rsidR="00D858A7">
        <w:rPr>
          <w:rFonts w:asciiTheme="minorEastAsia" w:eastAsiaTheme="minorEastAsia" w:hAnsiTheme="minorEastAsia"/>
          <w:color w:val="000000" w:themeColor="text1"/>
        </w:rPr>
        <w:t>关于核准易方达量化衍伸股票型证券投资基金募集的批复</w:t>
      </w:r>
      <w:r w:rsidRPr="001C6480">
        <w:rPr>
          <w:rFonts w:asciiTheme="minorEastAsia" w:eastAsiaTheme="minorEastAsia" w:hAnsiTheme="minorEastAsia" w:hint="eastAsia"/>
          <w:color w:val="000000" w:themeColor="text1"/>
        </w:rPr>
        <w:t>》</w:t>
      </w:r>
      <w:r w:rsidRPr="001C6480" w:rsidR="00D858A7">
        <w:rPr>
          <w:rFonts w:asciiTheme="minorEastAsia" w:eastAsiaTheme="minorEastAsia" w:hAnsiTheme="minorEastAsia"/>
          <w:color w:val="000000" w:themeColor="text1"/>
        </w:rPr>
        <w:t>（证监许可［201</w:t>
      </w:r>
      <w:r w:rsidRPr="001C6480" w:rsidR="00D858A7">
        <w:rPr>
          <w:rFonts w:asciiTheme="minorEastAsia" w:eastAsiaTheme="minorEastAsia" w:hAnsiTheme="minorEastAsia" w:hint="eastAsia"/>
          <w:color w:val="000000" w:themeColor="text1"/>
        </w:rPr>
        <w:t>2</w:t>
      </w:r>
      <w:r w:rsidRPr="001C6480" w:rsidR="00D858A7">
        <w:rPr>
          <w:rFonts w:asciiTheme="minorEastAsia" w:eastAsiaTheme="minorEastAsia" w:hAnsiTheme="minorEastAsia"/>
          <w:color w:val="000000" w:themeColor="text1"/>
        </w:rPr>
        <w:t>］</w:t>
      </w:r>
      <w:r w:rsidRPr="001C6480" w:rsidR="00D858A7">
        <w:rPr>
          <w:rFonts w:asciiTheme="minorEastAsia" w:eastAsiaTheme="minorEastAsia" w:hAnsiTheme="minorEastAsia" w:hint="eastAsia"/>
          <w:color w:val="000000" w:themeColor="text1"/>
        </w:rPr>
        <w:t>627</w:t>
      </w:r>
      <w:r w:rsidRPr="001C6480" w:rsidR="00D858A7">
        <w:rPr>
          <w:rFonts w:asciiTheme="minorEastAsia" w:eastAsiaTheme="minorEastAsia" w:hAnsiTheme="minorEastAsia"/>
          <w:color w:val="000000" w:themeColor="text1"/>
        </w:rPr>
        <w:t>号）</w:t>
      </w:r>
      <w:r w:rsidRPr="001C6480">
        <w:rPr>
          <w:rFonts w:asciiTheme="minorEastAsia" w:eastAsiaTheme="minorEastAsia" w:hAnsiTheme="minorEastAsia" w:hint="eastAsia"/>
          <w:color w:val="000000" w:themeColor="text1"/>
        </w:rPr>
        <w:t>批准募集，基金管理人为易方达基金管理有限公司，基金托管人为中国建设银行股份有限公司。</w:t>
      </w:r>
    </w:p>
    <w:p w:rsidR="000B64F7"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易方达量化衍伸股票型证券投资基金自20</w:t>
      </w:r>
      <w:r w:rsidRPr="001C6480" w:rsidR="005811F4">
        <w:rPr>
          <w:rFonts w:asciiTheme="minorEastAsia" w:eastAsiaTheme="minorEastAsia" w:hAnsiTheme="minorEastAsia" w:hint="eastAsia"/>
          <w:color w:val="000000" w:themeColor="text1"/>
        </w:rPr>
        <w:t>12</w:t>
      </w:r>
      <w:r w:rsidRPr="001C6480">
        <w:rPr>
          <w:rFonts w:asciiTheme="minorEastAsia" w:eastAsiaTheme="minorEastAsia" w:hAnsiTheme="minorEastAsia" w:hint="eastAsia"/>
          <w:color w:val="000000" w:themeColor="text1"/>
        </w:rPr>
        <w:t>年</w:t>
      </w:r>
      <w:r w:rsidRPr="001C6480" w:rsidR="005811F4">
        <w:rPr>
          <w:rFonts w:asciiTheme="minorEastAsia" w:eastAsiaTheme="minorEastAsia" w:hAnsiTheme="minorEastAsia" w:hint="eastAsia"/>
          <w:color w:val="000000" w:themeColor="text1"/>
        </w:rPr>
        <w:t>6</w:t>
      </w:r>
      <w:r w:rsidRPr="001C6480">
        <w:rPr>
          <w:rFonts w:asciiTheme="minorEastAsia" w:eastAsiaTheme="minorEastAsia" w:hAnsiTheme="minorEastAsia" w:hint="eastAsia"/>
          <w:color w:val="000000" w:themeColor="text1"/>
        </w:rPr>
        <w:t>月</w:t>
      </w:r>
      <w:r w:rsidRPr="001C6480" w:rsidR="005811F4">
        <w:rPr>
          <w:rFonts w:asciiTheme="minorEastAsia" w:eastAsiaTheme="minorEastAsia" w:hAnsiTheme="minorEastAsia" w:hint="eastAsia"/>
          <w:color w:val="000000" w:themeColor="text1"/>
        </w:rPr>
        <w:t>25</w:t>
      </w:r>
      <w:r w:rsidRPr="001C6480">
        <w:rPr>
          <w:rFonts w:asciiTheme="minorEastAsia" w:eastAsiaTheme="minorEastAsia" w:hAnsiTheme="minorEastAsia" w:hint="eastAsia"/>
          <w:color w:val="000000" w:themeColor="text1"/>
        </w:rPr>
        <w:t>日至20</w:t>
      </w:r>
      <w:r w:rsidRPr="001C6480" w:rsidR="005811F4">
        <w:rPr>
          <w:rFonts w:asciiTheme="minorEastAsia" w:eastAsiaTheme="minorEastAsia" w:hAnsiTheme="minorEastAsia" w:hint="eastAsia"/>
          <w:color w:val="000000" w:themeColor="text1"/>
        </w:rPr>
        <w:t>12</w:t>
      </w:r>
      <w:r w:rsidRPr="001C6480">
        <w:rPr>
          <w:rFonts w:asciiTheme="minorEastAsia" w:eastAsiaTheme="minorEastAsia" w:hAnsiTheme="minorEastAsia" w:hint="eastAsia"/>
          <w:color w:val="000000" w:themeColor="text1"/>
        </w:rPr>
        <w:t>年</w:t>
      </w:r>
      <w:r w:rsidRPr="001C6480" w:rsidR="005811F4">
        <w:rPr>
          <w:rFonts w:asciiTheme="minorEastAsia" w:eastAsiaTheme="minorEastAsia" w:hAnsiTheme="minorEastAsia" w:hint="eastAsia"/>
          <w:color w:val="000000" w:themeColor="text1"/>
        </w:rPr>
        <w:t>7</w:t>
      </w:r>
      <w:r w:rsidRPr="001C6480">
        <w:rPr>
          <w:rFonts w:asciiTheme="minorEastAsia" w:eastAsiaTheme="minorEastAsia" w:hAnsiTheme="minorEastAsia" w:hint="eastAsia"/>
          <w:color w:val="000000" w:themeColor="text1"/>
        </w:rPr>
        <w:t>月</w:t>
      </w:r>
      <w:r w:rsidRPr="001C6480" w:rsidR="005811F4">
        <w:rPr>
          <w:rFonts w:asciiTheme="minorEastAsia" w:eastAsiaTheme="minorEastAsia" w:hAnsiTheme="minorEastAsia" w:hint="eastAsia"/>
          <w:color w:val="000000" w:themeColor="text1"/>
        </w:rPr>
        <w:t>3</w:t>
      </w:r>
      <w:r w:rsidRPr="001C6480">
        <w:rPr>
          <w:rFonts w:asciiTheme="minorEastAsia" w:eastAsiaTheme="minorEastAsia" w:hAnsiTheme="minorEastAsia" w:hint="eastAsia"/>
          <w:color w:val="000000" w:themeColor="text1"/>
        </w:rPr>
        <w:t>日进行公开募集，募集结束后基金管理人向中国证监会办理备案手续。经中国证监会书面确认，《易方达量化衍伸股票型证券投资基金基金合同》于20</w:t>
      </w:r>
      <w:r w:rsidRPr="001C6480" w:rsidR="005811F4">
        <w:rPr>
          <w:rFonts w:asciiTheme="minorEastAsia" w:eastAsiaTheme="minorEastAsia" w:hAnsiTheme="minorEastAsia" w:hint="eastAsia"/>
          <w:color w:val="000000" w:themeColor="text1"/>
        </w:rPr>
        <w:t>12</w:t>
      </w:r>
      <w:r w:rsidRPr="001C6480">
        <w:rPr>
          <w:rFonts w:asciiTheme="minorEastAsia" w:eastAsiaTheme="minorEastAsia" w:hAnsiTheme="minorEastAsia" w:hint="eastAsia"/>
          <w:color w:val="000000" w:themeColor="text1"/>
        </w:rPr>
        <w:t>年</w:t>
      </w:r>
      <w:r w:rsidRPr="001C6480" w:rsidR="005811F4">
        <w:rPr>
          <w:rFonts w:asciiTheme="minorEastAsia" w:eastAsiaTheme="minorEastAsia" w:hAnsiTheme="minorEastAsia" w:hint="eastAsia"/>
          <w:color w:val="000000" w:themeColor="text1"/>
        </w:rPr>
        <w:t>7</w:t>
      </w:r>
      <w:r w:rsidRPr="001C6480">
        <w:rPr>
          <w:rFonts w:asciiTheme="minorEastAsia" w:eastAsiaTheme="minorEastAsia" w:hAnsiTheme="minorEastAsia" w:hint="eastAsia"/>
          <w:color w:val="000000" w:themeColor="text1"/>
        </w:rPr>
        <w:t>月</w:t>
      </w:r>
      <w:r w:rsidRPr="001C6480" w:rsidR="005811F4">
        <w:rPr>
          <w:rFonts w:asciiTheme="minorEastAsia" w:eastAsiaTheme="minorEastAsia" w:hAnsiTheme="minorEastAsia" w:hint="eastAsia"/>
          <w:color w:val="000000" w:themeColor="text1"/>
        </w:rPr>
        <w:t>5</w:t>
      </w:r>
      <w:r w:rsidRPr="001C6480">
        <w:rPr>
          <w:rFonts w:asciiTheme="minorEastAsia" w:eastAsiaTheme="minorEastAsia" w:hAnsiTheme="minorEastAsia" w:hint="eastAsia"/>
          <w:color w:val="000000" w:themeColor="text1"/>
        </w:rPr>
        <w:t>日生效。</w:t>
      </w:r>
    </w:p>
    <w:p w:rsidR="000B64F7"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2013年4月1日</w:t>
      </w:r>
      <w:r w:rsidRPr="001C6480">
        <w:rPr>
          <w:rFonts w:asciiTheme="minorEastAsia" w:eastAsiaTheme="minorEastAsia" w:hAnsiTheme="minorEastAsia"/>
          <w:color w:val="000000" w:themeColor="text1"/>
        </w:rPr>
        <w:t>至</w:t>
      </w:r>
      <w:r w:rsidRPr="001C6480">
        <w:rPr>
          <w:rFonts w:asciiTheme="minorEastAsia" w:eastAsiaTheme="minorEastAsia" w:hAnsiTheme="minorEastAsia" w:hint="eastAsia"/>
          <w:color w:val="000000" w:themeColor="text1"/>
        </w:rPr>
        <w:t>2013年4月30日，易方达量化衍伸股票型证券投资基金以通讯方式召开基金份额持有人大会，会议审议通过了《</w:t>
      </w:r>
      <w:r w:rsidRPr="001C6480" w:rsidR="005811F4">
        <w:rPr>
          <w:rFonts w:asciiTheme="minorEastAsia" w:eastAsiaTheme="minorEastAsia" w:hAnsiTheme="minorEastAsia" w:hint="eastAsia"/>
          <w:color w:val="000000" w:themeColor="text1"/>
        </w:rPr>
        <w:t>关于易方达量化衍伸股票型证券投资基金变更基金的投资及其他相关事项的议案</w:t>
      </w:r>
      <w:r w:rsidRPr="001C6480">
        <w:rPr>
          <w:rFonts w:asciiTheme="minorEastAsia" w:eastAsiaTheme="minorEastAsia" w:hAnsiTheme="minorEastAsia" w:hint="eastAsia"/>
          <w:color w:val="000000" w:themeColor="text1"/>
        </w:rPr>
        <w:t>》，同意易方达量化衍伸股票型证券投资基金变更</w:t>
      </w:r>
      <w:r w:rsidRPr="001C6480" w:rsidR="005811F4">
        <w:rPr>
          <w:rFonts w:asciiTheme="minorEastAsia" w:eastAsiaTheme="minorEastAsia" w:hAnsiTheme="minorEastAsia" w:hint="eastAsia"/>
          <w:color w:val="000000" w:themeColor="text1"/>
        </w:rPr>
        <w:t>基金的</w:t>
      </w:r>
      <w:r w:rsidRPr="001C6480">
        <w:rPr>
          <w:rFonts w:asciiTheme="minorEastAsia" w:eastAsiaTheme="minorEastAsia" w:hAnsiTheme="minorEastAsia" w:hint="eastAsia"/>
          <w:color w:val="000000" w:themeColor="text1"/>
        </w:rPr>
        <w:t>投资及其他相关事项，将易方达量化衍伸股票型证券投资基金变更为易方达沪深300量化增强证券投资基金，按照相关法律法规及中国证监会的有关规定对</w:t>
      </w:r>
      <w:r w:rsidRPr="001C6480" w:rsidR="00025324">
        <w:rPr>
          <w:rFonts w:asciiTheme="minorEastAsia" w:eastAsiaTheme="minorEastAsia" w:hAnsiTheme="minorEastAsia" w:hint="eastAsia"/>
          <w:color w:val="000000" w:themeColor="text1"/>
        </w:rPr>
        <w:t>本基金的名称、投资目标、投资范围、投资策略、业绩比较基准、基金的费用等条款，以及根据业务实践相应修改基金份额持有人大会、基金的信息披露及其他部分条款。</w:t>
      </w:r>
      <w:r w:rsidRPr="001C6480">
        <w:rPr>
          <w:rFonts w:asciiTheme="minorEastAsia" w:eastAsiaTheme="minorEastAsia" w:hAnsiTheme="minorEastAsia" w:hint="eastAsia"/>
          <w:color w:val="000000" w:themeColor="text1"/>
        </w:rPr>
        <w:t>上述基金份额持有人大会决定事项已经中国证监会于</w:t>
      </w:r>
      <w:r w:rsidRPr="001C6480" w:rsidR="0079218B">
        <w:rPr>
          <w:rFonts w:asciiTheme="minorEastAsia" w:eastAsiaTheme="minorEastAsia" w:hAnsiTheme="minorEastAsia" w:hint="eastAsia"/>
          <w:color w:val="000000" w:themeColor="text1"/>
        </w:rPr>
        <w:t>2013</w:t>
      </w:r>
      <w:r w:rsidRPr="001C6480">
        <w:rPr>
          <w:rFonts w:asciiTheme="minorEastAsia" w:eastAsiaTheme="minorEastAsia" w:hAnsiTheme="minorEastAsia" w:hint="eastAsia"/>
          <w:color w:val="000000" w:themeColor="text1"/>
        </w:rPr>
        <w:t>年</w:t>
      </w:r>
      <w:r w:rsidRPr="001C6480" w:rsidR="0079218B">
        <w:rPr>
          <w:rFonts w:asciiTheme="minorEastAsia" w:eastAsiaTheme="minorEastAsia" w:hAnsiTheme="minorEastAsia" w:hint="eastAsia"/>
          <w:color w:val="000000" w:themeColor="text1"/>
        </w:rPr>
        <w:t>6</w:t>
      </w:r>
      <w:r w:rsidRPr="001C6480">
        <w:rPr>
          <w:rFonts w:asciiTheme="minorEastAsia" w:eastAsiaTheme="minorEastAsia" w:hAnsiTheme="minorEastAsia" w:hint="eastAsia"/>
          <w:color w:val="000000" w:themeColor="text1"/>
        </w:rPr>
        <w:t>月</w:t>
      </w:r>
      <w:r w:rsidRPr="001C6480" w:rsidR="0079218B">
        <w:rPr>
          <w:rFonts w:asciiTheme="minorEastAsia" w:eastAsiaTheme="minorEastAsia" w:hAnsiTheme="minorEastAsia" w:hint="eastAsia"/>
          <w:color w:val="000000" w:themeColor="text1"/>
        </w:rPr>
        <w:t>7</w:t>
      </w:r>
      <w:r w:rsidRPr="001C6480">
        <w:rPr>
          <w:rFonts w:asciiTheme="minorEastAsia" w:eastAsiaTheme="minorEastAsia" w:hAnsiTheme="minorEastAsia" w:hint="eastAsia"/>
          <w:color w:val="000000" w:themeColor="text1"/>
        </w:rPr>
        <w:t>日核准生效，自该日起，《易方达沪深300量化增强证券投资基金基金合同》生效，并取代原《易方达量化衍伸股票型证券投资基金基金合同》，易方达量化衍伸股票型证券投资基金正式变更为易方达沪深300量化增强证券投资基金，本基金当事人将按照《易方达沪深300量化增强证券投资基金基金合同》享有权利并承担义务。</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22" w:name="_Toc353180307"/>
      <w:bookmarkStart w:id="23" w:name="_Toc96595108"/>
      <w:bookmarkEnd w:id="22"/>
      <w:r w:rsidRPr="001C6480">
        <w:rPr>
          <w:rFonts w:asciiTheme="minorEastAsia" w:eastAsiaTheme="minorEastAsia" w:hAnsiTheme="minorEastAsia" w:cs="Arial" w:hint="eastAsia"/>
          <w:bCs/>
          <w:color w:val="000000" w:themeColor="text1"/>
          <w:szCs w:val="21"/>
        </w:rPr>
        <w:t>基金</w:t>
      </w:r>
      <w:r w:rsidRPr="001C6480" w:rsidR="005811F4">
        <w:rPr>
          <w:rFonts w:asciiTheme="minorEastAsia" w:eastAsiaTheme="minorEastAsia" w:hAnsiTheme="minorEastAsia" w:cs="Arial" w:hint="eastAsia"/>
          <w:bCs/>
          <w:color w:val="000000" w:themeColor="text1"/>
          <w:szCs w:val="21"/>
        </w:rPr>
        <w:t>的存续</w:t>
      </w:r>
      <w:bookmarkEnd w:id="23"/>
    </w:p>
    <w:p w:rsidR="001A7CDB" w:rsidRPr="001C6480" w:rsidP="00F71D3B">
      <w:pPr>
        <w:pStyle w:val="Heading2"/>
        <w:keepNext w:val="0"/>
        <w:keepLines w:val="0"/>
        <w:numPr>
          <w:ilvl w:val="0"/>
          <w:numId w:val="6"/>
        </w:numPr>
        <w:snapToGrid w:val="0"/>
        <w:spacing w:beforeLines="0" w:afterLines="0" w:line="360" w:lineRule="auto"/>
        <w:ind w:firstLineChars="0"/>
        <w:rPr>
          <w:rFonts w:asciiTheme="minorEastAsia" w:eastAsiaTheme="minorEastAsia" w:hAnsiTheme="minorEastAsia" w:cs="Arial"/>
          <w:b w:val="0"/>
          <w:color w:val="000000" w:themeColor="text1"/>
          <w:kern w:val="0"/>
          <w:sz w:val="21"/>
          <w:szCs w:val="21"/>
        </w:rPr>
      </w:pPr>
      <w:bookmarkStart w:id="24" w:name="_Toc38432438"/>
      <w:r w:rsidRPr="001C6480">
        <w:rPr>
          <w:rFonts w:asciiTheme="minorEastAsia" w:eastAsiaTheme="minorEastAsia" w:hAnsiTheme="minorEastAsia" w:cs="仿宋_GB2312" w:hint="eastAsia"/>
          <w:b w:val="0"/>
          <w:bCs/>
          <w:color w:val="000000" w:themeColor="text1"/>
          <w:kern w:val="0"/>
          <w:sz w:val="21"/>
          <w:szCs w:val="21"/>
        </w:rPr>
        <w:t>基金份额的变更登记</w:t>
      </w:r>
    </w:p>
    <w:p w:rsidR="001A7CDB" w:rsidRPr="001C6480" w:rsidP="00F71D3B">
      <w:pPr>
        <w:snapToGrid w:val="0"/>
        <w:spacing w:line="360" w:lineRule="auto"/>
        <w:ind w:firstLine="630" w:firstLineChars="300"/>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基金合同生效后，本基金注册登记机构易方达基金管理有限公司进行本基金份额的更名以及必要信息的变更。</w:t>
      </w:r>
    </w:p>
    <w:p w:rsidR="001A7CDB" w:rsidRPr="001C6480" w:rsidP="00F71D3B">
      <w:pPr>
        <w:pStyle w:val="Heading2"/>
        <w:keepNext w:val="0"/>
        <w:keepLines w:val="0"/>
        <w:numPr>
          <w:ilvl w:val="0"/>
          <w:numId w:val="6"/>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1C6480">
        <w:rPr>
          <w:rFonts w:asciiTheme="minorEastAsia" w:eastAsiaTheme="minorEastAsia" w:hAnsiTheme="minorEastAsia" w:cs="Arial"/>
          <w:b w:val="0"/>
          <w:color w:val="000000" w:themeColor="text1"/>
          <w:sz w:val="21"/>
          <w:szCs w:val="21"/>
        </w:rPr>
        <w:t>基金存续期内的基金份额持有人数量和资产规模</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《基金合同》生效后，基金份额持有人数量不满</w:t>
      </w:r>
      <w:r w:rsidRPr="001C6480">
        <w:rPr>
          <w:rFonts w:asciiTheme="minorEastAsia" w:eastAsiaTheme="minorEastAsia" w:hAnsiTheme="minorEastAsia" w:hint="eastAsia"/>
          <w:bCs/>
          <w:color w:val="000000" w:themeColor="text1"/>
        </w:rPr>
        <w:t>200</w:t>
      </w:r>
      <w:r w:rsidRPr="001C6480">
        <w:rPr>
          <w:rFonts w:asciiTheme="minorEastAsia" w:eastAsiaTheme="minorEastAsia" w:hAnsiTheme="minorEastAsia"/>
          <w:bCs/>
          <w:color w:val="000000" w:themeColor="text1"/>
        </w:rPr>
        <w:t>人或者基金资产净值低于</w:t>
      </w:r>
      <w:r w:rsidRPr="001C6480">
        <w:rPr>
          <w:rFonts w:asciiTheme="minorEastAsia" w:eastAsiaTheme="minorEastAsia" w:hAnsiTheme="minorEastAsia" w:hint="eastAsia"/>
          <w:bCs/>
          <w:color w:val="000000" w:themeColor="text1"/>
        </w:rPr>
        <w:t>5000万</w:t>
      </w:r>
      <w:r w:rsidRPr="001C6480">
        <w:rPr>
          <w:rFonts w:asciiTheme="minorEastAsia" w:eastAsiaTheme="minorEastAsia" w:hAnsiTheme="minorEastAsia"/>
          <w:bCs/>
          <w:color w:val="000000" w:themeColor="text1"/>
        </w:rPr>
        <w:t>元的，基金管理人应当及时报告中国证监会；连续</w:t>
      </w:r>
      <w:r w:rsidRPr="001C6480">
        <w:rPr>
          <w:rFonts w:asciiTheme="minorEastAsia" w:eastAsiaTheme="minorEastAsia" w:hAnsiTheme="minorEastAsia" w:hint="eastAsia"/>
          <w:bCs/>
          <w:color w:val="000000" w:themeColor="text1"/>
        </w:rPr>
        <w:t>20</w:t>
      </w:r>
      <w:r w:rsidRPr="001C6480">
        <w:rPr>
          <w:rFonts w:asciiTheme="minorEastAsia" w:eastAsiaTheme="minorEastAsia" w:hAnsiTheme="minorEastAsia"/>
          <w:bCs/>
          <w:color w:val="000000" w:themeColor="text1"/>
        </w:rPr>
        <w:t>个工作日出现前述情形的，基金管理人应当向中国证监会说明原因并报送解决方案。</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bCs/>
          <w:color w:val="000000" w:themeColor="text1"/>
        </w:rPr>
        <w:t>法律法规另有规定时，从其规定。</w:t>
      </w:r>
    </w:p>
    <w:p w:rsidR="001A7CDB" w:rsidRPr="001C6480" w:rsidP="00F71D3B">
      <w:pPr>
        <w:snapToGrid w:val="0"/>
        <w:spacing w:line="360" w:lineRule="auto"/>
        <w:rPr>
          <w:rFonts w:asciiTheme="minorEastAsia" w:eastAsiaTheme="minorEastAsia" w:hAnsiTheme="minorEastAsia" w:cs="Arial"/>
          <w:color w:val="000000" w:themeColor="text1"/>
        </w:rPr>
      </w:pPr>
    </w:p>
    <w:p w:rsidR="001A7CDB" w:rsidRPr="001C6480" w:rsidP="00F71D3B">
      <w:pPr>
        <w:snapToGrid w:val="0"/>
        <w:spacing w:line="360" w:lineRule="auto"/>
        <w:rPr>
          <w:rFonts w:asciiTheme="minorEastAsia" w:eastAsiaTheme="minorEastAsia" w:hAnsiTheme="minorEastAsia" w:cs="Arial"/>
          <w:color w:val="000000" w:themeColor="text1"/>
        </w:rPr>
      </w:pPr>
    </w:p>
    <w:p w:rsidR="00A459CE"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25" w:name="_Toc96595109"/>
      <w:bookmarkEnd w:id="24"/>
      <w:r w:rsidRPr="001C6480">
        <w:rPr>
          <w:rFonts w:asciiTheme="minorEastAsia" w:eastAsiaTheme="minorEastAsia" w:hAnsiTheme="minorEastAsia" w:cs="Arial" w:hint="eastAsia"/>
          <w:bCs/>
          <w:color w:val="000000" w:themeColor="text1"/>
          <w:szCs w:val="21"/>
        </w:rPr>
        <w:t>基金份额的申购、赎回</w:t>
      </w:r>
      <w:bookmarkEnd w:id="25"/>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1C6480">
        <w:rPr>
          <w:rFonts w:asciiTheme="minorEastAsia" w:eastAsiaTheme="minorEastAsia" w:hAnsiTheme="minorEastAsia" w:cs="Arial"/>
          <w:b w:val="0"/>
          <w:color w:val="000000" w:themeColor="text1"/>
          <w:sz w:val="21"/>
          <w:szCs w:val="21"/>
        </w:rPr>
        <w:t>基金投资人范围</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符合法律法规规定的个人投资者、机构投资者、合格境外机构投资者和法律法规或中国证监会允许购买证券投资基金的其他投资者。</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1C6480">
        <w:rPr>
          <w:rFonts w:asciiTheme="minorEastAsia" w:eastAsiaTheme="minorEastAsia" w:hAnsiTheme="minorEastAsia" w:cs="Arial"/>
          <w:b w:val="0"/>
          <w:color w:val="000000" w:themeColor="text1"/>
          <w:sz w:val="21"/>
          <w:szCs w:val="21"/>
        </w:rPr>
        <w:t>申购、赎回的场所</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基金管理人的直销</w:t>
      </w:r>
      <w:r w:rsidRPr="001C6480" w:rsidR="003E2237">
        <w:rPr>
          <w:rFonts w:asciiTheme="minorEastAsia" w:eastAsiaTheme="minorEastAsia" w:hAnsiTheme="minorEastAsia" w:hint="eastAsia"/>
          <w:color w:val="000000" w:themeColor="text1"/>
        </w:rPr>
        <w:t>中心</w:t>
      </w:r>
      <w:r w:rsidRPr="001C6480">
        <w:rPr>
          <w:rFonts w:asciiTheme="minorEastAsia" w:eastAsiaTheme="minorEastAsia" w:hAnsiTheme="minorEastAsia" w:cs="Arial"/>
          <w:color w:val="000000" w:themeColor="text1"/>
        </w:rPr>
        <w:t>及网上交易系统；</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各</w:t>
      </w:r>
      <w:r w:rsidRPr="001C6480" w:rsidR="00571F12">
        <w:rPr>
          <w:rFonts w:asciiTheme="minorEastAsia" w:eastAsiaTheme="minorEastAsia" w:hAnsiTheme="minorEastAsia" w:cs="Arial" w:hint="eastAsia"/>
          <w:color w:val="000000" w:themeColor="text1"/>
        </w:rPr>
        <w:t>非直销销售</w:t>
      </w:r>
      <w:r w:rsidRPr="001C6480">
        <w:rPr>
          <w:rFonts w:asciiTheme="minorEastAsia" w:eastAsiaTheme="minorEastAsia" w:hAnsiTheme="minorEastAsia" w:cs="Arial"/>
          <w:color w:val="000000" w:themeColor="text1"/>
        </w:rPr>
        <w:t>机构开办开放式基金业务的营业网点</w:t>
      </w:r>
      <w:r w:rsidRPr="001C6480">
        <w:rPr>
          <w:rFonts w:asciiTheme="minorEastAsia" w:eastAsiaTheme="minorEastAsia" w:hAnsiTheme="minorEastAsia" w:cs="Arial" w:hint="eastAsia"/>
          <w:color w:val="000000" w:themeColor="text1"/>
        </w:rPr>
        <w:t>；</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基金管理人可根据情况</w:t>
      </w:r>
      <w:r w:rsidRPr="001C6480">
        <w:rPr>
          <w:rFonts w:asciiTheme="minorEastAsia" w:eastAsiaTheme="minorEastAsia" w:hAnsiTheme="minorEastAsia" w:cs="Arial" w:hint="eastAsia"/>
          <w:color w:val="000000" w:themeColor="text1"/>
        </w:rPr>
        <w:t>变更</w:t>
      </w:r>
      <w:r w:rsidRPr="001C6480">
        <w:rPr>
          <w:rFonts w:asciiTheme="minorEastAsia" w:eastAsiaTheme="minorEastAsia" w:hAnsiTheme="minorEastAsia" w:cs="Arial"/>
          <w:color w:val="000000" w:themeColor="text1"/>
        </w:rPr>
        <w:t>基金的销售机构，</w:t>
      </w:r>
      <w:r w:rsidRPr="001C6480" w:rsidR="001D031D">
        <w:rPr>
          <w:rFonts w:asciiTheme="minorEastAsia" w:eastAsiaTheme="minorEastAsia" w:hAnsiTheme="minorEastAsia" w:cs="Arial" w:hint="eastAsia"/>
          <w:color w:val="000000" w:themeColor="text1"/>
        </w:rPr>
        <w:t>并在基金管理人网站公示</w:t>
      </w:r>
      <w:r w:rsidRPr="001C6480">
        <w:rPr>
          <w:rFonts w:asciiTheme="minorEastAsia" w:eastAsiaTheme="minorEastAsia" w:hAnsiTheme="minorEastAsia" w:cs="Arial"/>
          <w:color w:val="000000" w:themeColor="text1"/>
        </w:rPr>
        <w:t>。</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投资人还可通过基金管理人或者指定的基金</w:t>
      </w:r>
      <w:r w:rsidRPr="001C6480" w:rsidR="00571F12">
        <w:rPr>
          <w:rFonts w:asciiTheme="minorEastAsia" w:eastAsiaTheme="minorEastAsia" w:hAnsiTheme="minorEastAsia" w:cs="Arial" w:hint="eastAsia"/>
          <w:color w:val="000000" w:themeColor="text1"/>
        </w:rPr>
        <w:t>销售</w:t>
      </w:r>
      <w:r w:rsidRPr="001C6480">
        <w:rPr>
          <w:rFonts w:asciiTheme="minorEastAsia" w:eastAsiaTheme="minorEastAsia" w:hAnsiTheme="minorEastAsia" w:cs="Arial"/>
          <w:color w:val="000000" w:themeColor="text1"/>
        </w:rPr>
        <w:t>机构以电话或互联网等其他电子交易方式进行申购、赎回，具体以各销售机构的规定为准。</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1C6480">
        <w:rPr>
          <w:rFonts w:asciiTheme="minorEastAsia" w:eastAsiaTheme="minorEastAsia" w:hAnsiTheme="minorEastAsia" w:cs="Arial"/>
          <w:b w:val="0"/>
          <w:color w:val="000000" w:themeColor="text1"/>
          <w:sz w:val="21"/>
          <w:szCs w:val="21"/>
        </w:rPr>
        <w:t>申购、赎回的</w:t>
      </w:r>
      <w:r w:rsidRPr="001C6480">
        <w:rPr>
          <w:rFonts w:asciiTheme="minorEastAsia" w:eastAsiaTheme="minorEastAsia" w:hAnsiTheme="minorEastAsia" w:cs="Arial" w:hint="eastAsia"/>
          <w:b w:val="0"/>
          <w:color w:val="000000" w:themeColor="text1"/>
          <w:sz w:val="21"/>
          <w:szCs w:val="21"/>
        </w:rPr>
        <w:t>开放日及</w:t>
      </w:r>
      <w:r w:rsidRPr="001C6480">
        <w:rPr>
          <w:rFonts w:asciiTheme="minorEastAsia" w:eastAsiaTheme="minorEastAsia" w:hAnsiTheme="minorEastAsia" w:cs="Arial"/>
          <w:b w:val="0"/>
          <w:color w:val="000000" w:themeColor="text1"/>
          <w:sz w:val="21"/>
          <w:szCs w:val="21"/>
        </w:rPr>
        <w:t>时间</w:t>
      </w:r>
    </w:p>
    <w:p w:rsidR="003E2237"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原易方达量化衍伸股票型证券投资基金已于</w:t>
      </w:r>
      <w:r w:rsidRPr="001C6480">
        <w:rPr>
          <w:rFonts w:asciiTheme="minorEastAsia" w:eastAsiaTheme="minorEastAsia" w:hAnsiTheme="minorEastAsia"/>
          <w:color w:val="000000" w:themeColor="text1"/>
        </w:rPr>
        <w:t>2012</w:t>
      </w:r>
      <w:r w:rsidRPr="001C6480">
        <w:rPr>
          <w:rFonts w:asciiTheme="minorEastAsia" w:eastAsiaTheme="minorEastAsia" w:hAnsiTheme="minorEastAsia" w:hint="eastAsia"/>
          <w:color w:val="000000" w:themeColor="text1"/>
        </w:rPr>
        <w:t>年</w:t>
      </w:r>
      <w:r w:rsidRPr="001C6480">
        <w:rPr>
          <w:rFonts w:asciiTheme="minorEastAsia" w:eastAsiaTheme="minorEastAsia" w:hAnsiTheme="minorEastAsia"/>
          <w:color w:val="000000" w:themeColor="text1"/>
        </w:rPr>
        <w:t>8</w:t>
      </w:r>
      <w:r w:rsidRPr="001C6480">
        <w:rPr>
          <w:rFonts w:asciiTheme="minorEastAsia" w:eastAsiaTheme="minorEastAsia" w:hAnsiTheme="minorEastAsia" w:hint="eastAsia"/>
          <w:color w:val="000000" w:themeColor="text1"/>
        </w:rPr>
        <w:t>月</w:t>
      </w:r>
      <w:r w:rsidRPr="001C6480">
        <w:rPr>
          <w:rFonts w:asciiTheme="minorEastAsia" w:eastAsiaTheme="minorEastAsia" w:hAnsiTheme="minorEastAsia"/>
          <w:color w:val="000000" w:themeColor="text1"/>
        </w:rPr>
        <w:t>6</w:t>
      </w:r>
      <w:r w:rsidRPr="001C6480">
        <w:rPr>
          <w:rFonts w:asciiTheme="minorEastAsia" w:eastAsiaTheme="minorEastAsia" w:hAnsiTheme="minorEastAsia" w:hint="eastAsia"/>
          <w:color w:val="000000" w:themeColor="text1"/>
        </w:rPr>
        <w:t>日开始办理赎回</w:t>
      </w:r>
      <w:r w:rsidRPr="001C6480">
        <w:rPr>
          <w:rFonts w:asciiTheme="minorEastAsia" w:eastAsiaTheme="minorEastAsia" w:hAnsiTheme="minorEastAsia" w:hint="eastAsia"/>
          <w:bCs/>
          <w:color w:val="000000" w:themeColor="text1"/>
        </w:rPr>
        <w:t>业务，已于</w:t>
      </w:r>
      <w:r w:rsidRPr="001C6480">
        <w:rPr>
          <w:rFonts w:asciiTheme="minorEastAsia" w:eastAsiaTheme="minorEastAsia" w:hAnsiTheme="minorEastAsia"/>
          <w:color w:val="000000" w:themeColor="text1"/>
        </w:rPr>
        <w:t>2012</w:t>
      </w:r>
      <w:r w:rsidRPr="001C6480">
        <w:rPr>
          <w:rFonts w:asciiTheme="minorEastAsia" w:eastAsiaTheme="minorEastAsia" w:hAnsiTheme="minorEastAsia" w:hint="eastAsia"/>
          <w:color w:val="000000" w:themeColor="text1"/>
        </w:rPr>
        <w:t>年</w:t>
      </w:r>
      <w:r w:rsidRPr="001C6480">
        <w:rPr>
          <w:rFonts w:asciiTheme="minorEastAsia" w:eastAsiaTheme="minorEastAsia" w:hAnsiTheme="minorEastAsia"/>
          <w:color w:val="000000" w:themeColor="text1"/>
        </w:rPr>
        <w:t>9</w:t>
      </w:r>
      <w:r w:rsidRPr="001C6480">
        <w:rPr>
          <w:rFonts w:asciiTheme="minorEastAsia" w:eastAsiaTheme="minorEastAsia" w:hAnsiTheme="minorEastAsia" w:hint="eastAsia"/>
          <w:color w:val="000000" w:themeColor="text1"/>
        </w:rPr>
        <w:t>月</w:t>
      </w:r>
      <w:r w:rsidRPr="001C6480">
        <w:rPr>
          <w:rFonts w:asciiTheme="minorEastAsia" w:eastAsiaTheme="minorEastAsia" w:hAnsiTheme="minorEastAsia"/>
          <w:color w:val="000000" w:themeColor="text1"/>
        </w:rPr>
        <w:t>27</w:t>
      </w:r>
      <w:r w:rsidRPr="001C6480">
        <w:rPr>
          <w:rFonts w:asciiTheme="minorEastAsia" w:eastAsiaTheme="minorEastAsia" w:hAnsiTheme="minorEastAsia" w:hint="eastAsia"/>
          <w:color w:val="000000" w:themeColor="text1"/>
        </w:rPr>
        <w:t>日开始办理日常申购</w:t>
      </w:r>
      <w:r w:rsidRPr="001C6480">
        <w:rPr>
          <w:rFonts w:asciiTheme="minorEastAsia" w:eastAsiaTheme="minorEastAsia" w:hAnsiTheme="minorEastAsia" w:hint="eastAsia"/>
          <w:bCs/>
          <w:color w:val="000000" w:themeColor="text1"/>
        </w:rPr>
        <w:t>业务，</w:t>
      </w:r>
      <w:r w:rsidRPr="001C6480">
        <w:rPr>
          <w:rFonts w:asciiTheme="minorEastAsia" w:eastAsiaTheme="minorEastAsia" w:hAnsiTheme="minorEastAsia"/>
          <w:bCs/>
          <w:color w:val="000000" w:themeColor="text1"/>
        </w:rPr>
        <w:t>原基金变更不影响本基金</w:t>
      </w:r>
      <w:r w:rsidRPr="001C6480" w:rsidR="008A6361">
        <w:rPr>
          <w:rFonts w:asciiTheme="minorEastAsia" w:eastAsiaTheme="minorEastAsia" w:hAnsiTheme="minorEastAsia" w:hint="eastAsia"/>
          <w:bCs/>
          <w:color w:val="000000" w:themeColor="text1"/>
        </w:rPr>
        <w:t>的</w:t>
      </w:r>
      <w:r w:rsidRPr="001C6480">
        <w:rPr>
          <w:rFonts w:asciiTheme="minorEastAsia" w:eastAsiaTheme="minorEastAsia" w:hAnsiTheme="minorEastAsia"/>
          <w:bCs/>
          <w:color w:val="000000" w:themeColor="text1"/>
        </w:rPr>
        <w:t>正常</w:t>
      </w:r>
      <w:r w:rsidRPr="001C6480">
        <w:rPr>
          <w:rFonts w:asciiTheme="minorEastAsia" w:eastAsiaTheme="minorEastAsia" w:hAnsiTheme="minorEastAsia" w:hint="eastAsia"/>
          <w:bCs/>
          <w:color w:val="000000" w:themeColor="text1"/>
        </w:rPr>
        <w:t>申购和赎回。</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若出现新的证券交易市场、证券交易所交易时间变更或其他特殊情况，基金管理人将视情况对前述开放日及开放时间进行相应的调整，但应在实施日前依照《信息披露办法》的有关规定在</w:t>
      </w:r>
      <w:r w:rsidRPr="001C6480" w:rsidR="004533AA">
        <w:rPr>
          <w:rFonts w:asciiTheme="minorEastAsia" w:eastAsiaTheme="minorEastAsia" w:hAnsiTheme="minorEastAsia" w:hint="eastAsia"/>
          <w:bCs/>
          <w:color w:val="000000" w:themeColor="text1"/>
        </w:rPr>
        <w:t>指定媒介</w:t>
      </w:r>
      <w:r w:rsidRPr="001C6480">
        <w:rPr>
          <w:rFonts w:asciiTheme="minorEastAsia" w:eastAsiaTheme="minorEastAsia" w:hAnsiTheme="minorEastAsia"/>
          <w:bCs/>
          <w:color w:val="000000" w:themeColor="text1"/>
        </w:rPr>
        <w:t>上公告。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cs="Arial" w:hint="eastAsia"/>
          <w:color w:val="000000" w:themeColor="text1"/>
        </w:rPr>
        <w:t>基金管理人不得在基金合同约定之外的日期或者时间办理基金份额的申购或者赎回或者转换。投资人在基金合同约定之外的日期和时间提出申购、赎回或转换申请且注册登记机构确认接受的，其基金份额申购、赎回价格为下一开放日基金份额申购、赎回的价格。</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bCs/>
          <w:color w:val="000000" w:themeColor="text1"/>
          <w:sz w:val="21"/>
          <w:szCs w:val="21"/>
        </w:rPr>
      </w:pPr>
      <w:r w:rsidRPr="001C6480">
        <w:rPr>
          <w:rFonts w:asciiTheme="minorEastAsia" w:eastAsiaTheme="minorEastAsia" w:hAnsiTheme="minorEastAsia" w:cs="Arial"/>
          <w:b w:val="0"/>
          <w:bCs/>
          <w:color w:val="000000" w:themeColor="text1"/>
          <w:sz w:val="21"/>
          <w:szCs w:val="21"/>
        </w:rPr>
        <w:t>申购、赎回的原则</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“未知价”原则，即基金的申购与赎回价格以申请当日</w:t>
      </w:r>
      <w:r w:rsidRPr="001C6480">
        <w:rPr>
          <w:rFonts w:asciiTheme="minorEastAsia" w:eastAsiaTheme="minorEastAsia" w:hAnsiTheme="minorEastAsia" w:hint="eastAsia"/>
          <w:bCs/>
          <w:color w:val="000000" w:themeColor="text1"/>
        </w:rPr>
        <w:t>收市后计算的</w:t>
      </w:r>
      <w:r w:rsidRPr="001C6480">
        <w:rPr>
          <w:rFonts w:asciiTheme="minorEastAsia" w:eastAsiaTheme="minorEastAsia" w:hAnsiTheme="minorEastAsia"/>
          <w:bCs/>
          <w:color w:val="000000" w:themeColor="text1"/>
        </w:rPr>
        <w:t>基金份额净值为基准进行计算；</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2、“金额申购，份额赎回”原则，</w:t>
      </w:r>
      <w:r w:rsidRPr="001C6480">
        <w:rPr>
          <w:rFonts w:asciiTheme="minorEastAsia" w:eastAsiaTheme="minorEastAsia" w:hAnsiTheme="minorEastAsia"/>
          <w:bCs/>
          <w:color w:val="000000" w:themeColor="text1"/>
        </w:rPr>
        <w:t>即申购以金额申请，赎回以份额申请；</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3、当日的申购与赎回申请可以在当日业务办理时间结束前撤销，在当日的业务办理时间结束后不得撤销；</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基金份额持有人赎回时，除指定赎回外，</w:t>
      </w:r>
      <w:r w:rsidRPr="001C6480">
        <w:rPr>
          <w:rFonts w:asciiTheme="minorEastAsia" w:eastAsiaTheme="minorEastAsia" w:hAnsiTheme="minorEastAsia" w:hint="eastAsia"/>
          <w:bCs/>
          <w:color w:val="000000" w:themeColor="text1"/>
        </w:rPr>
        <w:t>赎回遵循</w:t>
      </w:r>
      <w:r w:rsidRPr="001C6480">
        <w:rPr>
          <w:rFonts w:asciiTheme="minorEastAsia" w:eastAsiaTheme="minorEastAsia" w:hAnsiTheme="minorEastAsia"/>
          <w:bCs/>
          <w:color w:val="000000" w:themeColor="text1"/>
        </w:rPr>
        <w:t>“先进先出”原则</w:t>
      </w:r>
      <w:r w:rsidRPr="001C6480">
        <w:rPr>
          <w:rFonts w:asciiTheme="minorEastAsia" w:eastAsiaTheme="minorEastAsia" w:hAnsiTheme="minorEastAsia" w:hint="eastAsia"/>
          <w:color w:val="000000" w:themeColor="text1"/>
        </w:rPr>
        <w:t>对该持有人账户在该销售机构托管的基金份额进行处理</w:t>
      </w:r>
      <w:r w:rsidRPr="001C6480">
        <w:rPr>
          <w:rFonts w:asciiTheme="minorEastAsia" w:eastAsiaTheme="minorEastAsia" w:hAnsiTheme="minorEastAsia" w:hint="eastAsia"/>
          <w:bCs/>
          <w:color w:val="000000" w:themeColor="text1"/>
        </w:rPr>
        <w:t>，即按照持有人认购、申购的先后次序，</w:t>
      </w:r>
      <w:r w:rsidRPr="001C6480">
        <w:rPr>
          <w:rFonts w:asciiTheme="minorEastAsia" w:eastAsiaTheme="minorEastAsia" w:hAnsiTheme="minorEastAsia"/>
          <w:bCs/>
          <w:color w:val="000000" w:themeColor="text1"/>
        </w:rPr>
        <w:t>先确认的份额先赎回，后确认的份额后赎回，以确定所适用的赎回费率；</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基金管理人在</w:t>
      </w:r>
      <w:r w:rsidRPr="001C6480">
        <w:rPr>
          <w:rFonts w:asciiTheme="minorEastAsia" w:eastAsiaTheme="minorEastAsia" w:hAnsiTheme="minorEastAsia" w:hint="eastAsia"/>
          <w:bCs/>
          <w:color w:val="000000" w:themeColor="text1"/>
        </w:rPr>
        <w:t>法律法规允许的情况下，</w:t>
      </w:r>
      <w:r w:rsidRPr="001C6480">
        <w:rPr>
          <w:rFonts w:asciiTheme="minorEastAsia" w:eastAsiaTheme="minorEastAsia" w:hAnsiTheme="minorEastAsia"/>
          <w:bCs/>
          <w:color w:val="000000" w:themeColor="text1"/>
        </w:rPr>
        <w:t>可根据基金运作的实际情况更改上述原则</w:t>
      </w:r>
      <w:r w:rsidRPr="001C6480">
        <w:rPr>
          <w:rFonts w:asciiTheme="minorEastAsia" w:eastAsiaTheme="minorEastAsia" w:hAnsiTheme="minorEastAsia" w:hint="eastAsia"/>
          <w:bCs/>
          <w:color w:val="000000" w:themeColor="text1"/>
        </w:rPr>
        <w:t>。基金管理人</w:t>
      </w:r>
      <w:r w:rsidRPr="001C6480">
        <w:rPr>
          <w:rFonts w:asciiTheme="minorEastAsia" w:eastAsiaTheme="minorEastAsia" w:hAnsiTheme="minorEastAsia"/>
          <w:bCs/>
          <w:color w:val="000000" w:themeColor="text1"/>
        </w:rPr>
        <w:t>必须</w:t>
      </w:r>
      <w:r w:rsidRPr="001C6480">
        <w:rPr>
          <w:rFonts w:asciiTheme="minorEastAsia" w:eastAsiaTheme="minorEastAsia" w:hAnsiTheme="minorEastAsia" w:hint="eastAsia"/>
          <w:bCs/>
          <w:color w:val="000000" w:themeColor="text1"/>
        </w:rPr>
        <w:t>在新规则开始实施前</w:t>
      </w:r>
      <w:r w:rsidRPr="001C6480">
        <w:rPr>
          <w:rFonts w:asciiTheme="minorEastAsia" w:eastAsiaTheme="minorEastAsia" w:hAnsiTheme="minorEastAsia"/>
          <w:bCs/>
          <w:color w:val="000000" w:themeColor="text1"/>
        </w:rPr>
        <w:t>按照《信息披露办法》或其他相关规定在</w:t>
      </w:r>
      <w:r w:rsidRPr="001C6480" w:rsidR="004533AA">
        <w:rPr>
          <w:rFonts w:asciiTheme="minorEastAsia" w:eastAsiaTheme="minorEastAsia" w:hAnsiTheme="minorEastAsia" w:hint="eastAsia"/>
          <w:bCs/>
          <w:color w:val="000000" w:themeColor="text1"/>
        </w:rPr>
        <w:t>指定媒介</w:t>
      </w:r>
      <w:r w:rsidRPr="001C6480">
        <w:rPr>
          <w:rFonts w:asciiTheme="minorEastAsia" w:eastAsiaTheme="minorEastAsia" w:hAnsiTheme="minorEastAsia"/>
          <w:bCs/>
          <w:color w:val="000000" w:themeColor="text1"/>
        </w:rPr>
        <w:t>上公告。</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1C6480">
        <w:rPr>
          <w:rFonts w:asciiTheme="minorEastAsia" w:eastAsiaTheme="minorEastAsia" w:hAnsiTheme="minorEastAsia" w:cs="Arial"/>
          <w:b w:val="0"/>
          <w:color w:val="000000" w:themeColor="text1"/>
          <w:sz w:val="21"/>
          <w:szCs w:val="21"/>
        </w:rPr>
        <w:t>申购</w:t>
      </w:r>
      <w:r w:rsidRPr="001C6480">
        <w:rPr>
          <w:rFonts w:asciiTheme="minorEastAsia" w:eastAsiaTheme="minorEastAsia" w:hAnsiTheme="minorEastAsia" w:cs="Arial" w:hint="eastAsia"/>
          <w:b w:val="0"/>
          <w:color w:val="000000" w:themeColor="text1"/>
          <w:sz w:val="21"/>
          <w:szCs w:val="21"/>
        </w:rPr>
        <w:t>和</w:t>
      </w:r>
      <w:r w:rsidRPr="001C6480">
        <w:rPr>
          <w:rFonts w:asciiTheme="minorEastAsia" w:eastAsiaTheme="minorEastAsia" w:hAnsiTheme="minorEastAsia" w:cs="Arial"/>
          <w:b w:val="0"/>
          <w:color w:val="000000" w:themeColor="text1"/>
          <w:sz w:val="21"/>
          <w:szCs w:val="21"/>
        </w:rPr>
        <w:t>赎回的程序</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申购</w:t>
      </w:r>
      <w:r w:rsidRPr="001C6480">
        <w:rPr>
          <w:rFonts w:asciiTheme="minorEastAsia" w:eastAsiaTheme="minorEastAsia" w:hAnsiTheme="minorEastAsia" w:cs="Arial" w:hint="eastAsia"/>
          <w:color w:val="000000" w:themeColor="text1"/>
        </w:rPr>
        <w:t>和</w:t>
      </w:r>
      <w:r w:rsidRPr="001C6480">
        <w:rPr>
          <w:rFonts w:asciiTheme="minorEastAsia" w:eastAsiaTheme="minorEastAsia" w:hAnsiTheme="minorEastAsia" w:cs="Arial"/>
          <w:color w:val="000000" w:themeColor="text1"/>
        </w:rPr>
        <w:t>赎回的申请方式</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投资人必须根据基金</w:t>
      </w:r>
      <w:r w:rsidRPr="001C6480">
        <w:rPr>
          <w:rFonts w:asciiTheme="minorEastAsia" w:eastAsiaTheme="minorEastAsia" w:hAnsiTheme="minorEastAsia" w:cs="Arial" w:hint="eastAsia"/>
          <w:color w:val="000000" w:themeColor="text1"/>
        </w:rPr>
        <w:t>销售</w:t>
      </w:r>
      <w:r w:rsidRPr="001C6480">
        <w:rPr>
          <w:rFonts w:asciiTheme="minorEastAsia" w:eastAsiaTheme="minorEastAsia" w:hAnsiTheme="minorEastAsia" w:cs="Arial"/>
          <w:color w:val="000000" w:themeColor="text1"/>
        </w:rPr>
        <w:t>机构规定的</w:t>
      </w:r>
      <w:r w:rsidRPr="001C6480">
        <w:rPr>
          <w:rFonts w:asciiTheme="minorEastAsia" w:eastAsiaTheme="minorEastAsia" w:hAnsiTheme="minorEastAsia" w:cs="Arial" w:hint="eastAsia"/>
          <w:color w:val="000000" w:themeColor="text1"/>
        </w:rPr>
        <w:t>程序</w:t>
      </w:r>
      <w:r w:rsidRPr="001C6480">
        <w:rPr>
          <w:rFonts w:asciiTheme="minorEastAsia" w:eastAsiaTheme="minorEastAsia" w:hAnsiTheme="minorEastAsia" w:cs="Arial"/>
          <w:color w:val="000000" w:themeColor="text1"/>
        </w:rPr>
        <w:t>，在开放日的</w:t>
      </w:r>
      <w:r w:rsidRPr="001C6480">
        <w:rPr>
          <w:rFonts w:asciiTheme="minorEastAsia" w:eastAsiaTheme="minorEastAsia" w:hAnsiTheme="minorEastAsia" w:cs="Arial" w:hint="eastAsia"/>
          <w:color w:val="000000" w:themeColor="text1"/>
        </w:rPr>
        <w:t>具体</w:t>
      </w:r>
      <w:r w:rsidRPr="001C6480">
        <w:rPr>
          <w:rFonts w:asciiTheme="minorEastAsia" w:eastAsiaTheme="minorEastAsia" w:hAnsiTheme="minorEastAsia" w:cs="Arial"/>
          <w:color w:val="000000" w:themeColor="text1"/>
        </w:rPr>
        <w:t>业务办理时间提出申购</w:t>
      </w:r>
      <w:r w:rsidRPr="001C6480">
        <w:rPr>
          <w:rFonts w:asciiTheme="minorEastAsia" w:eastAsiaTheme="minorEastAsia" w:hAnsiTheme="minorEastAsia" w:cs="Arial" w:hint="eastAsia"/>
          <w:color w:val="000000" w:themeColor="text1"/>
        </w:rPr>
        <w:t>或</w:t>
      </w:r>
      <w:r w:rsidRPr="001C6480">
        <w:rPr>
          <w:rFonts w:asciiTheme="minorEastAsia" w:eastAsiaTheme="minorEastAsia" w:hAnsiTheme="minorEastAsia" w:cs="Arial"/>
          <w:color w:val="000000" w:themeColor="text1"/>
        </w:rPr>
        <w:t>赎回的申请。</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投资人在提交申购申请时，须按销售机构规定的方式备足申购资金；提交赎回申请时,账户中必须有足够的基金份额余额，否则所提交的申购</w:t>
      </w:r>
      <w:r w:rsidRPr="001C6480">
        <w:rPr>
          <w:rFonts w:asciiTheme="minorEastAsia" w:eastAsiaTheme="minorEastAsia" w:hAnsiTheme="minorEastAsia" w:cs="Arial" w:hint="eastAsia"/>
          <w:color w:val="000000" w:themeColor="text1"/>
        </w:rPr>
        <w:t>或</w:t>
      </w:r>
      <w:r w:rsidRPr="001C6480">
        <w:rPr>
          <w:rFonts w:asciiTheme="minorEastAsia" w:eastAsiaTheme="minorEastAsia" w:hAnsiTheme="minorEastAsia" w:cs="Arial"/>
          <w:color w:val="000000" w:themeColor="text1"/>
        </w:rPr>
        <w:t>赎回的申请无效而不予成交。</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申购</w:t>
      </w:r>
      <w:r w:rsidRPr="001C6480">
        <w:rPr>
          <w:rFonts w:asciiTheme="minorEastAsia" w:eastAsiaTheme="minorEastAsia" w:hAnsiTheme="minorEastAsia" w:cs="Arial" w:hint="eastAsia"/>
          <w:color w:val="000000" w:themeColor="text1"/>
        </w:rPr>
        <w:t>和</w:t>
      </w:r>
      <w:r w:rsidRPr="001C6480">
        <w:rPr>
          <w:rFonts w:asciiTheme="minorEastAsia" w:eastAsiaTheme="minorEastAsia" w:hAnsiTheme="minorEastAsia" w:cs="Arial"/>
          <w:color w:val="000000" w:themeColor="text1"/>
        </w:rPr>
        <w:t>赎回申请的确认</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基金管理人应以交易时间结束前受理</w:t>
      </w:r>
      <w:r w:rsidRPr="001C6480">
        <w:rPr>
          <w:rFonts w:asciiTheme="minorEastAsia" w:eastAsiaTheme="minorEastAsia" w:hAnsiTheme="minorEastAsia" w:hint="eastAsia"/>
          <w:bCs/>
          <w:color w:val="000000" w:themeColor="text1"/>
        </w:rPr>
        <w:t>有效</w:t>
      </w:r>
      <w:r w:rsidRPr="001C6480">
        <w:rPr>
          <w:rFonts w:asciiTheme="minorEastAsia" w:eastAsiaTheme="minorEastAsia" w:hAnsiTheme="minorEastAsia"/>
          <w:bCs/>
          <w:color w:val="000000" w:themeColor="text1"/>
        </w:rPr>
        <w:t>申购和赎回申请的当天作为申购或赎回申请日（T日），在正常情况下，本基金注册登记机构在T+</w:t>
      </w: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日内对该交易的有效性进行确认。T日提交的有效申请，投资人</w:t>
      </w:r>
      <w:r w:rsidRPr="001C6480">
        <w:rPr>
          <w:rFonts w:asciiTheme="minorEastAsia" w:eastAsiaTheme="minorEastAsia" w:hAnsiTheme="minorEastAsia" w:hint="eastAsia"/>
          <w:bCs/>
          <w:color w:val="000000" w:themeColor="text1"/>
        </w:rPr>
        <w:t>应</w:t>
      </w:r>
      <w:r w:rsidRPr="001C6480">
        <w:rPr>
          <w:rFonts w:asciiTheme="minorEastAsia" w:eastAsiaTheme="minorEastAsia" w:hAnsiTheme="minorEastAsia"/>
          <w:bCs/>
          <w:color w:val="000000" w:themeColor="text1"/>
        </w:rPr>
        <w:t>在T+</w:t>
      </w: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日后（包括该日）到销售网点柜台或以销售机构规定的其他方式查询申请的确认情况。若申购不成功，则申购款项</w:t>
      </w:r>
      <w:r w:rsidRPr="001C6480">
        <w:rPr>
          <w:rFonts w:asciiTheme="minorEastAsia" w:eastAsiaTheme="minorEastAsia" w:hAnsiTheme="minorEastAsia" w:hint="eastAsia"/>
          <w:bCs/>
          <w:color w:val="000000" w:themeColor="text1"/>
        </w:rPr>
        <w:t>本金</w:t>
      </w:r>
      <w:r w:rsidRPr="001C6480">
        <w:rPr>
          <w:rFonts w:asciiTheme="minorEastAsia" w:eastAsiaTheme="minorEastAsia" w:hAnsiTheme="minorEastAsia"/>
          <w:bCs/>
          <w:color w:val="000000" w:themeColor="text1"/>
        </w:rPr>
        <w:t>退还给投资人。</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销售机构对申购、赎回申请的受理并不代表该申请一定成功，而仅代表销售机构确实接收到申购、赎回申请。申购、赎回的确认以基金注册登记机构的确认结果为准。对于申购申请及申购份额的确认情况，投资人应及时查询并妥善行使合法权利。</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申购和赎回的款项支付</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申购采用全额缴款方式，若资金在规定时间内未全额到账则申购不成功，投资人已缴付的申购款项</w:t>
      </w:r>
      <w:r w:rsidRPr="001C6480">
        <w:rPr>
          <w:rFonts w:asciiTheme="minorEastAsia" w:eastAsiaTheme="minorEastAsia" w:hAnsiTheme="minorEastAsia" w:cs="Arial" w:hint="eastAsia"/>
          <w:color w:val="000000" w:themeColor="text1"/>
        </w:rPr>
        <w:t>的</w:t>
      </w:r>
      <w:r w:rsidRPr="001C6480">
        <w:rPr>
          <w:rFonts w:asciiTheme="minorEastAsia" w:eastAsiaTheme="minorEastAsia" w:hAnsiTheme="minorEastAsia" w:cs="Arial"/>
          <w:color w:val="000000" w:themeColor="text1"/>
        </w:rPr>
        <w:t>本金退回投资人账户。</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投资人赎回申请成功后，基金管理人</w:t>
      </w:r>
      <w:r w:rsidRPr="001C6480">
        <w:rPr>
          <w:rFonts w:asciiTheme="minorEastAsia" w:eastAsiaTheme="minorEastAsia" w:hAnsiTheme="minorEastAsia" w:cs="Arial" w:hint="eastAsia"/>
          <w:color w:val="000000" w:themeColor="text1"/>
        </w:rPr>
        <w:t>应</w:t>
      </w:r>
      <w:r w:rsidRPr="001C6480">
        <w:rPr>
          <w:rFonts w:asciiTheme="minorEastAsia" w:eastAsiaTheme="minorEastAsia" w:hAnsiTheme="minorEastAsia" w:cs="Arial"/>
          <w:color w:val="000000" w:themeColor="text1"/>
        </w:rPr>
        <w:t>通过注册登记机构及相关基金销售机构</w:t>
      </w:r>
      <w:r w:rsidRPr="001C6480">
        <w:rPr>
          <w:rFonts w:asciiTheme="minorEastAsia" w:eastAsiaTheme="minorEastAsia" w:hAnsiTheme="minorEastAsia" w:cs="Arial" w:hint="eastAsia"/>
          <w:color w:val="000000" w:themeColor="text1"/>
        </w:rPr>
        <w:t>按规定向投资人</w:t>
      </w:r>
      <w:r w:rsidRPr="001C6480">
        <w:rPr>
          <w:rFonts w:asciiTheme="minorEastAsia" w:eastAsiaTheme="minorEastAsia" w:hAnsiTheme="minorEastAsia" w:cs="Arial"/>
          <w:color w:val="000000" w:themeColor="text1"/>
        </w:rPr>
        <w:t>支付赎回款项</w:t>
      </w:r>
      <w:r w:rsidRPr="001C6480">
        <w:rPr>
          <w:rFonts w:asciiTheme="minorEastAsia" w:eastAsiaTheme="minorEastAsia" w:hAnsiTheme="minorEastAsia" w:cs="Arial" w:hint="eastAsia"/>
          <w:color w:val="000000" w:themeColor="text1"/>
        </w:rPr>
        <w:t>。赎回款项自受理基金投资人有效赎回申请之日起不超过7个工作日支付</w:t>
      </w:r>
      <w:r w:rsidRPr="001C6480">
        <w:rPr>
          <w:rFonts w:asciiTheme="minorEastAsia" w:eastAsiaTheme="minorEastAsia" w:hAnsiTheme="minorEastAsia" w:cs="Arial"/>
          <w:color w:val="000000" w:themeColor="text1"/>
        </w:rPr>
        <w:t>。发生巨额赎回的情形时，</w:t>
      </w:r>
      <w:r w:rsidRPr="001C6480">
        <w:rPr>
          <w:rFonts w:asciiTheme="minorEastAsia" w:eastAsiaTheme="minorEastAsia" w:hAnsiTheme="minorEastAsia" w:cs="Arial" w:hint="eastAsia"/>
          <w:color w:val="000000" w:themeColor="text1"/>
        </w:rPr>
        <w:t>赎回</w:t>
      </w:r>
      <w:r w:rsidRPr="001C6480">
        <w:rPr>
          <w:rFonts w:asciiTheme="minorEastAsia" w:eastAsiaTheme="minorEastAsia" w:hAnsiTheme="minorEastAsia" w:cs="Arial"/>
          <w:color w:val="000000" w:themeColor="text1"/>
        </w:rPr>
        <w:t>款项的支付办法参照《基金合同》的有关条款处理。</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基金管理人可以在法律法规允许的范围内，对上述业务办理时间进行调整，并进行公告。</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1C6480">
        <w:rPr>
          <w:rFonts w:asciiTheme="minorEastAsia" w:eastAsiaTheme="minorEastAsia" w:hAnsiTheme="minorEastAsia" w:cs="Arial"/>
          <w:b w:val="0"/>
          <w:color w:val="000000" w:themeColor="text1"/>
          <w:sz w:val="21"/>
          <w:szCs w:val="21"/>
        </w:rPr>
        <w:t>申购、赎回的数额限制</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申购</w:t>
      </w:r>
      <w:r w:rsidRPr="001C6480">
        <w:rPr>
          <w:rFonts w:asciiTheme="minorEastAsia" w:eastAsiaTheme="minorEastAsia" w:hAnsiTheme="minorEastAsia" w:cs="Arial" w:hint="eastAsia"/>
          <w:color w:val="000000" w:themeColor="text1"/>
        </w:rPr>
        <w:t>的</w:t>
      </w:r>
      <w:r w:rsidRPr="001C6480">
        <w:rPr>
          <w:rFonts w:asciiTheme="minorEastAsia" w:eastAsiaTheme="minorEastAsia" w:hAnsiTheme="minorEastAsia" w:cs="Arial"/>
          <w:color w:val="000000" w:themeColor="text1"/>
        </w:rPr>
        <w:t>金额限制</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投资人通过</w:t>
      </w:r>
      <w:r w:rsidRPr="001C6480" w:rsidR="002B3F76">
        <w:rPr>
          <w:rFonts w:asciiTheme="minorEastAsia" w:eastAsiaTheme="minorEastAsia" w:hAnsiTheme="minorEastAsia" w:cs="Arial" w:hint="eastAsia"/>
          <w:color w:val="000000" w:themeColor="text1"/>
        </w:rPr>
        <w:t>非直销销售机构</w:t>
      </w:r>
      <w:r w:rsidRPr="001C6480">
        <w:rPr>
          <w:rFonts w:asciiTheme="minorEastAsia" w:eastAsiaTheme="minorEastAsia" w:hAnsiTheme="minorEastAsia" w:cs="Arial"/>
          <w:color w:val="000000" w:themeColor="text1"/>
        </w:rPr>
        <w:t>或本公司网上交易系统首次申购的单笔最低金额为1元人民币，</w:t>
      </w:r>
      <w:r w:rsidRPr="001C6480" w:rsidR="002F6F0D">
        <w:rPr>
          <w:rFonts w:asciiTheme="minorEastAsia" w:eastAsiaTheme="minorEastAsia" w:hAnsiTheme="minorEastAsia" w:cs="Arial"/>
          <w:color w:val="000000" w:themeColor="text1"/>
        </w:rPr>
        <w:t>追加申购单笔最低金额为1元人民币</w:t>
      </w:r>
      <w:r w:rsidRPr="001C6480" w:rsidR="002F6F0D">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通过</w:t>
      </w:r>
      <w:r w:rsidRPr="001C6480">
        <w:rPr>
          <w:rFonts w:asciiTheme="minorEastAsia" w:eastAsiaTheme="minorEastAsia" w:hAnsiTheme="minorEastAsia" w:cs="Arial" w:hint="eastAsia"/>
          <w:color w:val="000000" w:themeColor="text1"/>
        </w:rPr>
        <w:t>本公司</w:t>
      </w:r>
      <w:r w:rsidRPr="001C6480">
        <w:rPr>
          <w:rFonts w:asciiTheme="minorEastAsia" w:eastAsiaTheme="minorEastAsia" w:hAnsiTheme="minorEastAsia" w:cs="Arial"/>
          <w:color w:val="000000" w:themeColor="text1"/>
        </w:rPr>
        <w:t>直销中心首次申购的单笔最低金额为50000元人民币，追加申购单笔最低金额为1000元人民币。</w:t>
      </w:r>
      <w:r w:rsidRPr="001C6480" w:rsidR="00404CBB">
        <w:rPr>
          <w:rFonts w:asciiTheme="minorEastAsia" w:eastAsiaTheme="minorEastAsia" w:hAnsiTheme="minorEastAsia" w:cs="Arial" w:hint="eastAsia"/>
          <w:color w:val="000000" w:themeColor="text1"/>
        </w:rPr>
        <w:t>在符合法律法规规定的前提下，</w:t>
      </w:r>
      <w:r w:rsidRPr="001C6480">
        <w:rPr>
          <w:rFonts w:asciiTheme="minorEastAsia" w:eastAsiaTheme="minorEastAsia" w:hAnsiTheme="minorEastAsia" w:cs="Arial"/>
          <w:color w:val="000000" w:themeColor="text1"/>
        </w:rPr>
        <w:t>各</w:t>
      </w:r>
      <w:r w:rsidRPr="001C6480">
        <w:rPr>
          <w:rFonts w:asciiTheme="minorEastAsia" w:eastAsiaTheme="minorEastAsia" w:hAnsiTheme="minorEastAsia" w:cs="Arial" w:hint="eastAsia"/>
          <w:color w:val="000000" w:themeColor="text1"/>
        </w:rPr>
        <w:t>销售</w:t>
      </w:r>
      <w:r w:rsidRPr="001C6480">
        <w:rPr>
          <w:rFonts w:asciiTheme="minorEastAsia" w:eastAsiaTheme="minorEastAsia" w:hAnsiTheme="minorEastAsia" w:cs="Arial"/>
          <w:color w:val="000000" w:themeColor="text1"/>
        </w:rPr>
        <w:t>机构对最低申购限额及交易级差有其他规定的</w:t>
      </w:r>
      <w:r w:rsidRPr="001C6480" w:rsidR="004E1B94">
        <w:rPr>
          <w:rFonts w:asciiTheme="minorEastAsia" w:eastAsiaTheme="minorEastAsia" w:hAnsiTheme="minorEastAsia" w:cs="Arial" w:hint="eastAsia"/>
          <w:color w:val="000000" w:themeColor="text1"/>
        </w:rPr>
        <w:t>，</w:t>
      </w:r>
      <w:r w:rsidRPr="001C6480" w:rsidR="00FA6000">
        <w:rPr>
          <w:rFonts w:asciiTheme="minorEastAsia" w:eastAsiaTheme="minorEastAsia" w:hAnsiTheme="minorEastAsia" w:cs="Arial" w:hint="eastAsia"/>
          <w:color w:val="000000" w:themeColor="text1"/>
        </w:rPr>
        <w:t>需同时遵循该销售机构的相关规定</w:t>
      </w:r>
      <w:r w:rsidRPr="001C6480">
        <w:rPr>
          <w:rFonts w:asciiTheme="minorEastAsia" w:eastAsiaTheme="minorEastAsia" w:hAnsiTheme="minorEastAsia" w:cs="Arial"/>
          <w:color w:val="000000" w:themeColor="text1"/>
        </w:rPr>
        <w:t>。</w:t>
      </w:r>
      <w:r w:rsidRPr="001C6480" w:rsidR="00326C2B">
        <w:rPr>
          <w:rFonts w:asciiTheme="minorEastAsia" w:eastAsiaTheme="minorEastAsia" w:hAnsiTheme="minorEastAsia" w:hint="eastAsia"/>
          <w:color w:val="000000" w:themeColor="text1"/>
        </w:rPr>
        <w:t>(以上金额均含申购费)</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投资人将当期分配的基金收益转购基金份额或采用定期定额投资计划时，不受最低申购金额的限制。</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投资人可多次申购，对单个投资人累计持有份额不设上限限制。</w:t>
      </w:r>
      <w:r w:rsidRPr="001C6480" w:rsidR="00EE070B">
        <w:rPr>
          <w:rFonts w:asciiTheme="minorEastAsia" w:eastAsiaTheme="minorEastAsia" w:hAnsiTheme="minorEastAsia" w:cs="Arial" w:hint="eastAsia"/>
          <w:color w:val="000000" w:themeColor="text1"/>
        </w:rPr>
        <w:t>但对于可能导致单一投资者持有基金份额的比例达到或者超过50%，或者变相规避50%集中度的情形，基金管理人有权采取控制措施。</w:t>
      </w:r>
      <w:r w:rsidRPr="001C6480" w:rsidR="00E80743">
        <w:rPr>
          <w:rFonts w:asciiTheme="minorEastAsia" w:eastAsiaTheme="minorEastAsia" w:hAnsiTheme="minorEastAsia" w:cs="Arial" w:hint="eastAsia"/>
          <w:color w:val="000000" w:themeColor="text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1C6480">
        <w:rPr>
          <w:rFonts w:asciiTheme="minorEastAsia" w:eastAsiaTheme="minorEastAsia" w:hAnsiTheme="minorEastAsia" w:cs="Arial"/>
          <w:color w:val="000000" w:themeColor="text1"/>
        </w:rPr>
        <w:t>法律法规、中国证监会另有规定的除外。</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bookmarkStart w:id="26" w:name="OLE_LINK2"/>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赎回的份额限制</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投资人可将其全部或部分基金份额赎回。单笔赎回或转换不得少于</w:t>
      </w: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份（</w:t>
      </w:r>
      <w:r w:rsidRPr="001C6480" w:rsidR="003E5700">
        <w:rPr>
          <w:rFonts w:asciiTheme="minorEastAsia" w:eastAsiaTheme="minorEastAsia" w:hAnsiTheme="minorEastAsia" w:cs="Arial"/>
          <w:color w:val="000000" w:themeColor="text1"/>
        </w:rPr>
        <w:t>如该账户在该销售机构托管的</w:t>
      </w:r>
      <w:r w:rsidRPr="001C6480" w:rsidR="003E5700">
        <w:rPr>
          <w:rFonts w:asciiTheme="minorEastAsia" w:eastAsiaTheme="minorEastAsia" w:hAnsiTheme="minorEastAsia" w:cs="Arial" w:hint="eastAsia"/>
          <w:color w:val="000000" w:themeColor="text1"/>
        </w:rPr>
        <w:t>该</w:t>
      </w:r>
      <w:r w:rsidRPr="001C6480" w:rsidR="003E5700">
        <w:rPr>
          <w:rFonts w:asciiTheme="minorEastAsia" w:eastAsiaTheme="minorEastAsia" w:hAnsiTheme="minorEastAsia" w:cs="Arial"/>
          <w:color w:val="000000" w:themeColor="text1"/>
        </w:rPr>
        <w:t>基金余额不足</w:t>
      </w: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份，则必须一次性赎回或转出该基金全部份额）；若某笔赎回将导致投资人在</w:t>
      </w:r>
      <w:r w:rsidRPr="001C6480" w:rsidR="003E5700">
        <w:rPr>
          <w:rFonts w:asciiTheme="minorEastAsia" w:eastAsiaTheme="minorEastAsia" w:hAnsiTheme="minorEastAsia" w:cs="Arial" w:hint="eastAsia"/>
          <w:color w:val="000000" w:themeColor="text1"/>
        </w:rPr>
        <w:t>该</w:t>
      </w:r>
      <w:r w:rsidRPr="001C6480">
        <w:rPr>
          <w:rFonts w:asciiTheme="minorEastAsia" w:eastAsiaTheme="minorEastAsia" w:hAnsiTheme="minorEastAsia" w:cs="Arial"/>
          <w:color w:val="000000" w:themeColor="text1"/>
        </w:rPr>
        <w:t>销售机构托管的</w:t>
      </w:r>
      <w:r w:rsidRPr="001C6480" w:rsidR="003E5700">
        <w:rPr>
          <w:rFonts w:asciiTheme="minorEastAsia" w:eastAsiaTheme="minorEastAsia" w:hAnsiTheme="minorEastAsia" w:cs="Arial" w:hint="eastAsia"/>
          <w:color w:val="000000" w:themeColor="text1"/>
        </w:rPr>
        <w:t>该</w:t>
      </w:r>
      <w:r w:rsidRPr="001C6480">
        <w:rPr>
          <w:rFonts w:asciiTheme="minorEastAsia" w:eastAsiaTheme="minorEastAsia" w:hAnsiTheme="minorEastAsia" w:cs="Arial"/>
          <w:color w:val="000000" w:themeColor="text1"/>
        </w:rPr>
        <w:t>基金余额不足</w:t>
      </w: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份时，基金管理人有权将投资人在该销售机构托管的该基金剩余份额一次性全部赎回。</w:t>
      </w:r>
      <w:r w:rsidRPr="001C6480" w:rsidR="001B6A3C">
        <w:rPr>
          <w:rFonts w:asciiTheme="minorEastAsia" w:eastAsiaTheme="minorEastAsia" w:hAnsiTheme="minorEastAsia" w:cs="Arial" w:hint="eastAsia"/>
          <w:color w:val="000000" w:themeColor="text1"/>
        </w:rPr>
        <w:t>在符合法律法规规定的前提下，</w:t>
      </w:r>
      <w:r w:rsidRPr="001C6480">
        <w:rPr>
          <w:rFonts w:asciiTheme="minorEastAsia" w:eastAsiaTheme="minorEastAsia" w:hAnsiTheme="minorEastAsia" w:cs="Arial"/>
          <w:color w:val="000000" w:themeColor="text1"/>
        </w:rPr>
        <w:t>各销售机构对赎回份额限制有其他规定的</w:t>
      </w:r>
      <w:r w:rsidRPr="001C6480" w:rsidR="008A6361">
        <w:rPr>
          <w:rFonts w:asciiTheme="minorEastAsia" w:eastAsiaTheme="minorEastAsia" w:hAnsiTheme="minorEastAsia" w:cs="Arial" w:hint="eastAsia"/>
          <w:color w:val="000000" w:themeColor="text1"/>
        </w:rPr>
        <w:t>，</w:t>
      </w:r>
      <w:r w:rsidRPr="001C6480" w:rsidR="00FA6000">
        <w:rPr>
          <w:rFonts w:asciiTheme="minorEastAsia" w:eastAsiaTheme="minorEastAsia" w:hAnsiTheme="minorEastAsia" w:cs="Arial" w:hint="eastAsia"/>
          <w:color w:val="000000" w:themeColor="text1"/>
        </w:rPr>
        <w:t>需同时遵循该销售机构的相关规定</w:t>
      </w:r>
      <w:r w:rsidRPr="001C6480">
        <w:rPr>
          <w:rFonts w:asciiTheme="minorEastAsia" w:eastAsiaTheme="minorEastAsia" w:hAnsiTheme="minorEastAsia" w:cs="Arial"/>
          <w:color w:val="000000" w:themeColor="text1"/>
        </w:rPr>
        <w:t>。</w:t>
      </w:r>
    </w:p>
    <w:bookmarkEnd w:id="26"/>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基金管理人可根据市场情况制定或调整上述申购、赎回的程序及有关限制</w:t>
      </w:r>
      <w:r w:rsidRPr="001C6480" w:rsidR="00E80743">
        <w:rPr>
          <w:rFonts w:asciiTheme="minorEastAsia" w:eastAsiaTheme="minorEastAsia" w:hAnsiTheme="minorEastAsia" w:cs="Arial" w:hint="eastAsia"/>
          <w:color w:val="000000" w:themeColor="text1"/>
        </w:rPr>
        <w:t>，或者新增基金规模控制措施</w:t>
      </w:r>
      <w:r w:rsidRPr="001C6480">
        <w:rPr>
          <w:rFonts w:asciiTheme="minorEastAsia" w:eastAsiaTheme="minorEastAsia" w:hAnsiTheme="minorEastAsia" w:cs="Arial"/>
          <w:color w:val="000000" w:themeColor="text1"/>
        </w:rPr>
        <w:t>，但应按照《信息披露办法》或其他相关规定在调整生效前</w:t>
      </w:r>
      <w:r w:rsidRPr="001C6480" w:rsidR="004533AA">
        <w:rPr>
          <w:rFonts w:asciiTheme="minorEastAsia" w:eastAsiaTheme="minorEastAsia" w:hAnsiTheme="minorEastAsia" w:cs="Arial" w:hint="eastAsia"/>
          <w:color w:val="000000" w:themeColor="text1"/>
        </w:rPr>
        <w:t>在指定媒介上公告</w:t>
      </w:r>
      <w:r w:rsidRPr="001C6480">
        <w:rPr>
          <w:rFonts w:asciiTheme="minorEastAsia" w:eastAsiaTheme="minorEastAsia" w:hAnsiTheme="minorEastAsia" w:cs="Arial"/>
          <w:color w:val="000000" w:themeColor="text1"/>
        </w:rPr>
        <w:t>。</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1C6480">
        <w:rPr>
          <w:rFonts w:asciiTheme="minorEastAsia" w:eastAsiaTheme="minorEastAsia" w:hAnsiTheme="minorEastAsia" w:cs="Arial"/>
          <w:b w:val="0"/>
          <w:color w:val="000000" w:themeColor="text1"/>
          <w:sz w:val="21"/>
          <w:szCs w:val="21"/>
        </w:rPr>
        <w:t>申购、赎回的费率</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本基金的申购、赎回费率设置如下表所示：</w:t>
      </w:r>
    </w:p>
    <w:p w:rsidR="00A27045"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本基金对通过本公司直销中心申购的特定投资群体与除此之外的其他投资者实施差别的申购费率。</w:t>
      </w:r>
    </w:p>
    <w:p w:rsidR="00A27045"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A27045"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通过基金管理人的直销中心申购本基金的特定投资群体申购费率为：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gridCol w:w="4237"/>
      </w:tblGrid>
      <w:tr w:rsidTr="00AA1F5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06" w:type="pct"/>
          </w:tcPr>
          <w:p w:rsidR="00A27045" w:rsidRPr="001C6480" w:rsidP="00F71D3B">
            <w:pPr>
              <w:snapToGrid w:val="0"/>
              <w:spacing w:line="360" w:lineRule="auto"/>
              <w:ind w:firstLine="420"/>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申购金额</w:t>
            </w:r>
            <w:r w:rsidRPr="001C6480">
              <w:rPr>
                <w:rFonts w:asciiTheme="minorEastAsia" w:eastAsiaTheme="minorEastAsia" w:hAnsiTheme="minorEastAsia"/>
                <w:b/>
                <w:color w:val="000000" w:themeColor="text1"/>
              </w:rPr>
              <w:t>M</w:t>
            </w:r>
            <w:r w:rsidRPr="001C6480" w:rsidR="008F1AE4">
              <w:rPr>
                <w:rFonts w:asciiTheme="minorEastAsia" w:eastAsiaTheme="minorEastAsia" w:hAnsiTheme="minorEastAsia" w:hint="eastAsia"/>
                <w:b/>
                <w:color w:val="000000" w:themeColor="text1"/>
              </w:rPr>
              <w:t>（元）</w:t>
            </w:r>
            <w:r w:rsidRPr="001C6480">
              <w:rPr>
                <w:rFonts w:asciiTheme="minorEastAsia" w:eastAsiaTheme="minorEastAsia" w:hAnsiTheme="minorEastAsia" w:cs="Arial"/>
                <w:b/>
                <w:color w:val="000000" w:themeColor="text1"/>
              </w:rPr>
              <w:t>（含申购费）</w:t>
            </w:r>
          </w:p>
        </w:tc>
        <w:tc>
          <w:tcPr>
            <w:tcW w:w="2494" w:type="pct"/>
          </w:tcPr>
          <w:p w:rsidR="00A27045" w:rsidRPr="001C6480" w:rsidP="00F71D3B">
            <w:pPr>
              <w:snapToGrid w:val="0"/>
              <w:spacing w:line="360" w:lineRule="auto"/>
              <w:ind w:firstLine="420"/>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申购费率</w:t>
            </w:r>
          </w:p>
        </w:tc>
      </w:tr>
      <w:tr w:rsidTr="00AA1F53">
        <w:tblPrEx>
          <w:tblW w:w="5000" w:type="pct"/>
          <w:tblLook w:val="01E0"/>
        </w:tblPrEx>
        <w:tc>
          <w:tcPr>
            <w:tcW w:w="2506" w:type="pct"/>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M＜100万</w:t>
            </w:r>
          </w:p>
        </w:tc>
        <w:tc>
          <w:tcPr>
            <w:tcW w:w="2494" w:type="pct"/>
          </w:tcPr>
          <w:p w:rsidR="00A27045" w:rsidRPr="001C6480" w:rsidP="00F71D3B">
            <w:pPr>
              <w:snapToGrid w:val="0"/>
              <w:spacing w:line="360" w:lineRule="auto"/>
              <w:ind w:firstLine="420"/>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w:t>
            </w: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5%</w:t>
            </w:r>
          </w:p>
        </w:tc>
      </w:tr>
      <w:tr w:rsidTr="00AA1F53">
        <w:tblPrEx>
          <w:tblW w:w="5000" w:type="pct"/>
          <w:tblLook w:val="01E0"/>
        </w:tblPrEx>
        <w:tc>
          <w:tcPr>
            <w:tcW w:w="2506" w:type="pct"/>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100万≤M＜500万</w:t>
            </w:r>
          </w:p>
        </w:tc>
        <w:tc>
          <w:tcPr>
            <w:tcW w:w="2494" w:type="pct"/>
          </w:tcPr>
          <w:p w:rsidR="00A27045" w:rsidRPr="001C6480" w:rsidP="00F71D3B">
            <w:pPr>
              <w:snapToGrid w:val="0"/>
              <w:spacing w:line="360" w:lineRule="auto"/>
              <w:ind w:firstLine="420"/>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w:t>
            </w: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2%</w:t>
            </w:r>
          </w:p>
        </w:tc>
      </w:tr>
      <w:tr w:rsidTr="00AA1F53">
        <w:tblPrEx>
          <w:tblW w:w="5000" w:type="pct"/>
          <w:tblLook w:val="01E0"/>
        </w:tblPrEx>
        <w:tc>
          <w:tcPr>
            <w:tcW w:w="2506" w:type="pct"/>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500万≤M＜1000万</w:t>
            </w:r>
          </w:p>
        </w:tc>
        <w:tc>
          <w:tcPr>
            <w:tcW w:w="2494" w:type="pct"/>
          </w:tcPr>
          <w:p w:rsidR="00A27045" w:rsidRPr="001C6480" w:rsidP="00F71D3B">
            <w:pPr>
              <w:snapToGrid w:val="0"/>
              <w:spacing w:line="360" w:lineRule="auto"/>
              <w:ind w:firstLine="420"/>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w:t>
            </w:r>
            <w:r w:rsidRPr="001C6480">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3%</w:t>
            </w:r>
          </w:p>
        </w:tc>
      </w:tr>
      <w:tr w:rsidTr="00AA1F53">
        <w:tblPrEx>
          <w:tblW w:w="5000" w:type="pct"/>
          <w:tblLook w:val="01E0"/>
        </w:tblPrEx>
        <w:tc>
          <w:tcPr>
            <w:tcW w:w="2506" w:type="pct"/>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M≥1000万</w:t>
            </w:r>
          </w:p>
        </w:tc>
        <w:tc>
          <w:tcPr>
            <w:tcW w:w="2494" w:type="pct"/>
          </w:tcPr>
          <w:p w:rsidR="00A27045" w:rsidRPr="001C6480" w:rsidP="00F71D3B">
            <w:pPr>
              <w:snapToGrid w:val="0"/>
              <w:spacing w:line="360" w:lineRule="auto"/>
              <w:ind w:firstLine="1327" w:firstLineChars="63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1000元/笔</w:t>
            </w:r>
          </w:p>
        </w:tc>
      </w:tr>
    </w:tbl>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其他投资者申购本基金的</w:t>
      </w:r>
      <w:r w:rsidRPr="001C6480">
        <w:rPr>
          <w:rFonts w:asciiTheme="minorEastAsia" w:eastAsiaTheme="minorEastAsia" w:hAnsiTheme="minorEastAsia" w:cs="Arial"/>
          <w:color w:val="000000" w:themeColor="text1"/>
        </w:rPr>
        <w:t>申购费率为：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gridCol w:w="4237"/>
      </w:tblGrid>
      <w:tr w:rsidTr="00D648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06" w:type="pct"/>
          </w:tcPr>
          <w:p w:rsidR="001A7CDB" w:rsidRPr="001C6480" w:rsidP="00F71D3B">
            <w:pPr>
              <w:snapToGrid w:val="0"/>
              <w:spacing w:line="360" w:lineRule="auto"/>
              <w:ind w:firstLine="420"/>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申购金额</w:t>
            </w:r>
            <w:r w:rsidRPr="001C6480">
              <w:rPr>
                <w:rFonts w:asciiTheme="minorEastAsia" w:eastAsiaTheme="minorEastAsia" w:hAnsiTheme="minorEastAsia"/>
                <w:b/>
                <w:color w:val="000000" w:themeColor="text1"/>
              </w:rPr>
              <w:t>M（元）</w:t>
            </w:r>
            <w:r w:rsidRPr="001C6480">
              <w:rPr>
                <w:rFonts w:asciiTheme="minorEastAsia" w:eastAsiaTheme="minorEastAsia" w:hAnsiTheme="minorEastAsia" w:cs="Arial"/>
                <w:b/>
                <w:color w:val="000000" w:themeColor="text1"/>
              </w:rPr>
              <w:t>（含申购费）</w:t>
            </w:r>
          </w:p>
        </w:tc>
        <w:tc>
          <w:tcPr>
            <w:tcW w:w="2494" w:type="pct"/>
          </w:tcPr>
          <w:p w:rsidR="001A7CDB" w:rsidRPr="001C6480" w:rsidP="00F71D3B">
            <w:pPr>
              <w:snapToGrid w:val="0"/>
              <w:spacing w:line="360" w:lineRule="auto"/>
              <w:ind w:firstLine="420"/>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申购费率</w:t>
            </w:r>
          </w:p>
        </w:tc>
      </w:tr>
      <w:tr w:rsidTr="00D648D0">
        <w:tblPrEx>
          <w:tblW w:w="5000" w:type="pct"/>
          <w:tblLook w:val="01E0"/>
        </w:tblPrEx>
        <w:tc>
          <w:tcPr>
            <w:tcW w:w="2506" w:type="pct"/>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M＜100万</w:t>
            </w:r>
          </w:p>
        </w:tc>
        <w:tc>
          <w:tcPr>
            <w:tcW w:w="2494" w:type="pct"/>
          </w:tcPr>
          <w:p w:rsidR="001A7CDB" w:rsidRPr="001C6480" w:rsidP="00F71D3B">
            <w:pPr>
              <w:snapToGrid w:val="0"/>
              <w:spacing w:line="360" w:lineRule="auto"/>
              <w:ind w:firstLine="420"/>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1.5%</w:t>
            </w:r>
          </w:p>
        </w:tc>
      </w:tr>
      <w:tr w:rsidTr="00D648D0">
        <w:tblPrEx>
          <w:tblW w:w="5000" w:type="pct"/>
          <w:tblLook w:val="01E0"/>
        </w:tblPrEx>
        <w:tc>
          <w:tcPr>
            <w:tcW w:w="2506" w:type="pct"/>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100万≤M＜500万</w:t>
            </w:r>
          </w:p>
        </w:tc>
        <w:tc>
          <w:tcPr>
            <w:tcW w:w="2494" w:type="pct"/>
          </w:tcPr>
          <w:p w:rsidR="001A7CDB" w:rsidRPr="001C6480" w:rsidP="00F71D3B">
            <w:pPr>
              <w:snapToGrid w:val="0"/>
              <w:spacing w:line="360" w:lineRule="auto"/>
              <w:ind w:firstLine="420"/>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1.2%</w:t>
            </w:r>
          </w:p>
        </w:tc>
      </w:tr>
      <w:tr w:rsidTr="00D648D0">
        <w:tblPrEx>
          <w:tblW w:w="5000" w:type="pct"/>
          <w:tblLook w:val="01E0"/>
        </w:tblPrEx>
        <w:tc>
          <w:tcPr>
            <w:tcW w:w="2506" w:type="pct"/>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500万≤M＜1000万</w:t>
            </w:r>
          </w:p>
        </w:tc>
        <w:tc>
          <w:tcPr>
            <w:tcW w:w="2494" w:type="pct"/>
          </w:tcPr>
          <w:p w:rsidR="001A7CDB" w:rsidRPr="001C6480" w:rsidP="00F71D3B">
            <w:pPr>
              <w:snapToGrid w:val="0"/>
              <w:spacing w:line="360" w:lineRule="auto"/>
              <w:ind w:firstLine="420"/>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0.3%</w:t>
            </w:r>
          </w:p>
        </w:tc>
      </w:tr>
      <w:tr w:rsidTr="00D648D0">
        <w:tblPrEx>
          <w:tblW w:w="5000" w:type="pct"/>
          <w:tblLook w:val="01E0"/>
        </w:tblPrEx>
        <w:tc>
          <w:tcPr>
            <w:tcW w:w="2506" w:type="pct"/>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M≥1000万</w:t>
            </w:r>
          </w:p>
        </w:tc>
        <w:tc>
          <w:tcPr>
            <w:tcW w:w="2494" w:type="pct"/>
          </w:tcPr>
          <w:p w:rsidR="001A7CDB" w:rsidRPr="001C6480" w:rsidP="00F71D3B">
            <w:pPr>
              <w:snapToGrid w:val="0"/>
              <w:spacing w:line="360" w:lineRule="auto"/>
              <w:ind w:firstLine="1327" w:firstLineChars="63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1000元/笔</w:t>
            </w:r>
          </w:p>
        </w:tc>
      </w:tr>
    </w:tbl>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赎回费率为：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2"/>
        <w:gridCol w:w="4273"/>
      </w:tblGrid>
      <w:tr w:rsidTr="00D648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85" w:type="pct"/>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持有时间（天）</w:t>
            </w:r>
          </w:p>
        </w:tc>
        <w:tc>
          <w:tcPr>
            <w:tcW w:w="2515" w:type="pct"/>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赎回费率</w:t>
            </w:r>
          </w:p>
        </w:tc>
      </w:tr>
      <w:tr w:rsidTr="00D648D0">
        <w:tblPrEx>
          <w:tblW w:w="5000" w:type="pct"/>
          <w:tblLook w:val="01E0"/>
        </w:tblPrEx>
        <w:tc>
          <w:tcPr>
            <w:tcW w:w="2485" w:type="pct"/>
          </w:tcPr>
          <w:p w:rsidR="00E80743"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0-6</w:t>
            </w:r>
          </w:p>
        </w:tc>
        <w:tc>
          <w:tcPr>
            <w:tcW w:w="2515" w:type="pct"/>
          </w:tcPr>
          <w:p w:rsidR="00E80743"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1.5%</w:t>
            </w:r>
          </w:p>
        </w:tc>
      </w:tr>
      <w:tr w:rsidTr="00D648D0">
        <w:tblPrEx>
          <w:tblW w:w="5000" w:type="pct"/>
          <w:tblLook w:val="01E0"/>
        </w:tblPrEx>
        <w:tc>
          <w:tcPr>
            <w:tcW w:w="2485" w:type="pct"/>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7-364</w:t>
            </w:r>
          </w:p>
        </w:tc>
        <w:tc>
          <w:tcPr>
            <w:tcW w:w="2515" w:type="pct"/>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0.5%</w:t>
            </w:r>
          </w:p>
        </w:tc>
      </w:tr>
      <w:tr w:rsidTr="00D648D0">
        <w:tblPrEx>
          <w:tblW w:w="5000" w:type="pct"/>
          <w:tblLook w:val="01E0"/>
        </w:tblPrEx>
        <w:tc>
          <w:tcPr>
            <w:tcW w:w="2485" w:type="pct"/>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365-729</w:t>
            </w:r>
          </w:p>
        </w:tc>
        <w:tc>
          <w:tcPr>
            <w:tcW w:w="2515" w:type="pct"/>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0.25%</w:t>
            </w:r>
          </w:p>
        </w:tc>
      </w:tr>
      <w:tr w:rsidTr="00D648D0">
        <w:tblPrEx>
          <w:tblW w:w="5000" w:type="pct"/>
          <w:tblLook w:val="01E0"/>
        </w:tblPrEx>
        <w:tc>
          <w:tcPr>
            <w:tcW w:w="2485" w:type="pct"/>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730及以上</w:t>
            </w:r>
          </w:p>
        </w:tc>
        <w:tc>
          <w:tcPr>
            <w:tcW w:w="2515" w:type="pct"/>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w:t>
            </w:r>
          </w:p>
        </w:tc>
      </w:tr>
    </w:tbl>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在申购费按金额分档的情况下，如果投资人多次申购，申购费适用单笔申购金额所对应的费率。</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基金管理人可以在基金合同规定的范围内调整申购费率和赎回费率，调整后的申购费率和赎回费率在更新的</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招募说明书》中列示。</w:t>
      </w:r>
      <w:r w:rsidRPr="001C6480">
        <w:rPr>
          <w:rFonts w:asciiTheme="minorEastAsia" w:eastAsiaTheme="minorEastAsia" w:hAnsiTheme="minorEastAsia" w:cs="Arial" w:hint="eastAsia"/>
          <w:color w:val="000000" w:themeColor="text1"/>
        </w:rPr>
        <w:t>上述费率如发生变更，基金管理人最迟应于新的费率或收费方式实施日前依照《信息披露办法》的有关规定在</w:t>
      </w:r>
      <w:r w:rsidRPr="001C6480" w:rsidR="002C0A24">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上公告。</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申购份额、赎回金额的计算方式</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申购份额的计算</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本基金的申购金额包括申购费用和净申购金额，其中：</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净申购金额=申购金额/（1+申购费率）</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申购费用=申购金额-净申购金额</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申购份数=净申购金额/T日基金份额净值</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对于1000万元（含）以上的申购，净申购金额=申购金额-绝对数额的申购费金额</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举例说明：</w:t>
      </w:r>
    </w:p>
    <w:p w:rsidR="00A27045"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例一：某投资者（非特定投资群体）申购本基金：</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1"/>
        <w:gridCol w:w="1134"/>
        <w:gridCol w:w="1418"/>
        <w:gridCol w:w="1660"/>
        <w:gridCol w:w="1660"/>
        <w:gridCol w:w="1422"/>
      </w:tblGrid>
      <w:tr w:rsidTr="00D648D0">
        <w:tblPrEx>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81" w:type="dxa"/>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申购金额</w:t>
            </w:r>
          </w:p>
        </w:tc>
        <w:tc>
          <w:tcPr>
            <w:tcW w:w="1134" w:type="dxa"/>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申购费率</w:t>
            </w:r>
          </w:p>
        </w:tc>
        <w:tc>
          <w:tcPr>
            <w:tcW w:w="1418" w:type="dxa"/>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净申购金额</w:t>
            </w:r>
          </w:p>
        </w:tc>
        <w:tc>
          <w:tcPr>
            <w:tcW w:w="1660" w:type="dxa"/>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申购费用</w:t>
            </w:r>
          </w:p>
        </w:tc>
        <w:tc>
          <w:tcPr>
            <w:tcW w:w="1660" w:type="dxa"/>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基金份额净值</w:t>
            </w:r>
          </w:p>
        </w:tc>
        <w:tc>
          <w:tcPr>
            <w:tcW w:w="1422" w:type="dxa"/>
          </w:tcPr>
          <w:p w:rsidR="001A7CDB"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申购份数</w:t>
            </w:r>
          </w:p>
        </w:tc>
      </w:tr>
      <w:tr w:rsidTr="00D648D0">
        <w:tblPrEx>
          <w:tblW w:w="8875" w:type="dxa"/>
          <w:tblLayout w:type="fixed"/>
          <w:tblLook w:val="01E0"/>
        </w:tblPrEx>
        <w:tc>
          <w:tcPr>
            <w:tcW w:w="1581" w:type="dxa"/>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10,000元</w:t>
            </w:r>
          </w:p>
        </w:tc>
        <w:tc>
          <w:tcPr>
            <w:tcW w:w="1134" w:type="dxa"/>
          </w:tcPr>
          <w:p w:rsidR="001A7CDB" w:rsidRPr="001C6480" w:rsidP="00F71D3B">
            <w:pPr>
              <w:snapToGrid w:val="0"/>
              <w:spacing w:line="360" w:lineRule="auto"/>
              <w:ind w:firstLine="210" w:firstLineChars="1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1.5%</w:t>
            </w:r>
          </w:p>
        </w:tc>
        <w:tc>
          <w:tcPr>
            <w:tcW w:w="1418" w:type="dxa"/>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9,852.22元</w:t>
            </w:r>
          </w:p>
        </w:tc>
        <w:tc>
          <w:tcPr>
            <w:tcW w:w="1660"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147.78元</w:t>
            </w:r>
          </w:p>
        </w:tc>
        <w:tc>
          <w:tcPr>
            <w:tcW w:w="1660"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w:t>
            </w:r>
            <w:r w:rsidRPr="001C6480" w:rsidR="00573E37">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0元</w:t>
            </w:r>
          </w:p>
        </w:tc>
        <w:tc>
          <w:tcPr>
            <w:tcW w:w="1422" w:type="dxa"/>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9,852.22份</w:t>
            </w:r>
          </w:p>
        </w:tc>
      </w:tr>
      <w:tr w:rsidTr="00D648D0">
        <w:tblPrEx>
          <w:tblW w:w="8875" w:type="dxa"/>
          <w:tblLayout w:type="fixed"/>
          <w:tblLook w:val="01E0"/>
        </w:tblPrEx>
        <w:tc>
          <w:tcPr>
            <w:tcW w:w="1581" w:type="dxa"/>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10,000,000元</w:t>
            </w:r>
          </w:p>
        </w:tc>
        <w:tc>
          <w:tcPr>
            <w:tcW w:w="1134" w:type="dxa"/>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000元</w:t>
            </w:r>
          </w:p>
        </w:tc>
        <w:tc>
          <w:tcPr>
            <w:tcW w:w="1418" w:type="dxa"/>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9,999,000元</w:t>
            </w:r>
          </w:p>
        </w:tc>
        <w:tc>
          <w:tcPr>
            <w:tcW w:w="1660"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000元</w:t>
            </w:r>
          </w:p>
        </w:tc>
        <w:tc>
          <w:tcPr>
            <w:tcW w:w="1660"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w:t>
            </w:r>
            <w:r w:rsidRPr="001C6480" w:rsidR="00573E37">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元</w:t>
            </w:r>
          </w:p>
        </w:tc>
        <w:tc>
          <w:tcPr>
            <w:tcW w:w="1422" w:type="dxa"/>
          </w:tcPr>
          <w:p w:rsidR="001A7CDB"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9,999,000份</w:t>
            </w:r>
          </w:p>
        </w:tc>
      </w:tr>
    </w:tbl>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例二：某投资者（特定投资群体）通过基金管理人的直销中心申购本基金：</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1"/>
        <w:gridCol w:w="1134"/>
        <w:gridCol w:w="1418"/>
        <w:gridCol w:w="1660"/>
        <w:gridCol w:w="1660"/>
        <w:gridCol w:w="1422"/>
      </w:tblGrid>
      <w:tr w:rsidTr="00AA1F53">
        <w:tblPrEx>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81" w:type="dxa"/>
          </w:tcPr>
          <w:p w:rsidR="00A27045"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申购金额</w:t>
            </w:r>
          </w:p>
        </w:tc>
        <w:tc>
          <w:tcPr>
            <w:tcW w:w="1134" w:type="dxa"/>
          </w:tcPr>
          <w:p w:rsidR="00A27045"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申购费率</w:t>
            </w:r>
          </w:p>
        </w:tc>
        <w:tc>
          <w:tcPr>
            <w:tcW w:w="1418" w:type="dxa"/>
          </w:tcPr>
          <w:p w:rsidR="00A27045"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净申购金额</w:t>
            </w:r>
          </w:p>
        </w:tc>
        <w:tc>
          <w:tcPr>
            <w:tcW w:w="1660" w:type="dxa"/>
          </w:tcPr>
          <w:p w:rsidR="00A27045"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申购费用</w:t>
            </w:r>
          </w:p>
        </w:tc>
        <w:tc>
          <w:tcPr>
            <w:tcW w:w="1660" w:type="dxa"/>
          </w:tcPr>
          <w:p w:rsidR="00A27045"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基金份额净值</w:t>
            </w:r>
          </w:p>
        </w:tc>
        <w:tc>
          <w:tcPr>
            <w:tcW w:w="1422" w:type="dxa"/>
          </w:tcPr>
          <w:p w:rsidR="00A27045" w:rsidRPr="001C6480" w:rsidP="00F71D3B">
            <w:pPr>
              <w:snapToGrid w:val="0"/>
              <w:spacing w:line="360" w:lineRule="auto"/>
              <w:jc w:val="center"/>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申购份数</w:t>
            </w:r>
          </w:p>
        </w:tc>
      </w:tr>
      <w:tr w:rsidTr="00AA1F53">
        <w:tblPrEx>
          <w:tblW w:w="8875" w:type="dxa"/>
          <w:tblLayout w:type="fixed"/>
          <w:tblLook w:val="01E0"/>
        </w:tblPrEx>
        <w:tc>
          <w:tcPr>
            <w:tcW w:w="1581" w:type="dxa"/>
          </w:tcPr>
          <w:p w:rsidR="00A27045"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w:t>
            </w:r>
            <w:r w:rsidRPr="001C6480">
              <w:rPr>
                <w:rFonts w:asciiTheme="minorEastAsia" w:eastAsiaTheme="minorEastAsia" w:hAnsiTheme="minorEastAsia" w:cs="Arial"/>
                <w:color w:val="000000" w:themeColor="text1"/>
              </w:rPr>
              <w:t>0,000元</w:t>
            </w:r>
          </w:p>
        </w:tc>
        <w:tc>
          <w:tcPr>
            <w:tcW w:w="1134" w:type="dxa"/>
          </w:tcPr>
          <w:p w:rsidR="00A27045" w:rsidRPr="001C6480" w:rsidP="00F71D3B">
            <w:pPr>
              <w:snapToGrid w:val="0"/>
              <w:spacing w:line="360" w:lineRule="auto"/>
              <w:ind w:firstLine="210" w:firstLineChars="1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w:t>
            </w: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5%</w:t>
            </w:r>
          </w:p>
        </w:tc>
        <w:tc>
          <w:tcPr>
            <w:tcW w:w="1418" w:type="dxa"/>
          </w:tcPr>
          <w:p w:rsidR="00A27045"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49,925.11元</w:t>
            </w:r>
          </w:p>
        </w:tc>
        <w:tc>
          <w:tcPr>
            <w:tcW w:w="1660" w:type="dxa"/>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74.89元</w:t>
            </w:r>
          </w:p>
        </w:tc>
        <w:tc>
          <w:tcPr>
            <w:tcW w:w="1660" w:type="dxa"/>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w:t>
            </w:r>
            <w:r w:rsidRPr="001C6480">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0元</w:t>
            </w:r>
          </w:p>
        </w:tc>
        <w:tc>
          <w:tcPr>
            <w:tcW w:w="1422" w:type="dxa"/>
          </w:tcPr>
          <w:p w:rsidR="00A27045"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49,925.11份</w:t>
            </w:r>
          </w:p>
        </w:tc>
      </w:tr>
      <w:tr w:rsidTr="00AA1F53">
        <w:tblPrEx>
          <w:tblW w:w="8875" w:type="dxa"/>
          <w:tblLayout w:type="fixed"/>
          <w:tblLook w:val="01E0"/>
        </w:tblPrEx>
        <w:tc>
          <w:tcPr>
            <w:tcW w:w="1581" w:type="dxa"/>
          </w:tcPr>
          <w:p w:rsidR="00A27045"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10,000,000元</w:t>
            </w:r>
          </w:p>
        </w:tc>
        <w:tc>
          <w:tcPr>
            <w:tcW w:w="1134" w:type="dxa"/>
          </w:tcPr>
          <w:p w:rsidR="00A27045"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000元</w:t>
            </w:r>
          </w:p>
        </w:tc>
        <w:tc>
          <w:tcPr>
            <w:tcW w:w="1418" w:type="dxa"/>
          </w:tcPr>
          <w:p w:rsidR="00A27045"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9,999,000元</w:t>
            </w:r>
          </w:p>
        </w:tc>
        <w:tc>
          <w:tcPr>
            <w:tcW w:w="1660" w:type="dxa"/>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000元</w:t>
            </w:r>
          </w:p>
        </w:tc>
        <w:tc>
          <w:tcPr>
            <w:tcW w:w="1660" w:type="dxa"/>
          </w:tcPr>
          <w:p w:rsidR="00A27045"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w:t>
            </w:r>
            <w:r w:rsidRPr="001C6480">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元</w:t>
            </w:r>
          </w:p>
        </w:tc>
        <w:tc>
          <w:tcPr>
            <w:tcW w:w="1422" w:type="dxa"/>
          </w:tcPr>
          <w:p w:rsidR="00A27045" w:rsidRPr="001C6480" w:rsidP="00F71D3B">
            <w:pPr>
              <w:snapToGrid w:val="0"/>
              <w:spacing w:line="360" w:lineRule="auto"/>
              <w:jc w:val="center"/>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9,999,000份</w:t>
            </w:r>
          </w:p>
        </w:tc>
      </w:tr>
    </w:tbl>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申购费用以人民币元为单位，四舍五入，保留至小数点后二位；申购份数采取四舍五入的方法保留小数点后二位，由此误差产生的损失由基金财产承担，产生的收益归基金财产所有。</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基金赎回金额的计算</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本基金的净赎回金额为赎回总</w:t>
      </w:r>
      <w:r w:rsidRPr="001C6480" w:rsidR="00F41D88">
        <w:rPr>
          <w:rFonts w:asciiTheme="minorEastAsia" w:eastAsiaTheme="minorEastAsia" w:hAnsiTheme="minorEastAsia" w:cs="Arial"/>
          <w:color w:val="000000" w:themeColor="text1"/>
        </w:rPr>
        <w:t>金</w:t>
      </w:r>
      <w:r w:rsidRPr="001C6480">
        <w:rPr>
          <w:rFonts w:asciiTheme="minorEastAsia" w:eastAsiaTheme="minorEastAsia" w:hAnsiTheme="minorEastAsia" w:cs="Arial"/>
          <w:color w:val="000000" w:themeColor="text1"/>
        </w:rPr>
        <w:t>额扣减赎回费用，其中：</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赎回总金额=赎回份额×T日基金份额净值</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赎回费用=赎回份额×T日基金份额净值×赎回费率</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净赎回金额=赎回总金额-赎回费用</w:t>
      </w:r>
    </w:p>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举例说明：</w:t>
      </w:r>
    </w:p>
    <w:tbl>
      <w:tblPr>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60"/>
      </w:tblPr>
      <w:tblGrid>
        <w:gridCol w:w="1243"/>
        <w:gridCol w:w="1650"/>
        <w:gridCol w:w="1436"/>
        <w:gridCol w:w="1437"/>
        <w:gridCol w:w="1409"/>
        <w:gridCol w:w="1457"/>
      </w:tblGrid>
      <w:tr w:rsidTr="00D648D0">
        <w:tblPrEx>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60"/>
        </w:tblPrEx>
        <w:tc>
          <w:tcPr>
            <w:tcW w:w="1243" w:type="dxa"/>
          </w:tcPr>
          <w:p w:rsidR="001A7CDB" w:rsidRPr="001C6480" w:rsidP="00F71D3B">
            <w:pPr>
              <w:snapToGrid w:val="0"/>
              <w:spacing w:line="360" w:lineRule="auto"/>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赎回份额</w:t>
            </w:r>
          </w:p>
        </w:tc>
        <w:tc>
          <w:tcPr>
            <w:tcW w:w="1650" w:type="dxa"/>
          </w:tcPr>
          <w:p w:rsidR="001A7CDB" w:rsidRPr="001C6480" w:rsidP="00F71D3B">
            <w:pPr>
              <w:snapToGrid w:val="0"/>
              <w:spacing w:line="360" w:lineRule="auto"/>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基金份额净值</w:t>
            </w:r>
          </w:p>
        </w:tc>
        <w:tc>
          <w:tcPr>
            <w:tcW w:w="1436" w:type="dxa"/>
          </w:tcPr>
          <w:p w:rsidR="001A7CDB" w:rsidRPr="001C6480" w:rsidP="00F71D3B">
            <w:pPr>
              <w:snapToGrid w:val="0"/>
              <w:spacing w:line="360" w:lineRule="auto"/>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持有时间</w:t>
            </w:r>
          </w:p>
        </w:tc>
        <w:tc>
          <w:tcPr>
            <w:tcW w:w="1437" w:type="dxa"/>
          </w:tcPr>
          <w:p w:rsidR="001A7CDB" w:rsidRPr="001C6480" w:rsidP="00F71D3B">
            <w:pPr>
              <w:snapToGrid w:val="0"/>
              <w:spacing w:line="360" w:lineRule="auto"/>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赎回费率</w:t>
            </w:r>
          </w:p>
        </w:tc>
        <w:tc>
          <w:tcPr>
            <w:tcW w:w="1409" w:type="dxa"/>
          </w:tcPr>
          <w:p w:rsidR="001A7CDB" w:rsidRPr="001C6480" w:rsidP="00F71D3B">
            <w:pPr>
              <w:snapToGrid w:val="0"/>
              <w:spacing w:line="360" w:lineRule="auto"/>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赎回费用</w:t>
            </w:r>
          </w:p>
        </w:tc>
        <w:tc>
          <w:tcPr>
            <w:tcW w:w="1457" w:type="dxa"/>
          </w:tcPr>
          <w:p w:rsidR="001A7CDB" w:rsidRPr="001C6480" w:rsidP="00F71D3B">
            <w:pPr>
              <w:snapToGrid w:val="0"/>
              <w:spacing w:line="360" w:lineRule="auto"/>
              <w:rPr>
                <w:rFonts w:asciiTheme="minorEastAsia" w:eastAsiaTheme="minorEastAsia" w:hAnsiTheme="minorEastAsia" w:cs="Arial"/>
                <w:b/>
                <w:color w:val="000000" w:themeColor="text1"/>
              </w:rPr>
            </w:pPr>
            <w:r w:rsidRPr="001C6480">
              <w:rPr>
                <w:rFonts w:asciiTheme="minorEastAsia" w:eastAsiaTheme="minorEastAsia" w:hAnsiTheme="minorEastAsia" w:cs="Arial"/>
                <w:b/>
                <w:color w:val="000000" w:themeColor="text1"/>
              </w:rPr>
              <w:t>净赎回金额</w:t>
            </w:r>
          </w:p>
        </w:tc>
      </w:tr>
      <w:tr w:rsidTr="00D648D0">
        <w:tblPrEx>
          <w:tblW w:w="8632" w:type="dxa"/>
          <w:tblLayout w:type="fixed"/>
          <w:tblLook w:val="0160"/>
        </w:tblPrEx>
        <w:tc>
          <w:tcPr>
            <w:tcW w:w="1243" w:type="dxa"/>
          </w:tcPr>
          <w:p w:rsidR="001A7CDB" w:rsidRPr="001C6480" w:rsidP="00F71D3B">
            <w:pPr>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10,000</w:t>
            </w:r>
          </w:p>
        </w:tc>
        <w:tc>
          <w:tcPr>
            <w:tcW w:w="1650"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w:t>
            </w:r>
            <w:r w:rsidRPr="001C6480" w:rsidR="00167C38">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元</w:t>
            </w:r>
          </w:p>
        </w:tc>
        <w:tc>
          <w:tcPr>
            <w:tcW w:w="1436"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100天</w:t>
            </w:r>
          </w:p>
        </w:tc>
        <w:tc>
          <w:tcPr>
            <w:tcW w:w="1437"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0.5%</w:t>
            </w:r>
          </w:p>
        </w:tc>
        <w:tc>
          <w:tcPr>
            <w:tcW w:w="1409"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50元</w:t>
            </w:r>
          </w:p>
        </w:tc>
        <w:tc>
          <w:tcPr>
            <w:tcW w:w="1457"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9,950元</w:t>
            </w:r>
          </w:p>
        </w:tc>
      </w:tr>
      <w:tr w:rsidTr="00D648D0">
        <w:tblPrEx>
          <w:tblW w:w="8632" w:type="dxa"/>
          <w:tblLayout w:type="fixed"/>
          <w:tblLook w:val="0160"/>
        </w:tblPrEx>
        <w:tc>
          <w:tcPr>
            <w:tcW w:w="1243" w:type="dxa"/>
          </w:tcPr>
          <w:p w:rsidR="001A7CDB" w:rsidRPr="001C6480" w:rsidP="00F71D3B">
            <w:pPr>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10,000</w:t>
            </w:r>
          </w:p>
        </w:tc>
        <w:tc>
          <w:tcPr>
            <w:tcW w:w="1650"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w:t>
            </w:r>
            <w:r w:rsidRPr="001C6480" w:rsidR="00167C38">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元</w:t>
            </w:r>
          </w:p>
        </w:tc>
        <w:tc>
          <w:tcPr>
            <w:tcW w:w="1436" w:type="dxa"/>
          </w:tcPr>
          <w:p w:rsidR="001A7CDB" w:rsidRPr="001C6480" w:rsidP="00F71D3B">
            <w:pPr>
              <w:snapToGrid w:val="0"/>
              <w:spacing w:line="360" w:lineRule="auto"/>
              <w:ind w:firstLine="48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500天</w:t>
            </w:r>
          </w:p>
        </w:tc>
        <w:tc>
          <w:tcPr>
            <w:tcW w:w="1437"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0.25%</w:t>
            </w:r>
          </w:p>
        </w:tc>
        <w:tc>
          <w:tcPr>
            <w:tcW w:w="1409"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25元</w:t>
            </w:r>
          </w:p>
        </w:tc>
        <w:tc>
          <w:tcPr>
            <w:tcW w:w="1457"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9,975元</w:t>
            </w:r>
          </w:p>
        </w:tc>
      </w:tr>
      <w:tr w:rsidTr="00D648D0">
        <w:tblPrEx>
          <w:tblW w:w="8632" w:type="dxa"/>
          <w:tblLayout w:type="fixed"/>
          <w:tblLook w:val="0160"/>
        </w:tblPrEx>
        <w:tc>
          <w:tcPr>
            <w:tcW w:w="1243" w:type="dxa"/>
          </w:tcPr>
          <w:p w:rsidR="001A7CDB" w:rsidRPr="001C6480" w:rsidP="00F71D3B">
            <w:pPr>
              <w:snapToGrid w:val="0"/>
              <w:spacing w:line="360" w:lineRule="auto"/>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10,000</w:t>
            </w:r>
          </w:p>
        </w:tc>
        <w:tc>
          <w:tcPr>
            <w:tcW w:w="1650"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w:t>
            </w:r>
            <w:r w:rsidRPr="001C6480" w:rsidR="00167C38">
              <w:rPr>
                <w:rFonts w:asciiTheme="minorEastAsia" w:eastAsiaTheme="minorEastAsia" w:hAnsiTheme="minorEastAsia" w:cs="Arial" w:hint="eastAsia"/>
                <w:color w:val="000000" w:themeColor="text1"/>
              </w:rPr>
              <w:t>0</w:t>
            </w:r>
            <w:r w:rsidRPr="001C6480">
              <w:rPr>
                <w:rFonts w:asciiTheme="minorEastAsia" w:eastAsiaTheme="minorEastAsia" w:hAnsiTheme="minorEastAsia" w:cs="Arial"/>
                <w:color w:val="000000" w:themeColor="text1"/>
              </w:rPr>
              <w:t>元</w:t>
            </w:r>
          </w:p>
        </w:tc>
        <w:tc>
          <w:tcPr>
            <w:tcW w:w="1436" w:type="dxa"/>
          </w:tcPr>
          <w:p w:rsidR="001A7CDB" w:rsidRPr="001C6480" w:rsidP="00F71D3B">
            <w:pPr>
              <w:snapToGrid w:val="0"/>
              <w:spacing w:line="360" w:lineRule="auto"/>
              <w:ind w:firstLine="48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800天</w:t>
            </w:r>
          </w:p>
        </w:tc>
        <w:tc>
          <w:tcPr>
            <w:tcW w:w="1437"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w:t>
            </w:r>
          </w:p>
        </w:tc>
        <w:tc>
          <w:tcPr>
            <w:tcW w:w="1409" w:type="dxa"/>
          </w:tcPr>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0</w:t>
            </w:r>
          </w:p>
        </w:tc>
        <w:tc>
          <w:tcPr>
            <w:tcW w:w="1457" w:type="dxa"/>
          </w:tcPr>
          <w:p w:rsidR="001A7CDB" w:rsidRPr="001C6480" w:rsidP="00F71D3B">
            <w:pPr>
              <w:snapToGrid w:val="0"/>
              <w:spacing w:line="360" w:lineRule="auto"/>
              <w:ind w:firstLine="210" w:firstLineChars="1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10,000元</w:t>
            </w:r>
          </w:p>
        </w:tc>
      </w:tr>
    </w:tbl>
    <w:p w:rsidR="001A7CDB" w:rsidRPr="001C6480" w:rsidP="00F71D3B">
      <w:pPr>
        <w:snapToGrid w:val="0"/>
        <w:spacing w:line="360" w:lineRule="auto"/>
        <w:ind w:firstLine="424" w:firstLineChars="202"/>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赎回总金额、赎回费用以人民币元为单位，四舍五入，保留小数点后两位，由此误差产生的损失由基金财产承担，产生的收益归基金财产所有。</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T日的基金份额净值在当天收市后计算，并在T+1日内公告。遇特殊情况，</w:t>
      </w:r>
      <w:r w:rsidRPr="001C6480" w:rsidR="007D1CCD">
        <w:rPr>
          <w:rFonts w:asciiTheme="minorEastAsia" w:eastAsiaTheme="minorEastAsia" w:hAnsiTheme="minorEastAsia" w:cs="Arial" w:hint="eastAsia"/>
          <w:color w:val="000000" w:themeColor="text1"/>
        </w:rPr>
        <w:t>经履行适当程序，</w:t>
      </w:r>
      <w:r w:rsidRPr="001C6480">
        <w:rPr>
          <w:rFonts w:asciiTheme="minorEastAsia" w:eastAsiaTheme="minorEastAsia" w:hAnsiTheme="minorEastAsia" w:cs="Arial"/>
          <w:color w:val="000000" w:themeColor="text1"/>
        </w:rPr>
        <w:t>可以适当延迟计算或公告。其计算公式为：</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基金份额净值=计算日基金资产净值÷计算日基金总份额</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sz w:val="18"/>
        </w:rPr>
      </w:pPr>
      <w:r w:rsidRPr="001C6480">
        <w:rPr>
          <w:rFonts w:asciiTheme="minorEastAsia" w:eastAsiaTheme="minorEastAsia" w:hAnsiTheme="minorEastAsia"/>
          <w:bCs/>
          <w:color w:val="000000" w:themeColor="text1"/>
        </w:rPr>
        <w:t>本基金份额净值的计算，保留到小数点后</w:t>
      </w:r>
      <w:r w:rsidRPr="001C6480" w:rsidR="00ED0546">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位，小数点后第</w:t>
      </w:r>
      <w:r w:rsidRPr="001C6480" w:rsidR="00ED0546">
        <w:rPr>
          <w:rFonts w:asciiTheme="minorEastAsia" w:eastAsiaTheme="minorEastAsia" w:hAnsiTheme="minorEastAsia" w:hint="eastAsia"/>
          <w:bCs/>
          <w:color w:val="000000" w:themeColor="text1"/>
        </w:rPr>
        <w:t>5</w:t>
      </w:r>
      <w:r w:rsidRPr="001C6480">
        <w:rPr>
          <w:rFonts w:asciiTheme="minorEastAsia" w:eastAsiaTheme="minorEastAsia" w:hAnsiTheme="minorEastAsia"/>
          <w:bCs/>
          <w:color w:val="000000" w:themeColor="text1"/>
        </w:rPr>
        <w:t>位四舍五入，由此产生的收益或损失由基金财产承担。</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Pr>
          <w:rFonts w:asciiTheme="minorEastAsia" w:eastAsiaTheme="minorEastAsia" w:hAnsiTheme="minorEastAsia" w:cs="Arial"/>
          <w:color w:val="000000" w:themeColor="text1"/>
        </w:rPr>
        <w:t>本基金的申购费由</w:t>
      </w:r>
      <w:r w:rsidRPr="001C6480">
        <w:rPr>
          <w:rFonts w:asciiTheme="minorEastAsia" w:eastAsiaTheme="minorEastAsia" w:hAnsiTheme="minorEastAsia" w:cs="Arial" w:hint="eastAsia"/>
          <w:color w:val="000000" w:themeColor="text1"/>
        </w:rPr>
        <w:t>投资人</w:t>
      </w:r>
      <w:r w:rsidRPr="001C6480">
        <w:rPr>
          <w:rFonts w:asciiTheme="minorEastAsia" w:eastAsiaTheme="minorEastAsia" w:hAnsiTheme="minorEastAsia" w:cs="Arial"/>
          <w:color w:val="000000" w:themeColor="text1"/>
        </w:rPr>
        <w:t>承担，主要用于本基金的市场推广、销售、注册登记等各项费用，不计入基金财产；本基金的赎回费由</w:t>
      </w:r>
      <w:r w:rsidRPr="001C6480">
        <w:rPr>
          <w:rFonts w:asciiTheme="minorEastAsia" w:eastAsiaTheme="minorEastAsia" w:hAnsiTheme="minorEastAsia" w:cs="Arial" w:hint="eastAsia"/>
          <w:color w:val="000000" w:themeColor="text1"/>
        </w:rPr>
        <w:t>基金份额持有人</w:t>
      </w:r>
      <w:r w:rsidRPr="001C6480">
        <w:rPr>
          <w:rFonts w:asciiTheme="minorEastAsia" w:eastAsiaTheme="minorEastAsia" w:hAnsiTheme="minorEastAsia" w:cs="Arial"/>
          <w:color w:val="000000" w:themeColor="text1"/>
        </w:rPr>
        <w:t>承担，在基金份额持有人赎回基金份额时收取，</w:t>
      </w:r>
      <w:r w:rsidRPr="001C6480" w:rsidR="00024C22">
        <w:rPr>
          <w:rFonts w:asciiTheme="minorEastAsia" w:eastAsiaTheme="minorEastAsia" w:hAnsiTheme="minorEastAsia" w:cs="Arial" w:hint="eastAsia"/>
          <w:color w:val="000000" w:themeColor="text1"/>
        </w:rPr>
        <w:t>其中对持续持有期大于7天（含）的投资者收取的</w:t>
      </w:r>
      <w:r w:rsidRPr="001C6480">
        <w:rPr>
          <w:rFonts w:asciiTheme="minorEastAsia" w:eastAsiaTheme="minorEastAsia" w:hAnsiTheme="minorEastAsia" w:cs="Arial"/>
          <w:color w:val="000000" w:themeColor="text1"/>
        </w:rPr>
        <w:t>赎回费总额的25%归基金财产，其余用于支付注册登记费</w:t>
      </w:r>
      <w:r w:rsidRPr="001C6480">
        <w:rPr>
          <w:rFonts w:asciiTheme="minorEastAsia" w:eastAsiaTheme="minorEastAsia" w:hAnsiTheme="minorEastAsia" w:cs="Arial" w:hint="eastAsia"/>
          <w:color w:val="000000" w:themeColor="text1"/>
        </w:rPr>
        <w:t>等</w:t>
      </w:r>
      <w:r w:rsidRPr="001C6480">
        <w:rPr>
          <w:rFonts w:asciiTheme="minorEastAsia" w:eastAsiaTheme="minorEastAsia" w:hAnsiTheme="minorEastAsia" w:cs="Arial"/>
          <w:color w:val="000000" w:themeColor="text1"/>
        </w:rPr>
        <w:t>其他</w:t>
      </w:r>
      <w:r w:rsidRPr="001C6480">
        <w:rPr>
          <w:rFonts w:asciiTheme="minorEastAsia" w:eastAsiaTheme="minorEastAsia" w:hAnsiTheme="minorEastAsia" w:cs="Arial" w:hint="eastAsia"/>
          <w:color w:val="000000" w:themeColor="text1"/>
        </w:rPr>
        <w:t>相关</w:t>
      </w:r>
      <w:r w:rsidRPr="001C6480">
        <w:rPr>
          <w:rFonts w:asciiTheme="minorEastAsia" w:eastAsiaTheme="minorEastAsia" w:hAnsiTheme="minorEastAsia" w:cs="Arial"/>
          <w:color w:val="000000" w:themeColor="text1"/>
        </w:rPr>
        <w:t>手续费。</w:t>
      </w:r>
      <w:r w:rsidRPr="001C6480" w:rsidR="00024C22">
        <w:rPr>
          <w:rFonts w:asciiTheme="minorEastAsia" w:eastAsiaTheme="minorEastAsia" w:hAnsiTheme="minorEastAsia" w:cs="Arial" w:hint="eastAsia"/>
          <w:color w:val="000000" w:themeColor="text1"/>
        </w:rPr>
        <w:t>对持续持有期少于7日的投资者收取的赎回费调整为1.5%，并将上述对持续持有期少于7天（不含）的投资者收取的赎回费全额计入基金财产。</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szCs w:val="21"/>
        </w:rPr>
      </w:pPr>
      <w:r w:rsidRPr="001C6480">
        <w:rPr>
          <w:rFonts w:asciiTheme="minorEastAsia" w:eastAsiaTheme="minorEastAsia" w:hAnsiTheme="minorEastAsia" w:cs="Arial"/>
          <w:b w:val="0"/>
          <w:color w:val="000000" w:themeColor="text1"/>
        </w:rPr>
        <w:t>申购、赎回的注册登记</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正常情况下，</w:t>
      </w:r>
      <w:r w:rsidRPr="001C6480" w:rsidR="008A6361">
        <w:rPr>
          <w:rFonts w:asciiTheme="minorEastAsia" w:eastAsiaTheme="minorEastAsia" w:hAnsiTheme="minorEastAsia"/>
          <w:color w:val="000000" w:themeColor="text1"/>
        </w:rPr>
        <w:t>投资</w:t>
      </w:r>
      <w:r w:rsidRPr="001C6480" w:rsidR="008A6361">
        <w:rPr>
          <w:rFonts w:asciiTheme="minorEastAsia" w:eastAsiaTheme="minorEastAsia" w:hAnsiTheme="minorEastAsia" w:hint="eastAsia"/>
          <w:color w:val="000000" w:themeColor="text1"/>
        </w:rPr>
        <w:t>者</w:t>
      </w:r>
      <w:r w:rsidRPr="001C6480">
        <w:rPr>
          <w:rFonts w:asciiTheme="minorEastAsia" w:eastAsiaTheme="minorEastAsia" w:hAnsiTheme="minorEastAsia"/>
          <w:color w:val="000000" w:themeColor="text1"/>
        </w:rPr>
        <w:t>T日申购基金成功后，基金注册登记机构在T＋1日为投资者</w:t>
      </w:r>
      <w:r w:rsidRPr="001C6480" w:rsidR="008A6361">
        <w:rPr>
          <w:rFonts w:asciiTheme="minorEastAsia" w:eastAsiaTheme="minorEastAsia" w:hAnsiTheme="minorEastAsia" w:hint="eastAsia"/>
          <w:bCs/>
          <w:color w:val="000000" w:themeColor="text1"/>
          <w:sz w:val="24"/>
          <w:szCs w:val="24"/>
        </w:rPr>
        <w:t>增加</w:t>
      </w:r>
      <w:r w:rsidRPr="001C6480">
        <w:rPr>
          <w:rFonts w:asciiTheme="minorEastAsia" w:eastAsiaTheme="minorEastAsia" w:hAnsiTheme="minorEastAsia"/>
          <w:color w:val="000000" w:themeColor="text1"/>
        </w:rPr>
        <w:t>权益并办理注册登记手续，投资</w:t>
      </w:r>
      <w:r w:rsidRPr="001C6480">
        <w:rPr>
          <w:rFonts w:asciiTheme="minorEastAsia" w:eastAsiaTheme="minorEastAsia" w:hAnsiTheme="minorEastAsia" w:hint="eastAsia"/>
          <w:color w:val="000000" w:themeColor="text1"/>
        </w:rPr>
        <w:t>人</w:t>
      </w:r>
      <w:r w:rsidRPr="001C6480">
        <w:rPr>
          <w:rFonts w:asciiTheme="minorEastAsia" w:eastAsiaTheme="minorEastAsia" w:hAnsiTheme="minorEastAsia"/>
          <w:color w:val="000000" w:themeColor="text1"/>
        </w:rPr>
        <w:t>自T＋2日起（含该日）有权赎回该部分基金份额。</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w:t>
      </w:r>
      <w:r w:rsidRPr="001C6480">
        <w:rPr>
          <w:rFonts w:asciiTheme="minorEastAsia" w:eastAsiaTheme="minorEastAsia" w:hAnsiTheme="minorEastAsia"/>
          <w:color w:val="000000" w:themeColor="text1"/>
        </w:rPr>
        <w:t>T日赎回基金成功后，正常情况下，基金注册登记机构在T＋1日为</w:t>
      </w:r>
      <w:r w:rsidRPr="001C6480">
        <w:rPr>
          <w:rFonts w:asciiTheme="minorEastAsia" w:eastAsiaTheme="minorEastAsia" w:hAnsiTheme="minorEastAsia" w:hint="eastAsia"/>
          <w:color w:val="000000" w:themeColor="text1"/>
        </w:rPr>
        <w:t>其办理</w:t>
      </w:r>
      <w:r w:rsidRPr="001C6480">
        <w:rPr>
          <w:rFonts w:asciiTheme="minorEastAsia" w:eastAsiaTheme="minorEastAsia" w:hAnsiTheme="minorEastAsia"/>
          <w:color w:val="000000" w:themeColor="text1"/>
        </w:rPr>
        <w:t>扣除权益的注册登记手续。</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在法律法规允许的范围内，注册登记机构可以对上述注册登记办理时间进行调整，但不得实质影响投资者的合法权益，基金管理人最迟于开始实施前2个工作日在</w:t>
      </w:r>
      <w:r w:rsidRPr="001C6480" w:rsidR="002C0A24">
        <w:rPr>
          <w:rFonts w:asciiTheme="minorEastAsia" w:eastAsiaTheme="minorEastAsia" w:hAnsiTheme="minorEastAsia" w:hint="eastAsia"/>
          <w:bCs/>
          <w:color w:val="000000" w:themeColor="text1"/>
        </w:rPr>
        <w:t>指定媒介</w:t>
      </w:r>
      <w:r w:rsidRPr="001C6480">
        <w:rPr>
          <w:rFonts w:asciiTheme="minorEastAsia" w:eastAsiaTheme="minorEastAsia" w:hAnsiTheme="minorEastAsia" w:hint="eastAsia"/>
          <w:bCs/>
          <w:color w:val="000000" w:themeColor="text1"/>
        </w:rPr>
        <w:t>上公告</w:t>
      </w:r>
      <w:r w:rsidRPr="001C6480">
        <w:rPr>
          <w:rFonts w:asciiTheme="minorEastAsia" w:eastAsiaTheme="minorEastAsia" w:hAnsiTheme="minorEastAsia"/>
          <w:color w:val="000000" w:themeColor="text1"/>
        </w:rPr>
        <w:t>。</w:t>
      </w:r>
    </w:p>
    <w:p w:rsidR="001A7CDB" w:rsidRPr="001C6480" w:rsidP="00F71D3B">
      <w:pPr>
        <w:pStyle w:val="Heading2"/>
        <w:numPr>
          <w:ilvl w:val="0"/>
          <w:numId w:val="7"/>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巨额赎回的</w:t>
      </w:r>
      <w:r w:rsidRPr="001C6480" w:rsidR="00934149">
        <w:rPr>
          <w:rFonts w:asciiTheme="minorEastAsia" w:eastAsiaTheme="minorEastAsia" w:hAnsiTheme="minorEastAsia" w:cs="Arial" w:hint="eastAsia"/>
          <w:b w:val="0"/>
          <w:bCs/>
          <w:color w:val="000000" w:themeColor="text1"/>
        </w:rPr>
        <w:t>情形</w:t>
      </w:r>
      <w:r w:rsidRPr="001C6480">
        <w:rPr>
          <w:rFonts w:asciiTheme="minorEastAsia" w:eastAsiaTheme="minorEastAsia" w:hAnsiTheme="minorEastAsia" w:cs="Arial"/>
          <w:b w:val="0"/>
          <w:color w:val="000000" w:themeColor="text1"/>
        </w:rPr>
        <w:t>及处理方式</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巨额赎回的认定</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巨额赎回的处理方式</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当基金出现巨额赎回时，基金管理人可以根据基金当时的资产组合状况决定全额赎回或部分延期赎回。</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（1）全额赎回：当基金管理人认为有能力支付投资人的全部赎回申请时，按正常赎回程序执行。</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24C22"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（3）暂停赎回：连续2日以上（含本数）发生巨额赎回，如基金管理人认为有必要，可暂停接受基金的赎回申请；已经接受的赎回申请可以延缓支付赎回款项，但不得超过20个工作日，并应当在</w:t>
      </w:r>
      <w:r w:rsidRPr="001C6480" w:rsidR="00DD7D36">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上进行公告。</w:t>
      </w:r>
    </w:p>
    <w:p w:rsidR="001A7CDB" w:rsidRPr="001C6480" w:rsidP="006D6AC5">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3、巨额赎回的公告</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当发生上述延期赎回并延期办理时，基金管理人应当通过邮寄、传真或者其他方式在3个交易日内通知基金份额持有人，说明有关处理方法，</w:t>
      </w:r>
      <w:r w:rsidRPr="001C6480" w:rsidR="00DD7D36">
        <w:rPr>
          <w:rFonts w:asciiTheme="minorEastAsia" w:eastAsiaTheme="minorEastAsia" w:hAnsiTheme="minorEastAsia" w:cs="Arial" w:hint="eastAsia"/>
          <w:color w:val="000000" w:themeColor="text1"/>
        </w:rPr>
        <w:t>并在</w:t>
      </w:r>
      <w:r w:rsidRPr="001C6480" w:rsidR="00DD7D36">
        <w:rPr>
          <w:rFonts w:asciiTheme="minorEastAsia" w:eastAsiaTheme="minorEastAsia" w:hAnsiTheme="minorEastAsia" w:cs="Arial"/>
          <w:color w:val="000000" w:themeColor="text1"/>
        </w:rPr>
        <w:t>2</w:t>
      </w:r>
      <w:r w:rsidRPr="001C6480" w:rsidR="00DD7D36">
        <w:rPr>
          <w:rFonts w:asciiTheme="minorEastAsia" w:eastAsiaTheme="minorEastAsia" w:hAnsiTheme="minorEastAsia" w:cs="Arial" w:hint="eastAsia"/>
          <w:color w:val="000000" w:themeColor="text1"/>
        </w:rPr>
        <w:t>日内在指定媒介上刊登公告</w:t>
      </w:r>
      <w:r w:rsidRPr="001C6480">
        <w:rPr>
          <w:rFonts w:asciiTheme="minorEastAsia" w:eastAsiaTheme="minorEastAsia" w:hAnsiTheme="minorEastAsia" w:cs="Arial" w:hint="eastAsia"/>
          <w:color w:val="000000" w:themeColor="text1"/>
        </w:rPr>
        <w:t>。</w:t>
      </w:r>
    </w:p>
    <w:p w:rsidR="001A7CDB" w:rsidRPr="001C6480" w:rsidP="00F71D3B">
      <w:pPr>
        <w:pStyle w:val="Heading2"/>
        <w:numPr>
          <w:ilvl w:val="0"/>
          <w:numId w:val="7"/>
        </w:numPr>
        <w:snapToGrid w:val="0"/>
        <w:spacing w:beforeLines="0" w:afterLines="0" w:line="360" w:lineRule="auto"/>
        <w:ind w:left="1260" w:hanging="1260" w:hangingChars="450"/>
        <w:rPr>
          <w:rFonts w:asciiTheme="minorEastAsia" w:eastAsiaTheme="minorEastAsia" w:hAnsiTheme="minorEastAsia" w:cs="Arial"/>
          <w:b w:val="0"/>
          <w:color w:val="000000" w:themeColor="text1"/>
          <w:kern w:val="0"/>
          <w:szCs w:val="21"/>
        </w:rPr>
      </w:pPr>
      <w:r w:rsidRPr="001C6480">
        <w:rPr>
          <w:rFonts w:asciiTheme="minorEastAsia" w:eastAsiaTheme="minorEastAsia" w:hAnsiTheme="minorEastAsia" w:cs="Arial"/>
          <w:b w:val="0"/>
          <w:color w:val="000000" w:themeColor="text1"/>
          <w:kern w:val="0"/>
          <w:szCs w:val="21"/>
        </w:rPr>
        <w:t>拒绝或暂停申购、暂停赎回或延缓支付赎回款项的情形及处理</w:t>
      </w:r>
      <w:r w:rsidRPr="001C6480">
        <w:rPr>
          <w:rFonts w:asciiTheme="minorEastAsia" w:eastAsiaTheme="minorEastAsia" w:hAnsiTheme="minorEastAsia" w:cs="Arial" w:hint="eastAsia"/>
          <w:b w:val="0"/>
          <w:color w:val="000000" w:themeColor="text1"/>
          <w:kern w:val="0"/>
          <w:szCs w:val="21"/>
        </w:rPr>
        <w:t>方式</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发生下列情况时，基金管理人可拒绝或暂停接受基金投资人的申购申请：</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（1）因不可抗力导致基金无法正常运作。</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（2）发生基金合同规定的暂停基金资产估值情况。</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（3）证券交易所交易时间非正常停市，导致基金管理人无法计算当日基金资产净值。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（4）本基金资产组合中的重要部分发生暂停交易或其他重大事件，继续接受申购可能会影响或损害其他基金份额持有人利益时。</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（5）基金管理人认为接受某笔或某些申购申请可能会影响或损害现有基金份额持有人利益时。</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（6）基金资产规模过大，使基金管理人无法找到合适的投资品种，或其他可能对基金业绩产生负面影响，从而损害现有基金份额持有人利益的情形。</w:t>
      </w:r>
    </w:p>
    <w:p w:rsidR="00024C22" w:rsidRPr="001C6480" w:rsidP="00024C22">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（7）基金管理人接受某笔或者某些申购申请有可能导致单一投资者持有基金份额的比例达到或者超过50%，或者变相规避50%集中度的情形时。</w:t>
      </w:r>
    </w:p>
    <w:p w:rsidR="00024C22" w:rsidRPr="001C6480" w:rsidP="00024C22">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8）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24C22" w:rsidRPr="001C6480" w:rsidP="00024C22">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9）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024C22">
        <w:rPr>
          <w:rFonts w:asciiTheme="minorEastAsia" w:eastAsiaTheme="minorEastAsia" w:hAnsiTheme="minorEastAsia" w:cs="Arial" w:hint="eastAsia"/>
          <w:color w:val="000000" w:themeColor="text1"/>
        </w:rPr>
        <w:t>10</w:t>
      </w:r>
      <w:r w:rsidRPr="001C6480">
        <w:rPr>
          <w:rFonts w:asciiTheme="minorEastAsia" w:eastAsiaTheme="minorEastAsia" w:hAnsiTheme="minorEastAsia" w:cs="Arial" w:hint="eastAsia"/>
          <w:color w:val="000000" w:themeColor="text1"/>
        </w:rPr>
        <w:t>）法律法规规定或中国证监会认定的其他情形。</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发生上述第（1）至（4）项、第（6）、（</w:t>
      </w:r>
      <w:r w:rsidRPr="001C6480" w:rsidR="00024C22">
        <w:rPr>
          <w:rFonts w:asciiTheme="minorEastAsia" w:eastAsiaTheme="minorEastAsia" w:hAnsiTheme="minorEastAsia" w:cs="Arial" w:hint="eastAsia"/>
          <w:color w:val="000000" w:themeColor="text1"/>
        </w:rPr>
        <w:t>8</w:t>
      </w:r>
      <w:r w:rsidRPr="001C6480">
        <w:rPr>
          <w:rFonts w:asciiTheme="minorEastAsia" w:eastAsiaTheme="minorEastAsia" w:hAnsiTheme="minorEastAsia" w:cs="Arial" w:hint="eastAsia"/>
          <w:color w:val="000000" w:themeColor="text1"/>
        </w:rPr>
        <w:t>）</w:t>
      </w:r>
      <w:r w:rsidRPr="001C6480" w:rsidR="00024C22">
        <w:rPr>
          <w:rFonts w:asciiTheme="minorEastAsia" w:eastAsiaTheme="minorEastAsia" w:hAnsiTheme="minorEastAsia" w:cs="Arial" w:hint="eastAsia"/>
          <w:color w:val="000000" w:themeColor="text1"/>
        </w:rPr>
        <w:t>、（9）、（10）</w:t>
      </w:r>
      <w:r w:rsidRPr="001C6480">
        <w:rPr>
          <w:rFonts w:asciiTheme="minorEastAsia" w:eastAsiaTheme="minorEastAsia" w:hAnsiTheme="minorEastAsia" w:cs="Arial" w:hint="eastAsia"/>
          <w:color w:val="000000" w:themeColor="text1"/>
        </w:rPr>
        <w:t>项情形且基金管理人决定拒绝或暂停申购申请时，基金管理人应当根据有关规定在指定媒</w:t>
      </w:r>
      <w:r w:rsidRPr="001C6480" w:rsidR="00686558">
        <w:rPr>
          <w:rFonts w:asciiTheme="minorEastAsia" w:eastAsiaTheme="minorEastAsia" w:hAnsiTheme="minorEastAsia" w:cs="Arial" w:hint="eastAsia"/>
          <w:color w:val="000000" w:themeColor="text1"/>
        </w:rPr>
        <w:t>介</w:t>
      </w:r>
      <w:r w:rsidRPr="001C6480">
        <w:rPr>
          <w:rFonts w:asciiTheme="minorEastAsia" w:eastAsiaTheme="minorEastAsia" w:hAnsiTheme="minorEastAsia" w:cs="Arial" w:hint="eastAsia"/>
          <w:color w:val="000000" w:themeColor="text1"/>
        </w:rPr>
        <w:t>上刊登暂停申购公告。</w:t>
      </w:r>
      <w:r w:rsidRPr="001C6480">
        <w:rPr>
          <w:rFonts w:asciiTheme="minorEastAsia" w:eastAsiaTheme="minorEastAsia" w:hAnsiTheme="minorEastAsia" w:cs="Arial" w:hint="eastAsia"/>
          <w:color w:val="000000" w:themeColor="text1"/>
        </w:rPr>
        <w:t>如果投资人的申购申请被拒绝，被拒绝的申购款项将退还给投资人。在暂停申购的情况消除时，基金管理人应及时恢复申购业务的办理。</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基金管理人拒绝或暂停接受申购的方式包括：</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（1）拒绝接受、暂停接受某笔或某数笔申购申请；</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（2）拒绝接受、暂停接受某个或某数个工作日的全部申购申请；</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（3）按比例拒绝接受、暂停接受某个或某数个工作日的申购申请。</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发生下列情形时，基金管理人可暂停接受基金投资人的赎回申请或延缓支付赎回款项：</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（1）因不可抗力导致基金管理人不能支付赎回款项。</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（2）发生基金合同规定的暂停基金资产估值情况时，基金管理人可暂停接受投资人的赎回申请或延缓支付赎回款项。</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（3）证券交易所交易时间非正常停市，导致基金管理人无法计算当日基金资产净值。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（4）连续两个或两个以上开放日发生巨额赎回。</w:t>
      </w:r>
    </w:p>
    <w:p w:rsidR="00024C22"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024C22">
        <w:rPr>
          <w:rFonts w:asciiTheme="minorEastAsia" w:eastAsiaTheme="minorEastAsia" w:hAnsiTheme="minorEastAsia" w:cs="Arial" w:hint="eastAsia"/>
          <w:color w:val="000000" w:themeColor="text1"/>
        </w:rPr>
        <w:t>6</w:t>
      </w:r>
      <w:r w:rsidRPr="001C6480">
        <w:rPr>
          <w:rFonts w:asciiTheme="minorEastAsia" w:eastAsiaTheme="minorEastAsia" w:hAnsiTheme="minorEastAsia" w:cs="Arial" w:hint="eastAsia"/>
          <w:color w:val="000000" w:themeColor="text1"/>
        </w:rPr>
        <w:t>）法律法规规定或中国证监会认定的其他情形。</w:t>
      </w:r>
    </w:p>
    <w:p w:rsidR="00ED0546" w:rsidRPr="001C6480" w:rsidP="00F71D3B">
      <w:pPr>
        <w:snapToGrid w:val="0"/>
        <w:spacing w:line="360" w:lineRule="auto"/>
        <w:ind w:firstLine="420"/>
        <w:rPr>
          <w:rFonts w:asciiTheme="minorEastAsia" w:eastAsiaTheme="minorEastAsia" w:hAnsiTheme="minorEastAsia" w:cs="Arial"/>
          <w:bCs/>
          <w:color w:val="000000" w:themeColor="text1"/>
        </w:rPr>
      </w:pPr>
      <w:r w:rsidRPr="001C6480">
        <w:rPr>
          <w:rFonts w:asciiTheme="minorEastAsia" w:eastAsiaTheme="minorEastAsia" w:hAnsiTheme="minorEastAsia" w:cs="Arial"/>
          <w:bCs/>
          <w:color w:val="000000" w:themeColor="text1"/>
        </w:rPr>
        <w:t>发生上述情形</w:t>
      </w:r>
      <w:r w:rsidRPr="001C6480">
        <w:rPr>
          <w:rFonts w:asciiTheme="minorEastAsia" w:eastAsiaTheme="minorEastAsia" w:hAnsiTheme="minorEastAsia" w:cs="Arial" w:hint="eastAsia"/>
          <w:bCs/>
          <w:color w:val="000000" w:themeColor="text1"/>
        </w:rPr>
        <w:t>且基金管理人决定暂停接受基金份额持有人赎回申请</w:t>
      </w:r>
      <w:r w:rsidRPr="001C6480">
        <w:rPr>
          <w:rFonts w:asciiTheme="minorEastAsia" w:eastAsiaTheme="minorEastAsia" w:hAnsiTheme="minorEastAsia" w:cs="Arial"/>
          <w:bCs/>
          <w:color w:val="000000" w:themeColor="text1"/>
        </w:rPr>
        <w:t>或延缓支付赎回款项时，基金管理人应报中国证监会备案。</w:t>
      </w:r>
      <w:r w:rsidRPr="001C6480">
        <w:rPr>
          <w:rFonts w:asciiTheme="minorEastAsia" w:eastAsiaTheme="minorEastAsia" w:hAnsiTheme="minorEastAsia" w:cs="Arial" w:hint="eastAsia"/>
          <w:bCs/>
          <w:color w:val="000000" w:themeColor="text1"/>
        </w:rPr>
        <w:t>已接受的赎回申请，基金管理人将足额支付；如暂时不能足额支付的，基金管理人可在20个工作日内支付赎回款项。</w:t>
      </w:r>
      <w:r w:rsidRPr="001C6480">
        <w:rPr>
          <w:rFonts w:asciiTheme="minorEastAsia" w:eastAsiaTheme="minorEastAsia" w:hAnsiTheme="minorEastAsia" w:cs="Arial"/>
          <w:bCs/>
          <w:color w:val="000000" w:themeColor="text1"/>
        </w:rPr>
        <w:t>在暂停赎回的情况消除时，基金管理人应及时恢复赎回业务的办理。</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3</w:t>
      </w:r>
      <w:r w:rsidRPr="001C6480">
        <w:rPr>
          <w:rFonts w:asciiTheme="minorEastAsia" w:eastAsiaTheme="minorEastAsia" w:hAnsiTheme="minorEastAsia" w:cs="Arial" w:hint="eastAsia"/>
          <w:color w:val="000000" w:themeColor="text1"/>
        </w:rPr>
        <w:t>、发生上述暂停申购或赎回情况的，基金管理人当日应立即向中国证监会备案，并在规定期限内在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上刊登暂停办理申购或赎回业务的公告。</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如发生暂停的时间为1日，基金管理人应于重新开放日，在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上刊登基金重新开放申购或赎回的公告，并公告最近1个开放日的基金份额净值。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w:t>
      </w:r>
      <w:r w:rsidRPr="001C6480">
        <w:rPr>
          <w:rFonts w:asciiTheme="minorEastAsia" w:eastAsiaTheme="minorEastAsia" w:hAnsiTheme="minorEastAsia" w:cs="Arial" w:hint="eastAsia"/>
          <w:color w:val="000000" w:themeColor="text1"/>
        </w:rPr>
        <w:t>基金管理人可以根据暂停申购或赎回的时间，依照《信息披露办法》的有关规定，最迟于重新开放日在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上刊登重新开放申购或赎回的公告；也可以根据实际情况在暂停公告中明确重新开放申购或赎回的时间，届时不再另行发布重新开放的公告。</w:t>
      </w:r>
    </w:p>
    <w:p w:rsidR="001A7CDB" w:rsidRPr="001C6480" w:rsidP="00F71D3B">
      <w:pPr>
        <w:snapToGrid w:val="0"/>
        <w:spacing w:line="360" w:lineRule="auto"/>
        <w:rPr>
          <w:rFonts w:asciiTheme="minorEastAsia" w:eastAsiaTheme="minorEastAsia" w:hAnsiTheme="minorEastAsia" w:cs="Arial"/>
          <w:color w:val="000000" w:themeColor="text1"/>
          <w:sz w:val="24"/>
        </w:r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color w:val="000000" w:themeColor="text1"/>
        </w:rPr>
      </w:pPr>
      <w:bookmarkStart w:id="27" w:name="_Toc236639827"/>
      <w:bookmarkStart w:id="28" w:name="_Toc236640272"/>
      <w:bookmarkStart w:id="29" w:name="_Toc236640728"/>
      <w:bookmarkStart w:id="30" w:name="_Toc236641051"/>
      <w:bookmarkStart w:id="31" w:name="_Toc91334992"/>
      <w:bookmarkStart w:id="32" w:name="_Toc96595110"/>
      <w:bookmarkEnd w:id="27"/>
      <w:bookmarkEnd w:id="28"/>
      <w:bookmarkEnd w:id="29"/>
      <w:bookmarkEnd w:id="30"/>
      <w:r w:rsidRPr="001C6480">
        <w:rPr>
          <w:rFonts w:asciiTheme="minorEastAsia" w:eastAsiaTheme="minorEastAsia" w:hAnsiTheme="minorEastAsia" w:cs="Arial" w:hint="eastAsia"/>
          <w:color w:val="000000" w:themeColor="text1"/>
        </w:rPr>
        <w:t>基金转换</w:t>
      </w:r>
      <w:bookmarkEnd w:id="31"/>
      <w:bookmarkEnd w:id="32"/>
    </w:p>
    <w:p w:rsidR="001A7CDB"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基金转换</w:t>
      </w:r>
      <w:r w:rsidRPr="001C6480" w:rsidR="00761F48">
        <w:rPr>
          <w:rFonts w:asciiTheme="minorEastAsia" w:eastAsiaTheme="minorEastAsia" w:hAnsiTheme="minorEastAsia" w:cs="Arial"/>
          <w:b w:val="0"/>
          <w:color w:val="000000" w:themeColor="text1"/>
        </w:rPr>
        <w:t>开始日及</w:t>
      </w:r>
      <w:r w:rsidRPr="001C6480" w:rsidR="00761F48">
        <w:rPr>
          <w:rFonts w:asciiTheme="minorEastAsia" w:eastAsiaTheme="minorEastAsia" w:hAnsiTheme="minorEastAsia" w:cs="Arial" w:hint="eastAsia"/>
          <w:b w:val="0"/>
          <w:color w:val="000000" w:themeColor="text1"/>
        </w:rPr>
        <w:t>时间</w:t>
      </w:r>
    </w:p>
    <w:p w:rsidR="00761F48"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原易方达量化衍伸股票型证券投资基金已于</w:t>
      </w:r>
      <w:r w:rsidRPr="001C6480">
        <w:rPr>
          <w:rFonts w:asciiTheme="minorEastAsia" w:eastAsiaTheme="minorEastAsia" w:hAnsiTheme="minorEastAsia"/>
          <w:color w:val="000000" w:themeColor="text1"/>
        </w:rPr>
        <w:t>2012</w:t>
      </w:r>
      <w:r w:rsidRPr="001C6480">
        <w:rPr>
          <w:rFonts w:asciiTheme="minorEastAsia" w:eastAsiaTheme="minorEastAsia" w:hAnsiTheme="minorEastAsia" w:hint="eastAsia"/>
          <w:color w:val="000000" w:themeColor="text1"/>
        </w:rPr>
        <w:t>年</w:t>
      </w:r>
      <w:r w:rsidRPr="001C6480">
        <w:rPr>
          <w:rFonts w:asciiTheme="minorEastAsia" w:eastAsiaTheme="minorEastAsia" w:hAnsiTheme="minorEastAsia"/>
          <w:color w:val="000000" w:themeColor="text1"/>
        </w:rPr>
        <w:t>8</w:t>
      </w:r>
      <w:r w:rsidRPr="001C6480">
        <w:rPr>
          <w:rFonts w:asciiTheme="minorEastAsia" w:eastAsiaTheme="minorEastAsia" w:hAnsiTheme="minorEastAsia" w:hint="eastAsia"/>
          <w:color w:val="000000" w:themeColor="text1"/>
        </w:rPr>
        <w:t>月</w:t>
      </w:r>
      <w:r w:rsidRPr="001C6480">
        <w:rPr>
          <w:rFonts w:asciiTheme="minorEastAsia" w:eastAsiaTheme="minorEastAsia" w:hAnsiTheme="minorEastAsia"/>
          <w:color w:val="000000" w:themeColor="text1"/>
        </w:rPr>
        <w:t>6</w:t>
      </w:r>
      <w:r w:rsidRPr="001C6480">
        <w:rPr>
          <w:rFonts w:asciiTheme="minorEastAsia" w:eastAsiaTheme="minorEastAsia" w:hAnsiTheme="minorEastAsia" w:hint="eastAsia"/>
          <w:color w:val="000000" w:themeColor="text1"/>
        </w:rPr>
        <w:t>日</w:t>
      </w:r>
      <w:r w:rsidRPr="001C6480">
        <w:rPr>
          <w:rFonts w:asciiTheme="minorEastAsia" w:eastAsiaTheme="minorEastAsia" w:hAnsiTheme="minorEastAsia" w:cs="Arial" w:hint="eastAsia"/>
          <w:color w:val="000000" w:themeColor="text1"/>
        </w:rPr>
        <w:t>开始办理</w:t>
      </w:r>
      <w:r w:rsidRPr="001C6480">
        <w:rPr>
          <w:rFonts w:asciiTheme="minorEastAsia" w:eastAsiaTheme="minorEastAsia" w:hAnsiTheme="minorEastAsia" w:hint="eastAsia"/>
          <w:color w:val="000000" w:themeColor="text1"/>
        </w:rPr>
        <w:t>转换转出</w:t>
      </w:r>
      <w:r w:rsidRPr="001C6480">
        <w:rPr>
          <w:rFonts w:asciiTheme="minorEastAsia" w:eastAsiaTheme="minorEastAsia" w:hAnsiTheme="minorEastAsia" w:hint="eastAsia"/>
          <w:bCs/>
          <w:color w:val="000000" w:themeColor="text1"/>
        </w:rPr>
        <w:t>业务</w:t>
      </w:r>
      <w:r w:rsidRPr="001C6480">
        <w:rPr>
          <w:rFonts w:asciiTheme="minorEastAsia" w:eastAsiaTheme="minorEastAsia" w:hAnsiTheme="minorEastAsia" w:cs="Arial" w:hint="eastAsia"/>
          <w:color w:val="000000" w:themeColor="text1"/>
        </w:rPr>
        <w:t>，已于</w:t>
      </w:r>
      <w:r w:rsidRPr="001C6480">
        <w:rPr>
          <w:rFonts w:asciiTheme="minorEastAsia" w:eastAsiaTheme="minorEastAsia" w:hAnsiTheme="minorEastAsia"/>
          <w:color w:val="000000" w:themeColor="text1"/>
        </w:rPr>
        <w:t>2012</w:t>
      </w:r>
      <w:r w:rsidRPr="001C6480">
        <w:rPr>
          <w:rFonts w:asciiTheme="minorEastAsia" w:eastAsiaTheme="minorEastAsia" w:hAnsiTheme="minorEastAsia" w:hint="eastAsia"/>
          <w:color w:val="000000" w:themeColor="text1"/>
        </w:rPr>
        <w:t>年</w:t>
      </w:r>
      <w:r w:rsidRPr="001C6480">
        <w:rPr>
          <w:rFonts w:asciiTheme="minorEastAsia" w:eastAsiaTheme="minorEastAsia" w:hAnsiTheme="minorEastAsia"/>
          <w:color w:val="000000" w:themeColor="text1"/>
        </w:rPr>
        <w:t>9</w:t>
      </w:r>
      <w:r w:rsidRPr="001C6480">
        <w:rPr>
          <w:rFonts w:asciiTheme="minorEastAsia" w:eastAsiaTheme="minorEastAsia" w:hAnsiTheme="minorEastAsia" w:hint="eastAsia"/>
          <w:color w:val="000000" w:themeColor="text1"/>
        </w:rPr>
        <w:t>月</w:t>
      </w:r>
      <w:r w:rsidRPr="001C6480">
        <w:rPr>
          <w:rFonts w:asciiTheme="minorEastAsia" w:eastAsiaTheme="minorEastAsia" w:hAnsiTheme="minorEastAsia"/>
          <w:color w:val="000000" w:themeColor="text1"/>
        </w:rPr>
        <w:t>27</w:t>
      </w:r>
      <w:r w:rsidRPr="001C6480">
        <w:rPr>
          <w:rFonts w:asciiTheme="minorEastAsia" w:eastAsiaTheme="minorEastAsia" w:hAnsiTheme="minorEastAsia" w:hint="eastAsia"/>
          <w:color w:val="000000" w:themeColor="text1"/>
        </w:rPr>
        <w:t>日</w:t>
      </w:r>
      <w:r w:rsidRPr="001C6480">
        <w:rPr>
          <w:rFonts w:asciiTheme="minorEastAsia" w:eastAsiaTheme="minorEastAsia" w:hAnsiTheme="minorEastAsia" w:cs="Arial" w:hint="eastAsia"/>
          <w:color w:val="000000" w:themeColor="text1"/>
        </w:rPr>
        <w:t>开始办理</w:t>
      </w:r>
      <w:r w:rsidRPr="001C6480">
        <w:rPr>
          <w:rFonts w:asciiTheme="minorEastAsia" w:eastAsiaTheme="minorEastAsia" w:hAnsiTheme="minorEastAsia" w:hint="eastAsia"/>
          <w:color w:val="000000" w:themeColor="text1"/>
        </w:rPr>
        <w:t>转换转入</w:t>
      </w:r>
      <w:r w:rsidRPr="001C6480">
        <w:rPr>
          <w:rFonts w:asciiTheme="minorEastAsia" w:eastAsiaTheme="minorEastAsia" w:hAnsiTheme="minorEastAsia" w:hint="eastAsia"/>
          <w:bCs/>
          <w:color w:val="000000" w:themeColor="text1"/>
        </w:rPr>
        <w:t>业务</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除有其他公告，基金管理人将继续办理本基金</w:t>
      </w:r>
      <w:r w:rsidRPr="001C6480">
        <w:rPr>
          <w:rFonts w:asciiTheme="minorEastAsia" w:eastAsiaTheme="minorEastAsia" w:hAnsiTheme="minorEastAsia" w:cs="Arial" w:hint="eastAsia"/>
          <w:color w:val="000000" w:themeColor="text1"/>
        </w:rPr>
        <w:t>的</w:t>
      </w:r>
      <w:r w:rsidRPr="001C6480">
        <w:rPr>
          <w:rFonts w:asciiTheme="minorEastAsia" w:eastAsiaTheme="minorEastAsia" w:hAnsiTheme="minorEastAsia" w:cs="Arial"/>
          <w:color w:val="000000" w:themeColor="text1"/>
        </w:rPr>
        <w:t>日常转换业务。</w:t>
      </w:r>
    </w:p>
    <w:p w:rsidR="00761F48"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1C6480" w:rsidR="00891A5C">
        <w:rPr>
          <w:rFonts w:asciiTheme="minorEastAsia" w:eastAsiaTheme="minorEastAsia" w:hAnsiTheme="minorEastAsia" w:hint="eastAsia"/>
          <w:bCs/>
          <w:color w:val="000000" w:themeColor="text1"/>
        </w:rPr>
        <w:t>若出现新的证券交易市场、证券交易所交易时间变更或其他特殊情况</w:t>
      </w:r>
      <w:r w:rsidRPr="001C6480">
        <w:rPr>
          <w:rFonts w:asciiTheme="minorEastAsia" w:eastAsiaTheme="minorEastAsia" w:hAnsiTheme="minorEastAsia" w:cs="Arial" w:hint="eastAsia"/>
          <w:color w:val="000000" w:themeColor="text1"/>
        </w:rPr>
        <w:t>，基金管理人将根据法律法规和基金合同规定的原则视情况进行相应的调整并按照《信息披露办法》或其他相关规定在实施日前在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公告。</w:t>
      </w:r>
    </w:p>
    <w:p w:rsidR="00761F48"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投资者需在转出基金和转入基金均有交易的当日，方可办理基金转换业务。</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33" w:name="_Toc198959617"/>
      <w:bookmarkStart w:id="34" w:name="_Toc229996708"/>
      <w:bookmarkStart w:id="35" w:name="_Toc245693554"/>
      <w:bookmarkStart w:id="36" w:name="_Toc347214154"/>
      <w:r w:rsidRPr="001C6480">
        <w:rPr>
          <w:rFonts w:asciiTheme="minorEastAsia" w:eastAsiaTheme="minorEastAsia" w:hAnsiTheme="minorEastAsia" w:cs="Arial"/>
          <w:b w:val="0"/>
          <w:color w:val="000000" w:themeColor="text1"/>
        </w:rPr>
        <w:t>基金转换的原则</w:t>
      </w:r>
      <w:bookmarkEnd w:id="33"/>
      <w:bookmarkEnd w:id="34"/>
      <w:bookmarkEnd w:id="35"/>
      <w:bookmarkEnd w:id="36"/>
    </w:p>
    <w:p w:rsidR="001C7E9C"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1、基金转换以份额为单位进行申请。投资者可以发起多次基金转换业务，基金转换费用按每笔申请单独计算。转换费用以人民币元为单位，计算结果按照四舍五入方法，保留小数点后两位。</w:t>
      </w:r>
    </w:p>
    <w:p w:rsidR="001C7E9C"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2、当日的转换申请可以在当日交易结束时间前撤销，在当日的交易时间结束后不得撤销。</w:t>
      </w:r>
    </w:p>
    <w:p w:rsidR="001C7E9C"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3、基金转换采取未知价法，即基金的转换价格以转换申请受理当日各转出、转入基金的份额净值为基准进行计算。</w:t>
      </w:r>
    </w:p>
    <w:p w:rsidR="001C7E9C"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4、基金转换只能在同一销售机构进行。转换的两只基金必须都是该销售机构</w:t>
      </w:r>
      <w:r w:rsidRPr="001C6480" w:rsidR="002B3F76">
        <w:rPr>
          <w:rFonts w:asciiTheme="minorEastAsia" w:eastAsiaTheme="minorEastAsia" w:hAnsiTheme="minorEastAsia" w:cs="Arial" w:hint="eastAsia"/>
          <w:color w:val="000000" w:themeColor="text1"/>
        </w:rPr>
        <w:t>销售</w:t>
      </w:r>
      <w:r w:rsidRPr="001C6480">
        <w:rPr>
          <w:rFonts w:asciiTheme="minorEastAsia" w:eastAsiaTheme="minorEastAsia" w:hAnsiTheme="minorEastAsia" w:cs="Arial" w:hint="eastAsia"/>
          <w:color w:val="000000" w:themeColor="text1"/>
        </w:rPr>
        <w:t>的同一基金管理人管理的、在同一注册登记机构注册登记的基金。</w:t>
      </w:r>
    </w:p>
    <w:p w:rsidR="001C7E9C"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5、投资者办理基金转换业务时，转出方的基金必须处于可赎回状态，转入方的基金必须处于可申购状态。</w:t>
      </w:r>
    </w:p>
    <w:p w:rsidR="001C7E9C" w:rsidRPr="001C6480" w:rsidP="00F71D3B">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s="Arial" w:hint="eastAsia"/>
          <w:color w:val="000000" w:themeColor="text1"/>
        </w:rPr>
        <w:t>6、转换业务遵循“先进先出”的业务规则，即份额注册日期在前的先转换出，份额注册日期在后的后转换出，如果转换申请当日，同时有赎回申请的情况下，则遵循先赎回后</w:t>
      </w:r>
      <w:r w:rsidRPr="001C6480">
        <w:rPr>
          <w:rFonts w:asciiTheme="minorEastAsia" w:eastAsiaTheme="minorEastAsia" w:hAnsiTheme="minorEastAsia" w:hint="eastAsia"/>
          <w:color w:val="000000" w:themeColor="text1"/>
        </w:rPr>
        <w:t>转换的处理原则。</w:t>
      </w:r>
    </w:p>
    <w:p w:rsidR="001C7E9C" w:rsidRPr="001C6480" w:rsidP="00F71D3B">
      <w:pPr>
        <w:pStyle w:val="NormalIndent"/>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kern w:val="0"/>
          <w:szCs w:val="21"/>
        </w:rPr>
        <w:t>7、基金份额在转换后，</w:t>
      </w:r>
      <w:r w:rsidRPr="001C6480">
        <w:rPr>
          <w:rFonts w:asciiTheme="minorEastAsia" w:eastAsiaTheme="minorEastAsia" w:hAnsiTheme="minorEastAsia"/>
          <w:color w:val="000000" w:themeColor="text1"/>
        </w:rPr>
        <w:t>转入的基金份额的持有期将自转入的基金份额被确认之日起重新开始计算。</w:t>
      </w:r>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基金管理人可在不损害基金份额持有人权益的情况下更改上述原则，但应在调整生效前在</w:t>
      </w:r>
      <w:r w:rsidRPr="001C6480" w:rsidR="00995394">
        <w:rPr>
          <w:rFonts w:asciiTheme="minorEastAsia" w:eastAsiaTheme="minorEastAsia" w:hAnsiTheme="minorEastAsia" w:hint="eastAsia"/>
          <w:color w:val="000000" w:themeColor="text1"/>
        </w:rPr>
        <w:t>指定媒介</w:t>
      </w:r>
      <w:r w:rsidRPr="001C6480">
        <w:rPr>
          <w:rFonts w:asciiTheme="minorEastAsia" w:eastAsiaTheme="minorEastAsia" w:hAnsiTheme="minorEastAsia" w:hint="eastAsia"/>
          <w:color w:val="000000" w:themeColor="text1"/>
        </w:rPr>
        <w:t>上予以公告。</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37" w:name="_Toc198959618"/>
      <w:bookmarkStart w:id="38" w:name="_Toc229996709"/>
      <w:bookmarkStart w:id="39" w:name="_Toc245693555"/>
      <w:bookmarkStart w:id="40" w:name="_Toc347214155"/>
      <w:r w:rsidRPr="001C6480">
        <w:rPr>
          <w:rFonts w:asciiTheme="minorEastAsia" w:eastAsiaTheme="minorEastAsia" w:hAnsiTheme="minorEastAsia" w:cs="Arial" w:hint="eastAsia"/>
          <w:b w:val="0"/>
          <w:color w:val="000000" w:themeColor="text1"/>
        </w:rPr>
        <w:t>基金转换的程序</w:t>
      </w:r>
      <w:bookmarkEnd w:id="37"/>
      <w:bookmarkEnd w:id="38"/>
      <w:bookmarkEnd w:id="39"/>
      <w:bookmarkEnd w:id="40"/>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1、基金转换的申请方式</w:t>
      </w:r>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基金投资者必须根据基金管理人和基金</w:t>
      </w:r>
      <w:r w:rsidRPr="001C6480" w:rsidR="00FD1294">
        <w:rPr>
          <w:rFonts w:asciiTheme="minorEastAsia" w:eastAsiaTheme="minorEastAsia" w:hAnsiTheme="minorEastAsia" w:hint="eastAsia"/>
          <w:color w:val="000000" w:themeColor="text1"/>
        </w:rPr>
        <w:t>销售</w:t>
      </w:r>
      <w:r w:rsidRPr="001C6480">
        <w:rPr>
          <w:rFonts w:asciiTheme="minorEastAsia" w:eastAsiaTheme="minorEastAsia" w:hAnsiTheme="minorEastAsia" w:hint="eastAsia"/>
          <w:color w:val="000000" w:themeColor="text1"/>
        </w:rPr>
        <w:t>机构规定的手续，在开放日的业务办理时间提出转换的申请。</w:t>
      </w:r>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提交基金转换申请时，账户中必须有足够可用的转出基金份额余额。</w:t>
      </w:r>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2、基金转换申请的确认</w:t>
      </w:r>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正常情况下，基金管理人以在规定的基金业务办理时间段内收到基金转换申请的当天作为基金转换的申请日（T日），并在T+1工作日对该交易的有效性进行确认。投资者可在T+2工作日及之后查询成交情况。</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41" w:name="_Toc198959619"/>
      <w:bookmarkStart w:id="42" w:name="_Toc229996710"/>
      <w:bookmarkStart w:id="43" w:name="_Toc245693556"/>
      <w:bookmarkStart w:id="44" w:name="_Toc347214156"/>
      <w:r w:rsidRPr="001C6480">
        <w:rPr>
          <w:rFonts w:asciiTheme="minorEastAsia" w:eastAsiaTheme="minorEastAsia" w:hAnsiTheme="minorEastAsia" w:cs="Arial" w:hint="eastAsia"/>
          <w:b w:val="0"/>
          <w:color w:val="000000" w:themeColor="text1"/>
        </w:rPr>
        <w:t>基金转换的数额限制</w:t>
      </w:r>
      <w:bookmarkEnd w:id="41"/>
      <w:bookmarkEnd w:id="42"/>
      <w:bookmarkEnd w:id="43"/>
      <w:bookmarkEnd w:id="44"/>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kern w:val="0"/>
          <w:szCs w:val="21"/>
        </w:rPr>
        <w:t>基金份额持有人可将其全部或部分基金份额转换成另一只基金，本基金单笔转出申请不得少于1份（如该</w:t>
      </w:r>
      <w:r w:rsidRPr="001C6480" w:rsidR="00891A5C">
        <w:rPr>
          <w:rFonts w:asciiTheme="minorEastAsia" w:eastAsiaTheme="minorEastAsia" w:hAnsiTheme="minorEastAsia" w:hint="eastAsia"/>
          <w:color w:val="000000" w:themeColor="text1"/>
          <w:kern w:val="0"/>
          <w:szCs w:val="21"/>
        </w:rPr>
        <w:t>账户</w:t>
      </w:r>
      <w:r w:rsidRPr="001C6480">
        <w:rPr>
          <w:rFonts w:asciiTheme="minorEastAsia" w:eastAsiaTheme="minorEastAsia" w:hAnsiTheme="minorEastAsia" w:hint="eastAsia"/>
          <w:color w:val="000000" w:themeColor="text1"/>
          <w:kern w:val="0"/>
          <w:szCs w:val="21"/>
        </w:rPr>
        <w:t>在该销售机构托管的该基金余额不足1份，则必须一次性赎回或转出该基金全部份额）；若某笔转换导致投资者在</w:t>
      </w:r>
      <w:r w:rsidRPr="001C6480" w:rsidR="003E5700">
        <w:rPr>
          <w:rFonts w:asciiTheme="minorEastAsia" w:eastAsiaTheme="minorEastAsia" w:hAnsiTheme="minorEastAsia" w:cs="Arial" w:hint="eastAsia"/>
          <w:color w:val="000000" w:themeColor="text1"/>
        </w:rPr>
        <w:t>该</w:t>
      </w:r>
      <w:r w:rsidRPr="001C6480">
        <w:rPr>
          <w:rFonts w:asciiTheme="minorEastAsia" w:eastAsiaTheme="minorEastAsia" w:hAnsiTheme="minorEastAsia" w:hint="eastAsia"/>
          <w:color w:val="000000" w:themeColor="text1"/>
          <w:kern w:val="0"/>
          <w:szCs w:val="21"/>
        </w:rPr>
        <w:t>销售机构托管的该基金余额不足1份时，基金管理人有权将投资者在该销售机构托管的该基金剩余份额一次性全部赎回。</w:t>
      </w:r>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基金管理人可根据市场情况制定或调整上述基金转换的程序及有关限制，但应在调整生效前在</w:t>
      </w:r>
      <w:r w:rsidRPr="001C6480" w:rsidR="00995394">
        <w:rPr>
          <w:rFonts w:asciiTheme="minorEastAsia" w:eastAsiaTheme="minorEastAsia" w:hAnsiTheme="minorEastAsia" w:hint="eastAsia"/>
          <w:color w:val="000000" w:themeColor="text1"/>
        </w:rPr>
        <w:t>指定媒介</w:t>
      </w:r>
      <w:r w:rsidRPr="001C6480">
        <w:rPr>
          <w:rFonts w:asciiTheme="minorEastAsia" w:eastAsiaTheme="minorEastAsia" w:hAnsiTheme="minorEastAsia" w:hint="eastAsia"/>
          <w:color w:val="000000" w:themeColor="text1"/>
        </w:rPr>
        <w:t>上予以公告。</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45" w:name="_Toc87367293"/>
      <w:bookmarkStart w:id="46" w:name="_Toc198959620"/>
      <w:bookmarkStart w:id="47" w:name="_Toc229996711"/>
      <w:bookmarkStart w:id="48" w:name="_Toc245693557"/>
      <w:bookmarkStart w:id="49" w:name="_Toc347214157"/>
      <w:r w:rsidRPr="001C6480">
        <w:rPr>
          <w:rFonts w:asciiTheme="minorEastAsia" w:eastAsiaTheme="minorEastAsia" w:hAnsiTheme="minorEastAsia" w:cs="Arial" w:hint="eastAsia"/>
          <w:b w:val="0"/>
          <w:color w:val="000000" w:themeColor="text1"/>
        </w:rPr>
        <w:t>基金转换费率</w:t>
      </w:r>
      <w:bookmarkEnd w:id="45"/>
      <w:bookmarkEnd w:id="46"/>
      <w:bookmarkEnd w:id="47"/>
      <w:bookmarkEnd w:id="48"/>
      <w:bookmarkEnd w:id="49"/>
    </w:p>
    <w:p w:rsidR="001C7E9C" w:rsidRPr="001C6480" w:rsidP="00F71D3B">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基金转换费由基金份额持有人承担，由转出基金赎回费用及基金申购补差费用构成，其中赎回费用按照</w:t>
      </w:r>
      <w:r w:rsidRPr="001C6480" w:rsidR="005E257B">
        <w:rPr>
          <w:rFonts w:asciiTheme="minorEastAsia" w:eastAsiaTheme="minorEastAsia" w:hAnsiTheme="minorEastAsia" w:hint="eastAsia"/>
          <w:color w:val="000000" w:themeColor="text1"/>
        </w:rPr>
        <w:t>各基金的</w:t>
      </w:r>
      <w:r w:rsidRPr="001C6480">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基金合同、更新的招募说明书及最新的相关公告约定的比例归入基金财产，其余部分用于支付注册登记费等相关手续费，具体实施办法和转换费率详见相关公告。</w:t>
      </w:r>
      <w:r w:rsidRPr="001C6480">
        <w:rPr>
          <w:rFonts w:asciiTheme="minorEastAsia" w:eastAsiaTheme="minorEastAsia" w:hAnsiTheme="minorEastAsia"/>
          <w:color w:val="000000" w:themeColor="text1"/>
        </w:rPr>
        <w:t>转换费用以人民币元为单位，计算结果按照四舍五入方法，保留小数点后两位。</w:t>
      </w:r>
    </w:p>
    <w:p w:rsidR="001C7E9C" w:rsidRPr="001C6480" w:rsidP="00F71D3B">
      <w:pPr>
        <w:autoSpaceDE w:val="0"/>
        <w:autoSpaceDN w:val="0"/>
        <w:snapToGrid w:val="0"/>
        <w:spacing w:line="360" w:lineRule="auto"/>
        <w:ind w:firstLine="420"/>
        <w:textAlignment w:val="bottom"/>
        <w:rPr>
          <w:rFonts w:asciiTheme="minorEastAsia" w:eastAsiaTheme="minorEastAsia" w:hAnsiTheme="minorEastAsia"/>
          <w:color w:val="000000" w:themeColor="text1"/>
        </w:rPr>
      </w:pPr>
      <w:bookmarkStart w:id="50" w:name="_Toc182826360"/>
      <w:bookmarkStart w:id="51" w:name="_Toc198959621"/>
      <w:r w:rsidRPr="001C6480">
        <w:rPr>
          <w:rFonts w:asciiTheme="minorEastAsia" w:eastAsiaTheme="minorEastAsia" w:hAnsiTheme="minorEastAsia"/>
          <w:color w:val="000000" w:themeColor="text1"/>
        </w:rPr>
        <w:t>基金管理人可以在基金合同规定的范围内调整</w:t>
      </w:r>
      <w:r w:rsidRPr="001C6480">
        <w:rPr>
          <w:rFonts w:asciiTheme="minorEastAsia" w:eastAsiaTheme="minorEastAsia" w:hAnsiTheme="minorEastAsia" w:hint="eastAsia"/>
          <w:color w:val="000000" w:themeColor="text1"/>
        </w:rPr>
        <w:t>上述</w:t>
      </w:r>
      <w:r w:rsidRPr="001C6480">
        <w:rPr>
          <w:rFonts w:asciiTheme="minorEastAsia" w:eastAsiaTheme="minorEastAsia" w:hAnsiTheme="minorEastAsia"/>
          <w:color w:val="000000" w:themeColor="text1"/>
        </w:rPr>
        <w:t>费率</w:t>
      </w: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rPr>
        <w:t>上述费率如发生变更，</w:t>
      </w:r>
      <w:r w:rsidRPr="001C6480">
        <w:rPr>
          <w:rFonts w:asciiTheme="minorEastAsia" w:eastAsiaTheme="minorEastAsia" w:hAnsiTheme="minorEastAsia" w:hint="eastAsia"/>
          <w:color w:val="000000" w:themeColor="text1"/>
        </w:rPr>
        <w:t>应在调整生效前在指定</w:t>
      </w:r>
      <w:r w:rsidRPr="001C6480" w:rsidR="00995394">
        <w:rPr>
          <w:rFonts w:asciiTheme="minorEastAsia" w:eastAsiaTheme="minorEastAsia" w:hAnsiTheme="minorEastAsia" w:hint="eastAsia"/>
          <w:color w:val="000000" w:themeColor="text1"/>
        </w:rPr>
        <w:t>媒介</w:t>
      </w:r>
      <w:r w:rsidRPr="001C6480">
        <w:rPr>
          <w:rFonts w:asciiTheme="minorEastAsia" w:eastAsiaTheme="minorEastAsia" w:hAnsiTheme="minorEastAsia" w:hint="eastAsia"/>
          <w:color w:val="000000" w:themeColor="text1"/>
        </w:rPr>
        <w:t>上予以公告。</w:t>
      </w:r>
    </w:p>
    <w:p w:rsidR="001C7E9C" w:rsidRPr="001C6480" w:rsidP="00F71D3B">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52" w:name="_Toc229996712"/>
      <w:bookmarkStart w:id="53" w:name="_Toc245693558"/>
      <w:bookmarkStart w:id="54" w:name="_Toc347214158"/>
      <w:r w:rsidRPr="001C6480">
        <w:rPr>
          <w:rFonts w:asciiTheme="minorEastAsia" w:eastAsiaTheme="minorEastAsia" w:hAnsiTheme="minorEastAsia" w:cs="Arial" w:hint="eastAsia"/>
          <w:b w:val="0"/>
          <w:color w:val="000000" w:themeColor="text1"/>
        </w:rPr>
        <w:t>基金转换份额的计算方式</w:t>
      </w:r>
      <w:bookmarkEnd w:id="50"/>
      <w:bookmarkEnd w:id="51"/>
      <w:bookmarkEnd w:id="52"/>
      <w:bookmarkEnd w:id="53"/>
      <w:bookmarkEnd w:id="54"/>
    </w:p>
    <w:p w:rsidR="001C7E9C" w:rsidRPr="001C6480" w:rsidP="00F71D3B">
      <w:pPr>
        <w:snapToGrid w:val="0"/>
        <w:spacing w:line="360" w:lineRule="auto"/>
        <w:ind w:firstLine="482"/>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计算公式：</w:t>
      </w:r>
    </w:p>
    <w:p w:rsidR="001C7E9C" w:rsidRPr="001C6480" w:rsidP="00F71D3B">
      <w:pPr>
        <w:snapToGrid w:val="0"/>
        <w:spacing w:line="360" w:lineRule="auto"/>
        <w:ind w:firstLine="420"/>
        <w:rPr>
          <w:rFonts w:asciiTheme="minorEastAsia" w:eastAsiaTheme="minorEastAsia" w:hAnsiTheme="minorEastAsia" w:cs="Arial"/>
          <w:color w:val="000000" w:themeColor="text1"/>
        </w:rPr>
      </w:pPr>
      <w:bookmarkStart w:id="55" w:name="_Toc347214159"/>
      <w:bookmarkStart w:id="56" w:name="_Toc353180311"/>
      <w:r w:rsidRPr="001C6480">
        <w:rPr>
          <w:rFonts w:asciiTheme="minorEastAsia" w:eastAsiaTheme="minorEastAsia" w:hAnsiTheme="minorEastAsia" w:cs="Arial" w:hint="eastAsia"/>
          <w:color w:val="000000" w:themeColor="text1"/>
        </w:rPr>
        <w:t>A＝［B×C×(1-D)/（1+G）+F］/E</w:t>
      </w:r>
      <w:bookmarkEnd w:id="55"/>
      <w:bookmarkEnd w:id="56"/>
    </w:p>
    <w:p w:rsidR="001C7E9C" w:rsidRPr="001C6480" w:rsidP="00F71D3B">
      <w:pPr>
        <w:snapToGrid w:val="0"/>
        <w:spacing w:line="360" w:lineRule="auto"/>
        <w:ind w:firstLine="420"/>
        <w:rPr>
          <w:rFonts w:asciiTheme="minorEastAsia" w:eastAsiaTheme="minorEastAsia" w:hAnsiTheme="minorEastAsia" w:cs="Arial"/>
          <w:color w:val="000000" w:themeColor="text1"/>
        </w:rPr>
      </w:pPr>
      <w:bookmarkStart w:id="57" w:name="_Toc347214160"/>
      <w:bookmarkStart w:id="58" w:name="_Toc353180312"/>
      <w:r w:rsidRPr="001C6480">
        <w:rPr>
          <w:rFonts w:asciiTheme="minorEastAsia" w:eastAsiaTheme="minorEastAsia" w:hAnsiTheme="minorEastAsia" w:cs="Arial" w:hint="eastAsia"/>
          <w:color w:val="000000" w:themeColor="text1"/>
        </w:rPr>
        <w:t>H＝</w:t>
      </w:r>
      <w:r w:rsidRPr="001C6480">
        <w:rPr>
          <w:rFonts w:asciiTheme="minorEastAsia" w:eastAsiaTheme="minorEastAsia" w:hAnsiTheme="minorEastAsia" w:cs="Arial"/>
          <w:color w:val="000000" w:themeColor="text1"/>
        </w:rPr>
        <w:t>B×C×D</w:t>
      </w:r>
      <w:bookmarkEnd w:id="57"/>
      <w:bookmarkEnd w:id="58"/>
    </w:p>
    <w:p w:rsidR="001C7E9C"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J＝[B×C×(1-D)/(1+G)]×G</w:t>
      </w:r>
    </w:p>
    <w:p w:rsidR="001C7E9C" w:rsidRPr="001C6480" w:rsidP="00F71D3B">
      <w:pPr>
        <w:pStyle w:val="NormalIndent"/>
        <w:snapToGrid w:val="0"/>
        <w:spacing w:line="360" w:lineRule="auto"/>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其中，</w:t>
      </w:r>
      <w:r w:rsidRPr="001C6480">
        <w:rPr>
          <w:rFonts w:asciiTheme="minorEastAsia" w:eastAsiaTheme="minorEastAsia" w:hAnsiTheme="minorEastAsia"/>
          <w:color w:val="000000" w:themeColor="text1"/>
        </w:rPr>
        <w:t>A</w:t>
      </w:r>
      <w:r w:rsidRPr="001C6480">
        <w:rPr>
          <w:rFonts w:asciiTheme="minorEastAsia" w:eastAsiaTheme="minorEastAsia" w:hAnsiTheme="minorEastAsia" w:hint="eastAsia"/>
          <w:color w:val="000000" w:themeColor="text1"/>
        </w:rPr>
        <w:t>为转入的基金份额；</w:t>
      </w:r>
      <w:r w:rsidRPr="001C6480">
        <w:rPr>
          <w:rFonts w:asciiTheme="minorEastAsia" w:eastAsiaTheme="minorEastAsia" w:hAnsiTheme="minorEastAsia"/>
          <w:color w:val="000000" w:themeColor="text1"/>
        </w:rPr>
        <w:t>B</w:t>
      </w:r>
      <w:r w:rsidRPr="001C6480">
        <w:rPr>
          <w:rFonts w:asciiTheme="minorEastAsia" w:eastAsiaTheme="minorEastAsia" w:hAnsiTheme="minorEastAsia" w:hint="eastAsia"/>
          <w:color w:val="000000" w:themeColor="text1"/>
        </w:rPr>
        <w:t>为转出的基金份额；</w:t>
      </w:r>
      <w:r w:rsidRPr="001C6480">
        <w:rPr>
          <w:rFonts w:asciiTheme="minorEastAsia" w:eastAsiaTheme="minorEastAsia" w:hAnsiTheme="minorEastAsia"/>
          <w:color w:val="000000" w:themeColor="text1"/>
        </w:rPr>
        <w:t>C</w:t>
      </w:r>
      <w:r w:rsidRPr="001C6480">
        <w:rPr>
          <w:rFonts w:asciiTheme="minorEastAsia" w:eastAsiaTheme="minorEastAsia" w:hAnsiTheme="minorEastAsia" w:hint="eastAsia"/>
          <w:color w:val="000000" w:themeColor="text1"/>
        </w:rPr>
        <w:t>为转换申请当日转出基金的基金份额净值；</w:t>
      </w:r>
      <w:r w:rsidRPr="001C6480">
        <w:rPr>
          <w:rFonts w:asciiTheme="minorEastAsia" w:eastAsiaTheme="minorEastAsia" w:hAnsiTheme="minorEastAsia"/>
          <w:color w:val="000000" w:themeColor="text1"/>
        </w:rPr>
        <w:t>D</w:t>
      </w:r>
      <w:r w:rsidRPr="001C6480">
        <w:rPr>
          <w:rFonts w:asciiTheme="minorEastAsia" w:eastAsiaTheme="minorEastAsia" w:hAnsiTheme="minorEastAsia" w:hint="eastAsia"/>
          <w:color w:val="000000" w:themeColor="text1"/>
        </w:rPr>
        <w:t>为转出基金的对应赎回费率，</w:t>
      </w:r>
      <w:r w:rsidRPr="001C6480">
        <w:rPr>
          <w:rFonts w:asciiTheme="minorEastAsia" w:eastAsiaTheme="minorEastAsia" w:hAnsiTheme="minorEastAsia"/>
          <w:color w:val="000000" w:themeColor="text1"/>
        </w:rPr>
        <w:t>G</w:t>
      </w:r>
      <w:r w:rsidRPr="001C6480">
        <w:rPr>
          <w:rFonts w:asciiTheme="minorEastAsia" w:eastAsiaTheme="minorEastAsia" w:hAnsiTheme="minorEastAsia" w:hint="eastAsia"/>
          <w:color w:val="000000" w:themeColor="text1"/>
        </w:rPr>
        <w:t>为对应的申购补差费率；</w:t>
      </w:r>
      <w:r w:rsidRPr="001C6480">
        <w:rPr>
          <w:rFonts w:asciiTheme="minorEastAsia" w:eastAsiaTheme="minorEastAsia" w:hAnsiTheme="minorEastAsia"/>
          <w:color w:val="000000" w:themeColor="text1"/>
        </w:rPr>
        <w:t>E</w:t>
      </w:r>
      <w:r w:rsidRPr="001C6480">
        <w:rPr>
          <w:rFonts w:asciiTheme="minorEastAsia" w:eastAsiaTheme="minorEastAsia" w:hAnsiTheme="minorEastAsia" w:hint="eastAsia"/>
          <w:color w:val="000000" w:themeColor="text1"/>
        </w:rPr>
        <w:t>为转换申请当日转入基金的基金份额净值；</w:t>
      </w:r>
      <w:r w:rsidRPr="001C6480" w:rsidR="00F46C32">
        <w:rPr>
          <w:rFonts w:asciiTheme="minorEastAsia" w:eastAsiaTheme="minorEastAsia" w:hAnsiTheme="minorEastAsia" w:cs="宋体" w:hint="eastAsia"/>
          <w:color w:val="000000" w:themeColor="text1"/>
          <w:kern w:val="0"/>
          <w:szCs w:val="21"/>
        </w:rPr>
        <w:t>F为货币市场基金全部转出时注册登记机构已支付的未付收益</w:t>
      </w:r>
      <w:r w:rsidRPr="001C6480">
        <w:rPr>
          <w:rFonts w:asciiTheme="minorEastAsia" w:eastAsiaTheme="minorEastAsia" w:hAnsiTheme="minorEastAsia" w:hint="eastAsia"/>
          <w:color w:val="000000" w:themeColor="text1"/>
        </w:rPr>
        <w:t>；H为转出基金赎回费；J为申购补差费。</w:t>
      </w:r>
    </w:p>
    <w:p w:rsidR="00F46C32" w:rsidRPr="001C6480" w:rsidP="00FB0EBA">
      <w:pPr>
        <w:snapToGrid w:val="0"/>
        <w:spacing w:line="360" w:lineRule="auto"/>
        <w:ind w:firstLine="482"/>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1C7E9C" w:rsidRPr="001C6480" w:rsidP="00F71D3B">
      <w:pPr>
        <w:snapToGrid w:val="0"/>
        <w:spacing w:line="360" w:lineRule="auto"/>
        <w:ind w:firstLine="482"/>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说明：</w:t>
      </w:r>
    </w:p>
    <w:p w:rsidR="001C7E9C" w:rsidRPr="001C6480" w:rsidP="00F71D3B">
      <w:pPr>
        <w:snapToGrid w:val="0"/>
        <w:spacing w:line="360" w:lineRule="auto"/>
        <w:ind w:firstLine="482"/>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w:t>
      </w:r>
      <w:r w:rsidRPr="001C6480" w:rsidR="008F1AE4">
        <w:rPr>
          <w:rFonts w:asciiTheme="minorEastAsia" w:eastAsiaTheme="minorEastAsia" w:hAnsiTheme="minorEastAsia" w:hint="eastAsia"/>
          <w:color w:val="000000" w:themeColor="text1"/>
        </w:rPr>
        <w:t>、</w:t>
      </w:r>
      <w:r w:rsidRPr="001C6480">
        <w:rPr>
          <w:rFonts w:asciiTheme="minorEastAsia" w:eastAsiaTheme="minorEastAsia" w:hAnsiTheme="minorEastAsia" w:hint="eastAsia"/>
          <w:color w:val="000000" w:themeColor="text1"/>
        </w:rPr>
        <w:t>基金转换费用由转出基金赎回费用及基金申购补差费用构成。</w:t>
      </w:r>
    </w:p>
    <w:p w:rsidR="001C7E9C" w:rsidRPr="001C6480" w:rsidP="00F71D3B">
      <w:pPr>
        <w:snapToGrid w:val="0"/>
        <w:spacing w:line="360" w:lineRule="auto"/>
        <w:ind w:firstLine="482"/>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w:t>
      </w:r>
      <w:r w:rsidRPr="001C6480" w:rsidR="008F1AE4">
        <w:rPr>
          <w:rFonts w:asciiTheme="minorEastAsia" w:eastAsiaTheme="minorEastAsia" w:hAnsiTheme="minorEastAsia" w:hint="eastAsia"/>
          <w:color w:val="000000" w:themeColor="text1"/>
        </w:rPr>
        <w:t>、</w:t>
      </w:r>
      <w:r w:rsidRPr="001C6480">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不收取申购补差费用</w:t>
      </w:r>
      <w:r w:rsidRPr="001C6480" w:rsidR="00C174DD">
        <w:rPr>
          <w:rFonts w:asciiTheme="minorEastAsia" w:eastAsiaTheme="minorEastAsia" w:hAnsiTheme="minorEastAsia" w:hint="eastAsia"/>
          <w:color w:val="000000" w:themeColor="text1"/>
        </w:rPr>
        <w:t>（</w:t>
      </w:r>
      <w:r w:rsidRPr="001C6480" w:rsidR="005D6D62">
        <w:rPr>
          <w:rFonts w:asciiTheme="minorEastAsia" w:eastAsiaTheme="minorEastAsia" w:hAnsiTheme="minorEastAsia" w:hint="eastAsia"/>
          <w:color w:val="000000" w:themeColor="text1"/>
        </w:rPr>
        <w:t>注：对通过直销中心申购实施差别申购费率的投资群体基金份额的申购费，以除上述投资群体之外的其他投资者申购费为比较标准</w:t>
      </w:r>
      <w:r w:rsidRPr="001C6480" w:rsidR="00C174DD">
        <w:rPr>
          <w:rFonts w:asciiTheme="minorEastAsia" w:eastAsiaTheme="minorEastAsia" w:hAnsiTheme="minorEastAsia" w:hint="eastAsia"/>
          <w:color w:val="000000" w:themeColor="text1"/>
        </w:rPr>
        <w:t>）</w:t>
      </w:r>
      <w:r w:rsidRPr="001C6480">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1C7E9C" w:rsidRPr="001C6480" w:rsidP="00F71D3B">
      <w:pPr>
        <w:snapToGrid w:val="0"/>
        <w:spacing w:line="360" w:lineRule="auto"/>
        <w:ind w:firstLine="482"/>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3、转出基金时，如涉及的转出基金有赎回费用，收取该基金的赎回费用。收取的赎回费按照</w:t>
      </w:r>
      <w:r w:rsidRPr="001C6480" w:rsidR="003E5700">
        <w:rPr>
          <w:rFonts w:asciiTheme="minorEastAsia" w:eastAsiaTheme="minorEastAsia" w:hAnsiTheme="minorEastAsia" w:hint="eastAsia"/>
          <w:color w:val="000000" w:themeColor="text1"/>
        </w:rPr>
        <w:t>各基金</w:t>
      </w:r>
      <w:r w:rsidRPr="001C6480" w:rsidR="003E5700">
        <w:rPr>
          <w:rFonts w:asciiTheme="minorEastAsia" w:eastAsiaTheme="minorEastAsia" w:hAnsiTheme="minorEastAsia"/>
          <w:color w:val="000000" w:themeColor="text1"/>
        </w:rPr>
        <w:t>的</w:t>
      </w:r>
      <w:r w:rsidRPr="001C6480">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p>
    <w:p w:rsidR="001C7E9C" w:rsidRPr="001C6480" w:rsidP="00F71D3B">
      <w:pPr>
        <w:snapToGrid w:val="0"/>
        <w:spacing w:line="360" w:lineRule="auto"/>
        <w:ind w:firstLine="482"/>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4、投资者可以发起多次基金转换业务，基金转换费用按每笔申请单独计算。转换费用以人民币元为单位，计算结果按照四舍五入方法，保留小数点后两位。</w:t>
      </w:r>
    </w:p>
    <w:p w:rsidR="001C7E9C" w:rsidRPr="001C6480" w:rsidP="00F71D3B">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举例说明</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假定某投资者</w:t>
      </w:r>
      <w:r w:rsidRPr="001C6480" w:rsidR="005D6D62">
        <w:rPr>
          <w:rFonts w:asciiTheme="minorEastAsia" w:eastAsiaTheme="minorEastAsia" w:hAnsiTheme="minorEastAsia" w:hint="eastAsia"/>
          <w:color w:val="000000" w:themeColor="text1"/>
        </w:rPr>
        <w:t>（其他投资者）</w:t>
      </w:r>
      <w:r w:rsidRPr="001C6480">
        <w:rPr>
          <w:rFonts w:asciiTheme="minorEastAsia" w:eastAsiaTheme="minorEastAsia" w:hAnsiTheme="minorEastAsia" w:hint="eastAsia"/>
          <w:color w:val="000000" w:themeColor="text1"/>
        </w:rPr>
        <w:t>在T日转出10,000份本基金至</w:t>
      </w:r>
      <w:r w:rsidRPr="001C6480">
        <w:rPr>
          <w:rFonts w:asciiTheme="minorEastAsia" w:eastAsiaTheme="minorEastAsia" w:hAnsiTheme="minorEastAsia"/>
          <w:color w:val="000000" w:themeColor="text1"/>
        </w:rPr>
        <w:t>易方达策略成长二号混合型基金</w:t>
      </w:r>
      <w:r w:rsidRPr="001C6480">
        <w:rPr>
          <w:rFonts w:asciiTheme="minorEastAsia" w:eastAsiaTheme="minorEastAsia" w:hAnsiTheme="minorEastAsia" w:hint="eastAsia"/>
          <w:color w:val="000000" w:themeColor="text1"/>
        </w:rPr>
        <w:t>份额，转出基金T日的基金份额净值为1.1000元，转入</w:t>
      </w:r>
      <w:r w:rsidRPr="001C6480">
        <w:rPr>
          <w:rFonts w:asciiTheme="minorEastAsia" w:eastAsiaTheme="minorEastAsia" w:hAnsiTheme="minorEastAsia"/>
          <w:color w:val="000000" w:themeColor="text1"/>
        </w:rPr>
        <w:t>易方达策略成长二号混合型基金</w:t>
      </w:r>
      <w:r w:rsidRPr="001C6480">
        <w:rPr>
          <w:rFonts w:asciiTheme="minorEastAsia" w:eastAsiaTheme="minorEastAsia" w:hAnsiTheme="minorEastAsia" w:hint="eastAsia"/>
          <w:color w:val="000000" w:themeColor="text1"/>
        </w:rPr>
        <w:t>T日的基金份额净值为1.020</w:t>
      </w:r>
      <w:r w:rsidRPr="001C6480" w:rsidR="00B2514D">
        <w:rPr>
          <w:rFonts w:asciiTheme="minorEastAsia" w:eastAsiaTheme="minorEastAsia" w:hAnsiTheme="minorEastAsia" w:hint="eastAsia"/>
          <w:color w:val="000000" w:themeColor="text1"/>
        </w:rPr>
        <w:t>0</w:t>
      </w:r>
      <w:r w:rsidRPr="001C6480">
        <w:rPr>
          <w:rFonts w:asciiTheme="minorEastAsia" w:eastAsiaTheme="minorEastAsia" w:hAnsiTheme="minorEastAsia" w:hint="eastAsia"/>
          <w:color w:val="000000" w:themeColor="text1"/>
        </w:rPr>
        <w:t>元，假设该转出基金的赎回费率为0.5%，申购补差费率为0.</w:t>
      </w:r>
      <w:r w:rsidRPr="001C6480" w:rsidR="00853B92">
        <w:rPr>
          <w:rFonts w:asciiTheme="minorEastAsia" w:eastAsiaTheme="minorEastAsia" w:hAnsiTheme="minorEastAsia" w:hint="eastAsia"/>
          <w:color w:val="000000" w:themeColor="text1"/>
        </w:rPr>
        <w:t>5</w:t>
      </w:r>
      <w:r w:rsidRPr="001C6480">
        <w:rPr>
          <w:rFonts w:asciiTheme="minorEastAsia" w:eastAsiaTheme="minorEastAsia" w:hAnsiTheme="minorEastAsia" w:hint="eastAsia"/>
          <w:color w:val="000000" w:themeColor="text1"/>
        </w:rPr>
        <w:t>%，则可获得转入基金的</w:t>
      </w:r>
      <w:r w:rsidRPr="001C6480">
        <w:rPr>
          <w:rFonts w:asciiTheme="minorEastAsia" w:eastAsiaTheme="minorEastAsia" w:hAnsiTheme="minorEastAsia"/>
          <w:color w:val="000000" w:themeColor="text1"/>
        </w:rPr>
        <w:t>易方达策略成长二号混合型基金</w:t>
      </w:r>
      <w:r w:rsidRPr="001C6480">
        <w:rPr>
          <w:rFonts w:asciiTheme="minorEastAsia" w:eastAsiaTheme="minorEastAsia" w:hAnsiTheme="minorEastAsia" w:hint="eastAsia"/>
          <w:color w:val="000000" w:themeColor="text1"/>
        </w:rPr>
        <w:t>基金份额计算如下：</w:t>
      </w:r>
    </w:p>
    <w:p w:rsidR="001C7E9C" w:rsidRPr="001C6480" w:rsidP="00F71D3B">
      <w:pPr>
        <w:snapToGrid w:val="0"/>
        <w:spacing w:line="360" w:lineRule="auto"/>
        <w:ind w:firstLine="420"/>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转换</w:t>
      </w:r>
      <w:r w:rsidRPr="001C6480">
        <w:rPr>
          <w:rFonts w:asciiTheme="minorEastAsia" w:eastAsiaTheme="minorEastAsia" w:hAnsiTheme="minorEastAsia"/>
          <w:color w:val="000000" w:themeColor="text1"/>
          <w:szCs w:val="20"/>
        </w:rPr>
        <w:t>金额＝转出基金申请份额×转出基金份额净值=10</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color w:val="000000" w:themeColor="text1"/>
          <w:szCs w:val="20"/>
        </w:rPr>
        <w:t>000×1</w:t>
      </w:r>
      <w:r w:rsidRPr="001C6480">
        <w:rPr>
          <w:rFonts w:asciiTheme="minorEastAsia" w:eastAsiaTheme="minorEastAsia" w:hAnsiTheme="minorEastAsia" w:hint="eastAsia"/>
          <w:color w:val="000000" w:themeColor="text1"/>
          <w:szCs w:val="20"/>
        </w:rPr>
        <w:t>.1000</w:t>
      </w:r>
      <w:r w:rsidRPr="001C6480">
        <w:rPr>
          <w:rFonts w:asciiTheme="minorEastAsia" w:eastAsiaTheme="minorEastAsia" w:hAnsiTheme="minorEastAsia"/>
          <w:color w:val="000000" w:themeColor="text1"/>
          <w:szCs w:val="20"/>
        </w:rPr>
        <w:t>＝1</w:t>
      </w:r>
      <w:r w:rsidRPr="001C6480">
        <w:rPr>
          <w:rFonts w:asciiTheme="minorEastAsia" w:eastAsiaTheme="minorEastAsia" w:hAnsiTheme="minorEastAsia" w:hint="eastAsia"/>
          <w:color w:val="000000" w:themeColor="text1"/>
          <w:szCs w:val="20"/>
        </w:rPr>
        <w:t>1,</w:t>
      </w:r>
      <w:r w:rsidRPr="001C6480">
        <w:rPr>
          <w:rFonts w:asciiTheme="minorEastAsia" w:eastAsiaTheme="minorEastAsia" w:hAnsiTheme="minorEastAsia"/>
          <w:color w:val="000000" w:themeColor="text1"/>
          <w:szCs w:val="20"/>
        </w:rPr>
        <w:t>000</w:t>
      </w:r>
      <w:r w:rsidRPr="001C6480">
        <w:rPr>
          <w:rFonts w:asciiTheme="minorEastAsia" w:eastAsiaTheme="minorEastAsia" w:hAnsiTheme="minorEastAsia" w:hint="eastAsia"/>
          <w:color w:val="000000" w:themeColor="text1"/>
          <w:szCs w:val="20"/>
        </w:rPr>
        <w:t>.00</w:t>
      </w:r>
      <w:r w:rsidRPr="001C6480">
        <w:rPr>
          <w:rFonts w:asciiTheme="minorEastAsia" w:eastAsiaTheme="minorEastAsia" w:hAnsiTheme="minorEastAsia"/>
          <w:color w:val="000000" w:themeColor="text1"/>
          <w:szCs w:val="20"/>
        </w:rPr>
        <w:t>元</w:t>
      </w:r>
    </w:p>
    <w:p w:rsidR="001C7E9C" w:rsidRPr="001C6480" w:rsidP="00F71D3B">
      <w:pPr>
        <w:snapToGrid w:val="0"/>
        <w:spacing w:line="360" w:lineRule="auto"/>
        <w:ind w:firstLine="420"/>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转出基金</w:t>
      </w:r>
      <w:r w:rsidRPr="001C6480">
        <w:rPr>
          <w:rFonts w:asciiTheme="minorEastAsia" w:eastAsiaTheme="minorEastAsia" w:hAnsiTheme="minorEastAsia"/>
          <w:color w:val="000000" w:themeColor="text1"/>
          <w:szCs w:val="20"/>
        </w:rPr>
        <w:t>赎回费＝</w:t>
      </w:r>
      <w:r w:rsidRPr="001C6480">
        <w:rPr>
          <w:rFonts w:asciiTheme="minorEastAsia" w:eastAsiaTheme="minorEastAsia" w:hAnsiTheme="minorEastAsia" w:hint="eastAsia"/>
          <w:color w:val="000000" w:themeColor="text1"/>
          <w:szCs w:val="20"/>
        </w:rPr>
        <w:t>转换</w:t>
      </w:r>
      <w:r w:rsidRPr="001C6480">
        <w:rPr>
          <w:rFonts w:asciiTheme="minorEastAsia" w:eastAsiaTheme="minorEastAsia" w:hAnsiTheme="minorEastAsia"/>
          <w:color w:val="000000" w:themeColor="text1"/>
          <w:szCs w:val="20"/>
        </w:rPr>
        <w:t>金额×</w:t>
      </w:r>
      <w:r w:rsidRPr="001C6480">
        <w:rPr>
          <w:rFonts w:asciiTheme="minorEastAsia" w:eastAsiaTheme="minorEastAsia" w:hAnsiTheme="minorEastAsia" w:hint="eastAsia"/>
          <w:color w:val="000000" w:themeColor="text1"/>
          <w:szCs w:val="20"/>
        </w:rPr>
        <w:t>转出基金</w:t>
      </w:r>
      <w:r w:rsidRPr="001C6480">
        <w:rPr>
          <w:rFonts w:asciiTheme="minorEastAsia" w:eastAsiaTheme="minorEastAsia" w:hAnsiTheme="minorEastAsia"/>
          <w:color w:val="000000" w:themeColor="text1"/>
          <w:szCs w:val="20"/>
        </w:rPr>
        <w:t>赎回费率</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color w:val="000000" w:themeColor="text1"/>
          <w:szCs w:val="20"/>
        </w:rPr>
        <w:t>1</w:t>
      </w:r>
      <w:r w:rsidRPr="001C6480">
        <w:rPr>
          <w:rFonts w:asciiTheme="minorEastAsia" w:eastAsiaTheme="minorEastAsia" w:hAnsiTheme="minorEastAsia" w:hint="eastAsia"/>
          <w:color w:val="000000" w:themeColor="text1"/>
          <w:szCs w:val="20"/>
        </w:rPr>
        <w:t>1,</w:t>
      </w:r>
      <w:r w:rsidRPr="001C6480">
        <w:rPr>
          <w:rFonts w:asciiTheme="minorEastAsia" w:eastAsiaTheme="minorEastAsia" w:hAnsiTheme="minorEastAsia"/>
          <w:color w:val="000000" w:themeColor="text1"/>
          <w:szCs w:val="20"/>
        </w:rPr>
        <w:t>000</w:t>
      </w:r>
      <w:r w:rsidRPr="001C6480">
        <w:rPr>
          <w:rFonts w:asciiTheme="minorEastAsia" w:eastAsiaTheme="minorEastAsia" w:hAnsiTheme="minorEastAsia" w:hint="eastAsia"/>
          <w:color w:val="000000" w:themeColor="text1"/>
          <w:szCs w:val="20"/>
        </w:rPr>
        <w:t>.00</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szCs w:val="20"/>
        </w:rPr>
        <w:t>0.5%=55.00元</w:t>
      </w:r>
    </w:p>
    <w:p w:rsidR="001C7E9C" w:rsidRPr="001C6480" w:rsidP="00F71D3B">
      <w:pPr>
        <w:snapToGrid w:val="0"/>
        <w:spacing w:line="360" w:lineRule="auto"/>
        <w:ind w:firstLine="420"/>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申购</w:t>
      </w:r>
      <w:r w:rsidRPr="001C6480">
        <w:rPr>
          <w:rFonts w:asciiTheme="minorEastAsia" w:eastAsiaTheme="minorEastAsia" w:hAnsiTheme="minorEastAsia"/>
          <w:color w:val="000000" w:themeColor="text1"/>
          <w:szCs w:val="20"/>
        </w:rPr>
        <w:t>补差费</w:t>
      </w:r>
      <w:r w:rsidRPr="001C6480">
        <w:rPr>
          <w:rFonts w:asciiTheme="minorEastAsia" w:eastAsiaTheme="minorEastAsia" w:hAnsiTheme="minorEastAsia" w:hint="eastAsia"/>
          <w:color w:val="000000" w:themeColor="text1"/>
          <w:szCs w:val="20"/>
        </w:rPr>
        <w:t>=（转换</w:t>
      </w:r>
      <w:r w:rsidRPr="001C6480">
        <w:rPr>
          <w:rFonts w:asciiTheme="minorEastAsia" w:eastAsiaTheme="minorEastAsia" w:hAnsiTheme="minorEastAsia"/>
          <w:color w:val="000000" w:themeColor="text1"/>
          <w:szCs w:val="20"/>
        </w:rPr>
        <w:t>金额</w:t>
      </w:r>
      <w:r w:rsidRPr="001C6480">
        <w:rPr>
          <w:rFonts w:asciiTheme="minorEastAsia" w:eastAsiaTheme="minorEastAsia" w:hAnsiTheme="minorEastAsia" w:hint="eastAsia"/>
          <w:color w:val="000000" w:themeColor="text1"/>
          <w:szCs w:val="20"/>
        </w:rPr>
        <w:t>—转出基金</w:t>
      </w:r>
      <w:r w:rsidRPr="001C6480">
        <w:rPr>
          <w:rFonts w:asciiTheme="minorEastAsia" w:eastAsiaTheme="minorEastAsia" w:hAnsiTheme="minorEastAsia"/>
          <w:color w:val="000000" w:themeColor="text1"/>
          <w:szCs w:val="20"/>
        </w:rPr>
        <w:t>赎回费</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szCs w:val="20"/>
        </w:rPr>
        <w:t>申购</w:t>
      </w:r>
      <w:r w:rsidRPr="001C6480">
        <w:rPr>
          <w:rFonts w:asciiTheme="minorEastAsia" w:eastAsiaTheme="minorEastAsia" w:hAnsiTheme="minorEastAsia"/>
          <w:color w:val="000000" w:themeColor="text1"/>
          <w:szCs w:val="20"/>
        </w:rPr>
        <w:t>补差费率÷（</w:t>
      </w:r>
      <w:r w:rsidRPr="001C6480" w:rsidR="00726B4E">
        <w:rPr>
          <w:rFonts w:asciiTheme="minorEastAsia" w:eastAsiaTheme="minorEastAsia" w:hAnsiTheme="minorEastAsia" w:hint="eastAsia"/>
          <w:color w:val="000000" w:themeColor="text1"/>
          <w:szCs w:val="20"/>
        </w:rPr>
        <w:t>1</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szCs w:val="20"/>
        </w:rPr>
        <w:t>申购</w:t>
      </w:r>
      <w:r w:rsidRPr="001C6480">
        <w:rPr>
          <w:rFonts w:asciiTheme="minorEastAsia" w:eastAsiaTheme="minorEastAsia" w:hAnsiTheme="minorEastAsia"/>
          <w:color w:val="000000" w:themeColor="text1"/>
          <w:szCs w:val="20"/>
        </w:rPr>
        <w:t>补差费率）</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color w:val="000000" w:themeColor="text1"/>
          <w:szCs w:val="20"/>
        </w:rPr>
        <w:t>1</w:t>
      </w:r>
      <w:r w:rsidRPr="001C6480">
        <w:rPr>
          <w:rFonts w:asciiTheme="minorEastAsia" w:eastAsiaTheme="minorEastAsia" w:hAnsiTheme="minorEastAsia" w:hint="eastAsia"/>
          <w:color w:val="000000" w:themeColor="text1"/>
          <w:szCs w:val="20"/>
        </w:rPr>
        <w:t>1,</w:t>
      </w:r>
      <w:r w:rsidRPr="001C6480">
        <w:rPr>
          <w:rFonts w:asciiTheme="minorEastAsia" w:eastAsiaTheme="minorEastAsia" w:hAnsiTheme="minorEastAsia"/>
          <w:color w:val="000000" w:themeColor="text1"/>
          <w:szCs w:val="20"/>
        </w:rPr>
        <w:t>000</w:t>
      </w:r>
      <w:r w:rsidRPr="001C6480">
        <w:rPr>
          <w:rFonts w:asciiTheme="minorEastAsia" w:eastAsiaTheme="minorEastAsia" w:hAnsiTheme="minorEastAsia" w:hint="eastAsia"/>
          <w:color w:val="000000" w:themeColor="text1"/>
          <w:szCs w:val="20"/>
        </w:rPr>
        <w:t>.00-55.00）</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szCs w:val="20"/>
        </w:rPr>
        <w:t>0.</w:t>
      </w:r>
      <w:r w:rsidRPr="001C6480" w:rsidR="00853B92">
        <w:rPr>
          <w:rFonts w:asciiTheme="minorEastAsia" w:eastAsiaTheme="minorEastAsia" w:hAnsiTheme="minorEastAsia" w:hint="eastAsia"/>
          <w:color w:val="000000" w:themeColor="text1"/>
        </w:rPr>
        <w:t>5</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szCs w:val="20"/>
        </w:rPr>
        <w:t>(1+0.</w:t>
      </w:r>
      <w:r w:rsidRPr="001C6480" w:rsidR="00853B92">
        <w:rPr>
          <w:rFonts w:asciiTheme="minorEastAsia" w:eastAsiaTheme="minorEastAsia" w:hAnsiTheme="minorEastAsia" w:hint="eastAsia"/>
          <w:color w:val="000000" w:themeColor="text1"/>
        </w:rPr>
        <w:t>5</w:t>
      </w:r>
      <w:r w:rsidRPr="001C6480">
        <w:rPr>
          <w:rFonts w:asciiTheme="minorEastAsia" w:eastAsiaTheme="minorEastAsia" w:hAnsiTheme="minorEastAsia" w:hint="eastAsia"/>
          <w:color w:val="000000" w:themeColor="text1"/>
          <w:szCs w:val="20"/>
        </w:rPr>
        <w:t>%)=</w:t>
      </w:r>
      <w:r w:rsidRPr="001C6480" w:rsidR="005F2BDB">
        <w:rPr>
          <w:rFonts w:asciiTheme="minorEastAsia" w:eastAsiaTheme="minorEastAsia" w:hAnsiTheme="minorEastAsia" w:hint="eastAsia"/>
          <w:color w:val="000000" w:themeColor="text1"/>
        </w:rPr>
        <w:t>54.45</w:t>
      </w:r>
      <w:r w:rsidRPr="001C6480">
        <w:rPr>
          <w:rFonts w:asciiTheme="minorEastAsia" w:eastAsiaTheme="minorEastAsia" w:hAnsiTheme="minorEastAsia" w:hint="eastAsia"/>
          <w:color w:val="000000" w:themeColor="text1"/>
          <w:szCs w:val="20"/>
        </w:rPr>
        <w:t>元</w:t>
      </w:r>
    </w:p>
    <w:p w:rsidR="001C7E9C" w:rsidRPr="001C6480" w:rsidP="00F71D3B">
      <w:pPr>
        <w:snapToGrid w:val="0"/>
        <w:spacing w:line="360" w:lineRule="auto"/>
        <w:ind w:firstLine="420"/>
        <w:rPr>
          <w:rFonts w:asciiTheme="minorEastAsia" w:eastAsiaTheme="minorEastAsia" w:hAnsiTheme="minorEastAsia"/>
          <w:color w:val="000000" w:themeColor="text1"/>
          <w:szCs w:val="20"/>
        </w:rPr>
      </w:pPr>
      <w:r w:rsidRPr="001C6480">
        <w:rPr>
          <w:rFonts w:asciiTheme="minorEastAsia" w:eastAsiaTheme="minorEastAsia" w:hAnsiTheme="minorEastAsia"/>
          <w:color w:val="000000" w:themeColor="text1"/>
          <w:szCs w:val="20"/>
        </w:rPr>
        <w:t>转换费＝转出基金赎回费+申购补差费=</w:t>
      </w:r>
      <w:r w:rsidRPr="001C6480">
        <w:rPr>
          <w:rFonts w:asciiTheme="minorEastAsia" w:eastAsiaTheme="minorEastAsia" w:hAnsiTheme="minorEastAsia" w:hint="eastAsia"/>
          <w:color w:val="000000" w:themeColor="text1"/>
          <w:szCs w:val="20"/>
        </w:rPr>
        <w:t>55.00</w:t>
      </w:r>
      <w:r w:rsidRPr="001C6480">
        <w:rPr>
          <w:rFonts w:asciiTheme="minorEastAsia" w:eastAsiaTheme="minorEastAsia" w:hAnsiTheme="minorEastAsia"/>
          <w:color w:val="000000" w:themeColor="text1"/>
          <w:szCs w:val="20"/>
        </w:rPr>
        <w:t>+</w:t>
      </w:r>
      <w:r w:rsidRPr="001C6480" w:rsidR="005F2BDB">
        <w:rPr>
          <w:rFonts w:asciiTheme="minorEastAsia" w:eastAsiaTheme="minorEastAsia" w:hAnsiTheme="minorEastAsia" w:hint="eastAsia"/>
          <w:color w:val="000000" w:themeColor="text1"/>
        </w:rPr>
        <w:t>54.45</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rPr>
        <w:t>1</w:t>
      </w:r>
      <w:r w:rsidRPr="001C6480" w:rsidR="005F2BDB">
        <w:rPr>
          <w:rFonts w:asciiTheme="minorEastAsia" w:eastAsiaTheme="minorEastAsia" w:hAnsiTheme="minorEastAsia" w:hint="eastAsia"/>
          <w:color w:val="000000" w:themeColor="text1"/>
        </w:rPr>
        <w:t>09.45</w:t>
      </w:r>
      <w:r w:rsidRPr="001C6480">
        <w:rPr>
          <w:rFonts w:asciiTheme="minorEastAsia" w:eastAsiaTheme="minorEastAsia" w:hAnsiTheme="minorEastAsia" w:hint="eastAsia"/>
          <w:color w:val="000000" w:themeColor="text1"/>
          <w:szCs w:val="20"/>
        </w:rPr>
        <w:t>元</w:t>
      </w:r>
    </w:p>
    <w:p w:rsidR="001C7E9C" w:rsidRPr="001C6480" w:rsidP="00F71D3B">
      <w:pPr>
        <w:snapToGrid w:val="0"/>
        <w:spacing w:line="360" w:lineRule="auto"/>
        <w:ind w:firstLine="420"/>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转入金额=转换</w:t>
      </w:r>
      <w:r w:rsidRPr="001C6480">
        <w:rPr>
          <w:rFonts w:asciiTheme="minorEastAsia" w:eastAsiaTheme="minorEastAsia" w:hAnsiTheme="minorEastAsia"/>
          <w:color w:val="000000" w:themeColor="text1"/>
          <w:szCs w:val="20"/>
        </w:rPr>
        <w:t>金额</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color w:val="000000" w:themeColor="text1"/>
          <w:szCs w:val="20"/>
        </w:rPr>
        <w:t>转换费</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color w:val="000000" w:themeColor="text1"/>
          <w:szCs w:val="20"/>
        </w:rPr>
        <w:t>1</w:t>
      </w:r>
      <w:r w:rsidRPr="001C6480">
        <w:rPr>
          <w:rFonts w:asciiTheme="minorEastAsia" w:eastAsiaTheme="minorEastAsia" w:hAnsiTheme="minorEastAsia" w:hint="eastAsia"/>
          <w:color w:val="000000" w:themeColor="text1"/>
          <w:szCs w:val="20"/>
        </w:rPr>
        <w:t>1</w:t>
      </w: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szCs w:val="20"/>
        </w:rPr>
        <w:t>000</w:t>
      </w:r>
      <w:r w:rsidRPr="001C6480">
        <w:rPr>
          <w:rFonts w:asciiTheme="minorEastAsia" w:eastAsiaTheme="minorEastAsia" w:hAnsiTheme="minorEastAsia" w:hint="eastAsia"/>
          <w:color w:val="000000" w:themeColor="text1"/>
          <w:szCs w:val="20"/>
        </w:rPr>
        <w:t>.00</w:t>
      </w:r>
      <w:r w:rsidRPr="001C6480">
        <w:rPr>
          <w:rFonts w:asciiTheme="minorEastAsia" w:eastAsiaTheme="minorEastAsia" w:hAnsiTheme="minorEastAsia" w:hint="eastAsia"/>
          <w:color w:val="000000" w:themeColor="text1"/>
        </w:rPr>
        <w:t>-</w:t>
      </w:r>
      <w:r w:rsidRPr="001C6480" w:rsidR="005F2BDB">
        <w:rPr>
          <w:rFonts w:asciiTheme="minorEastAsia" w:eastAsiaTheme="minorEastAsia" w:hAnsiTheme="minorEastAsia" w:hint="eastAsia"/>
          <w:color w:val="000000" w:themeColor="text1"/>
        </w:rPr>
        <w:t>109.45</w:t>
      </w:r>
      <w:r w:rsidRPr="001C6480">
        <w:rPr>
          <w:rFonts w:asciiTheme="minorEastAsia" w:eastAsiaTheme="minorEastAsia" w:hAnsiTheme="minorEastAsia" w:hint="eastAsia"/>
          <w:color w:val="000000" w:themeColor="text1"/>
          <w:szCs w:val="20"/>
        </w:rPr>
        <w:t>=10,</w:t>
      </w:r>
      <w:r w:rsidRPr="001C6480" w:rsidR="005F2BDB">
        <w:rPr>
          <w:rFonts w:asciiTheme="minorEastAsia" w:eastAsiaTheme="minorEastAsia" w:hAnsiTheme="minorEastAsia" w:hint="eastAsia"/>
          <w:color w:val="000000" w:themeColor="text1"/>
          <w:szCs w:val="20"/>
        </w:rPr>
        <w:t>890</w:t>
      </w:r>
      <w:r w:rsidRPr="001C6480">
        <w:rPr>
          <w:rFonts w:asciiTheme="minorEastAsia" w:eastAsiaTheme="minorEastAsia" w:hAnsiTheme="minorEastAsia" w:hint="eastAsia"/>
          <w:color w:val="000000" w:themeColor="text1"/>
          <w:szCs w:val="20"/>
        </w:rPr>
        <w:t>.</w:t>
      </w:r>
      <w:r w:rsidRPr="001C6480" w:rsidR="005F2BDB">
        <w:rPr>
          <w:rFonts w:asciiTheme="minorEastAsia" w:eastAsiaTheme="minorEastAsia" w:hAnsiTheme="minorEastAsia" w:hint="eastAsia"/>
          <w:color w:val="000000" w:themeColor="text1"/>
        </w:rPr>
        <w:t>55</w:t>
      </w:r>
      <w:r w:rsidRPr="001C6480">
        <w:rPr>
          <w:rFonts w:asciiTheme="minorEastAsia" w:eastAsiaTheme="minorEastAsia" w:hAnsiTheme="minorEastAsia" w:hint="eastAsia"/>
          <w:color w:val="000000" w:themeColor="text1"/>
          <w:szCs w:val="20"/>
        </w:rPr>
        <w:t>元</w:t>
      </w:r>
    </w:p>
    <w:p w:rsidR="001C7E9C" w:rsidRPr="001C6480" w:rsidP="00F71D3B">
      <w:pPr>
        <w:snapToGrid w:val="0"/>
        <w:spacing w:line="360" w:lineRule="auto"/>
        <w:ind w:firstLine="420"/>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转入份额=转入金额</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szCs w:val="20"/>
        </w:rPr>
        <w:t>转入基金份额净值=10,8</w:t>
      </w:r>
      <w:r w:rsidRPr="001C6480" w:rsidR="005F2BDB">
        <w:rPr>
          <w:rFonts w:asciiTheme="minorEastAsia" w:eastAsiaTheme="minorEastAsia" w:hAnsiTheme="minorEastAsia" w:hint="eastAsia"/>
          <w:color w:val="000000" w:themeColor="text1"/>
        </w:rPr>
        <w:t>90.55</w:t>
      </w:r>
      <w:r w:rsidRPr="001C6480">
        <w:rPr>
          <w:rFonts w:asciiTheme="minorEastAsia" w:eastAsiaTheme="minorEastAsia" w:hAnsiTheme="minorEastAsia"/>
          <w:color w:val="000000" w:themeColor="text1"/>
          <w:szCs w:val="20"/>
        </w:rPr>
        <w:t>÷</w:t>
      </w:r>
      <w:r w:rsidRPr="001C6480">
        <w:rPr>
          <w:rFonts w:asciiTheme="minorEastAsia" w:eastAsiaTheme="minorEastAsia" w:hAnsiTheme="minorEastAsia" w:hint="eastAsia"/>
          <w:color w:val="000000" w:themeColor="text1"/>
          <w:szCs w:val="20"/>
        </w:rPr>
        <w:t>1.020</w:t>
      </w:r>
      <w:r w:rsidRPr="001C6480" w:rsidR="00853B92">
        <w:rPr>
          <w:rFonts w:asciiTheme="minorEastAsia" w:eastAsiaTheme="minorEastAsia" w:hAnsiTheme="minorEastAsia" w:hint="eastAsia"/>
          <w:color w:val="000000" w:themeColor="text1"/>
          <w:szCs w:val="20"/>
        </w:rPr>
        <w:t>0</w:t>
      </w:r>
      <w:r w:rsidRPr="001C6480">
        <w:rPr>
          <w:rFonts w:asciiTheme="minorEastAsia" w:eastAsiaTheme="minorEastAsia" w:hAnsiTheme="minorEastAsia" w:hint="eastAsia"/>
          <w:color w:val="000000" w:themeColor="text1"/>
          <w:szCs w:val="20"/>
        </w:rPr>
        <w:t>=10,6</w:t>
      </w:r>
      <w:r w:rsidRPr="001C6480" w:rsidR="005F2BDB">
        <w:rPr>
          <w:rFonts w:asciiTheme="minorEastAsia" w:eastAsiaTheme="minorEastAsia" w:hAnsiTheme="minorEastAsia" w:hint="eastAsia"/>
          <w:color w:val="000000" w:themeColor="text1"/>
        </w:rPr>
        <w:t>77</w:t>
      </w:r>
      <w:r w:rsidRPr="001C6480">
        <w:rPr>
          <w:rFonts w:asciiTheme="minorEastAsia" w:eastAsiaTheme="minorEastAsia" w:hAnsiTheme="minorEastAsia" w:hint="eastAsia"/>
          <w:color w:val="000000" w:themeColor="text1"/>
          <w:szCs w:val="20"/>
        </w:rPr>
        <w:t>.</w:t>
      </w:r>
      <w:r w:rsidRPr="001C6480" w:rsidR="005F2BDB">
        <w:rPr>
          <w:rFonts w:asciiTheme="minorEastAsia" w:eastAsiaTheme="minorEastAsia" w:hAnsiTheme="minorEastAsia" w:hint="eastAsia"/>
          <w:color w:val="000000" w:themeColor="text1"/>
        </w:rPr>
        <w:t>01</w:t>
      </w:r>
      <w:r w:rsidRPr="001C6480">
        <w:rPr>
          <w:rFonts w:asciiTheme="minorEastAsia" w:eastAsiaTheme="minorEastAsia" w:hAnsiTheme="minorEastAsia" w:hint="eastAsia"/>
          <w:color w:val="000000" w:themeColor="text1"/>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260"/>
        <w:gridCol w:w="1080"/>
        <w:gridCol w:w="1440"/>
        <w:gridCol w:w="1185"/>
        <w:gridCol w:w="1335"/>
      </w:tblGrid>
      <w:tr w:rsidTr="00266534">
        <w:tblPrEx>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3"/>
        </w:trPr>
        <w:tc>
          <w:tcPr>
            <w:tcW w:w="1080" w:type="dxa"/>
            <w:vMerge w:val="restart"/>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转出</w:t>
            </w:r>
            <w:r w:rsidRPr="001C6480">
              <w:rPr>
                <w:rFonts w:asciiTheme="minorEastAsia" w:eastAsiaTheme="minorEastAsia" w:hAnsiTheme="minorEastAsia"/>
                <w:color w:val="000000" w:themeColor="text1"/>
                <w:szCs w:val="20"/>
              </w:rPr>
              <w:t>份额</w:t>
            </w:r>
          </w:p>
        </w:tc>
        <w:tc>
          <w:tcPr>
            <w:tcW w:w="900" w:type="dxa"/>
            <w:vMerge w:val="restart"/>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转出</w:t>
            </w:r>
            <w:r w:rsidRPr="001C6480">
              <w:rPr>
                <w:rFonts w:asciiTheme="minorEastAsia" w:eastAsiaTheme="minorEastAsia" w:hAnsiTheme="minorEastAsia"/>
                <w:color w:val="000000" w:themeColor="text1"/>
                <w:szCs w:val="20"/>
              </w:rPr>
              <w:t>基金</w:t>
            </w:r>
            <w:r w:rsidRPr="001C6480">
              <w:rPr>
                <w:rFonts w:asciiTheme="minorEastAsia" w:eastAsiaTheme="minorEastAsia" w:hAnsiTheme="minorEastAsia" w:hint="eastAsia"/>
                <w:color w:val="000000" w:themeColor="text1"/>
                <w:szCs w:val="20"/>
              </w:rPr>
              <w:t>份额</w:t>
            </w:r>
            <w:r w:rsidRPr="001C6480">
              <w:rPr>
                <w:rFonts w:asciiTheme="minorEastAsia" w:eastAsiaTheme="minorEastAsia" w:hAnsiTheme="minorEastAsia"/>
                <w:color w:val="000000" w:themeColor="text1"/>
                <w:szCs w:val="20"/>
              </w:rPr>
              <w:t>净值</w:t>
            </w:r>
          </w:p>
        </w:tc>
        <w:tc>
          <w:tcPr>
            <w:tcW w:w="1440" w:type="dxa"/>
            <w:vMerge w:val="restart"/>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转换金额</w:t>
            </w:r>
          </w:p>
        </w:tc>
        <w:tc>
          <w:tcPr>
            <w:tcW w:w="2340" w:type="dxa"/>
            <w:gridSpan w:val="2"/>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转换费</w:t>
            </w:r>
          </w:p>
        </w:tc>
        <w:tc>
          <w:tcPr>
            <w:tcW w:w="1440" w:type="dxa"/>
            <w:vMerge w:val="restart"/>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转入金额</w:t>
            </w:r>
          </w:p>
        </w:tc>
        <w:tc>
          <w:tcPr>
            <w:tcW w:w="1185" w:type="dxa"/>
            <w:vMerge w:val="restart"/>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转入</w:t>
            </w:r>
            <w:r w:rsidRPr="001C6480">
              <w:rPr>
                <w:rFonts w:asciiTheme="minorEastAsia" w:eastAsiaTheme="minorEastAsia" w:hAnsiTheme="minorEastAsia"/>
                <w:color w:val="000000" w:themeColor="text1"/>
                <w:szCs w:val="20"/>
              </w:rPr>
              <w:t>基金</w:t>
            </w:r>
            <w:r w:rsidRPr="001C6480">
              <w:rPr>
                <w:rFonts w:asciiTheme="minorEastAsia" w:eastAsiaTheme="minorEastAsia" w:hAnsiTheme="minorEastAsia" w:hint="eastAsia"/>
                <w:color w:val="000000" w:themeColor="text1"/>
                <w:szCs w:val="20"/>
              </w:rPr>
              <w:t>份额</w:t>
            </w:r>
            <w:r w:rsidRPr="001C6480">
              <w:rPr>
                <w:rFonts w:asciiTheme="minorEastAsia" w:eastAsiaTheme="minorEastAsia" w:hAnsiTheme="minorEastAsia"/>
                <w:color w:val="000000" w:themeColor="text1"/>
                <w:szCs w:val="20"/>
              </w:rPr>
              <w:t>净值</w:t>
            </w:r>
          </w:p>
        </w:tc>
        <w:tc>
          <w:tcPr>
            <w:tcW w:w="1335" w:type="dxa"/>
            <w:vMerge w:val="restart"/>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转入份额</w:t>
            </w:r>
          </w:p>
        </w:tc>
      </w:tr>
      <w:tr w:rsidTr="00266534">
        <w:tblPrEx>
          <w:tblW w:w="9720" w:type="dxa"/>
          <w:tblInd w:w="-612" w:type="dxa"/>
          <w:tblLayout w:type="fixed"/>
          <w:tblLook w:val="0000"/>
        </w:tblPrEx>
        <w:trPr>
          <w:trHeight w:val="412"/>
        </w:trPr>
        <w:tc>
          <w:tcPr>
            <w:tcW w:w="1080" w:type="dxa"/>
            <w:vMerge/>
          </w:tcPr>
          <w:p w:rsidR="001C7E9C" w:rsidRPr="001C6480" w:rsidP="00F71D3B">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1C7E9C" w:rsidRPr="001C6480" w:rsidP="00F71D3B">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1C7E9C" w:rsidRPr="001C6480" w:rsidP="00F71D3B">
            <w:pPr>
              <w:snapToGrid w:val="0"/>
              <w:spacing w:line="360" w:lineRule="auto"/>
              <w:ind w:firstLine="420"/>
              <w:rPr>
                <w:rFonts w:asciiTheme="minorEastAsia" w:eastAsiaTheme="minorEastAsia" w:hAnsiTheme="minorEastAsia"/>
                <w:color w:val="000000" w:themeColor="text1"/>
                <w:szCs w:val="20"/>
              </w:rPr>
            </w:pPr>
          </w:p>
        </w:tc>
        <w:tc>
          <w:tcPr>
            <w:tcW w:w="126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转出基金</w:t>
            </w:r>
            <w:r w:rsidRPr="001C6480">
              <w:rPr>
                <w:rFonts w:asciiTheme="minorEastAsia" w:eastAsiaTheme="minorEastAsia" w:hAnsiTheme="minorEastAsia"/>
                <w:color w:val="000000" w:themeColor="text1"/>
                <w:szCs w:val="20"/>
              </w:rPr>
              <w:t>赎回费</w:t>
            </w:r>
          </w:p>
        </w:tc>
        <w:tc>
          <w:tcPr>
            <w:tcW w:w="108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申购</w:t>
            </w:r>
            <w:r w:rsidRPr="001C6480">
              <w:rPr>
                <w:rFonts w:asciiTheme="minorEastAsia" w:eastAsiaTheme="minorEastAsia" w:hAnsiTheme="minorEastAsia"/>
                <w:color w:val="000000" w:themeColor="text1"/>
                <w:szCs w:val="20"/>
              </w:rPr>
              <w:t>补差费</w:t>
            </w:r>
          </w:p>
        </w:tc>
        <w:tc>
          <w:tcPr>
            <w:tcW w:w="1440" w:type="dxa"/>
            <w:vMerge/>
          </w:tcPr>
          <w:p w:rsidR="001C7E9C" w:rsidRPr="001C6480" w:rsidP="00F71D3B">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1C7E9C" w:rsidRPr="001C6480" w:rsidP="00F71D3B">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1C7E9C" w:rsidRPr="001C6480" w:rsidP="00F71D3B">
            <w:pPr>
              <w:snapToGrid w:val="0"/>
              <w:spacing w:line="360" w:lineRule="auto"/>
              <w:ind w:firstLine="420"/>
              <w:rPr>
                <w:rFonts w:asciiTheme="minorEastAsia" w:eastAsiaTheme="minorEastAsia" w:hAnsiTheme="minorEastAsia"/>
                <w:color w:val="000000" w:themeColor="text1"/>
                <w:szCs w:val="20"/>
              </w:rPr>
            </w:pPr>
          </w:p>
        </w:tc>
      </w:tr>
      <w:tr w:rsidTr="00266534">
        <w:tblPrEx>
          <w:tblW w:w="9720" w:type="dxa"/>
          <w:tblInd w:w="-612" w:type="dxa"/>
          <w:tblLayout w:type="fixed"/>
          <w:tblLook w:val="0000"/>
        </w:tblPrEx>
        <w:tc>
          <w:tcPr>
            <w:tcW w:w="108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color w:val="000000" w:themeColor="text1"/>
                <w:szCs w:val="20"/>
              </w:rPr>
              <w:t>10,000</w:t>
            </w:r>
            <w:r w:rsidRPr="001C6480">
              <w:rPr>
                <w:rFonts w:asciiTheme="minorEastAsia" w:eastAsiaTheme="minorEastAsia" w:hAnsiTheme="minorEastAsia" w:hint="eastAsia"/>
                <w:color w:val="000000" w:themeColor="text1"/>
                <w:szCs w:val="20"/>
              </w:rPr>
              <w:t>份</w:t>
            </w:r>
          </w:p>
        </w:tc>
        <w:tc>
          <w:tcPr>
            <w:tcW w:w="90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color w:val="000000" w:themeColor="text1"/>
                <w:szCs w:val="20"/>
              </w:rPr>
              <w:t>1.</w:t>
            </w:r>
            <w:r w:rsidRPr="001C6480">
              <w:rPr>
                <w:rFonts w:asciiTheme="minorEastAsia" w:eastAsiaTheme="minorEastAsia" w:hAnsiTheme="minorEastAsia" w:hint="eastAsia"/>
                <w:color w:val="000000" w:themeColor="text1"/>
                <w:szCs w:val="20"/>
              </w:rPr>
              <w:t>1</w:t>
            </w:r>
            <w:r w:rsidRPr="001C6480">
              <w:rPr>
                <w:rFonts w:asciiTheme="minorEastAsia" w:eastAsiaTheme="minorEastAsia" w:hAnsiTheme="minorEastAsia"/>
                <w:color w:val="000000" w:themeColor="text1"/>
                <w:szCs w:val="20"/>
              </w:rPr>
              <w:t>0</w:t>
            </w:r>
            <w:r w:rsidRPr="001C6480">
              <w:rPr>
                <w:rFonts w:asciiTheme="minorEastAsia" w:eastAsiaTheme="minorEastAsia" w:hAnsiTheme="minorEastAsia" w:hint="eastAsia"/>
                <w:color w:val="000000" w:themeColor="text1"/>
                <w:szCs w:val="20"/>
              </w:rPr>
              <w:t>00</w:t>
            </w:r>
            <w:r w:rsidRPr="001C6480">
              <w:rPr>
                <w:rFonts w:asciiTheme="minorEastAsia" w:eastAsiaTheme="minorEastAsia" w:hAnsiTheme="minorEastAsia"/>
                <w:color w:val="000000" w:themeColor="text1"/>
                <w:szCs w:val="20"/>
              </w:rPr>
              <w:t>元</w:t>
            </w:r>
          </w:p>
        </w:tc>
        <w:tc>
          <w:tcPr>
            <w:tcW w:w="144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11,000.00元</w:t>
            </w:r>
          </w:p>
        </w:tc>
        <w:tc>
          <w:tcPr>
            <w:tcW w:w="126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55.00元</w:t>
            </w:r>
          </w:p>
        </w:tc>
        <w:tc>
          <w:tcPr>
            <w:tcW w:w="108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rPr>
              <w:t>54.45</w:t>
            </w:r>
            <w:r w:rsidRPr="001C6480">
              <w:rPr>
                <w:rFonts w:asciiTheme="minorEastAsia" w:eastAsiaTheme="minorEastAsia" w:hAnsiTheme="minorEastAsia" w:hint="eastAsia"/>
                <w:color w:val="000000" w:themeColor="text1"/>
                <w:szCs w:val="20"/>
              </w:rPr>
              <w:t>元</w:t>
            </w:r>
          </w:p>
        </w:tc>
        <w:tc>
          <w:tcPr>
            <w:tcW w:w="1440"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10,890.</w:t>
            </w:r>
            <w:r w:rsidRPr="001C6480">
              <w:rPr>
                <w:rFonts w:asciiTheme="minorEastAsia" w:eastAsiaTheme="minorEastAsia" w:hAnsiTheme="minorEastAsia" w:hint="eastAsia"/>
                <w:color w:val="000000" w:themeColor="text1"/>
              </w:rPr>
              <w:t>55</w:t>
            </w:r>
            <w:r w:rsidRPr="001C6480">
              <w:rPr>
                <w:rFonts w:asciiTheme="minorEastAsia" w:eastAsiaTheme="minorEastAsia" w:hAnsiTheme="minorEastAsia" w:hint="eastAsia"/>
                <w:color w:val="000000" w:themeColor="text1"/>
                <w:szCs w:val="20"/>
              </w:rPr>
              <w:t>元</w:t>
            </w:r>
          </w:p>
        </w:tc>
        <w:tc>
          <w:tcPr>
            <w:tcW w:w="1185"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1.020</w:t>
            </w:r>
            <w:r w:rsidRPr="001C6480" w:rsidR="005F2BDB">
              <w:rPr>
                <w:rFonts w:asciiTheme="minorEastAsia" w:eastAsiaTheme="minorEastAsia" w:hAnsiTheme="minorEastAsia" w:hint="eastAsia"/>
                <w:color w:val="000000" w:themeColor="text1"/>
                <w:szCs w:val="20"/>
              </w:rPr>
              <w:t>0</w:t>
            </w:r>
            <w:r w:rsidRPr="001C6480">
              <w:rPr>
                <w:rFonts w:asciiTheme="minorEastAsia" w:eastAsiaTheme="minorEastAsia" w:hAnsiTheme="minorEastAsia" w:hint="eastAsia"/>
                <w:color w:val="000000" w:themeColor="text1"/>
                <w:szCs w:val="20"/>
              </w:rPr>
              <w:t>元</w:t>
            </w:r>
          </w:p>
        </w:tc>
        <w:tc>
          <w:tcPr>
            <w:tcW w:w="1335" w:type="dxa"/>
          </w:tcPr>
          <w:p w:rsidR="001C7E9C" w:rsidRPr="001C6480" w:rsidP="00F71D3B">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1C6480">
              <w:rPr>
                <w:rFonts w:asciiTheme="minorEastAsia" w:eastAsiaTheme="minorEastAsia" w:hAnsiTheme="minorEastAsia" w:hint="eastAsia"/>
                <w:color w:val="000000" w:themeColor="text1"/>
                <w:szCs w:val="20"/>
              </w:rPr>
              <w:t>10,6</w:t>
            </w:r>
            <w:r w:rsidRPr="001C6480">
              <w:rPr>
                <w:rFonts w:asciiTheme="minorEastAsia" w:eastAsiaTheme="minorEastAsia" w:hAnsiTheme="minorEastAsia" w:hint="eastAsia"/>
                <w:color w:val="000000" w:themeColor="text1"/>
              </w:rPr>
              <w:t>77</w:t>
            </w:r>
            <w:r w:rsidRPr="001C6480">
              <w:rPr>
                <w:rFonts w:asciiTheme="minorEastAsia" w:eastAsiaTheme="minorEastAsia" w:hAnsiTheme="minorEastAsia" w:hint="eastAsia"/>
                <w:color w:val="000000" w:themeColor="text1"/>
                <w:szCs w:val="20"/>
              </w:rPr>
              <w:t>.</w:t>
            </w:r>
            <w:r w:rsidRPr="001C6480">
              <w:rPr>
                <w:rFonts w:asciiTheme="minorEastAsia" w:eastAsiaTheme="minorEastAsia" w:hAnsiTheme="minorEastAsia" w:hint="eastAsia"/>
                <w:color w:val="000000" w:themeColor="text1"/>
              </w:rPr>
              <w:t>01</w:t>
            </w:r>
            <w:r w:rsidRPr="001C6480">
              <w:rPr>
                <w:rFonts w:asciiTheme="minorEastAsia" w:eastAsiaTheme="minorEastAsia" w:hAnsiTheme="minorEastAsia" w:hint="eastAsia"/>
                <w:color w:val="000000" w:themeColor="text1"/>
                <w:szCs w:val="20"/>
              </w:rPr>
              <w:t>份</w:t>
            </w:r>
          </w:p>
        </w:tc>
      </w:tr>
    </w:tbl>
    <w:p w:rsidR="008F1DC3" w:rsidRPr="001C6480" w:rsidP="008F1DC3">
      <w:pPr>
        <w:snapToGrid w:val="0"/>
        <w:spacing w:line="360" w:lineRule="auto"/>
        <w:ind w:firstLine="420" w:firstLineChars="200"/>
        <w:rPr>
          <w:rFonts w:asciiTheme="minorEastAsia" w:eastAsiaTheme="minorEastAsia" w:hAnsiTheme="minorEastAsia" w:cs="Times New Roman"/>
          <w:color w:val="000000" w:themeColor="text1"/>
          <w:kern w:val="2"/>
          <w:szCs w:val="24"/>
        </w:rPr>
      </w:pPr>
      <w:r w:rsidRPr="001C6480">
        <w:rPr>
          <w:rFonts w:asciiTheme="minorEastAsia" w:eastAsiaTheme="minorEastAsia" w:hAnsiTheme="minorEastAsia" w:cs="Times New Roman" w:hint="eastAsia"/>
          <w:color w:val="000000" w:themeColor="text1"/>
          <w:kern w:val="2"/>
          <w:szCs w:val="24"/>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59" w:name="_Toc198959622"/>
      <w:bookmarkStart w:id="60" w:name="_Toc229996713"/>
      <w:bookmarkStart w:id="61" w:name="_Toc245693559"/>
      <w:bookmarkStart w:id="62" w:name="_Toc347214161"/>
      <w:r w:rsidRPr="001C6480">
        <w:rPr>
          <w:rFonts w:asciiTheme="minorEastAsia" w:eastAsiaTheme="minorEastAsia" w:hAnsiTheme="minorEastAsia" w:cs="Arial" w:hint="eastAsia"/>
          <w:b w:val="0"/>
          <w:color w:val="000000" w:themeColor="text1"/>
        </w:rPr>
        <w:t>基金转换的注册登记</w:t>
      </w:r>
      <w:bookmarkEnd w:id="59"/>
      <w:bookmarkEnd w:id="60"/>
      <w:bookmarkEnd w:id="61"/>
      <w:bookmarkEnd w:id="62"/>
    </w:p>
    <w:p w:rsidR="001C7E9C" w:rsidRPr="001C6480" w:rsidP="00F71D3B">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hint="eastAsia"/>
          <w:snapToGrid w:val="0"/>
          <w:color w:val="000000" w:themeColor="text1"/>
        </w:rPr>
        <w:t>投资者T日申请基金转换成功后，注册登记机构将在T＋1工作日为投资者办理减少转出基金份额、增加转入基金份额的权益登记手续，一般情况下，投资者自T＋2工作日起有权赎回转入部分的基金份额。</w:t>
      </w:r>
    </w:p>
    <w:p w:rsidR="001C7E9C" w:rsidRPr="001C6480" w:rsidP="00F71D3B">
      <w:pPr>
        <w:pStyle w:val="BodyTextFirstIndent"/>
        <w:snapToGrid w:val="0"/>
        <w:spacing w:after="0"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基金管理人可在法律法规允许的范围内，对上述注册登记办理时间进行调整，并</w:t>
      </w:r>
      <w:r w:rsidRPr="001C6480">
        <w:rPr>
          <w:rFonts w:asciiTheme="minorEastAsia" w:eastAsiaTheme="minorEastAsia" w:hAnsiTheme="minorEastAsia" w:hint="eastAsia"/>
          <w:color w:val="000000" w:themeColor="text1"/>
          <w:kern w:val="0"/>
          <w:szCs w:val="21"/>
        </w:rPr>
        <w:t>应在调整生效</w:t>
      </w:r>
      <w:r w:rsidRPr="001C6480">
        <w:rPr>
          <w:rFonts w:asciiTheme="minorEastAsia" w:eastAsiaTheme="minorEastAsia" w:hAnsiTheme="minorEastAsia" w:hint="eastAsia"/>
          <w:color w:val="000000" w:themeColor="text1"/>
        </w:rPr>
        <w:t>前在</w:t>
      </w:r>
      <w:r w:rsidRPr="001C6480" w:rsidR="00995394">
        <w:rPr>
          <w:rFonts w:asciiTheme="minorEastAsia" w:eastAsiaTheme="minorEastAsia" w:hAnsiTheme="minorEastAsia" w:hint="eastAsia"/>
          <w:color w:val="000000" w:themeColor="text1"/>
        </w:rPr>
        <w:t>指定媒介</w:t>
      </w:r>
      <w:r w:rsidRPr="001C6480">
        <w:rPr>
          <w:rFonts w:asciiTheme="minorEastAsia" w:eastAsiaTheme="minorEastAsia" w:hAnsiTheme="minorEastAsia" w:hint="eastAsia"/>
          <w:color w:val="000000" w:themeColor="text1"/>
        </w:rPr>
        <w:t>上予以公告。</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63" w:name="_Toc198959623"/>
      <w:bookmarkStart w:id="64" w:name="_Toc229996714"/>
      <w:bookmarkStart w:id="65" w:name="_Toc245693560"/>
      <w:bookmarkStart w:id="66" w:name="_Toc347214162"/>
      <w:r w:rsidRPr="001C6480">
        <w:rPr>
          <w:rFonts w:asciiTheme="minorEastAsia" w:eastAsiaTheme="minorEastAsia" w:hAnsiTheme="minorEastAsia" w:cs="Arial" w:hint="eastAsia"/>
          <w:b w:val="0"/>
          <w:color w:val="000000" w:themeColor="text1"/>
        </w:rPr>
        <w:t>基金转换</w:t>
      </w:r>
      <w:r w:rsidRPr="001C6480">
        <w:rPr>
          <w:rFonts w:asciiTheme="minorEastAsia" w:eastAsiaTheme="minorEastAsia" w:hAnsiTheme="minorEastAsia" w:cs="Arial"/>
          <w:b w:val="0"/>
          <w:color w:val="000000" w:themeColor="text1"/>
        </w:rPr>
        <w:t>与巨额赎回</w:t>
      </w:r>
      <w:bookmarkEnd w:id="63"/>
      <w:bookmarkEnd w:id="64"/>
      <w:bookmarkEnd w:id="65"/>
      <w:bookmarkEnd w:id="66"/>
    </w:p>
    <w:p w:rsidR="001C7E9C" w:rsidRPr="001C6480" w:rsidP="00F71D3B">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当</w:t>
      </w:r>
      <w:r w:rsidRPr="001C6480">
        <w:rPr>
          <w:rFonts w:asciiTheme="minorEastAsia" w:eastAsiaTheme="minorEastAsia" w:hAnsiTheme="minorEastAsia" w:hint="eastAsia"/>
          <w:color w:val="000000" w:themeColor="text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1C7E9C" w:rsidRPr="001C6480" w:rsidP="00AF46A7">
      <w:pPr>
        <w:pStyle w:val="Heading2"/>
        <w:numPr>
          <w:ilvl w:val="0"/>
          <w:numId w:val="8"/>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67" w:name="_Toc198959624"/>
      <w:bookmarkStart w:id="68" w:name="_Toc229996715"/>
      <w:bookmarkStart w:id="69" w:name="_Toc245693561"/>
      <w:bookmarkStart w:id="70" w:name="_Toc347214163"/>
      <w:r w:rsidRPr="001C6480">
        <w:rPr>
          <w:rFonts w:asciiTheme="minorEastAsia" w:eastAsiaTheme="minorEastAsia" w:hAnsiTheme="minorEastAsia" w:cs="Arial" w:hint="eastAsia"/>
          <w:b w:val="0"/>
          <w:color w:val="000000" w:themeColor="text1"/>
        </w:rPr>
        <w:t>拒绝或暂停基金转换的情形</w:t>
      </w:r>
      <w:bookmarkEnd w:id="67"/>
      <w:bookmarkEnd w:id="68"/>
      <w:bookmarkEnd w:id="69"/>
      <w:bookmarkEnd w:id="70"/>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出现下列情况之一时,基金管理人可以暂停接受基金份额持有人的基金转换申请：</w:t>
      </w:r>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1、不可抗力的原因导致基金无法正常运作；</w:t>
      </w:r>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2、证券交易场所在交易时间非正常停市或证券交易场所依法决定临时停市，导致当日基金资产净值无法计算；</w:t>
      </w:r>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3、因市场剧烈波动或其它原因而出现连续巨额赎回，导致本基金的现金支付出现困难；</w:t>
      </w:r>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4、基金管理人认为会有损于现有基金份额持有人利益的某笔转入或某笔转出；</w:t>
      </w:r>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5、发生基金合同规定的暂停基金资产估值情况；</w:t>
      </w:r>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6、基金资产规模过大，使基金管理人无法找到合适的投资品种，或可能对基金业绩产生负面影响，从而损害现有基金份额持有人的利益；</w:t>
      </w:r>
    </w:p>
    <w:p w:rsidR="00CA6C22"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7、基金管理人接受某笔或者某些转换转入申请有可能导致单一投资者持有基金份额的比例达到或者超过50%，或者变相规避50%集中度的情形时。</w:t>
      </w:r>
    </w:p>
    <w:p w:rsidR="00024C22" w:rsidRPr="001C6480" w:rsidP="00024C22">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24C22" w:rsidRPr="001C6480" w:rsidP="00024C22">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9、当前一估值日基金资产净值50%以上的资产出现无可参考的活跃市场价格且采用估值技术仍导致公允价值存在重大不确定性时，经与基金托管人协商确认后，基金管理人应当采取暂停接受基金转换申请的措施。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1C7E9C"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10</w:t>
      </w:r>
      <w:r w:rsidRPr="001C6480" w:rsidR="008F1AE4">
        <w:rPr>
          <w:rFonts w:asciiTheme="minorEastAsia" w:eastAsiaTheme="minorEastAsia" w:hAnsiTheme="minorEastAsia" w:hint="eastAsia"/>
          <w:color w:val="000000" w:themeColor="text1"/>
        </w:rPr>
        <w:t>、</w:t>
      </w:r>
      <w:r w:rsidRPr="001C6480">
        <w:rPr>
          <w:rFonts w:asciiTheme="minorEastAsia" w:eastAsiaTheme="minorEastAsia" w:hAnsiTheme="minorEastAsia" w:hint="eastAsia"/>
          <w:color w:val="000000" w:themeColor="text1"/>
        </w:rPr>
        <w:t>法律、法规规定或中国证监会认定的其他情形。</w:t>
      </w:r>
    </w:p>
    <w:p w:rsidR="00907BEB" w:rsidRPr="001C6480" w:rsidP="0026467A">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基金暂停转换或暂停后重新开放转换时，基金管理人应在</w:t>
      </w:r>
      <w:r w:rsidRPr="001C6480" w:rsidR="00C45019">
        <w:rPr>
          <w:rFonts w:asciiTheme="minorEastAsia" w:eastAsiaTheme="minorEastAsia" w:hAnsiTheme="minorEastAsia" w:hint="eastAsia"/>
          <w:color w:val="000000" w:themeColor="text1"/>
        </w:rPr>
        <w:t>指定媒介</w:t>
      </w:r>
      <w:r w:rsidRPr="001C6480">
        <w:rPr>
          <w:rFonts w:asciiTheme="minorEastAsia" w:eastAsiaTheme="minorEastAsia" w:hAnsiTheme="minorEastAsia" w:hint="eastAsia"/>
          <w:color w:val="000000" w:themeColor="text1"/>
        </w:rPr>
        <w:t>上公告。</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71" w:name="_Toc86560070"/>
      <w:bookmarkStart w:id="72" w:name="_Toc86635162"/>
      <w:bookmarkStart w:id="73" w:name="_Toc91335002"/>
      <w:bookmarkStart w:id="74" w:name="_Toc96595111"/>
      <w:r w:rsidRPr="001C6480">
        <w:rPr>
          <w:rFonts w:asciiTheme="minorEastAsia" w:eastAsiaTheme="minorEastAsia" w:hAnsiTheme="minorEastAsia" w:cs="Arial" w:hint="eastAsia"/>
          <w:color w:val="000000" w:themeColor="text1"/>
        </w:rPr>
        <w:t>基金的非交易过户、转托管及</w:t>
      </w:r>
      <w:r w:rsidRPr="001C6480">
        <w:rPr>
          <w:rFonts w:asciiTheme="minorEastAsia" w:eastAsiaTheme="minorEastAsia" w:hAnsiTheme="minorEastAsia" w:cs="Arial" w:hint="eastAsia"/>
          <w:bCs/>
          <w:color w:val="000000" w:themeColor="text1"/>
          <w:szCs w:val="21"/>
        </w:rPr>
        <w:t>冻结与解冻</w:t>
      </w:r>
      <w:bookmarkEnd w:id="71"/>
      <w:bookmarkEnd w:id="72"/>
      <w:bookmarkEnd w:id="73"/>
      <w:bookmarkEnd w:id="74"/>
    </w:p>
    <w:p w:rsidR="001A7CDB" w:rsidRPr="001C6480" w:rsidP="00F71D3B">
      <w:pPr>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s="Arial"/>
          <w:color w:val="000000" w:themeColor="text1"/>
        </w:rPr>
        <w:t>（一）</w:t>
      </w:r>
      <w:r w:rsidRPr="001C6480">
        <w:rPr>
          <w:rFonts w:asciiTheme="minorEastAsia" w:eastAsiaTheme="minorEastAsia" w:hAnsiTheme="minorEastAsia" w:hint="eastAsia"/>
          <w:color w:val="000000" w:themeColor="text1"/>
        </w:rPr>
        <w:t>基金的非交易过户是指基金注册登记机构受理继承、捐赠和司法强制执行等情形而产生的非交易过户以及注册登记机构认可、符合法律法规的其它非交易过户。无论在上述何种情况下，接受划转的主体必须是依法可以持有本基金基金份额的投资人。</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（二）</w:t>
      </w:r>
      <w:r w:rsidRPr="001C6480">
        <w:rPr>
          <w:rFonts w:asciiTheme="minorEastAsia" w:eastAsiaTheme="minorEastAsia" w:hAnsiTheme="minorEastAsia" w:cs="Arial" w:hint="eastAsia"/>
          <w:color w:val="000000" w:themeColor="text1"/>
        </w:rPr>
        <w:t>基金份额持有人可办理已持有基金份额在不同销售机构之间的转托管，基金销售机构可以按照规定的标准收取转托管费。</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（三）</w:t>
      </w:r>
      <w:r w:rsidRPr="001C6480">
        <w:rPr>
          <w:rFonts w:asciiTheme="minorEastAsia" w:eastAsiaTheme="minorEastAsia" w:hAnsiTheme="minorEastAsia" w:cs="Arial" w:hint="eastAsia"/>
          <w:color w:val="000000" w:themeColor="text1"/>
        </w:rPr>
        <w:t>基金注册登记机构只受理国家有权机关依法要求的基金份额的冻结与解冻，以及注册登记机构认可、符合法律法规的其他情况下的冻结与解冻。基金份额被冻结的，被冻结部分产生的权益一并冻结，被冻结部分份额仍然参与收益分配与支付。</w:t>
      </w:r>
    </w:p>
    <w:p w:rsidR="001A7CDB" w:rsidRPr="001C6480" w:rsidP="00F71D3B">
      <w:pPr>
        <w:snapToGrid w:val="0"/>
        <w:spacing w:line="360" w:lineRule="auto"/>
        <w:rPr>
          <w:rFonts w:asciiTheme="minorEastAsia" w:eastAsiaTheme="minorEastAsia" w:hAnsiTheme="minorEastAsia" w:cs="Arial"/>
          <w:color w:val="000000" w:themeColor="text1"/>
        </w:rPr>
      </w:pPr>
    </w:p>
    <w:p w:rsidR="001A7CDB" w:rsidRPr="001C6480" w:rsidP="00F71D3B">
      <w:pPr>
        <w:snapToGrid w:val="0"/>
        <w:spacing w:line="360" w:lineRule="auto"/>
        <w:rPr>
          <w:rFonts w:asciiTheme="minorEastAsia" w:eastAsiaTheme="minorEastAsia" w:hAnsiTheme="minorEastAsia" w:cs="Arial"/>
          <w:color w:val="000000" w:themeColor="text1"/>
        </w:r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color w:val="000000" w:themeColor="text1"/>
        </w:rPr>
      </w:pPr>
      <w:bookmarkStart w:id="75" w:name="_Toc96595112"/>
      <w:bookmarkStart w:id="76" w:name="_Toc52310853"/>
      <w:r w:rsidRPr="001C6480">
        <w:rPr>
          <w:rFonts w:asciiTheme="minorEastAsia" w:eastAsiaTheme="minorEastAsia" w:hAnsiTheme="minorEastAsia" w:cs="Arial" w:hint="eastAsia"/>
          <w:bCs/>
          <w:color w:val="000000" w:themeColor="text1"/>
        </w:rPr>
        <w:t>基金的投资</w:t>
      </w:r>
      <w:bookmarkEnd w:id="75"/>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bookmarkStart w:id="77" w:name="_Toc52310848"/>
      <w:bookmarkStart w:id="78" w:name="_Toc64861723"/>
      <w:r w:rsidRPr="001C6480">
        <w:rPr>
          <w:rFonts w:asciiTheme="minorEastAsia" w:eastAsiaTheme="minorEastAsia" w:hAnsiTheme="minorEastAsia" w:cs="Arial"/>
          <w:b w:val="0"/>
          <w:color w:val="000000" w:themeColor="text1"/>
        </w:rPr>
        <w:t>投资目标</w:t>
      </w:r>
    </w:p>
    <w:p w:rsidR="001A7CDB" w:rsidRPr="001C6480" w:rsidP="00F71D3B">
      <w:pPr>
        <w:snapToGrid w:val="0"/>
        <w:spacing w:line="360" w:lineRule="auto"/>
        <w:ind w:firstLine="480"/>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本基金为指数增强型股票基金，在力求对标的指数进行有效跟踪的基础上，主要通过运用量化策略进行投资组合管理，力争实现超越业绩比较基准的投资回报。</w:t>
      </w:r>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投资范围</w:t>
      </w:r>
    </w:p>
    <w:p w:rsidR="001A7CDB" w:rsidRPr="001C6480" w:rsidP="00F71D3B">
      <w:pPr>
        <w:snapToGrid w:val="0"/>
        <w:spacing w:line="360" w:lineRule="auto"/>
        <w:ind w:firstLine="48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本基金的投资范围为具有良好流动性的金融工具，包括国内依法发行上市的股票</w:t>
      </w:r>
      <w:r w:rsidRPr="001C6480">
        <w:rPr>
          <w:rFonts w:asciiTheme="minorEastAsia" w:eastAsiaTheme="minorEastAsia" w:hAnsiTheme="minorEastAsia" w:hint="eastAsia"/>
          <w:bCs/>
          <w:color w:val="000000" w:themeColor="text1"/>
        </w:rPr>
        <w:t>（含中小板、创业板及其他经中国证监会核准</w:t>
      </w:r>
      <w:r w:rsidRPr="001C6480" w:rsidR="00F76EEB">
        <w:rPr>
          <w:rFonts w:asciiTheme="minorEastAsia" w:eastAsiaTheme="minorEastAsia" w:hAnsiTheme="minorEastAsia" w:hint="eastAsia"/>
          <w:bCs/>
          <w:color w:val="000000" w:themeColor="text1"/>
        </w:rPr>
        <w:t>或注册上市的股票、存托凭证</w:t>
      </w:r>
      <w:r w:rsidRPr="001C6480">
        <w:rPr>
          <w:rFonts w:asciiTheme="minorEastAsia" w:eastAsiaTheme="minorEastAsia" w:hAnsiTheme="minorEastAsia" w:hint="eastAsia"/>
          <w:bCs/>
          <w:color w:val="000000" w:themeColor="text1"/>
        </w:rPr>
        <w:t>）、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相关规定。</w:t>
      </w:r>
    </w:p>
    <w:p w:rsidR="00ED0546" w:rsidRPr="001C6480" w:rsidP="00F71D3B">
      <w:pPr>
        <w:snapToGrid w:val="0"/>
        <w:spacing w:line="360" w:lineRule="auto"/>
        <w:ind w:firstLine="48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本基金根据相关法律法规或中国证监会要求履行相关手续后，还可以投资于法律法规或中国证监会未来允许基金投资的其它金融工具。</w:t>
      </w:r>
    </w:p>
    <w:p w:rsidR="00ED0546" w:rsidRPr="001C6480" w:rsidP="00F71D3B">
      <w:pPr>
        <w:snapToGrid w:val="0"/>
        <w:spacing w:line="360" w:lineRule="auto"/>
        <w:ind w:firstLine="48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本基金的投资组合比例为：</w:t>
      </w:r>
    </w:p>
    <w:p w:rsidR="00ED0546" w:rsidRPr="001C6480" w:rsidP="00F71D3B">
      <w:pPr>
        <w:snapToGrid w:val="0"/>
        <w:spacing w:line="360" w:lineRule="auto"/>
        <w:ind w:firstLine="48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股票投资比例不低于基金资产的</w:t>
      </w:r>
      <w:r w:rsidRPr="001C6480">
        <w:rPr>
          <w:rFonts w:asciiTheme="minorEastAsia" w:eastAsiaTheme="minorEastAsia" w:hAnsiTheme="minorEastAsia"/>
          <w:bCs/>
          <w:color w:val="000000" w:themeColor="text1"/>
        </w:rPr>
        <w:t>90%</w:t>
      </w:r>
      <w:r w:rsidRPr="001C6480">
        <w:rPr>
          <w:rFonts w:asciiTheme="minorEastAsia" w:eastAsiaTheme="minorEastAsia" w:hAnsiTheme="minorEastAsia" w:hint="eastAsia"/>
          <w:bCs/>
          <w:color w:val="000000" w:themeColor="text1"/>
        </w:rPr>
        <w:t>，其中投资于标的指数成份股和备选成份股的资产不低于股票资产的</w:t>
      </w:r>
      <w:r w:rsidRPr="001C6480">
        <w:rPr>
          <w:rFonts w:asciiTheme="minorEastAsia" w:eastAsiaTheme="minorEastAsia" w:hAnsiTheme="minorEastAsia"/>
          <w:bCs/>
          <w:color w:val="000000" w:themeColor="text1"/>
        </w:rPr>
        <w:t>80%</w:t>
      </w:r>
      <w:r w:rsidRPr="001C6480">
        <w:rPr>
          <w:rFonts w:asciiTheme="minorEastAsia" w:eastAsiaTheme="minorEastAsia" w:hAnsiTheme="minorEastAsia" w:hint="eastAsia"/>
          <w:bCs/>
          <w:color w:val="000000" w:themeColor="text1"/>
        </w:rPr>
        <w:t>；现金或者到期日在一年以内的政府债券不低于基金资产的</w:t>
      </w:r>
      <w:r w:rsidRPr="001C6480">
        <w:rPr>
          <w:rFonts w:asciiTheme="minorEastAsia" w:eastAsiaTheme="minorEastAsia" w:hAnsiTheme="minorEastAsia"/>
          <w:bCs/>
          <w:color w:val="000000" w:themeColor="text1"/>
        </w:rPr>
        <w:t>5%</w:t>
      </w:r>
      <w:r w:rsidRPr="001C6480" w:rsidR="00D47511">
        <w:rPr>
          <w:rFonts w:asciiTheme="minorEastAsia" w:eastAsiaTheme="minorEastAsia" w:hAnsiTheme="minorEastAsia" w:hint="eastAsia"/>
          <w:bCs/>
          <w:color w:val="000000" w:themeColor="text1"/>
        </w:rPr>
        <w:t>，现金不包括结算备付金、存出保证金、应收申购款等</w:t>
      </w:r>
      <w:r w:rsidRPr="001C6480">
        <w:rPr>
          <w:rFonts w:asciiTheme="minorEastAsia" w:eastAsiaTheme="minorEastAsia" w:hAnsiTheme="minorEastAsia" w:hint="eastAsia"/>
          <w:bCs/>
          <w:color w:val="000000" w:themeColor="text1"/>
        </w:rPr>
        <w:t>。</w:t>
      </w:r>
    </w:p>
    <w:p w:rsidR="001A7CDB" w:rsidRPr="001C6480" w:rsidP="00F71D3B">
      <w:pPr>
        <w:snapToGrid w:val="0"/>
        <w:spacing w:line="360" w:lineRule="auto"/>
        <w:ind w:firstLine="480"/>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若法律法规的相关规定发生变更或监管机构允许，本基金管理人在履行适当程序后，可对上述资产配置比例进行调整。</w:t>
      </w:r>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投资理念</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指数增强型投资是追求投资风险、收益和成本最佳匹配的有效途径。运用数量化投资技术可以提高指数化投资的绩效，在控制与标的指数偏离风险的前提下追求超越指数的收益。</w:t>
      </w:r>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投资策略</w:t>
      </w:r>
    </w:p>
    <w:p w:rsidR="00787649"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本基金以指数化投资为主、增强型投资为辅，在复制标的指数基础上在一定范围调整个股权重，力求在控制与标的指数偏离风险前提下超越指数。</w:t>
      </w:r>
    </w:p>
    <w:p w:rsidR="00787649"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资产配置策略</w:t>
      </w:r>
    </w:p>
    <w:p w:rsidR="00787649"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本基金追求基金资产在股票市场上的充分投资，股票投资比例不低于基金资产净值的90%。</w:t>
      </w:r>
    </w:p>
    <w:p w:rsidR="00787649"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股票</w:t>
      </w:r>
      <w:r w:rsidRPr="001C6480" w:rsidR="00F76EEB">
        <w:rPr>
          <w:rFonts w:asciiTheme="minorEastAsia" w:eastAsiaTheme="minorEastAsia" w:hAnsiTheme="minorEastAsia" w:hint="eastAsia"/>
          <w:bCs/>
          <w:color w:val="000000" w:themeColor="text1"/>
        </w:rPr>
        <w:t>（含存托凭证）</w:t>
      </w:r>
      <w:r w:rsidRPr="001C6480">
        <w:rPr>
          <w:rFonts w:asciiTheme="minorEastAsia" w:eastAsiaTheme="minorEastAsia" w:hAnsiTheme="minorEastAsia" w:hint="eastAsia"/>
          <w:bCs/>
          <w:color w:val="000000" w:themeColor="text1"/>
        </w:rPr>
        <w:t>投资策略</w:t>
      </w:r>
    </w:p>
    <w:p w:rsidR="00787649"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本基金属指数增强型基金，策略上以指数化投资为主、增强型投资为辅。</w:t>
      </w:r>
    </w:p>
    <w:p w:rsidR="00787649"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主要策略为复制标的指数，投资组合将以标的指数的构成为基础，主要利用基金管理人自主开发的定量投资模型在有限范围内进行超配或低配。一方面严格控制组合跟踪误差，避免大幅偏离标的指数，另一方面在跟踪指数的基础上力求超越指数。</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spacing w:val="5"/>
        </w:rPr>
        <w:t>基金管理人自主开发的定量投资模型充分借鉴国内外定量</w:t>
      </w:r>
      <w:r w:rsidRPr="001C6480">
        <w:rPr>
          <w:rFonts w:asciiTheme="minorEastAsia" w:eastAsiaTheme="minorEastAsia" w:hAnsiTheme="minorEastAsia" w:hint="eastAsia"/>
          <w:color w:val="000000" w:themeColor="text1"/>
        </w:rPr>
        <w:t>分</w:t>
      </w:r>
      <w:r w:rsidRPr="001C6480">
        <w:rPr>
          <w:rFonts w:asciiTheme="minorEastAsia" w:eastAsiaTheme="minorEastAsia" w:hAnsiTheme="minorEastAsia" w:hint="eastAsia"/>
          <w:color w:val="000000" w:themeColor="text1"/>
          <w:spacing w:val="5"/>
        </w:rPr>
        <w:t>析</w:t>
      </w:r>
      <w:r w:rsidRPr="001C6480">
        <w:rPr>
          <w:rFonts w:asciiTheme="minorEastAsia" w:eastAsiaTheme="minorEastAsia" w:hAnsiTheme="minorEastAsia" w:hint="eastAsia"/>
          <w:color w:val="000000" w:themeColor="text1"/>
          <w:spacing w:val="6"/>
        </w:rPr>
        <w:t>的</w:t>
      </w:r>
      <w:r w:rsidRPr="001C6480">
        <w:rPr>
          <w:rFonts w:asciiTheme="minorEastAsia" w:eastAsiaTheme="minorEastAsia" w:hAnsiTheme="minorEastAsia" w:hint="eastAsia"/>
          <w:color w:val="000000" w:themeColor="text1"/>
          <w:spacing w:val="5"/>
        </w:rPr>
        <w:t>研究成果，结合基金管理人的长期研究与实践应用，利用多因</w:t>
      </w:r>
      <w:r w:rsidRPr="001C6480">
        <w:rPr>
          <w:rFonts w:asciiTheme="minorEastAsia" w:eastAsiaTheme="minorEastAsia" w:hAnsiTheme="minorEastAsia" w:hint="eastAsia"/>
          <w:color w:val="000000" w:themeColor="text1"/>
        </w:rPr>
        <w:t>子量化模型预测股票超额回报</w:t>
      </w:r>
      <w:r w:rsidRPr="001C6480">
        <w:rPr>
          <w:rFonts w:asciiTheme="minorEastAsia" w:eastAsiaTheme="minorEastAsia" w:hAnsiTheme="minorEastAsia" w:hint="eastAsia"/>
          <w:color w:val="000000" w:themeColor="text1"/>
          <w:spacing w:val="-34"/>
        </w:rPr>
        <w:t>，</w:t>
      </w:r>
      <w:r w:rsidRPr="001C6480">
        <w:rPr>
          <w:rFonts w:asciiTheme="minorEastAsia" w:eastAsiaTheme="minorEastAsia" w:hAnsiTheme="minorEastAsia" w:hint="eastAsia"/>
          <w:color w:val="000000" w:themeColor="text1"/>
        </w:rPr>
        <w:t>在有效风险控制及交易成本最低化的基础上优化投资组合。</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hint="eastAsia"/>
          <w:color w:val="000000" w:themeColor="text1"/>
        </w:rPr>
        <w:t>多因子量化模型</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股票超额回报预测</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多因子量化模型以对中国股票市场的长期研究为基础，一定程度上结合前瞻性市场判断，运用经长期检验有效的多个因子捕捉市场机会，预测个股的超额收益。概括来讲，本基金的多因子量化模型的因子可归为如下几类</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估值（</w:t>
      </w:r>
      <w:r w:rsidRPr="001C6480">
        <w:rPr>
          <w:rFonts w:asciiTheme="minorEastAsia" w:eastAsiaTheme="minorEastAsia" w:hAnsiTheme="minorEastAsia"/>
          <w:color w:val="000000" w:themeColor="text1"/>
        </w:rPr>
        <w:t>valuation</w:t>
      </w: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成长（</w:t>
      </w:r>
      <w:r w:rsidRPr="001C6480">
        <w:rPr>
          <w:rFonts w:asciiTheme="minorEastAsia" w:eastAsiaTheme="minorEastAsia" w:hAnsiTheme="minorEastAsia"/>
          <w:color w:val="000000" w:themeColor="text1"/>
        </w:rPr>
        <w:t>growth</w:t>
      </w: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技术（technical），情绪（</w:t>
      </w:r>
      <w:r w:rsidRPr="001C6480">
        <w:rPr>
          <w:rFonts w:asciiTheme="minorEastAsia" w:eastAsiaTheme="minorEastAsia" w:hAnsiTheme="minorEastAsia"/>
          <w:color w:val="000000" w:themeColor="text1"/>
        </w:rPr>
        <w:t>sentiment</w:t>
      </w: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质量（</w:t>
      </w:r>
      <w:r w:rsidRPr="001C6480">
        <w:rPr>
          <w:rFonts w:asciiTheme="minorEastAsia" w:eastAsiaTheme="minorEastAsia" w:hAnsiTheme="minorEastAsia"/>
          <w:color w:val="000000" w:themeColor="text1"/>
        </w:rPr>
        <w:t>quality</w:t>
      </w:r>
      <w:r w:rsidRPr="001C6480">
        <w:rPr>
          <w:rFonts w:asciiTheme="minorEastAsia" w:eastAsiaTheme="minorEastAsia" w:hAnsiTheme="minorEastAsia" w:hint="eastAsia"/>
          <w:color w:val="000000" w:themeColor="text1"/>
        </w:rPr>
        <w:t>）等。</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多因子量化模型利用基金管理人内部及外部数据库，综合了来自市场投资者、公司财务报表、证券分析师、政经政策等各方面的大量信息。基金经理根据市场状况及变化对各类信息的重要性做出分析判断，适时调整各因子类别的具体组成及权重。</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hint="eastAsia"/>
          <w:color w:val="000000" w:themeColor="text1"/>
        </w:rPr>
        <w:t>风险估测模型</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有效控制风险预算</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指数化投资力求跟踪误差最小，增强型投资则需要受风险预算的约束。风险预算即最大容忍跟踪误差。本基金将结合市场通用及自主研发的风险估测模型，将投资组合风险控制在预算范围内。本基金采取“跟踪误差”和“跟踪偏离度”这两个指标对投资组合进行监控与评估，以控制投资组合相对于标的指数的偏离风险。</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本基金对标的指数的跟踪目标是：力争使基金净值增长率与业绩比较基准之间的日均跟踪偏离度的绝对值不超过</w:t>
      </w:r>
      <w:r w:rsidRPr="001C6480">
        <w:rPr>
          <w:rFonts w:asciiTheme="minorEastAsia" w:eastAsiaTheme="minorEastAsia" w:hAnsiTheme="minorEastAsia"/>
          <w:color w:val="000000" w:themeColor="text1"/>
        </w:rPr>
        <w:t>0.5%</w:t>
      </w:r>
      <w:r w:rsidRPr="001C6480">
        <w:rPr>
          <w:rFonts w:asciiTheme="minorEastAsia" w:eastAsiaTheme="minorEastAsia" w:hAnsiTheme="minorEastAsia" w:hint="eastAsia"/>
          <w:color w:val="000000" w:themeColor="text1"/>
        </w:rPr>
        <w:t>，年化跟踪误差不超过</w:t>
      </w:r>
      <w:r w:rsidRPr="001C6480">
        <w:rPr>
          <w:rFonts w:asciiTheme="minorEastAsia" w:eastAsiaTheme="minorEastAsia" w:hAnsiTheme="minorEastAsia"/>
          <w:color w:val="000000" w:themeColor="text1"/>
        </w:rPr>
        <w:t>7%</w:t>
      </w:r>
      <w:r w:rsidRPr="001C6480">
        <w:rPr>
          <w:rFonts w:asciiTheme="minorEastAsia" w:eastAsiaTheme="minorEastAsia" w:hAnsiTheme="minorEastAsia" w:hint="eastAsia"/>
          <w:color w:val="000000" w:themeColor="text1"/>
        </w:rPr>
        <w:t>。</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hint="eastAsia"/>
          <w:color w:val="000000" w:themeColor="text1"/>
        </w:rPr>
        <w:t>交易成本模型</w:t>
      </w:r>
      <w:r w:rsidRPr="001C6480">
        <w:rPr>
          <w:rFonts w:asciiTheme="minorEastAsia" w:eastAsiaTheme="minorEastAsia" w:hAnsiTheme="minorEastAsia"/>
          <w:color w:val="000000" w:themeColor="text1"/>
        </w:rPr>
        <w:t>——</w:t>
      </w:r>
      <w:r w:rsidRPr="001C6480">
        <w:rPr>
          <w:rFonts w:asciiTheme="minorEastAsia" w:eastAsiaTheme="minorEastAsia" w:hAnsiTheme="minorEastAsia" w:hint="eastAsia"/>
          <w:color w:val="000000" w:themeColor="text1"/>
        </w:rPr>
        <w:t>控制成本并保护业绩</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本基金的交易成本模型既考虑固定成本，也考虑交易的市场冲击效应，以控制交易成本、减少交易对业绩带来的负面影响。</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hint="eastAsia"/>
          <w:color w:val="000000" w:themeColor="text1"/>
        </w:rPr>
        <w:t>投资组合优化模型</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本基金将综合考虑预期回报，风险及交易成本进行投资组合优化。选股范围以成分股为主，也包括非成分股中与成分股相关性强，流动性好，基本面信息充足的股票。</w:t>
      </w:r>
    </w:p>
    <w:p w:rsidR="00F76EEB"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为更好地实现投资目标，本基金可投资存托凭证。</w:t>
      </w:r>
    </w:p>
    <w:p w:rsidR="00787649" w:rsidRPr="001C6480" w:rsidP="00F71D3B">
      <w:pPr>
        <w:snapToGrid w:val="0"/>
        <w:spacing w:line="360" w:lineRule="auto"/>
        <w:ind w:left="140" w:right="83" w:firstLine="48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color w:val="000000" w:themeColor="text1"/>
        </w:rPr>
        <w:t>其它投资策略</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本基金将审慎投资于法律法规允许及中国证监会批准的其它金融工具，以降低基金资产的风险并提高基金的收益。</w:t>
      </w:r>
    </w:p>
    <w:p w:rsidR="00787649"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投资决策程序</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color w:val="000000" w:themeColor="text1"/>
        </w:rPr>
        <w:t>投资决策依据</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hint="eastAsia"/>
          <w:color w:val="000000" w:themeColor="text1"/>
        </w:rPr>
        <w:t>法律、法规和《基金合同》的规定；</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hint="eastAsia"/>
          <w:color w:val="000000" w:themeColor="text1"/>
        </w:rPr>
        <w:t>标的指数的编制方法及调整公告等；</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hint="eastAsia"/>
          <w:color w:val="000000" w:themeColor="text1"/>
        </w:rPr>
        <w:t>基金管理人自主研发的多因子量化模型</w:t>
      </w:r>
      <w:r w:rsidRPr="001C6480" w:rsidR="001E45D5">
        <w:rPr>
          <w:rFonts w:asciiTheme="minorEastAsia" w:eastAsiaTheme="minorEastAsia" w:hAnsiTheme="minorEastAsia" w:hint="eastAsia"/>
          <w:color w:val="000000" w:themeColor="text1"/>
        </w:rPr>
        <w:t>。</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color w:val="000000" w:themeColor="text1"/>
        </w:rPr>
        <w:t>投资决策流程</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hint="eastAsia"/>
          <w:color w:val="000000" w:themeColor="text1"/>
        </w:rPr>
        <w:t>基金经理依据指数编制单位公布的指数成份股名单及权重，拟定基础投资组合方案。</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hint="eastAsia"/>
          <w:color w:val="000000" w:themeColor="text1"/>
        </w:rPr>
        <w:t>基金经理依据基金管理人自主研发的多因子量化模型，主要根据对标的指数成份股超额收益的预测，对基础投资组合方案中的个股权重进行调整，构建投资组合，并适时进行组合调整。</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hint="eastAsia"/>
          <w:color w:val="000000" w:themeColor="text1"/>
        </w:rPr>
        <w:t>当发生以下情况时，基金管理人将及时对投资组合进行调整，以降低跟踪误差。</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color w:val="000000" w:themeColor="text1"/>
        </w:rPr>
        <w:t>指数编制方法发生变更。基金管理人将评估指数编制方法变更对指数成份股及权重的影响，适时进行投资组合调整。</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color w:val="000000" w:themeColor="text1"/>
        </w:rPr>
        <w:t>指数成份股定期或临时调整。基金管理人将预测指数成份股调整方案，并判断指数成份股调整对投资组合的影响，在此基础上确定组合调整策略。</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color w:val="000000" w:themeColor="text1"/>
        </w:rPr>
        <w:t>指数成份股出现股本变化、增发、配股、派发现金股息等情形。基金管理人将密切关注这些情形对指数的影响，并据此确定相应的投资组合调整策略。</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color w:val="000000" w:themeColor="text1"/>
        </w:rPr>
        <w:t>当因法律法规限制本基金不能投资指数成份股时，基金管理人研究制定成份股替代策略，并适时进行组合调整。</w:t>
      </w:r>
    </w:p>
    <w:p w:rsidR="00787649"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5</w:t>
      </w: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color w:val="000000" w:themeColor="text1"/>
        </w:rPr>
        <w:t>基金参与新股申购、股票长期停牌、股票流动性不足等情形。基金管理人将分析这些情形对跟踪误差的影响，据此对投资组合进行相应调整。</w:t>
      </w:r>
    </w:p>
    <w:p w:rsidR="007C2A47" w:rsidRPr="001C6480" w:rsidP="007C2A47">
      <w:pPr>
        <w:snapToGrid w:val="0"/>
        <w:spacing w:line="360" w:lineRule="auto"/>
        <w:ind w:left="140" w:right="83" w:firstLine="315" w:firstLineChars="15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hint="eastAsia"/>
          <w:color w:val="000000" w:themeColor="text1"/>
        </w:rPr>
        <w:t>指数与量化</w:t>
      </w:r>
      <w:r w:rsidRPr="001C6480">
        <w:rPr>
          <w:rFonts w:asciiTheme="minorEastAsia" w:eastAsiaTheme="minorEastAsia" w:hAnsiTheme="minorEastAsia" w:cs="Times New Roman" w:hint="eastAsia"/>
          <w:color w:val="000000" w:themeColor="text1"/>
        </w:rPr>
        <w:t>投资部定期检验和更新股票超额收益预测模型，并利用该预测模型，</w:t>
      </w:r>
      <w:r w:rsidRPr="001C6480">
        <w:rPr>
          <w:rFonts w:asciiTheme="minorEastAsia" w:eastAsiaTheme="minorEastAsia" w:hAnsiTheme="minorEastAsia" w:hint="eastAsia"/>
          <w:color w:val="000000" w:themeColor="text1"/>
        </w:rPr>
        <w:t>预测下一阶段各成份股的超额收益</w:t>
      </w:r>
      <w:r w:rsidRPr="001C6480">
        <w:rPr>
          <w:rFonts w:asciiTheme="minorEastAsia" w:eastAsiaTheme="minorEastAsia" w:hAnsiTheme="minorEastAsia" w:cs="Times New Roman" w:hint="eastAsia"/>
          <w:color w:val="000000" w:themeColor="text1"/>
        </w:rPr>
        <w:t>率；</w:t>
      </w:r>
      <w:r w:rsidRPr="001C6480">
        <w:rPr>
          <w:rFonts w:asciiTheme="minorEastAsia" w:eastAsiaTheme="minorEastAsia" w:hAnsiTheme="minorEastAsia" w:hint="eastAsia"/>
          <w:color w:val="000000" w:themeColor="text1"/>
        </w:rPr>
        <w:t>研究部提供成份股和部分重点推荐的符合要求的非成份股基本面的研究报告。</w:t>
      </w:r>
    </w:p>
    <w:p w:rsidR="007C2A47" w:rsidRPr="001C6480" w:rsidP="007C2A47">
      <w:pPr>
        <w:snapToGrid w:val="0"/>
        <w:spacing w:line="360" w:lineRule="auto"/>
        <w:ind w:left="140" w:right="83" w:firstLine="315" w:firstLineChars="15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5）指数成份股发生明显负面事件面临退市风险，且指数编制机构暂未作出调整的，基金管理人将按照基金份额持有人利益优先的原则，综合考虑成份股的退市风险、其在指数中的权重以及对跟踪误差的影响，据此制定成份股替代策略，并对投资组合进行相应调整</w:t>
      </w:r>
      <w:r w:rsidRPr="001C6480" w:rsidR="008978C4">
        <w:rPr>
          <w:rFonts w:asciiTheme="minorEastAsia" w:eastAsiaTheme="minorEastAsia" w:hAnsiTheme="minorEastAsia" w:hint="eastAsia"/>
          <w:bCs/>
          <w:color w:val="000000" w:themeColor="text1"/>
        </w:rPr>
        <w:t>。</w:t>
      </w:r>
    </w:p>
    <w:p w:rsidR="007C2A47" w:rsidRPr="001C6480" w:rsidP="007C2A47">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hint="eastAsia"/>
          <w:color w:val="000000" w:themeColor="text1"/>
        </w:rPr>
        <w:t>投资风险管理部定期对投资组合的超额收益与跟踪误差进行量化评估，提供基金经理参考。</w:t>
      </w:r>
    </w:p>
    <w:p w:rsidR="00787649" w:rsidRPr="001C6480" w:rsidP="00F71D3B">
      <w:pPr>
        <w:snapToGrid w:val="0"/>
        <w:spacing w:line="360" w:lineRule="auto"/>
        <w:ind w:firstLine="420" w:firstLineChars="200"/>
        <w:rPr>
          <w:rFonts w:asciiTheme="minorEastAsia" w:eastAsiaTheme="minorEastAsia" w:hAnsiTheme="minorEastAsia"/>
          <w:color w:val="000000" w:themeColor="text1"/>
          <w:sz w:val="24"/>
          <w:szCs w:val="24"/>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7</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hint="eastAsia"/>
          <w:color w:val="000000" w:themeColor="text1"/>
        </w:rPr>
        <w:t>基金经理参考有关研究报告及投资风险管理部门的报告，及时进行投资组合调整。</w:t>
      </w:r>
    </w:p>
    <w:p w:rsidR="0016558F"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投资限制</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1、组合限制</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基金的投资组合应遵循以下限制：</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本基金股票资产占基金资产净值的比例为90%-95%，其中投资于标的指数成份股和备选成份股的资产不低于股票资产的</w:t>
      </w:r>
      <w:r w:rsidRPr="001C6480">
        <w:rPr>
          <w:rFonts w:asciiTheme="minorEastAsia" w:eastAsiaTheme="minorEastAsia" w:hAnsiTheme="minorEastAsia"/>
          <w:bCs/>
          <w:color w:val="000000" w:themeColor="text1"/>
        </w:rPr>
        <w:t>80%；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）本基金持有一家上市公司的股票，其市值不超过基金资产净值的10％；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）本基金管理人管理的全部基金持有一家公司发行的证券，不超过该证券的10％；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）本基金持有的全部权证，其市值不得超过基金资产净值的3％；</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5</w:t>
      </w:r>
      <w:r w:rsidRPr="001C6480">
        <w:rPr>
          <w:rFonts w:asciiTheme="minorEastAsia" w:eastAsiaTheme="minorEastAsia" w:hAnsiTheme="minorEastAsia"/>
          <w:bCs/>
          <w:color w:val="000000" w:themeColor="text1"/>
        </w:rPr>
        <w:t>）本基金管理人管理的全部基金持有的同一权证，不得超过该权证的10％；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6</w:t>
      </w:r>
      <w:r w:rsidRPr="001C6480">
        <w:rPr>
          <w:rFonts w:asciiTheme="minorEastAsia" w:eastAsiaTheme="minorEastAsia" w:hAnsiTheme="minorEastAsia"/>
          <w:bCs/>
          <w:color w:val="000000" w:themeColor="text1"/>
        </w:rPr>
        <w:t>）本基金在任何交易日买入权证的总金额，不得超过上一交易日基金资产净值的0.5％；</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7</w:t>
      </w:r>
      <w:r w:rsidRPr="001C6480">
        <w:rPr>
          <w:rFonts w:asciiTheme="minorEastAsia" w:eastAsiaTheme="minorEastAsia" w:hAnsiTheme="minorEastAsia"/>
          <w:bCs/>
          <w:color w:val="000000" w:themeColor="text1"/>
        </w:rPr>
        <w:t>）本基金投资于同一原始权益人的各类资产支持证券的比例，不得超过基金资产净值的10％；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8</w:t>
      </w:r>
      <w:r w:rsidRPr="001C6480">
        <w:rPr>
          <w:rFonts w:asciiTheme="minorEastAsia" w:eastAsiaTheme="minorEastAsia" w:hAnsiTheme="minorEastAsia"/>
          <w:bCs/>
          <w:color w:val="000000" w:themeColor="text1"/>
        </w:rPr>
        <w:t>）本基金持有的全部资产支持证券，其市值不得超过基金资产净值的20％；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9</w:t>
      </w:r>
      <w:r w:rsidRPr="001C6480">
        <w:rPr>
          <w:rFonts w:asciiTheme="minorEastAsia" w:eastAsiaTheme="minorEastAsia" w:hAnsiTheme="minorEastAsia"/>
          <w:bCs/>
          <w:color w:val="000000" w:themeColor="text1"/>
        </w:rPr>
        <w:t>）本基金持有的同一(指同一信用级别)资产支持证券的比例，不得超过该资产支持证券规模的10％；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0</w:t>
      </w:r>
      <w:r w:rsidRPr="001C6480">
        <w:rPr>
          <w:rFonts w:asciiTheme="minorEastAsia" w:eastAsiaTheme="minorEastAsia" w:hAnsiTheme="minorEastAsia"/>
          <w:bCs/>
          <w:color w:val="000000" w:themeColor="text1"/>
        </w:rPr>
        <w:t>）本基金管理人管理的全部基金投资于同一原始权益人的各类资产支持证券，不得超过其各类资产支持证券合计规模的10％；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）本基金应投资于信用级别评级为BBB以上(含BBB)的资产支持证券。基金持有资产支持证券期间，如果其信用等级下降、不再符合投资标准，应在评级报告发布之日起3个月内予以全部卖出；</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）基金财产参与股票发行申购，本基金所申报的金额不超过本基金的总资产，本基金所申报的股票数量不超过拟发行股票公司本次发行股票的总量；</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）本基金进入全国银行间同业市场进行债券回购的资金余额不得超过基金资产净值的40%；</w:t>
      </w:r>
      <w:r w:rsidRPr="001C6480">
        <w:rPr>
          <w:rFonts w:asciiTheme="minorEastAsia" w:eastAsiaTheme="minorEastAsia" w:hAnsiTheme="minorEastAsia" w:hint="eastAsia"/>
          <w:bCs/>
          <w:color w:val="000000" w:themeColor="text1"/>
        </w:rPr>
        <w:t>债券回购最长期限为1年，债券回购到期后不得展期；</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14）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（15）本基金投资于股指期货，还应遵循如下投资组合限制：</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1）在任何交易日日终，本基金持有的买入股指期货合约价值不超过基金资产净值的10%，卖出股指期货合约价值不超过基金持有的股票总市值的20%。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2）在任何交易日日终，本基金持有的买入期货合约价值与有价证券市值之和不得超过基金资产净值的95%。</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其中，有价证券指股票、债券（不含到期日在一年以内的政府债券）、权证、资产支持证券、买入返售金融资产（不含质押式回购）等。</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3）本基金所持有的股票市值和买入、卖出股指期货合约价值，合计（轧差计算）占基金资产净值的比例范围为90%-95%。</w:t>
      </w:r>
    </w:p>
    <w:p w:rsidR="0016558F" w:rsidRPr="001C6480" w:rsidP="00BC3EF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4）本基金在任何交易日内交易（不包括平仓）的股指期货合约的成交金额不得超过上一交易日基金资产净值的20%。</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本基金管理人应当按照中国金融期货交易所的要求向其报告所交易和持有的卖出期货合约情况、交易目的及对应的证券资产情况等。</w:t>
      </w:r>
    </w:p>
    <w:p w:rsidR="00BC3EF6" w:rsidRPr="001C6480" w:rsidP="00BC3EF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（16）本基金每个交易日日终在扣除股指期货合约需缴纳的交易保证金后，应当保持不低于基金资产净值5%的现金或到期日在一年以内的政府债券，现金不包括结算备付金、存出保证金、应收申购款等。</w:t>
      </w:r>
    </w:p>
    <w:p w:rsidR="00BC3EF6" w:rsidRPr="001C6480" w:rsidP="00BC3EF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C3EF6" w:rsidRPr="001C6480" w:rsidP="00BC3EF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（18）本基金主动投资于流动性受限资产的市值合计不得超过本基金资产净值的15%。</w:t>
      </w:r>
    </w:p>
    <w:p w:rsidR="00BC3EF6" w:rsidRPr="001C6480" w:rsidP="00BC3EF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因证券市场波动、上市公司股票停牌、基金规模变动等基金管理人之外的因素致使基金不符合前款所规定比例限制的，基金管理人不得主动新增流动性受限资产的投资。</w:t>
      </w:r>
    </w:p>
    <w:p w:rsidR="00BC3EF6" w:rsidRPr="001C6480" w:rsidP="00BC3EF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（19）本基金与私募类证券资管产品及中国证监会认定的其他主体为交易对手开展逆回购交易的，可接受质押品的资质要求应当与基金合同约定的投资范围保持一致。</w:t>
      </w:r>
    </w:p>
    <w:p w:rsidR="00F76EEB" w:rsidRPr="001C6480" w:rsidP="00F76EE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（20）本基金投资存托凭证的比例限制依照境内上市交易的股票执行，与境内上市交易的股票合并计算。</w:t>
      </w:r>
    </w:p>
    <w:p w:rsidR="00BC3EF6" w:rsidRPr="001C6480" w:rsidP="00F76EE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（21）法律法规及中国证监会规定的及《基金合同》约定的其他投资比例限制。</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除上述（11）、（12）、（16）、（18）、（19）以外，</w:t>
      </w:r>
      <w:r w:rsidRPr="001C6480">
        <w:rPr>
          <w:rFonts w:asciiTheme="minorEastAsia" w:eastAsiaTheme="minorEastAsia" w:hAnsiTheme="minorEastAsia"/>
          <w:bCs/>
          <w:color w:val="000000" w:themeColor="text1"/>
        </w:rPr>
        <w:t>因证券</w:t>
      </w:r>
      <w:r w:rsidRPr="001C6480">
        <w:rPr>
          <w:rFonts w:asciiTheme="minorEastAsia" w:eastAsiaTheme="minorEastAsia" w:hAnsiTheme="minorEastAsia" w:hint="eastAsia"/>
          <w:bCs/>
          <w:color w:val="000000" w:themeColor="text1"/>
        </w:rPr>
        <w:t>、期货</w:t>
      </w:r>
      <w:r w:rsidRPr="001C6480">
        <w:rPr>
          <w:rFonts w:asciiTheme="minorEastAsia" w:eastAsiaTheme="minorEastAsia" w:hAnsiTheme="minorEastAsia"/>
          <w:bCs/>
          <w:color w:val="000000" w:themeColor="text1"/>
        </w:rPr>
        <w:t>市场波动、上市公司合并、基金规模变动、股权分置改革中支付对价等基金管理人之外的因素致使基金投资比例不符合上述规定投资比例的，基金管理人应当在10个交易日内进行调整。</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基金管理人应当自基金合同生效之日起</w:t>
      </w:r>
      <w:r w:rsidRPr="001C6480">
        <w:rPr>
          <w:rFonts w:asciiTheme="minorEastAsia" w:eastAsiaTheme="minorEastAsia" w:hAnsiTheme="minorEastAsia" w:hint="eastAsia"/>
          <w:bCs/>
          <w:color w:val="000000" w:themeColor="text1"/>
        </w:rPr>
        <w:t>6</w:t>
      </w:r>
      <w:r w:rsidRPr="001C6480">
        <w:rPr>
          <w:rFonts w:asciiTheme="minorEastAsia" w:eastAsiaTheme="minorEastAsia" w:hAnsiTheme="minorEastAsia"/>
          <w:bCs/>
          <w:color w:val="000000" w:themeColor="text1"/>
        </w:rPr>
        <w:t>个月内使基金的投资组合比例符合基金合同的有关约定。基金托管人对基金的投资的监督与检查自基金合同生效之日起开始。</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法律法规或监管部门取消上述限制，如适用于本基金，基金管理人</w:t>
      </w:r>
      <w:r w:rsidRPr="001C6480">
        <w:rPr>
          <w:rFonts w:asciiTheme="minorEastAsia" w:eastAsiaTheme="minorEastAsia" w:hAnsiTheme="minorEastAsia" w:hint="eastAsia"/>
          <w:bCs/>
          <w:color w:val="000000" w:themeColor="text1"/>
        </w:rPr>
        <w:t>在</w:t>
      </w:r>
      <w:r w:rsidRPr="001C6480">
        <w:rPr>
          <w:rFonts w:asciiTheme="minorEastAsia" w:eastAsiaTheme="minorEastAsia" w:hAnsiTheme="minorEastAsia"/>
          <w:bCs/>
          <w:color w:val="000000" w:themeColor="text1"/>
        </w:rPr>
        <w:t>履行适当程序后，则本基金投资不再受相关限制。</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禁止行为</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为维护基金份额持有人的合法权益，基金财产不得用于下列投资或者活动：</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（1）承销证券；</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）向他人贷款或者提供担保；</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）从事承担无限责任的投资；</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）买卖其他基金份额，但是国务院另有规定的除外；</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5</w:t>
      </w:r>
      <w:r w:rsidRPr="001C6480">
        <w:rPr>
          <w:rFonts w:asciiTheme="minorEastAsia" w:eastAsiaTheme="minorEastAsia" w:hAnsiTheme="minorEastAsia"/>
          <w:bCs/>
          <w:color w:val="000000" w:themeColor="text1"/>
        </w:rPr>
        <w:t>）向其基金管理人、基金托管人出资或者买卖其基金管理人、基金托管人发行的股票或者债券；</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6</w:t>
      </w:r>
      <w:r w:rsidRPr="001C6480">
        <w:rPr>
          <w:rFonts w:asciiTheme="minorEastAsia" w:eastAsiaTheme="minorEastAsia" w:hAnsiTheme="minorEastAsia"/>
          <w:bCs/>
          <w:color w:val="000000" w:themeColor="text1"/>
        </w:rPr>
        <w:t>）买卖与其基金管理人、基金托管人有控股关系的股东或者与其基金管理人、基金托管人有其他重大利害关系的公司发行的证券或者承销期内承销的证券；</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7</w:t>
      </w:r>
      <w:r w:rsidRPr="001C6480">
        <w:rPr>
          <w:rFonts w:asciiTheme="minorEastAsia" w:eastAsiaTheme="minorEastAsia" w:hAnsiTheme="minorEastAsia"/>
          <w:bCs/>
          <w:color w:val="000000" w:themeColor="text1"/>
        </w:rPr>
        <w:t>）从事内幕交易、操纵证券交易价格及其他不正当的证券交易活动；</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8</w:t>
      </w:r>
      <w:r w:rsidRPr="001C6480">
        <w:rPr>
          <w:rFonts w:asciiTheme="minorEastAsia" w:eastAsiaTheme="minorEastAsia" w:hAnsiTheme="minorEastAsia"/>
          <w:bCs/>
          <w:color w:val="000000" w:themeColor="text1"/>
        </w:rPr>
        <w:t>）依照法律法规有关规定，由中国证监会规定禁止的其他活动</w:t>
      </w:r>
      <w:r w:rsidRPr="001C6480">
        <w:rPr>
          <w:rFonts w:asciiTheme="minorEastAsia" w:eastAsiaTheme="minorEastAsia" w:hAnsiTheme="minorEastAsia" w:hint="eastAsia"/>
          <w:bCs/>
          <w:color w:val="000000" w:themeColor="text1"/>
        </w:rPr>
        <w:t>。</w:t>
      </w:r>
    </w:p>
    <w:p w:rsidR="0016558F"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若将来法律法规或中国证监会的相关规定发生修改或变更，致使前述约定的投资禁止行为和投资组合比例限制修改或取消，如适用于本基金，则本基金可相应调整禁止行为和投资限制规定。</w:t>
      </w:r>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标的指数和</w:t>
      </w:r>
      <w:r w:rsidRPr="001C6480">
        <w:rPr>
          <w:rFonts w:asciiTheme="minorEastAsia" w:eastAsiaTheme="minorEastAsia" w:hAnsiTheme="minorEastAsia" w:cs="Arial"/>
          <w:b w:val="0"/>
          <w:color w:val="000000" w:themeColor="text1"/>
        </w:rPr>
        <w:t>业绩比较基准</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本基金的标的指数为：沪深300指数</w:t>
      </w:r>
    </w:p>
    <w:p w:rsidR="0016558F"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本基金的业绩比较基准为：</w:t>
      </w:r>
    </w:p>
    <w:p w:rsidR="001A7CDB" w:rsidRPr="001C6480" w:rsidP="00F71D3B">
      <w:pPr>
        <w:snapToGrid w:val="0"/>
        <w:spacing w:line="360" w:lineRule="auto"/>
        <w:ind w:firstLine="42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沪深300指数收益率</w:t>
      </w:r>
      <w:r w:rsidRPr="001C6480" w:rsidR="0016558F">
        <w:rPr>
          <w:rFonts w:asciiTheme="minorEastAsia" w:eastAsiaTheme="minorEastAsia" w:hAnsiTheme="minorEastAsia" w:hint="eastAsia"/>
          <w:bCs/>
          <w:color w:val="000000" w:themeColor="text1"/>
        </w:rPr>
        <w:t>*95</w:t>
      </w:r>
      <w:r w:rsidRPr="001C6480">
        <w:rPr>
          <w:rFonts w:asciiTheme="minorEastAsia" w:eastAsiaTheme="minorEastAsia" w:hAnsiTheme="minorEastAsia"/>
          <w:bCs/>
          <w:color w:val="000000" w:themeColor="text1"/>
        </w:rPr>
        <w:t>%+活期存款利率（税后）</w:t>
      </w:r>
      <w:r w:rsidRPr="001C6480" w:rsidR="0016558F">
        <w:rPr>
          <w:rFonts w:asciiTheme="minorEastAsia" w:eastAsiaTheme="minorEastAsia" w:hAnsiTheme="minorEastAsia" w:hint="eastAsia"/>
          <w:bCs/>
          <w:color w:val="000000" w:themeColor="text1"/>
        </w:rPr>
        <w:t>*5</w:t>
      </w:r>
      <w:r w:rsidRPr="001C6480">
        <w:rPr>
          <w:rFonts w:asciiTheme="minorEastAsia" w:eastAsiaTheme="minorEastAsia" w:hAnsiTheme="minorEastAsia"/>
          <w:bCs/>
          <w:color w:val="000000" w:themeColor="text1"/>
        </w:rPr>
        <w:t>%</w:t>
      </w:r>
    </w:p>
    <w:p w:rsidR="007C2A47" w:rsidRPr="001C6480" w:rsidP="007C2A47">
      <w:pPr>
        <w:snapToGrid w:val="0"/>
        <w:spacing w:line="360" w:lineRule="auto"/>
        <w:ind w:firstLine="42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未来若出现标的指数不符合法律法规及监管的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16558F" w:rsidRPr="001C6480" w:rsidP="007C2A47">
      <w:pPr>
        <w:snapToGrid w:val="0"/>
        <w:spacing w:line="360" w:lineRule="auto"/>
        <w:ind w:firstLine="42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自指数编制机构停止标的指数的编制及发布至解决方案确定期间，基金管理人应按照指数编制机构提供的最近一个交易日的指数信息遵循基金份额持有人利益优先原则维持基金投资运作。</w:t>
      </w:r>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风险收益特征</w:t>
      </w:r>
    </w:p>
    <w:p w:rsidR="0016558F"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本基金属股票型基金中的指数增强型基</w:t>
      </w:r>
      <w:r w:rsidRPr="001C6480">
        <w:rPr>
          <w:rFonts w:asciiTheme="minorEastAsia" w:eastAsiaTheme="minorEastAsia" w:hAnsiTheme="minorEastAsia" w:hint="eastAsia"/>
          <w:color w:val="000000" w:themeColor="text1"/>
          <w:spacing w:val="1"/>
        </w:rPr>
        <w:t>金</w:t>
      </w:r>
      <w:r w:rsidRPr="001C6480">
        <w:rPr>
          <w:rFonts w:asciiTheme="minorEastAsia" w:eastAsiaTheme="minorEastAsia" w:hAnsiTheme="minorEastAsia" w:hint="eastAsia"/>
          <w:color w:val="000000" w:themeColor="text1"/>
        </w:rPr>
        <w:t>，预期风险与预期收益水平高于混合型基金、债券型基金与货币市场基金。</w:t>
      </w:r>
    </w:p>
    <w:p w:rsidR="0016558F"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宋体"/>
          <w:b w:val="0"/>
          <w:color w:val="000000" w:themeColor="text1"/>
          <w:szCs w:val="21"/>
        </w:rPr>
      </w:pPr>
      <w:r w:rsidRPr="001C6480">
        <w:rPr>
          <w:rFonts w:asciiTheme="minorEastAsia" w:eastAsiaTheme="minorEastAsia" w:hAnsiTheme="minorEastAsia" w:cs="宋体" w:hint="eastAsia"/>
          <w:b w:val="0"/>
          <w:color w:val="000000" w:themeColor="text1"/>
          <w:szCs w:val="21"/>
        </w:rPr>
        <w:t>基金的融资、融券、转融通</w:t>
      </w:r>
    </w:p>
    <w:p w:rsidR="0016558F" w:rsidRPr="001C6480" w:rsidP="00F71D3B">
      <w:pPr>
        <w:snapToGrid w:val="0"/>
        <w:spacing w:line="360" w:lineRule="auto"/>
        <w:ind w:firstLine="420" w:firstLineChars="200"/>
        <w:rPr>
          <w:rFonts w:asciiTheme="minorEastAsia" w:eastAsiaTheme="minorEastAsia" w:hAnsiTheme="minorEastAsia"/>
          <w:color w:val="000000" w:themeColor="text1"/>
        </w:rPr>
      </w:pPr>
      <w:bookmarkStart w:id="79" w:name="_Toc79392634"/>
      <w:r w:rsidRPr="001C6480">
        <w:rPr>
          <w:rFonts w:asciiTheme="minorEastAsia" w:eastAsiaTheme="minorEastAsia" w:hAnsiTheme="minorEastAsia" w:hint="eastAsia"/>
          <w:bCs/>
          <w:color w:val="000000" w:themeColor="text1"/>
        </w:rPr>
        <w:t>本基金可以根据届时有效的有关法律法规和政策的规定进行融资融券、转融通。待基金参与融资融券和转融通业务的相关规定颁布后，基金管理人可以在不改变本基金既有投资目标、策略和风险收益特征并在控制风险的前提下，参与融资融券业务以及通过证券金</w:t>
      </w:r>
      <w:r w:rsidRPr="001C6480">
        <w:rPr>
          <w:rFonts w:asciiTheme="minorEastAsia" w:eastAsiaTheme="minorEastAsia" w:hAnsiTheme="minorEastAsia" w:hint="eastAsia"/>
          <w:bCs/>
          <w:color w:val="000000" w:themeColor="text1"/>
        </w:rPr>
        <w:t>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审议。</w:t>
      </w:r>
      <w:bookmarkEnd w:id="79"/>
    </w:p>
    <w:p w:rsidR="0016558F"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宋体"/>
          <w:b w:val="0"/>
          <w:color w:val="000000" w:themeColor="text1"/>
          <w:szCs w:val="21"/>
        </w:rPr>
      </w:pPr>
      <w:r w:rsidRPr="001C6480">
        <w:rPr>
          <w:rFonts w:asciiTheme="minorEastAsia" w:eastAsiaTheme="minorEastAsia" w:hAnsiTheme="minorEastAsia" w:cs="宋体"/>
          <w:b w:val="0"/>
          <w:color w:val="000000" w:themeColor="text1"/>
          <w:szCs w:val="21"/>
        </w:rPr>
        <w:t>未来，如果基金管理人推出</w:t>
      </w:r>
      <w:r w:rsidRPr="001C6480">
        <w:rPr>
          <w:rFonts w:asciiTheme="minorEastAsia" w:eastAsiaTheme="minorEastAsia" w:hAnsiTheme="minorEastAsia" w:cs="宋体" w:hint="eastAsia"/>
          <w:b w:val="0"/>
          <w:color w:val="000000" w:themeColor="text1"/>
          <w:szCs w:val="21"/>
        </w:rPr>
        <w:t>与本基金投资目标、投资策略相同的</w:t>
      </w:r>
      <w:r w:rsidRPr="001C6480">
        <w:rPr>
          <w:rFonts w:asciiTheme="minorEastAsia" w:eastAsiaTheme="minorEastAsia" w:hAnsiTheme="minorEastAsia" w:cs="宋体"/>
          <w:b w:val="0"/>
          <w:color w:val="000000" w:themeColor="text1"/>
          <w:szCs w:val="21"/>
        </w:rPr>
        <w:t>ETF，在不改变本基金投资目标的前提下，</w:t>
      </w:r>
      <w:r w:rsidRPr="001C6480">
        <w:rPr>
          <w:rFonts w:asciiTheme="minorEastAsia" w:eastAsiaTheme="minorEastAsia" w:hAnsiTheme="minorEastAsia" w:cs="宋体" w:hint="eastAsia"/>
          <w:b w:val="0"/>
          <w:color w:val="000000" w:themeColor="text1"/>
          <w:szCs w:val="21"/>
        </w:rPr>
        <w:t>经基金管理人与基金托管人协商一致，</w:t>
      </w:r>
      <w:r w:rsidRPr="001C6480">
        <w:rPr>
          <w:rFonts w:asciiTheme="minorEastAsia" w:eastAsiaTheme="minorEastAsia" w:hAnsiTheme="minorEastAsia" w:cs="宋体"/>
          <w:b w:val="0"/>
          <w:color w:val="000000" w:themeColor="text1"/>
          <w:szCs w:val="21"/>
        </w:rPr>
        <w:t>本基金</w:t>
      </w:r>
      <w:r w:rsidRPr="001C6480">
        <w:rPr>
          <w:rFonts w:asciiTheme="minorEastAsia" w:eastAsiaTheme="minorEastAsia" w:hAnsiTheme="minorEastAsia" w:cs="宋体" w:hint="eastAsia"/>
          <w:b w:val="0"/>
          <w:color w:val="000000" w:themeColor="text1"/>
          <w:szCs w:val="21"/>
        </w:rPr>
        <w:t>可</w:t>
      </w:r>
      <w:r w:rsidRPr="001C6480">
        <w:rPr>
          <w:rFonts w:asciiTheme="minorEastAsia" w:eastAsiaTheme="minorEastAsia" w:hAnsiTheme="minorEastAsia" w:cs="宋体"/>
          <w:b w:val="0"/>
          <w:color w:val="000000" w:themeColor="text1"/>
          <w:szCs w:val="21"/>
        </w:rPr>
        <w:t>转为</w:t>
      </w:r>
      <w:r w:rsidRPr="001C6480">
        <w:rPr>
          <w:rFonts w:asciiTheme="minorEastAsia" w:eastAsiaTheme="minorEastAsia" w:hAnsiTheme="minorEastAsia" w:cs="宋体" w:hint="eastAsia"/>
          <w:b w:val="0"/>
          <w:color w:val="000000" w:themeColor="text1"/>
          <w:szCs w:val="21"/>
        </w:rPr>
        <w:t>该</w:t>
      </w:r>
      <w:r w:rsidRPr="001C6480">
        <w:rPr>
          <w:rFonts w:asciiTheme="minorEastAsia" w:eastAsiaTheme="minorEastAsia" w:hAnsiTheme="minorEastAsia" w:cs="宋体"/>
          <w:b w:val="0"/>
          <w:color w:val="000000" w:themeColor="text1"/>
          <w:szCs w:val="21"/>
        </w:rPr>
        <w:t>ETF的联接基金</w:t>
      </w:r>
      <w:r w:rsidRPr="001C6480">
        <w:rPr>
          <w:rFonts w:asciiTheme="minorEastAsia" w:eastAsiaTheme="minorEastAsia" w:hAnsiTheme="minorEastAsia" w:cs="宋体" w:hint="eastAsia"/>
          <w:b w:val="0"/>
          <w:color w:val="000000" w:themeColor="text1"/>
          <w:szCs w:val="21"/>
        </w:rPr>
        <w:t>，无需召开基金份额持有人大会</w:t>
      </w:r>
      <w:r w:rsidRPr="001C6480">
        <w:rPr>
          <w:rFonts w:asciiTheme="minorEastAsia" w:eastAsiaTheme="minorEastAsia" w:hAnsiTheme="minorEastAsia" w:cs="宋体"/>
          <w:b w:val="0"/>
          <w:color w:val="000000" w:themeColor="text1"/>
          <w:szCs w:val="21"/>
        </w:rPr>
        <w:t>。ETF联接基金是指将其绝大部分基金财产投资于跟踪同一标的指数的ETF，紧密跟踪标的指数表现，追求跟踪偏离度和跟踪误差最小化，采用开放式运作方式的基金。</w:t>
      </w:r>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投资组合比例调整</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管理人应当自基金合同生效之日起六个月内使基金的投资组合比例符合基金合同的约定。因证券市场波动、上市公司合并、基金规模变动等基金管理人之外的因素致使基金投资不符合基金合同约定的投资比例规定的，基金管理人应当在十个交易日内进行调整。法律法规或监管机构另有规定时，从其规定。</w:t>
      </w:r>
    </w:p>
    <w:p w:rsidR="001A7CDB"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基金管理人代表基金行使股东权利的处理原则及方法</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基金管理人按照国家有关规定代表基金独立行使股东权利，保护基金份额持有人的利益；</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有利于基金财产的安全与增值；</w:t>
      </w:r>
      <w:bookmarkEnd w:id="76"/>
      <w:bookmarkEnd w:id="77"/>
      <w:bookmarkEnd w:id="78"/>
    </w:p>
    <w:p w:rsidR="00EB2D68" w:rsidRPr="001C6480" w:rsidP="00F71D3B">
      <w:pPr>
        <w:pStyle w:val="Heading2"/>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基金投资组合报告（未经审计）</w:t>
      </w:r>
    </w:p>
    <w:p w:rsidR="0083576F" w:rsidRPr="001C6480" w:rsidP="00F71D3B">
      <w:pPr>
        <w:pStyle w:val="NormalWeb"/>
        <w:snapToGrid w:val="0"/>
        <w:spacing w:line="360" w:lineRule="auto"/>
        <w:ind w:firstLine="420" w:firstLineChars="200"/>
        <w:rPr>
          <w:rFonts w:asciiTheme="minorEastAsia" w:eastAsiaTheme="minorEastAsia" w:hAnsiTheme="minorEastAsia"/>
          <w:color w:val="000000" w:themeColor="text1"/>
          <w:sz w:val="21"/>
          <w:szCs w:val="21"/>
        </w:rPr>
      </w:pPr>
      <w:r w:rsidRPr="001C6480">
        <w:rPr>
          <w:rFonts w:asciiTheme="minorEastAsia" w:eastAsiaTheme="minorEastAsia" w:hAnsiTheme="minorEastAsia" w:hint="eastAsia"/>
          <w:color w:val="000000" w:themeColor="text1"/>
          <w:sz w:val="21"/>
          <w:szCs w:val="21"/>
        </w:rPr>
        <w:t>本基金管理人的董事会及董事保证本报告所载资料不存在虚假记载、误导性陈述或重大遗漏，并对其内容的真实性、准确性和完整性承担个别及连带责任。</w:t>
      </w:r>
    </w:p>
    <w:p w:rsidR="0083576F" w:rsidRPr="001C6480" w:rsidP="00F71D3B">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hint="eastAsia"/>
          <w:color w:val="000000" w:themeColor="text1"/>
          <w:sz w:val="21"/>
          <w:szCs w:val="21"/>
        </w:rPr>
        <w:t>本基金的托管人</w:t>
      </w:r>
      <w:r w:rsidRPr="001C6480" w:rsidR="00D75CA1">
        <w:rPr>
          <w:rFonts w:asciiTheme="minorEastAsia" w:eastAsiaTheme="minorEastAsia" w:hAnsiTheme="minorEastAsia" w:hint="eastAsia"/>
          <w:color w:val="000000" w:themeColor="text1"/>
          <w:sz w:val="21"/>
          <w:szCs w:val="21"/>
        </w:rPr>
        <w:t>中国建设银行股份有限公司</w:t>
      </w:r>
      <w:r w:rsidRPr="001C6480">
        <w:rPr>
          <w:rFonts w:asciiTheme="minorEastAsia" w:eastAsiaTheme="minorEastAsia" w:hAnsiTheme="minorEastAsia" w:hint="eastAsia"/>
          <w:color w:val="000000" w:themeColor="text1"/>
          <w:sz w:val="21"/>
          <w:szCs w:val="21"/>
        </w:rPr>
        <w:t>根据本基金合同的规定，复核了本报告的内容，保证复核内容不存在虚假记载、误导性陈述或者重大遗漏。</w:t>
      </w:r>
    </w:p>
    <w:p w:rsidR="00456977" w:rsidRPr="001C6480" w:rsidP="00456977">
      <w:pPr>
        <w:snapToGrid w:val="0"/>
        <w:spacing w:line="360" w:lineRule="auto"/>
        <w:ind w:firstLine="420" w:firstLineChars="200"/>
        <w:rPr>
          <w:rFonts w:asciiTheme="minorEastAsia" w:eastAsiaTheme="minorEastAsia" w:hAnsiTheme="minorEastAsia" w:cs="Times New Roman"/>
          <w:color w:val="000000" w:themeColor="text1"/>
          <w:kern w:val="2"/>
          <w:szCs w:val="24"/>
        </w:rPr>
      </w:pPr>
      <w:r w:rsidRPr="001C6480">
        <w:rPr>
          <w:rFonts w:asciiTheme="minorEastAsia" w:eastAsiaTheme="minorEastAsia" w:hAnsiTheme="minorEastAsia"/>
          <w:color w:val="000000" w:themeColor="text1"/>
        </w:rPr>
        <w:t>本投资组合报告有关数据的期间为2021年10月1日至2021年12月31日。</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 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937,090,255.02</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93.54</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937,090,255.02</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93.54</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FF24EB" w:rsidRPr="001C6480">
            <w:pPr>
              <w:ind w:left="105" w:leftChars="5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61,917,543.25</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6.18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2,834,006.13</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0.28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1,001,841,804.40</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100.00</w:t>
            </w:r>
          </w:p>
        </w:tc>
      </w:tr>
    </w:tbl>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2、 报告期末按行业分类的股票投资组合</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（1）报告期末按行业分类的境内股票投资组合</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w:t>
      </w:r>
      <w:r w:rsidRPr="001C6480" w:rsidR="000A1D2A">
        <w:rPr>
          <w:rFonts w:asciiTheme="minorEastAsia" w:eastAsiaTheme="minorEastAsia" w:hAnsiTheme="minorEastAsia"/>
          <w:color w:val="000000" w:themeColor="text1"/>
          <w:sz w:val="21"/>
          <w:szCs w:val="21"/>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tblPrEx>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占基金资产净值比例（％）</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18,229,081.51</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1.83</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11,519.99</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0.00</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98,026.68</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0.01</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3,194,286.00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0.32</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4,608.00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0.00</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3,793,946.06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0.38</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4,601,557.42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0.46</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15,811.84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0.00</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18,161.78</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0.00</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8,414.64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0.00</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29,975,413.92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3.00</w:t>
            </w:r>
          </w:p>
        </w:tc>
      </w:tr>
    </w:tbl>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2</w:t>
      </w:r>
      <w:r w:rsidRPr="001C6480" w:rsidR="000A1D2A">
        <w:rPr>
          <w:rFonts w:asciiTheme="minorEastAsia" w:eastAsiaTheme="minorEastAsia" w:hAnsiTheme="minorEastAsia"/>
          <w:color w:val="000000" w:themeColor="text1"/>
          <w:sz w:val="21"/>
          <w:szCs w:val="21"/>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tblPrEx>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占基金资产净值比例（％）</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6,250,519.52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0.63</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10,297,267.80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1.03</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536,109,878.02</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53.72</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2,686,800.13</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0.27</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2,214,986.00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0.22</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1,095,600.00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0.11</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42,285,634.36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4.24</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215,512,239.03</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21.59</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17,077,301.56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1.71</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25,473,501.00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2.55</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25,668,943.34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2.57</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13,452,965.56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1.35</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8,989,204.78</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0.90</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8731" w:type="dxa"/>
          <w:tblInd w:w="10"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jc w:val="center"/>
              <w:rPr>
                <w:rFonts w:asciiTheme="minorEastAsia" w:eastAsiaTheme="minorEastAsia" w:hAnsi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adjustRightInd w:val="0"/>
              <w:snapToGrid w:val="0"/>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907,114,841.10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FF24EB" w:rsidRPr="001C6480">
            <w:pPr>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90.89</w:t>
            </w:r>
          </w:p>
        </w:tc>
      </w:tr>
    </w:tbl>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3、期末按公允价值占基金资产净值比例大小排序的股票投资明细</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（1）期末指数投资按公允价值占基金资产净值比例大小排序的前十名股票投资明细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559"/>
        <w:gridCol w:w="1843"/>
        <w:gridCol w:w="2268"/>
        <w:gridCol w:w="1134"/>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股票代码</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股票名称</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数量（股）</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公允价值（元）</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占基金资产净值比例(％)</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600519</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贵州茅台</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34,918</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71,581,900.00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7.17</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600036</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招商银行</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841,147</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40,972,270.37</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4.11</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000858</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五粮液</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158,500</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35,291,610.00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3.54</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601318</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中国平安</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614,488</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30,976,340.08</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3.10</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300750</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宁德时代</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43,400</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25,519,200.00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2.56</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601888</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中国中免</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116,100</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25,473,501.00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2.55</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300059</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东方财富</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628,207</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23,312,761.77</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2.34</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601012</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隆基股份</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260,922</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22,491,476.40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2.25</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000001</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平安银行</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1,235,774</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20,365,555.52</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2.04</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000333</w:t>
            </w:r>
          </w:p>
        </w:tc>
        <w:tc>
          <w:tcPr>
            <w:tcW w:w="1559"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美的集团</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270,312</w:t>
            </w:r>
          </w:p>
        </w:tc>
        <w:tc>
          <w:tcPr>
            <w:tcW w:w="2268"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19,951,728.72</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2.00</w:t>
            </w:r>
          </w:p>
        </w:tc>
      </w:tr>
    </w:tbl>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（2）期末积极投资按公允价值占基金资产净值比例大小排序的前五名股票投资明细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701"/>
        <w:gridCol w:w="1843"/>
        <w:gridCol w:w="2126"/>
        <w:gridCol w:w="1134"/>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股票代码</w:t>
            </w:r>
          </w:p>
        </w:tc>
        <w:tc>
          <w:tcPr>
            <w:tcW w:w="1701"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股票名称</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数量（股）</w:t>
            </w:r>
          </w:p>
        </w:tc>
        <w:tc>
          <w:tcPr>
            <w:tcW w:w="2126"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公允价值（元）</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占基金资产净值比例(％)</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000733</w:t>
            </w:r>
          </w:p>
        </w:tc>
        <w:tc>
          <w:tcPr>
            <w:tcW w:w="1701"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振华科技</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40,902</w:t>
            </w:r>
          </w:p>
        </w:tc>
        <w:tc>
          <w:tcPr>
            <w:tcW w:w="212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5,083,300.56</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0.51</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300012</w:t>
            </w:r>
          </w:p>
        </w:tc>
        <w:tc>
          <w:tcPr>
            <w:tcW w:w="1701"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华测检测</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168,000</w:t>
            </w:r>
          </w:p>
        </w:tc>
        <w:tc>
          <w:tcPr>
            <w:tcW w:w="212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4,514,160.00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0.45</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300253</w:t>
            </w:r>
          </w:p>
        </w:tc>
        <w:tc>
          <w:tcPr>
            <w:tcW w:w="1701"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卫宁健康</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215,600</w:t>
            </w:r>
          </w:p>
        </w:tc>
        <w:tc>
          <w:tcPr>
            <w:tcW w:w="212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3,613,456.00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0.36</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600884</w:t>
            </w:r>
          </w:p>
        </w:tc>
        <w:tc>
          <w:tcPr>
            <w:tcW w:w="1701"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杉杉股份</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109,500</w:t>
            </w:r>
          </w:p>
        </w:tc>
        <w:tc>
          <w:tcPr>
            <w:tcW w:w="212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3,588,315.00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0.36</w:t>
            </w:r>
          </w:p>
        </w:tc>
      </w:tr>
      <w:tr>
        <w:tblPrEx>
          <w:tblW w:w="8897"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603713</w:t>
            </w:r>
          </w:p>
        </w:tc>
        <w:tc>
          <w:tcPr>
            <w:tcW w:w="1701" w:type="dxa"/>
            <w:tcBorders>
              <w:top w:val="single" w:sz="0" w:space="0" w:color="000000"/>
              <w:left w:val="single" w:sz="0" w:space="0" w:color="000000"/>
              <w:bottom w:val="single" w:sz="0" w:space="0" w:color="000000"/>
              <w:right w:val="single" w:sz="0" w:space="0" w:color="000000"/>
            </w:tcBorders>
            <w:vAlign w:val="center"/>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密尔克卫</w:t>
            </w:r>
          </w:p>
        </w:tc>
        <w:tc>
          <w:tcPr>
            <w:tcW w:w="1843"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23,700</w:t>
            </w:r>
          </w:p>
        </w:tc>
        <w:tc>
          <w:tcPr>
            <w:tcW w:w="2126"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3,194,286.00</w:t>
            </w:r>
          </w:p>
        </w:tc>
        <w:tc>
          <w:tcPr>
            <w:tcW w:w="1134" w:type="dxa"/>
            <w:tcBorders>
              <w:top w:val="single" w:sz="0" w:space="0" w:color="000000"/>
              <w:left w:val="single" w:sz="0" w:space="0" w:color="000000"/>
              <w:bottom w:val="single" w:sz="0" w:space="0" w:color="000000"/>
              <w:right w:val="single" w:sz="0" w:space="0" w:color="000000"/>
            </w:tcBorders>
            <w:vAlign w:val="center"/>
          </w:tcPr>
          <w:p w:rsidR="00FF24EB" w:rsidRPr="001C6480">
            <w:pPr>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0.32</w:t>
            </w:r>
          </w:p>
        </w:tc>
      </w:tr>
    </w:tbl>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4、 报告期末按债券品种分类的债券投资组合</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本基金本报告期末未持有债券。</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5、 报告期末按公允价值占基金资产净值比例大小排序的前五名债券投资明细</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本基金本报告期末未持有债券。</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6、报告期末按公允价值占基金资产净值比例大小排序的前十名资产支持证券投资明细</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本基金本报告期末未持有资产支持证券。</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7、报告期末按公允价值占基金资产净值比例大小排序的前五名贵金属投资明细</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本基金本报告期末未持有贵金属。</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8、报告期末按公允价值占基金资产净值比例大小排序的前五名权证投资明细</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本基金本报告期末未持有权证。</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9、 报告期末本基金投资的股指期货交易情况说明</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本基金本报告期末未投资股指期货。</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10、报告期末本基金投资的国债期货交易情况说明</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本基金本报告期末未投资国债期货。</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11、投资组合报告附注</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 本基金投资的前十名证券的发行主体中，平安银行股份有限公司在报告编制日前一年内曾受到国家外汇管理局深圳市分局、中国银行保险监督管理委员会深圳监管局、中国银行保险监督管理委员会上海监管局、中国银行保险监督管理委员会云南监管局的处罚。招商银行股份有限公司在报告编制日前一年内曾受到中国银行保险监督管理委员会的处罚。</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本基金对上述主体所发行证券的投资决策程序符合公司投资制度的规定。</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除上述主体外，基金管理人未发现本基金投资的前十名证券的发行主体出现本期被监管部门立案调查，或在报告编制日前一年内受到公开谴责、处罚的情形。</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（2） 本基金投资的前十名股票没有超出基金合同规定的备选股票库。</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2761"/>
        <w:gridCol w:w="4808"/>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7"/>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金额（元）</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83,971.88</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581,556.63</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6,188.64</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2,162,288.98</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w:t>
            </w:r>
          </w:p>
        </w:tc>
      </w:tr>
      <w:tr>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center"/>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lef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FF24EB" w:rsidRPr="001C6480">
            <w:pPr>
              <w:autoSpaceDE w:val="0"/>
              <w:autoSpaceDN w:val="0"/>
              <w:adjustRightInd w:val="0"/>
              <w:ind w:left="15"/>
              <w:jc w:val="right"/>
              <w:rPr>
                <w:rFonts w:asciiTheme="minorEastAsia" w:eastAsiaTheme="minorEastAsia" w:hAnsiTheme="minorEastAsia"/>
                <w:color w:val="000000" w:themeColor="text1"/>
                <w:sz w:val="24"/>
              </w:rPr>
            </w:pPr>
            <w:r w:rsidRPr="001C6480">
              <w:rPr>
                <w:rFonts w:asciiTheme="minorEastAsia" w:eastAsiaTheme="minorEastAsia" w:hAnsiTheme="minorEastAsia"/>
                <w:color w:val="000000" w:themeColor="text1"/>
              </w:rPr>
              <w:t>2,834,006.13</w:t>
            </w:r>
          </w:p>
        </w:tc>
      </w:tr>
    </w:tbl>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（4）报告期末持有的处于转股期的可转换债券明细</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本基金本报告期末未持有处于转股期的可转换债券。</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（5）报告期末前十名股票中存在流通受限情况的说明</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1</w:t>
      </w:r>
      <w:r w:rsidRPr="001C6480" w:rsidR="000A1D2A">
        <w:rPr>
          <w:rFonts w:asciiTheme="minorEastAsia" w:eastAsiaTheme="minorEastAsia" w:hAnsiTheme="minorEastAsia"/>
          <w:color w:val="000000" w:themeColor="text1"/>
          <w:sz w:val="21"/>
          <w:szCs w:val="21"/>
        </w:rPr>
        <w:t>）期末指数投资前十名股票中存在流通受限情况的说明</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本基金本报告期末指数投资前十名股票中不存在流通受限情况。</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2</w:t>
      </w:r>
      <w:r w:rsidRPr="001C6480" w:rsidR="000A1D2A">
        <w:rPr>
          <w:rFonts w:asciiTheme="minorEastAsia" w:eastAsiaTheme="minorEastAsia" w:hAnsiTheme="minorEastAsia"/>
          <w:color w:val="000000" w:themeColor="text1"/>
          <w:sz w:val="21"/>
          <w:szCs w:val="21"/>
        </w:rPr>
        <w:t>）期末积极投资前五名股票中存在流通受限情况的说明</w:t>
      </w:r>
    </w:p>
    <w:p w:rsidR="00FF24EB" w:rsidRPr="001C6480" w:rsidP="001C6480">
      <w:pPr>
        <w:pStyle w:val="NormalWeb"/>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sz w:val="21"/>
          <w:szCs w:val="21"/>
        </w:rPr>
        <w:t>本基金本报告期末积极投资前五名股票中不存在流通受限情况。</w:t>
      </w:r>
      <w:r w:rsidRPr="001C6480">
        <w:rPr>
          <w:rFonts w:asciiTheme="minorEastAsia" w:eastAsiaTheme="minorEastAsia" w:hAnsiTheme="minorEastAsia"/>
          <w:color w:val="000000" w:themeColor="text1"/>
        </w:rPr>
        <w:br w:type="page"/>
      </w:r>
    </w:p>
    <w:p w:rsidR="00D75CA1"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80" w:name="_Toc231035066"/>
      <w:bookmarkStart w:id="81" w:name="_Toc231035636"/>
      <w:bookmarkStart w:id="82" w:name="_Toc231035812"/>
      <w:bookmarkStart w:id="83" w:name="_Toc231044572"/>
      <w:bookmarkStart w:id="84" w:name="_Toc231044703"/>
      <w:bookmarkStart w:id="85" w:name="_Toc231044833"/>
      <w:bookmarkStart w:id="86" w:name="_Toc231044963"/>
      <w:bookmarkStart w:id="87" w:name="_Toc372549219"/>
      <w:bookmarkStart w:id="88" w:name="_Toc96595113"/>
      <w:r w:rsidRPr="001C6480">
        <w:rPr>
          <w:rFonts w:asciiTheme="minorEastAsia" w:eastAsiaTheme="minorEastAsia" w:hAnsiTheme="minorEastAsia" w:cs="Arial" w:hint="eastAsia"/>
          <w:bCs/>
          <w:color w:val="000000" w:themeColor="text1"/>
        </w:rPr>
        <w:t>基金的业绩</w:t>
      </w:r>
      <w:bookmarkEnd w:id="80"/>
      <w:bookmarkEnd w:id="81"/>
      <w:bookmarkEnd w:id="82"/>
      <w:bookmarkEnd w:id="83"/>
      <w:bookmarkEnd w:id="84"/>
      <w:bookmarkEnd w:id="85"/>
      <w:bookmarkEnd w:id="86"/>
      <w:bookmarkEnd w:id="87"/>
      <w:bookmarkEnd w:id="88"/>
    </w:p>
    <w:p w:rsidR="00D75CA1" w:rsidRPr="001C6480" w:rsidP="00F71D3B">
      <w:pPr>
        <w:pStyle w:val="NormalWeb"/>
        <w:snapToGrid w:val="0"/>
        <w:spacing w:line="360" w:lineRule="auto"/>
        <w:ind w:firstLine="420"/>
        <w:rPr>
          <w:rFonts w:asciiTheme="minorEastAsia" w:eastAsiaTheme="minorEastAsia" w:hAnsiTheme="minorEastAsia"/>
          <w:color w:val="000000" w:themeColor="text1"/>
          <w:sz w:val="21"/>
          <w:szCs w:val="21"/>
        </w:rPr>
      </w:pPr>
      <w:r w:rsidRPr="001C6480">
        <w:rPr>
          <w:rFonts w:asciiTheme="minorEastAsia" w:eastAsiaTheme="minorEastAsia" w:hAnsiTheme="minorEastAsia"/>
          <w:color w:val="000000" w:themeColor="text1"/>
          <w:sz w:val="21"/>
          <w:szCs w:val="21"/>
        </w:rPr>
        <w:t>基金管理人依照恪尽职守、诚实信用、谨慎勤勉的原则管理和运用基金财产，但不保证基金一定盈利，也不保证最低收益。基金的过往业绩并不代表其未来表现。投资有风险，投资者在</w:t>
      </w:r>
      <w:r w:rsidRPr="001C6480">
        <w:rPr>
          <w:rFonts w:asciiTheme="minorEastAsia" w:eastAsiaTheme="minorEastAsia" w:hAnsiTheme="minorEastAsia" w:hint="eastAsia"/>
          <w:color w:val="000000" w:themeColor="text1"/>
          <w:sz w:val="21"/>
          <w:szCs w:val="21"/>
        </w:rPr>
        <w:t>作出</w:t>
      </w:r>
      <w:r w:rsidRPr="001C6480">
        <w:rPr>
          <w:rFonts w:asciiTheme="minorEastAsia" w:eastAsiaTheme="minorEastAsia" w:hAnsiTheme="minorEastAsia"/>
          <w:color w:val="000000" w:themeColor="text1"/>
          <w:sz w:val="21"/>
          <w:szCs w:val="21"/>
        </w:rPr>
        <w:t>投资决策前应仔细阅读本基金的招募说明书。</w:t>
      </w:r>
    </w:p>
    <w:p w:rsidR="001E57DE"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基金合同生效日为2012年7月5日，基金合同生效以来（截至2021年12月31日）的投资业绩及与同期基准的比较如下表所示：</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080"/>
        <w:gridCol w:w="1080"/>
        <w:gridCol w:w="1440"/>
        <w:gridCol w:w="1440"/>
        <w:gridCol w:w="900"/>
        <w:gridCol w:w="900"/>
      </w:tblGrid>
      <w:tr w:rsidTr="001E57DE">
        <w:tblPrEx>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1E57DE" w:rsidRPr="001C6480"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1C6480">
              <w:rPr>
                <w:rFonts w:asciiTheme="minorEastAsia" w:eastAsiaTheme="minorEastAsia" w:hAnsiTheme="minorEastAsia" w:hint="eastAsia"/>
                <w:color w:val="000000" w:themeColor="text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57DE" w:rsidRPr="001C6480"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1C6480">
              <w:rPr>
                <w:rFonts w:asciiTheme="minorEastAsia" w:eastAsiaTheme="minorEastAsia" w:hAnsiTheme="minorEastAsia" w:hint="eastAsia"/>
                <w:color w:val="000000" w:themeColor="text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57DE" w:rsidRPr="001C6480"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1C6480">
              <w:rPr>
                <w:rFonts w:asciiTheme="minorEastAsia" w:eastAsiaTheme="minorEastAsia" w:hAnsiTheme="minorEastAsia" w:hint="eastAsia"/>
                <w:color w:val="000000" w:themeColor="text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57DE" w:rsidRPr="001C6480"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1C6480">
              <w:rPr>
                <w:rFonts w:asciiTheme="minorEastAsia" w:eastAsiaTheme="minorEastAsia" w:hAnsiTheme="minorEastAsia" w:hint="eastAsia"/>
                <w:color w:val="000000" w:themeColor="text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57DE" w:rsidRPr="001C6480"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1C6480">
              <w:rPr>
                <w:rFonts w:asciiTheme="minorEastAsia" w:eastAsiaTheme="minorEastAsia" w:hAnsiTheme="minorEastAsia" w:hint="eastAsia"/>
                <w:color w:val="000000" w:themeColor="text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7DE" w:rsidRPr="001C6480" w:rsidP="00F71D3B">
            <w:pPr>
              <w:widowControl w:val="0"/>
              <w:snapToGrid w:val="0"/>
              <w:spacing w:line="360" w:lineRule="auto"/>
              <w:ind w:left="-107" w:right="-107" w:leftChars="-51" w:rightChars="-51"/>
              <w:jc w:val="center"/>
              <w:rPr>
                <w:rFonts w:asciiTheme="minorEastAsia" w:eastAsiaTheme="minorEastAsia" w:hAnsiTheme="minorEastAsia"/>
                <w:color w:val="000000" w:themeColor="text1"/>
                <w:kern w:val="2"/>
              </w:rPr>
            </w:pPr>
            <w:r w:rsidRPr="001C6480">
              <w:rPr>
                <w:rFonts w:asciiTheme="minorEastAsia" w:eastAsiaTheme="minorEastAsia" w:hAnsiTheme="minorEastAsia" w:hint="eastAsia"/>
                <w:color w:val="000000" w:themeColor="text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7DE" w:rsidRPr="001C6480" w:rsidP="00F71D3B">
            <w:pPr>
              <w:widowControl w:val="0"/>
              <w:snapToGrid w:val="0"/>
              <w:spacing w:line="360" w:lineRule="auto"/>
              <w:ind w:left="-107" w:leftChars="-51"/>
              <w:jc w:val="center"/>
              <w:rPr>
                <w:rFonts w:asciiTheme="minorEastAsia" w:eastAsiaTheme="minorEastAsia" w:hAnsiTheme="minorEastAsia"/>
                <w:color w:val="000000" w:themeColor="text1"/>
                <w:kern w:val="2"/>
              </w:rPr>
            </w:pPr>
            <w:r w:rsidRPr="001C6480">
              <w:rPr>
                <w:rFonts w:asciiTheme="minorEastAsia" w:eastAsiaTheme="minorEastAsia" w:hAnsiTheme="minorEastAsia" w:hint="eastAsia"/>
                <w:color w:val="000000" w:themeColor="text1"/>
              </w:rPr>
              <w:t>(2)-(4)</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自基金合同生效日至2012年12月31日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11.30%</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0.69%</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2.07%</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1.00%</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9.23%</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-0.31%</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2013年1月1日至2013年12月31日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-3.71%</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1.31%</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-7.07%</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1.24%</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3.36%</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0.07%</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2014年1月1日至2014年12月31日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55.94%</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1.12%</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48.69%</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1.15%</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7.25%</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-0.03%</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2015年1月1日至2015年12月31日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12.67%</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2.45%</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5.70%</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2.36%</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6.97%</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0.09%</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2016年1月1日至2016年12月31日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-1.82%</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1.38%</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-10.63%</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1.33%</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8.81%</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2017年1月1日至2017年12月31日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29.84%</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0.61%</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20.63%</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0.60%</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9.21%</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0.01%</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2018年1月1日至2018年12月31日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-23.16%</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1.24%</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-24.12%</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1.27%</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0.96%</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-0.03%</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2019年1月1日至2019年12月31日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37.28%</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1.18%</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34.14%</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1.18%</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3.14%</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0.00%</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2020年1月1日至2020年12月31日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34.27%</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1.34%</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25.86%</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1.36%</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8.41%</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-0.02%</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2021年1月1日至2021年</w:t>
            </w:r>
            <w:r w:rsidRPr="001C6480">
              <w:rPr>
                <w:rFonts w:asciiTheme="minorEastAsia" w:eastAsiaTheme="minorEastAsia" w:hAnsiTheme="minorEastAsia"/>
                <w:color w:val="000000" w:themeColor="text1"/>
              </w:rPr>
              <w:t>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-3.02%</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1.27%</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-4.85%</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1.11%</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1.83%</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0.16%</w:t>
            </w:r>
          </w:p>
        </w:tc>
      </w:tr>
      <w:tr>
        <w:tblPrEx>
          <w:tblW w:w="8280" w:type="dxa"/>
          <w:tblInd w:w="108" w:type="dxa"/>
          <w:tblLayout w:type="fixed"/>
          <w:tblLook w:val="04A0"/>
        </w:tblPrEx>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自基金合同生效日至2021年12月31日</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229.73%</w:t>
            </w:r>
          </w:p>
        </w:tc>
        <w:tc>
          <w:tcPr>
            <w:tcW w:w="108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1.37%</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95.91%</w:t>
            </w:r>
          </w:p>
        </w:tc>
        <w:tc>
          <w:tcPr>
            <w:tcW w:w="144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1.34%</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133.82%</w:t>
            </w:r>
          </w:p>
        </w:tc>
        <w:tc>
          <w:tcPr>
            <w:tcW w:w="900" w:type="dxa"/>
          </w:tcPr>
          <w:p w:rsidR="00FF24EB" w:rsidRPr="001C6480">
            <w:pPr>
              <w:jc w:val="cente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0.03%</w:t>
            </w:r>
          </w:p>
        </w:tc>
      </w:tr>
    </w:tbl>
    <w:p w:rsidR="0000645E" w:rsidRPr="001C6480" w:rsidP="0000645E">
      <w:pPr>
        <w:pStyle w:val="PlainText"/>
        <w:adjustRightInd w:val="0"/>
        <w:spacing w:line="360" w:lineRule="auto"/>
        <w:ind w:firstLine="420"/>
        <w:textAlignment w:val="baseline"/>
        <w:rPr>
          <w:rFonts w:asciiTheme="minorEastAsia" w:eastAsiaTheme="minorEastAsia" w:hAnsiTheme="minorEastAsia" w:cs="宋体"/>
          <w:color w:val="000000" w:themeColor="text1"/>
          <w:kern w:val="0"/>
        </w:rPr>
      </w:pPr>
      <w:r w:rsidRPr="001C6480">
        <w:rPr>
          <w:rFonts w:asciiTheme="minorEastAsia" w:eastAsiaTheme="minorEastAsia" w:hAnsiTheme="minorEastAsia"/>
          <w:color w:val="000000" w:themeColor="text1"/>
        </w:rPr>
        <w:t>本基金历任基金经理情况：刘震，管理时间为2012年7月5日至2013年1月7日；罗山，管理时间为2013年1月8日至2016年10月18日；官泽帆，管理时间为2016年9月24日至2021年9月3日；HUANG JIANSHENG（黄健生），管理时间为2020年3月12日至2021年9月3日。</w:t>
      </w:r>
    </w:p>
    <w:p w:rsidR="005E291A" w:rsidRPr="001C6480">
      <w:pPr>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br/>
      </w:r>
    </w:p>
    <w:p w:rsidR="008127B2"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注：</w:t>
      </w:r>
      <w:r w:rsidRPr="001C6480" w:rsidR="00B73A84">
        <w:rPr>
          <w:rFonts w:asciiTheme="minorEastAsia" w:eastAsiaTheme="minorEastAsia" w:hAnsiTheme="minorEastAsia" w:hint="eastAsia"/>
          <w:color w:val="000000" w:themeColor="text1"/>
        </w:rPr>
        <w:t>1、</w:t>
      </w:r>
      <w:r w:rsidRPr="001C6480">
        <w:rPr>
          <w:rFonts w:asciiTheme="minorEastAsia" w:eastAsiaTheme="minorEastAsia" w:hAnsiTheme="minorEastAsia" w:hint="eastAsia"/>
          <w:color w:val="000000" w:themeColor="text1"/>
        </w:rPr>
        <w:t>根据中国证监会2013年6月7日下发的《关于核准易方达量化衍伸股票型证券投资基金基金份额持有人大会决议的批复》（证监许可[2013]742号），易方达量化衍伸股票型证券投资基金自2013年6月7日起变更为易方达沪深300量化增强证券投资基金，修改基金合同中基金的名称、投资目标、投资范围、投资策略、业绩比较基准、基金的费用、基金份额持有人大会、基金的信息披露等条款。修订后的《易方达沪深300量化增强证券投资基金基金合同》于2013年6月7日生效。</w:t>
      </w:r>
    </w:p>
    <w:p w:rsidR="00D75CA1"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w:t>
      </w:r>
      <w:r w:rsidRPr="001C6480" w:rsidR="001E57DE">
        <w:rPr>
          <w:rFonts w:asciiTheme="minorEastAsia" w:eastAsiaTheme="minorEastAsia" w:hAnsiTheme="minorEastAsia" w:hint="eastAsia"/>
          <w:color w:val="000000" w:themeColor="text1"/>
        </w:rPr>
        <w:t>根据《易方达沪深300量化增强证券投资基金基金合同》，业绩比较基准自2013年6月7日起，由“沪深300指数收益率×80%+活期存款利率（税后）×20%”变更为“沪深300指数收益率×95%+活期存款利率（税后）×5%”；基金业绩比较基准收益率在变更前后分别根据相应的指标计算。</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89" w:name="_Toc96595114"/>
      <w:r w:rsidRPr="001C6480">
        <w:rPr>
          <w:rFonts w:asciiTheme="minorEastAsia" w:eastAsiaTheme="minorEastAsia" w:hAnsiTheme="minorEastAsia" w:cs="Arial" w:hint="eastAsia"/>
          <w:bCs/>
          <w:color w:val="000000" w:themeColor="text1"/>
        </w:rPr>
        <w:t>基金的财产</w:t>
      </w:r>
      <w:bookmarkEnd w:id="89"/>
    </w:p>
    <w:p w:rsidR="001A7CDB" w:rsidRPr="001C6480" w:rsidP="00F71D3B">
      <w:pPr>
        <w:pStyle w:val="Heading2"/>
        <w:numPr>
          <w:ilvl w:val="0"/>
          <w:numId w:val="9"/>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基金资产总值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基金资产总值是指购买的各类证券及票据价值、银行存款本息和基金应收的申购基金款以及其他投资所形成的价值总和。</w:t>
      </w:r>
    </w:p>
    <w:p w:rsidR="001A7CDB" w:rsidRPr="001C6480" w:rsidP="00F71D3B">
      <w:pPr>
        <w:pStyle w:val="Heading2"/>
        <w:numPr>
          <w:ilvl w:val="0"/>
          <w:numId w:val="9"/>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基金资产净值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基金资产净值是指基金资产总值减去基金负债后的价值。</w:t>
      </w:r>
    </w:p>
    <w:p w:rsidR="001A7CDB" w:rsidRPr="001C6480" w:rsidP="00F71D3B">
      <w:pPr>
        <w:pStyle w:val="Heading2"/>
        <w:numPr>
          <w:ilvl w:val="0"/>
          <w:numId w:val="9"/>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基金财产的账户</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托管人根据相关法律法规、规范性文件为本基金开立资金账户、证券账户以及投资所需的其他专用账户。开立的基金专用账户与基金管理人、基金托管人、基金销售机构和基金注册登记机构自有的财产账户以及其他基金财产账户相独立。</w:t>
      </w:r>
    </w:p>
    <w:p w:rsidR="001A7CDB" w:rsidRPr="001C6480" w:rsidP="00F71D3B">
      <w:pPr>
        <w:pStyle w:val="Heading2"/>
        <w:numPr>
          <w:ilvl w:val="0"/>
          <w:numId w:val="9"/>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基金财产的保管及处分</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本基金财产独立于基金管理人、基金托管人和基金</w:t>
      </w:r>
      <w:r w:rsidRPr="001C6480">
        <w:rPr>
          <w:rFonts w:asciiTheme="minorEastAsia" w:eastAsiaTheme="minorEastAsia" w:hAnsiTheme="minorEastAsia" w:hint="eastAsia"/>
          <w:bCs/>
          <w:color w:val="000000" w:themeColor="text1"/>
        </w:rPr>
        <w:t>销售</w:t>
      </w:r>
      <w:r w:rsidRPr="001C6480">
        <w:rPr>
          <w:rFonts w:asciiTheme="minorEastAsia" w:eastAsiaTheme="minorEastAsia" w:hAnsiTheme="minorEastAsia"/>
          <w:bCs/>
          <w:color w:val="000000" w:themeColor="text1"/>
        </w:rPr>
        <w:t>机构的财产，并由基金托管人保管。基金管理人、基金托管人、基金注册登记机构和基金销售机构以其自有的财产承担其自身的法律责任，其债权人不得对本基金财产行使请求冻结、扣押或其他权利。除依法律法规和《基金合同》的规定处分外，基金财产不得被处分。</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bCs/>
          <w:color w:val="000000" w:themeColor="text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90" w:name="_Toc96595115"/>
      <w:r w:rsidRPr="001C6480">
        <w:rPr>
          <w:rFonts w:asciiTheme="minorEastAsia" w:eastAsiaTheme="minorEastAsia" w:hAnsiTheme="minorEastAsia" w:cs="Arial" w:hint="eastAsia"/>
          <w:bCs/>
          <w:color w:val="000000" w:themeColor="text1"/>
        </w:rPr>
        <w:t>基金资产估值</w:t>
      </w:r>
      <w:bookmarkEnd w:id="90"/>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bookmarkStart w:id="91" w:name="_Toc44229106"/>
      <w:bookmarkStart w:id="92" w:name="_Toc44229201"/>
      <w:bookmarkStart w:id="93" w:name="_Toc44229107"/>
      <w:bookmarkStart w:id="94" w:name="_Toc44229202"/>
      <w:bookmarkStart w:id="95" w:name="_Toc44229108"/>
      <w:bookmarkStart w:id="96" w:name="_Toc44229203"/>
      <w:bookmarkStart w:id="97" w:name="_Toc44229109"/>
      <w:bookmarkStart w:id="98" w:name="_Toc44229204"/>
      <w:bookmarkStart w:id="99" w:name="_Toc44229110"/>
      <w:bookmarkStart w:id="100" w:name="_Toc44229205"/>
      <w:bookmarkStart w:id="101" w:name="_Toc44229111"/>
      <w:bookmarkStart w:id="102" w:name="_Toc44229206"/>
      <w:bookmarkStart w:id="103" w:name="_Toc44229112"/>
      <w:bookmarkStart w:id="104" w:name="_Toc44229207"/>
      <w:bookmarkStart w:id="105" w:name="_Toc44229113"/>
      <w:bookmarkStart w:id="106" w:name="_Toc44229208"/>
      <w:bookmarkStart w:id="107" w:name="_Toc97031289"/>
      <w:bookmarkStart w:id="108" w:name="_Toc9710724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C6480">
        <w:rPr>
          <w:rFonts w:asciiTheme="minorEastAsia" w:eastAsiaTheme="minorEastAsia" w:hAnsiTheme="minorEastAsia" w:cs="Arial"/>
          <w:b w:val="0"/>
          <w:color w:val="000000" w:themeColor="text1"/>
        </w:rPr>
        <w:t>估值目的</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基金估值的目的是为了准确、真实地反映基金相关金融资产和金融负债的公允价值。开放式基金份额申购、赎回价格应按基金估值后确定的基金份额净值计算。</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估值日</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本基金的估值日为本基金相关的证券交易场所的交易日以及国家法律法规规定需要对外披露基金净值的非交易日。</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估值对象</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基金所拥有的股票、权证、债券和银行存款本息、应收款项、其它投资等资产及负债。</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估值方法</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本基金按以下方式进行估值：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证券交易所上市的有价证券的估值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（4）交易所上市不存在活跃市场的有价证券，采用估值技术确定公允价值。交易所上市的资产支持证券，采用估值技术确定公允价值，在估值技术难以可靠计量公允价值的情况下，按成本估值。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处于未上市期间的有价证券应区分如下情况处理：</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（1）送股、转增股、配股和公开增发的新股，按估值日在证券交易所挂牌的同一股票的估值方法估值；该日无交易的，以最近一日的市价（收盘价）估值；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（2）首次公开发行未上市的股票、债券和权证，采用估值技术确定公允价值，在估值技术难以可靠计量公允价值的情况下，按成本估值；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（3）首次公开发行有明确锁定期的股票，同一股票在交易所上市后，按交易所上市的同一股票的估值方法估值；非公开发行有明确锁定期的股票，按监管机构或行业协会有关规定确定公允价值。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3、全国银行间债券市场交易的债券、资产支持证券等固定收益品种，采用估值技术确定公允价值。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4、同一债券同时在两个或两个以上市场交易的，按债券所处的市场分别估值。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5、因持有股票而享有的配股权，以及停止交易、但未行权的权证，采用估值技术确定公允价值。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6、股指期货合约按照估值当日的结算价进行估值。估值当日无结算价，且最近交易日后经济环境未发生重大变化的，采用最近交易日结算价估值。</w:t>
      </w:r>
    </w:p>
    <w:p w:rsidR="00F76EEB" w:rsidRPr="001C6480" w:rsidP="00F76EE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7、本基金投资存托凭证的估值核算，依照境内上市交易的股票执行。</w:t>
      </w:r>
    </w:p>
    <w:p w:rsidR="001A7CDB" w:rsidRPr="001C6480" w:rsidP="00F76EE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8、如有确凿证据表明按上述方法进行估值不能客观反映其公允价值的，基金管理人可根据具体情况与基金托管人商定后，按最能反映公允价值的价格估值。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9、相关法律法规以及监管部门有强制规定的，从其规定。如有新增事项，按国家最新规定估值。</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估值程序</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1、基金份额净值是按照每个工作日闭市后，基金资产净值除以当日基金份额的余额数量计算，精确到</w:t>
      </w:r>
      <w:r w:rsidRPr="001C6480">
        <w:rPr>
          <w:rFonts w:asciiTheme="minorEastAsia" w:eastAsiaTheme="minorEastAsia" w:hAnsiTheme="minorEastAsia" w:hint="eastAsia"/>
          <w:bCs/>
          <w:color w:val="000000" w:themeColor="text1"/>
        </w:rPr>
        <w:t>0.00</w:t>
      </w:r>
      <w:r w:rsidRPr="001C6480" w:rsidR="00D92242">
        <w:rPr>
          <w:rFonts w:asciiTheme="minorEastAsia" w:eastAsiaTheme="minorEastAsia" w:hAnsiTheme="minorEastAsia" w:hint="eastAsia"/>
          <w:bCs/>
          <w:color w:val="000000" w:themeColor="text1"/>
        </w:rPr>
        <w:t>0</w:t>
      </w: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元，小数点后第</w:t>
      </w:r>
      <w:r w:rsidRPr="001C6480" w:rsidR="00D92242">
        <w:rPr>
          <w:rFonts w:asciiTheme="minorEastAsia" w:eastAsiaTheme="minorEastAsia" w:hAnsiTheme="minorEastAsia" w:hint="eastAsia"/>
          <w:bCs/>
          <w:color w:val="000000" w:themeColor="text1"/>
        </w:rPr>
        <w:t>五</w:t>
      </w:r>
      <w:r w:rsidRPr="001C6480">
        <w:rPr>
          <w:rFonts w:asciiTheme="minorEastAsia" w:eastAsiaTheme="minorEastAsia" w:hAnsiTheme="minorEastAsia"/>
          <w:bCs/>
          <w:color w:val="000000" w:themeColor="text1"/>
        </w:rPr>
        <w:t>位四舍五入。国家另有规定的，从其规定。</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每个工作日计算基金资产净值及基金份额净值，并按规定公告。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估值错误的处理</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基金管理人和基金托管人将采取必要、适当、合理的措施确保基金资产估值的准确性、及时性。当基金份额净值小数点后</w:t>
      </w:r>
      <w:r w:rsidRPr="001C6480" w:rsidR="00D92242">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位以内（含第</w:t>
      </w:r>
      <w:r w:rsidRPr="001C6480" w:rsidR="00D92242">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位）发生估值错误时，视为基金份额净值错误。</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基金合同的当事人应按照以下约定处理：</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1、估值错误类型</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本基金运作过程中，如果由于基金管理人或基金托管人、或注册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上述估值错误的主要类型包括但不限于：资料申报差错、数据传输差错、数据计算差错、系统故障差错、下达指令差错等。</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2、估值错误处理原则</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）估值错误的责任方对有关当事人的直接损失负责，不对间接损失负责，并且仅对估值错误的有关直接当事人负责，不对第三方负责。</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）估值错误调整采用尽量恢复至假设未发生估值错误的正确情形的方式。</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3、估值错误处理程序</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估值错误被发现后，有关的当事人应当及时进行处理，处理的程序如下：</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（1）查明估值错误发生的原因，列明所有的当事人，并根据估值错误发生的原因确定估值错误的责任方；</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）根据估值错误处理原则或当事人协商的方法对因估值错误造成的损失进行评估；</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）根据估值错误处理原则或当事人协商的方法由估值错误的责任方进行更正和赔偿损失；</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4</w:t>
      </w:r>
      <w:r w:rsidRPr="001C6480">
        <w:rPr>
          <w:rFonts w:asciiTheme="minorEastAsia" w:eastAsiaTheme="minorEastAsia" w:hAnsiTheme="minorEastAsia"/>
          <w:bCs/>
          <w:color w:val="000000" w:themeColor="text1"/>
        </w:rPr>
        <w:t>）根据估值错误处理的方法，需要修改基金注册登记机构交易数据的，由基金注册登记机构进行更正，并就估值错误的更正向有关当事人进行确认。</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4、基金份额净值估值错误处理的方法如下：</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（1）基金份额净值计算出现错误时，基金管理人应当立即予以纠正，通报基金托管人，并采取合理的措施防止损失进一步扩大。</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）错误偏差达到基金份额净值的0.25%时，基金管理人应当通报基金托管人并报中国证监会备案；错误偏差达到基金份额净值的0.5%时，基金管理人应当公告。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w:t>
      </w: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）前述内容如法律法规或监管机关另有规定的，从其规定处理。</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暂停估值的情形</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1、基金投资所涉及的证券交易市场遇法定节假日或因其他原因暂停营业时；</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2、因不可抗力致使基金管理人、基金托管人无法准确评估基金资产价值时；</w:t>
      </w:r>
    </w:p>
    <w:p w:rsidR="00A837EC"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3、当前一估值日基金资产净值50%以上的资产出现无可参考的活跃市场价格且采用估值技术仍导致公允价值存在重大不确定性时，经与基金托管人协商一致的；</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4、中国证监会和基金合同认定的其它情形。</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基金净值的确认</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bCs/>
          <w:color w:val="000000" w:themeColor="text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A7CDB" w:rsidRPr="001C6480" w:rsidP="00F71D3B">
      <w:pPr>
        <w:pStyle w:val="Heading2"/>
        <w:numPr>
          <w:ilvl w:val="0"/>
          <w:numId w:val="10"/>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特殊情</w:t>
      </w:r>
      <w:r w:rsidRPr="001C6480" w:rsidR="005E6438">
        <w:rPr>
          <w:rFonts w:asciiTheme="minorEastAsia" w:eastAsiaTheme="minorEastAsia" w:hAnsiTheme="minorEastAsia" w:cs="Arial" w:hint="eastAsia"/>
          <w:b w:val="0"/>
          <w:bCs/>
          <w:color w:val="000000" w:themeColor="text1"/>
        </w:rPr>
        <w:t>况</w:t>
      </w:r>
      <w:r w:rsidRPr="001C6480">
        <w:rPr>
          <w:rFonts w:asciiTheme="minorEastAsia" w:eastAsiaTheme="minorEastAsia" w:hAnsiTheme="minorEastAsia" w:cs="Arial"/>
          <w:b w:val="0"/>
          <w:color w:val="000000" w:themeColor="text1"/>
        </w:rPr>
        <w:t>的处理</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1、基金管理人或基金托管人按估值方法的第</w:t>
      </w:r>
      <w:r w:rsidRPr="001C6480" w:rsidR="00F76EEB">
        <w:rPr>
          <w:rFonts w:asciiTheme="minorEastAsia" w:eastAsiaTheme="minorEastAsia" w:hAnsiTheme="minorEastAsia" w:hint="eastAsia"/>
          <w:bCs/>
          <w:color w:val="000000" w:themeColor="text1"/>
        </w:rPr>
        <w:t>8</w:t>
      </w:r>
      <w:r w:rsidRPr="001C6480">
        <w:rPr>
          <w:rFonts w:asciiTheme="minorEastAsia" w:eastAsiaTheme="minorEastAsia" w:hAnsiTheme="minorEastAsia" w:hint="eastAsia"/>
          <w:bCs/>
          <w:color w:val="000000" w:themeColor="text1"/>
        </w:rPr>
        <w:t>项进行估值时，所造成的误差不作为基金资产估值错误处理。</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2、由于不可抗力原因，或由于证券交易所及注册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1A7CDB" w:rsidRPr="001C6480" w:rsidP="00F71D3B">
      <w:pPr>
        <w:snapToGrid w:val="0"/>
        <w:spacing w:line="360" w:lineRule="auto"/>
        <w:ind w:firstLine="420"/>
        <w:rPr>
          <w:rFonts w:asciiTheme="minorEastAsia" w:eastAsiaTheme="minorEastAsia" w:hAnsiTheme="minorEastAsia" w:cs="Arial"/>
          <w:color w:val="000000" w:themeColor="text1"/>
        </w:r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109" w:name="_Toc96595116"/>
      <w:r w:rsidRPr="001C6480">
        <w:rPr>
          <w:rFonts w:asciiTheme="minorEastAsia" w:eastAsiaTheme="minorEastAsia" w:hAnsiTheme="minorEastAsia" w:cs="Arial" w:hint="eastAsia"/>
          <w:bCs/>
          <w:color w:val="000000" w:themeColor="text1"/>
        </w:rPr>
        <w:t>基金的收益与分配</w:t>
      </w:r>
      <w:bookmarkEnd w:id="109"/>
    </w:p>
    <w:p w:rsidR="001A7CDB" w:rsidRPr="001C6480" w:rsidP="00AF46A7">
      <w:pPr>
        <w:pStyle w:val="Heading2"/>
        <w:numPr>
          <w:ilvl w:val="0"/>
          <w:numId w:val="11"/>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110" w:name="_Toc84149664"/>
      <w:bookmarkStart w:id="111" w:name="_Toc86584639"/>
      <w:r w:rsidRPr="001C6480">
        <w:rPr>
          <w:rFonts w:asciiTheme="minorEastAsia" w:eastAsiaTheme="minorEastAsia" w:hAnsiTheme="minorEastAsia" w:cs="Arial"/>
          <w:b w:val="0"/>
          <w:color w:val="000000" w:themeColor="text1"/>
        </w:rPr>
        <w:t>基金利润的构成</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基金利润指基金利息收入、投资收益、公允价值变动收益和其他收入扣除相关费用后的余额</w:t>
      </w:r>
      <w:r w:rsidRPr="001C6480" w:rsidR="00F568B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基金已实现收益指基金利润减去公允价值变动收益后的余额。</w:t>
      </w:r>
    </w:p>
    <w:p w:rsidR="001A7CDB" w:rsidRPr="001C6480" w:rsidP="00AF46A7">
      <w:pPr>
        <w:pStyle w:val="Heading2"/>
        <w:numPr>
          <w:ilvl w:val="0"/>
          <w:numId w:val="11"/>
        </w:numPr>
        <w:snapToGrid w:val="0"/>
        <w:spacing w:beforeLines="0" w:afterLines="0" w:line="360" w:lineRule="auto"/>
        <w:ind w:left="-3" w:hanging="140" w:leftChars="-68"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基金可供分配利润</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基金可供分配利润指截至收益分配基准日基金未分配利润与未分配利润中已实现收益的孰低数。</w:t>
      </w:r>
    </w:p>
    <w:p w:rsidR="001A7CDB" w:rsidRPr="001C6480" w:rsidP="00AF46A7">
      <w:pPr>
        <w:pStyle w:val="Heading2"/>
        <w:numPr>
          <w:ilvl w:val="0"/>
          <w:numId w:val="11"/>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bCs/>
          <w:color w:val="000000" w:themeColor="text1"/>
        </w:rPr>
        <w:t>基金</w:t>
      </w:r>
      <w:r w:rsidRPr="001C6480">
        <w:rPr>
          <w:rFonts w:asciiTheme="minorEastAsia" w:eastAsiaTheme="minorEastAsia" w:hAnsiTheme="minorEastAsia" w:cs="Arial"/>
          <w:b w:val="0"/>
          <w:color w:val="000000" w:themeColor="text1"/>
        </w:rPr>
        <w:t>收益分配原则</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在符合有关基金分红条件的前提下，本基金每年收益分配次数最多为12次，每份基金份额每次分配比例不得低于收益分配基准日每份基金份额可供分配利润的10%</w:t>
      </w:r>
      <w:r w:rsidRPr="001C6480" w:rsidR="00F568B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若</w:t>
      </w:r>
      <w:r w:rsidRPr="001C6480" w:rsidR="00F568B0">
        <w:rPr>
          <w:rFonts w:asciiTheme="minorEastAsia" w:eastAsiaTheme="minorEastAsia" w:hAnsiTheme="minorEastAsia"/>
          <w:bCs/>
          <w:color w:val="000000" w:themeColor="text1"/>
          <w:sz w:val="24"/>
        </w:rPr>
        <w:t>《</w:t>
      </w:r>
      <w:r w:rsidRPr="001C6480">
        <w:rPr>
          <w:rFonts w:asciiTheme="minorEastAsia" w:eastAsiaTheme="minorEastAsia" w:hAnsiTheme="minorEastAsia" w:cs="Arial"/>
          <w:color w:val="000000" w:themeColor="text1"/>
        </w:rPr>
        <w:t>基金合同</w:t>
      </w:r>
      <w:r w:rsidRPr="001C6480" w:rsidR="00F568B0">
        <w:rPr>
          <w:rFonts w:asciiTheme="minorEastAsia" w:eastAsiaTheme="minorEastAsia" w:hAnsiTheme="minorEastAsia"/>
          <w:bCs/>
          <w:color w:val="000000" w:themeColor="text1"/>
          <w:sz w:val="24"/>
        </w:rPr>
        <w:t>》</w:t>
      </w:r>
      <w:r w:rsidRPr="001C6480">
        <w:rPr>
          <w:rFonts w:asciiTheme="minorEastAsia" w:eastAsiaTheme="minorEastAsia" w:hAnsiTheme="minorEastAsia" w:cs="Arial"/>
          <w:color w:val="000000" w:themeColor="text1"/>
        </w:rPr>
        <w:t>生效不满3个月可不进行收益分配；</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2、本</w:t>
      </w:r>
      <w:r w:rsidRPr="001C6480">
        <w:rPr>
          <w:rFonts w:asciiTheme="minorEastAsia" w:eastAsiaTheme="minorEastAsia" w:hAnsiTheme="minorEastAsia" w:cs="Arial"/>
          <w:color w:val="000000" w:themeColor="text1"/>
        </w:rPr>
        <w:t>基金收益分配</w:t>
      </w:r>
      <w:r w:rsidRPr="001C6480">
        <w:rPr>
          <w:rFonts w:asciiTheme="minorEastAsia" w:eastAsiaTheme="minorEastAsia" w:hAnsiTheme="minorEastAsia" w:cs="Arial" w:hint="eastAsia"/>
          <w:color w:val="000000" w:themeColor="text1"/>
        </w:rPr>
        <w:t>方式分两种：</w:t>
      </w:r>
      <w:r w:rsidRPr="001C6480">
        <w:rPr>
          <w:rFonts w:asciiTheme="minorEastAsia" w:eastAsiaTheme="minorEastAsia" w:hAnsiTheme="minorEastAsia" w:cs="Arial"/>
          <w:color w:val="000000" w:themeColor="text1"/>
        </w:rPr>
        <w:t>现金</w:t>
      </w:r>
      <w:r w:rsidRPr="001C6480">
        <w:rPr>
          <w:rFonts w:asciiTheme="minorEastAsia" w:eastAsiaTheme="minorEastAsia" w:hAnsiTheme="minorEastAsia" w:cs="Arial" w:hint="eastAsia"/>
          <w:color w:val="000000" w:themeColor="text1"/>
        </w:rPr>
        <w:t>分红与</w:t>
      </w:r>
      <w:r w:rsidRPr="001C6480">
        <w:rPr>
          <w:rFonts w:asciiTheme="minorEastAsia" w:eastAsiaTheme="minorEastAsia" w:hAnsiTheme="minorEastAsia" w:cs="Arial"/>
          <w:color w:val="000000" w:themeColor="text1"/>
        </w:rPr>
        <w:t>红利再投资</w:t>
      </w:r>
      <w:r w:rsidRPr="001C6480" w:rsidR="00F568B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基金份额持有人可选择</w:t>
      </w:r>
      <w:r w:rsidRPr="001C6480">
        <w:rPr>
          <w:rFonts w:asciiTheme="minorEastAsia" w:eastAsiaTheme="minorEastAsia" w:hAnsiTheme="minorEastAsia" w:cs="Arial" w:hint="eastAsia"/>
          <w:color w:val="000000" w:themeColor="text1"/>
        </w:rPr>
        <w:t>现金红利或将现金红利自动转为基金份额进行再投资；若投资者不选择，本基金默认的收益分配方式是现金分红；</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3、基金收益分配后基金份额净值不能低于面值</w:t>
      </w:r>
      <w:r w:rsidRPr="001C6480" w:rsidR="00F568B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hint="eastAsia"/>
          <w:color w:val="000000" w:themeColor="text1"/>
        </w:rPr>
        <w:t>即</w:t>
      </w:r>
      <w:r w:rsidRPr="001C6480">
        <w:rPr>
          <w:rFonts w:asciiTheme="minorEastAsia" w:eastAsiaTheme="minorEastAsia" w:hAnsiTheme="minorEastAsia" w:cs="Arial"/>
          <w:color w:val="000000" w:themeColor="text1"/>
        </w:rPr>
        <w:t>基金收益分配基准日的基金份额净值减去每单位基金份额收益分配金额后不能低于面值；</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Pr>
          <w:rFonts w:asciiTheme="minorEastAsia" w:eastAsiaTheme="minorEastAsia" w:hAnsiTheme="minorEastAsia" w:cs="Arial"/>
          <w:color w:val="000000" w:themeColor="text1"/>
        </w:rPr>
        <w:t>每一基金份额享有同等分配权；</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5</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法律法规或监管机</w:t>
      </w:r>
      <w:r w:rsidRPr="001C6480" w:rsidR="00F568B0">
        <w:rPr>
          <w:rFonts w:asciiTheme="minorEastAsia" w:eastAsiaTheme="minorEastAsia" w:hAnsiTheme="minorEastAsia" w:cs="Arial" w:hint="eastAsia"/>
          <w:color w:val="000000" w:themeColor="text1"/>
        </w:rPr>
        <w:t>关</w:t>
      </w:r>
      <w:r w:rsidRPr="001C6480">
        <w:rPr>
          <w:rFonts w:asciiTheme="minorEastAsia" w:eastAsiaTheme="minorEastAsia" w:hAnsiTheme="minorEastAsia" w:cs="Arial"/>
          <w:color w:val="000000" w:themeColor="text1"/>
        </w:rPr>
        <w:t>另有规定的，从其规定。</w:t>
      </w:r>
    </w:p>
    <w:p w:rsidR="001A7CDB" w:rsidRPr="001C6480" w:rsidP="00AF46A7">
      <w:pPr>
        <w:pStyle w:val="Heading2"/>
        <w:numPr>
          <w:ilvl w:val="0"/>
          <w:numId w:val="11"/>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w:t>
      </w:r>
      <w:r w:rsidRPr="001C6480">
        <w:rPr>
          <w:rFonts w:asciiTheme="minorEastAsia" w:eastAsiaTheme="minorEastAsia" w:hAnsiTheme="minorEastAsia" w:cs="Arial"/>
          <w:b w:val="0"/>
          <w:color w:val="000000" w:themeColor="text1"/>
        </w:rPr>
        <w:t>收益分配方案</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基金收益分配方案中应载明</w:t>
      </w:r>
      <w:r w:rsidRPr="001C6480" w:rsidR="00F568B0">
        <w:rPr>
          <w:rFonts w:asciiTheme="minorEastAsia" w:eastAsiaTheme="minorEastAsia" w:hAnsiTheme="minorEastAsia" w:cs="Arial" w:hint="eastAsia"/>
          <w:color w:val="000000" w:themeColor="text1"/>
        </w:rPr>
        <w:t>截止</w:t>
      </w:r>
      <w:r w:rsidRPr="001C6480">
        <w:rPr>
          <w:rFonts w:asciiTheme="minorEastAsia" w:eastAsiaTheme="minorEastAsia" w:hAnsiTheme="minorEastAsia" w:cs="Arial"/>
          <w:color w:val="000000" w:themeColor="text1"/>
        </w:rPr>
        <w:t>收益分配基准日</w:t>
      </w:r>
      <w:r w:rsidRPr="001C6480" w:rsidR="00F568B0">
        <w:rPr>
          <w:rFonts w:asciiTheme="minorEastAsia" w:eastAsiaTheme="minorEastAsia" w:hAnsiTheme="minorEastAsia" w:cs="Arial" w:hint="eastAsia"/>
          <w:color w:val="000000" w:themeColor="text1"/>
        </w:rPr>
        <w:t>的</w:t>
      </w:r>
      <w:r w:rsidRPr="001C6480">
        <w:rPr>
          <w:rFonts w:asciiTheme="minorEastAsia" w:eastAsiaTheme="minorEastAsia" w:hAnsiTheme="minorEastAsia" w:cs="Arial"/>
          <w:color w:val="000000" w:themeColor="text1"/>
        </w:rPr>
        <w:t>可供分配利润、基金收益分配对象、分配时间、分配数额及比例、分配方式等内容。</w:t>
      </w:r>
    </w:p>
    <w:p w:rsidR="001A7CDB" w:rsidRPr="001C6480" w:rsidP="00AF46A7">
      <w:pPr>
        <w:pStyle w:val="Heading2"/>
        <w:numPr>
          <w:ilvl w:val="0"/>
          <w:numId w:val="11"/>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收益分配方案的确定、公告与实施</w:t>
      </w:r>
    </w:p>
    <w:p w:rsidR="00C45019" w:rsidRPr="001C6480" w:rsidP="006D6AC5">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本基金收益分配方案由基金管理人拟定，并由基金托管人复核，在</w:t>
      </w:r>
      <w:r w:rsidRPr="001C6480">
        <w:rPr>
          <w:rFonts w:asciiTheme="minorEastAsia" w:eastAsiaTheme="minorEastAsia" w:hAnsiTheme="minorEastAsia" w:cs="Arial"/>
          <w:color w:val="000000" w:themeColor="text1"/>
        </w:rPr>
        <w:t>2</w:t>
      </w:r>
      <w:r w:rsidRPr="001C6480">
        <w:rPr>
          <w:rFonts w:asciiTheme="minorEastAsia" w:eastAsiaTheme="minorEastAsia" w:hAnsiTheme="minorEastAsia" w:cs="Arial" w:hint="eastAsia"/>
          <w:color w:val="000000" w:themeColor="text1"/>
        </w:rPr>
        <w:t>日内在指定媒介公告。</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bCs/>
          <w:color w:val="000000" w:themeColor="text1"/>
        </w:rPr>
        <w:t>基金红利发放日距离收益分配基准日（即可供分配利润计算截止日）的时间不得超过15个工作日。</w:t>
      </w:r>
    </w:p>
    <w:p w:rsidR="001A7CDB" w:rsidRPr="001C6480" w:rsidP="00AF46A7">
      <w:pPr>
        <w:pStyle w:val="Heading2"/>
        <w:numPr>
          <w:ilvl w:val="0"/>
          <w:numId w:val="11"/>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w:t>
      </w:r>
      <w:r w:rsidRPr="001C6480">
        <w:rPr>
          <w:rFonts w:asciiTheme="minorEastAsia" w:eastAsiaTheme="minorEastAsia" w:hAnsiTheme="minorEastAsia" w:cs="Arial"/>
          <w:b w:val="0"/>
          <w:color w:val="000000" w:themeColor="text1"/>
        </w:rPr>
        <w:t>收益分配中发生的费用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基金收益分配时所发生的银行转账或其他手续费用由投资</w:t>
      </w:r>
      <w:r w:rsidRPr="001C6480" w:rsidR="00F568B0">
        <w:rPr>
          <w:rFonts w:asciiTheme="minorEastAsia" w:eastAsiaTheme="minorEastAsia" w:hAnsiTheme="minorEastAsia" w:cs="Arial" w:hint="eastAsia"/>
          <w:color w:val="000000" w:themeColor="text1"/>
        </w:rPr>
        <w:t>者</w:t>
      </w:r>
      <w:r w:rsidRPr="001C6480">
        <w:rPr>
          <w:rFonts w:asciiTheme="minorEastAsia" w:eastAsiaTheme="minorEastAsia" w:hAnsiTheme="minorEastAsia" w:cs="Arial" w:hint="eastAsia"/>
          <w:color w:val="000000" w:themeColor="text1"/>
        </w:rPr>
        <w:t>自行承担。当投资</w:t>
      </w:r>
      <w:r w:rsidRPr="001C6480" w:rsidR="00F568B0">
        <w:rPr>
          <w:rFonts w:asciiTheme="minorEastAsia" w:eastAsiaTheme="minorEastAsia" w:hAnsiTheme="minorEastAsia" w:cs="Arial" w:hint="eastAsia"/>
          <w:color w:val="000000" w:themeColor="text1"/>
        </w:rPr>
        <w:t>者</w:t>
      </w:r>
      <w:r w:rsidRPr="001C6480">
        <w:rPr>
          <w:rFonts w:asciiTheme="minorEastAsia" w:eastAsiaTheme="minorEastAsia" w:hAnsiTheme="minorEastAsia" w:cs="Arial" w:hint="eastAsia"/>
          <w:color w:val="000000" w:themeColor="text1"/>
        </w:rPr>
        <w:t>的现金红利小于一定金额，不足于支付银行转账或其他手续费用时，基金注册登记机构可将基</w:t>
      </w:r>
      <w:r w:rsidRPr="001C6480">
        <w:rPr>
          <w:rFonts w:asciiTheme="minorEastAsia" w:eastAsiaTheme="minorEastAsia" w:hAnsiTheme="minorEastAsia" w:cs="Arial" w:hint="eastAsia"/>
          <w:color w:val="000000" w:themeColor="text1"/>
        </w:rPr>
        <w:t>金份额持有人的现金红利自动转为基金份额。红利再投资的计算方法，依照《业务规则》执行。</w:t>
      </w:r>
    </w:p>
    <w:bookmarkEnd w:id="110"/>
    <w:bookmarkEnd w:id="111"/>
    <w:p w:rsidR="001A7CDB" w:rsidRPr="001C6480" w:rsidP="00F71D3B">
      <w:pPr>
        <w:snapToGrid w:val="0"/>
        <w:spacing w:line="360" w:lineRule="auto"/>
        <w:ind w:firstLine="420"/>
        <w:rPr>
          <w:rFonts w:asciiTheme="minorEastAsia" w:eastAsiaTheme="minorEastAsia" w:hAnsiTheme="minorEastAsia" w:cs="Arial"/>
          <w:color w:val="000000" w:themeColor="text1"/>
        </w:r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112" w:name="_Toc96595117"/>
      <w:r w:rsidRPr="001C6480">
        <w:rPr>
          <w:rFonts w:asciiTheme="minorEastAsia" w:eastAsiaTheme="minorEastAsia" w:hAnsiTheme="minorEastAsia" w:cs="Arial" w:hint="eastAsia"/>
          <w:bCs/>
          <w:color w:val="000000" w:themeColor="text1"/>
        </w:rPr>
        <w:t>基金的费用与税收</w:t>
      </w:r>
      <w:bookmarkEnd w:id="112"/>
    </w:p>
    <w:p w:rsidR="001A7CDB" w:rsidRPr="001C6480" w:rsidP="00AF46A7">
      <w:pPr>
        <w:pStyle w:val="Heading2"/>
        <w:numPr>
          <w:ilvl w:val="0"/>
          <w:numId w:val="12"/>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113" w:name="_Toc84149669"/>
      <w:bookmarkStart w:id="114" w:name="_Toc86584633"/>
      <w:r w:rsidRPr="001C6480">
        <w:rPr>
          <w:rFonts w:asciiTheme="minorEastAsia" w:eastAsiaTheme="minorEastAsia" w:hAnsiTheme="minorEastAsia" w:cs="Arial"/>
          <w:b w:val="0"/>
          <w:color w:val="000000" w:themeColor="text1"/>
        </w:rPr>
        <w:t>与基金运作相关的费用</w:t>
      </w:r>
      <w:bookmarkEnd w:id="113"/>
      <w:bookmarkEnd w:id="114"/>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1</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基金费用的种类</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（1）基金管理人的管理费；</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（2）基金托管人的托管费；</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（3）基金合同生效后的标的指数许可使用费；</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（4）《基金合同》生效后与基金相关的信息披露费用；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C17CD0">
        <w:rPr>
          <w:rFonts w:asciiTheme="minorEastAsia" w:eastAsiaTheme="minorEastAsia" w:hAnsiTheme="minorEastAsia" w:cs="Arial" w:hint="eastAsia"/>
          <w:color w:val="000000" w:themeColor="text1"/>
        </w:rPr>
        <w:t>5</w:t>
      </w:r>
      <w:r w:rsidRPr="001C6480">
        <w:rPr>
          <w:rFonts w:asciiTheme="minorEastAsia" w:eastAsiaTheme="minorEastAsia" w:hAnsiTheme="minorEastAsia" w:cs="Arial" w:hint="eastAsia"/>
          <w:color w:val="000000" w:themeColor="text1"/>
        </w:rPr>
        <w:t>）《基金合同》生效后与基金相关的会计师费、律师费和诉讼费；</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C17CD0">
        <w:rPr>
          <w:rFonts w:asciiTheme="minorEastAsia" w:eastAsiaTheme="minorEastAsia" w:hAnsiTheme="minorEastAsia" w:cs="Arial" w:hint="eastAsia"/>
          <w:color w:val="000000" w:themeColor="text1"/>
        </w:rPr>
        <w:t>6</w:t>
      </w:r>
      <w:r w:rsidRPr="001C6480">
        <w:rPr>
          <w:rFonts w:asciiTheme="minorEastAsia" w:eastAsiaTheme="minorEastAsia" w:hAnsiTheme="minorEastAsia" w:cs="Arial" w:hint="eastAsia"/>
          <w:color w:val="000000" w:themeColor="text1"/>
        </w:rPr>
        <w:t>）基金份额持有人大会费用；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C17CD0">
        <w:rPr>
          <w:rFonts w:asciiTheme="minorEastAsia" w:eastAsiaTheme="minorEastAsia" w:hAnsiTheme="minorEastAsia" w:cs="Arial" w:hint="eastAsia"/>
          <w:color w:val="000000" w:themeColor="text1"/>
        </w:rPr>
        <w:t>7</w:t>
      </w:r>
      <w:r w:rsidRPr="001C6480">
        <w:rPr>
          <w:rFonts w:asciiTheme="minorEastAsia" w:eastAsiaTheme="minorEastAsia" w:hAnsiTheme="minorEastAsia" w:cs="Arial" w:hint="eastAsia"/>
          <w:color w:val="000000" w:themeColor="text1"/>
        </w:rPr>
        <w:t>）基金的证券交易费用；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C17CD0">
        <w:rPr>
          <w:rFonts w:asciiTheme="minorEastAsia" w:eastAsiaTheme="minorEastAsia" w:hAnsiTheme="minorEastAsia" w:cs="Arial" w:hint="eastAsia"/>
          <w:color w:val="000000" w:themeColor="text1"/>
        </w:rPr>
        <w:t>8</w:t>
      </w:r>
      <w:r w:rsidRPr="001C6480">
        <w:rPr>
          <w:rFonts w:asciiTheme="minorEastAsia" w:eastAsiaTheme="minorEastAsia" w:hAnsiTheme="minorEastAsia" w:cs="Arial" w:hint="eastAsia"/>
          <w:color w:val="000000" w:themeColor="text1"/>
        </w:rPr>
        <w:t>）基金的银行汇划费用；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C17CD0">
        <w:rPr>
          <w:rFonts w:asciiTheme="minorEastAsia" w:eastAsiaTheme="minorEastAsia" w:hAnsiTheme="minorEastAsia" w:cs="Arial" w:hint="eastAsia"/>
          <w:color w:val="000000" w:themeColor="text1"/>
        </w:rPr>
        <w:t>9</w:t>
      </w:r>
      <w:r w:rsidRPr="001C6480">
        <w:rPr>
          <w:rFonts w:asciiTheme="minorEastAsia" w:eastAsiaTheme="minorEastAsia" w:hAnsiTheme="minorEastAsia" w:cs="Arial" w:hint="eastAsia"/>
          <w:color w:val="000000" w:themeColor="text1"/>
        </w:rPr>
        <w:t>）证券账户开户费用、银行账户维护费用；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w:t>
      </w:r>
      <w:r w:rsidRPr="001C6480" w:rsidR="00C17CD0">
        <w:rPr>
          <w:rFonts w:asciiTheme="minorEastAsia" w:eastAsiaTheme="minorEastAsia" w:hAnsiTheme="minorEastAsia" w:cs="Arial" w:hint="eastAsia"/>
          <w:color w:val="000000" w:themeColor="text1"/>
        </w:rPr>
        <w:t>10</w:t>
      </w:r>
      <w:r w:rsidRPr="001C6480">
        <w:rPr>
          <w:rFonts w:asciiTheme="minorEastAsia" w:eastAsiaTheme="minorEastAsia" w:hAnsiTheme="minorEastAsia" w:cs="Arial" w:hint="eastAsia"/>
          <w:color w:val="000000" w:themeColor="text1"/>
        </w:rPr>
        <w:t>）按照国家有关规定和《基金合同》约定，可以在基金财产中列支的其他费用。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w:t>
      </w:r>
      <w:r w:rsidRPr="001C6480" w:rsidR="002E5E1A">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基金费用计提方法、计提标准和支付方式</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（1）基金管理人的管理费</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本基金的管理费按前一日基金资产净值的</w:t>
      </w:r>
      <w:r w:rsidRPr="001C6480" w:rsidR="00C17CD0">
        <w:rPr>
          <w:rFonts w:asciiTheme="minorEastAsia" w:eastAsiaTheme="minorEastAsia" w:hAnsiTheme="minorEastAsia" w:cs="Arial" w:hint="eastAsia"/>
          <w:color w:val="000000" w:themeColor="text1"/>
        </w:rPr>
        <w:t>0.8</w:t>
      </w:r>
      <w:r w:rsidRPr="001C6480">
        <w:rPr>
          <w:rFonts w:asciiTheme="minorEastAsia" w:eastAsiaTheme="minorEastAsia" w:hAnsiTheme="minorEastAsia" w:cs="Arial" w:hint="eastAsia"/>
          <w:color w:val="000000" w:themeColor="text1"/>
        </w:rPr>
        <w:t>%年费率计提。管理费的计算方法如下：</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H＝E×</w:t>
      </w:r>
      <w:r w:rsidRPr="001C6480" w:rsidR="00C17CD0">
        <w:rPr>
          <w:rFonts w:asciiTheme="minorEastAsia" w:eastAsiaTheme="minorEastAsia" w:hAnsiTheme="minorEastAsia" w:cs="Arial" w:hint="eastAsia"/>
          <w:color w:val="000000" w:themeColor="text1"/>
        </w:rPr>
        <w:t>0.8</w:t>
      </w:r>
      <w:r w:rsidRPr="001C6480">
        <w:rPr>
          <w:rFonts w:asciiTheme="minorEastAsia" w:eastAsiaTheme="minorEastAsia" w:hAnsiTheme="minorEastAsia" w:cs="Arial" w:hint="eastAsia"/>
          <w:color w:val="000000" w:themeColor="text1"/>
        </w:rPr>
        <w:t>%÷当年天数</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H为每日应计提的基金管理费</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E为前一日的基金资产净值</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1C6480">
        <w:rPr>
          <w:rFonts w:asciiTheme="minorEastAsia" w:eastAsiaTheme="minorEastAsia" w:hAnsiTheme="minorEastAsia" w:cs="Arial" w:hint="eastAsia"/>
          <w:bCs/>
          <w:color w:val="000000" w:themeColor="text1"/>
        </w:rPr>
        <w:t>。</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（2）基金托管人的托管费</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本基金的托管费按前一日基金资产净值的0.</w:t>
      </w:r>
      <w:r w:rsidRPr="001C6480" w:rsidR="00C17CD0">
        <w:rPr>
          <w:rFonts w:asciiTheme="minorEastAsia" w:eastAsiaTheme="minorEastAsia" w:hAnsiTheme="minorEastAsia" w:cs="Arial" w:hint="eastAsia"/>
          <w:color w:val="000000" w:themeColor="text1"/>
        </w:rPr>
        <w:t>15</w:t>
      </w:r>
      <w:r w:rsidRPr="001C6480">
        <w:rPr>
          <w:rFonts w:asciiTheme="minorEastAsia" w:eastAsiaTheme="minorEastAsia" w:hAnsiTheme="minorEastAsia" w:cs="Arial" w:hint="eastAsia"/>
          <w:color w:val="000000" w:themeColor="text1"/>
        </w:rPr>
        <w:t>%的年费率计提。托管费的计算方法如下：</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H＝E×0.</w:t>
      </w:r>
      <w:r w:rsidRPr="001C6480" w:rsidR="00C17CD0">
        <w:rPr>
          <w:rFonts w:asciiTheme="minorEastAsia" w:eastAsiaTheme="minorEastAsia" w:hAnsiTheme="minorEastAsia" w:cs="Arial" w:hint="eastAsia"/>
          <w:color w:val="000000" w:themeColor="text1"/>
        </w:rPr>
        <w:t>15</w:t>
      </w:r>
      <w:r w:rsidRPr="001C6480">
        <w:rPr>
          <w:rFonts w:asciiTheme="minorEastAsia" w:eastAsiaTheme="minorEastAsia" w:hAnsiTheme="minorEastAsia" w:cs="Arial" w:hint="eastAsia"/>
          <w:color w:val="000000" w:themeColor="text1"/>
        </w:rPr>
        <w:t>%÷当年天数</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H为每日应计提的基金托管费</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E为前一日的基金资产净值</w:t>
      </w:r>
    </w:p>
    <w:p w:rsidR="00DB0267" w:rsidRPr="001C6480" w:rsidP="00F71D3B">
      <w:pPr>
        <w:snapToGrid w:val="0"/>
        <w:spacing w:line="360" w:lineRule="auto"/>
        <w:ind w:firstLine="420" w:firstLineChars="200"/>
        <w:rPr>
          <w:rFonts w:asciiTheme="minorEastAsia" w:eastAsiaTheme="minorEastAsia" w:hAnsiTheme="minorEastAsia" w:cs="Arial"/>
          <w:bCs/>
          <w:color w:val="000000" w:themeColor="text1"/>
        </w:rPr>
      </w:pPr>
      <w:r w:rsidRPr="001C6480">
        <w:rPr>
          <w:rFonts w:asciiTheme="minorEastAsia" w:eastAsiaTheme="minorEastAsia" w:hAnsiTheme="minorEastAsia" w:cs="Arial" w:hint="eastAsia"/>
          <w:color w:val="000000" w:themeColor="text1"/>
        </w:rPr>
        <w:t>基金托管费每日计提，按月支付。由托管人根据与管理人核对一致的财务数据，自动在月初五个工作日内、按照指定的帐户路径进行资金支付，管理人无需再出具资金划拨指</w:t>
      </w:r>
      <w:r w:rsidRPr="001C6480">
        <w:rPr>
          <w:rFonts w:asciiTheme="minorEastAsia" w:eastAsiaTheme="minorEastAsia" w:hAnsiTheme="minorEastAsia" w:cs="Arial" w:hint="eastAsia"/>
          <w:color w:val="000000" w:themeColor="text1"/>
        </w:rPr>
        <w:t>令。若遇法定节假日、休息日等，支付日期顺延。费用自动扣划后，管理人如发现数据不符，及时联系托管人协商解决</w:t>
      </w:r>
      <w:r w:rsidRPr="001C6480">
        <w:rPr>
          <w:rFonts w:asciiTheme="minorEastAsia" w:eastAsiaTheme="minorEastAsia" w:hAnsiTheme="minorEastAsia" w:cs="Arial" w:hint="eastAsia"/>
          <w:bCs/>
          <w:color w:val="000000" w:themeColor="text1"/>
        </w:rPr>
        <w:t>。</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（3）标的指数许可使用费</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合同生效后的标的指数许可使用费按照基金管理人与中证指数有限公司签署的指数使用许可协议的约定从基金财产中向中证指数有限公司支付。标的指数使用费按前一日基金资产净值的0.016%的年费率计提。标的指数许可使用费每日计算，逐日累计。</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计算方法如下：</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H=E×0.016%/当年天数</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H为每日应付的标的指数许可使用费，E为前一日的基金资产净值。</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标的指数许可使用费的收取下限为每季度人民币伍万元（50，000），计费期间不足一季度的，根据实际天数按比例计算。</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中证指数有限公司根据相应指数使用许可协议变更上述标的指数许可使用费费率和计算方法的，本基金按照变更后的费率计提标的指数许可使用费，基金管理人必须依照有关规定最迟于新的费率和计算方式实施日前依照《信息披露办法》的有关规定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上公告。</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如果中证指数有限公司根据指数使用许可协议的约定要求变更标的指数许可使用费费率和计算方法，应按照变更后的标的指数许可使用费从基金财产中支付给指数许可方。此项变更无需召开基金份额持有人大会。</w:t>
      </w:r>
    </w:p>
    <w:p w:rsidR="00C17CD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上述“1、基金费用的种类中第（4）－（9）项费用”，根据有关法规及相应协议规定，按费用实际支出金额列入当期费用，由基金托管人从基金财产中支付。</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3</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不列入基金费用的项目</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（1）基金管理人和基金托管人因未履行或未完全履行义务导致的费用支出或基金财产的损失；</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（2）基金管理人和基金托管人处理与基金运作无关的事项发生的费用；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（3）《基金合同》生效前的相关费用；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（4）其他根据相关法律法规及中国证监会的有关规定不得列入基金费用的项目。</w:t>
      </w:r>
    </w:p>
    <w:p w:rsidR="001A7CDB" w:rsidRPr="001C6480" w:rsidP="00AF46A7">
      <w:pPr>
        <w:pStyle w:val="Heading2"/>
        <w:numPr>
          <w:ilvl w:val="0"/>
          <w:numId w:val="12"/>
        </w:numPr>
        <w:snapToGrid w:val="0"/>
        <w:spacing w:beforeLines="0" w:afterLines="0" w:line="360" w:lineRule="auto"/>
        <w:ind w:left="-1" w:hanging="283" w:leftChars="-135" w:hangingChars="101"/>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与基金销售有关的费用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本基金申购费、赎回费的费率水平、计算公式、收取方式和使用方式请详见本招募说明书</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八、基金份额的申购、赎回</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中</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（七）申购、赎回的费率</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与</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（八）申购份额、赎回金额的计算方式</w:t>
      </w:r>
      <w:r w:rsidRPr="001C6480">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中的相关规定。</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bookmarkStart w:id="115" w:name="_Toc84149673"/>
      <w:bookmarkStart w:id="116" w:name="_Toc86584637"/>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转换费率</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目前，基金管理人已开通了本基金与旗下部分开放式基金之间的转换业务，具体实施办法和转换费率详见相关公告。基金转换费用由投资者承担，基金转换费用由转出基金赎回费用和基金申购补差费用构成，其中转出基金赎回费按照</w:t>
      </w:r>
      <w:r w:rsidRPr="001C6480" w:rsidR="005E257B">
        <w:rPr>
          <w:rFonts w:asciiTheme="minorEastAsia" w:eastAsiaTheme="minorEastAsia" w:hAnsiTheme="minorEastAsia" w:hint="eastAsia"/>
          <w:color w:val="000000" w:themeColor="text1"/>
        </w:rPr>
        <w:t>各基金的</w:t>
      </w:r>
      <w:r w:rsidRPr="001C6480">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r w:rsidRPr="001C6480">
        <w:rPr>
          <w:rFonts w:asciiTheme="minorEastAsia" w:eastAsiaTheme="minorEastAsia" w:hAnsiTheme="minorEastAsia"/>
          <w:color w:val="000000" w:themeColor="text1"/>
        </w:rPr>
        <w:t>转换费用以人民币元为单位，计算结果按照四舍五入方法，保留小数点后两位</w:t>
      </w:r>
      <w:r w:rsidRPr="001C6480">
        <w:rPr>
          <w:rFonts w:asciiTheme="minorEastAsia" w:eastAsiaTheme="minorEastAsia" w:hAnsiTheme="minorEastAsia" w:hint="eastAsia"/>
          <w:color w:val="000000" w:themeColor="text1"/>
        </w:rPr>
        <w:t>。</w:t>
      </w:r>
    </w:p>
    <w:p w:rsidR="001531E0"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sidR="001A7CDB">
        <w:rPr>
          <w:rFonts w:asciiTheme="minorEastAsia" w:eastAsiaTheme="minorEastAsia" w:hAnsiTheme="minorEastAsia" w:cs="Arial" w:hint="eastAsia"/>
          <w:color w:val="000000" w:themeColor="text1"/>
        </w:rPr>
        <w:t>、</w:t>
      </w:r>
      <w:r w:rsidRPr="001C6480">
        <w:rPr>
          <w:rFonts w:asciiTheme="minorEastAsia" w:eastAsiaTheme="minorEastAsia" w:hAnsiTheme="minorEastAsia" w:hint="eastAsia"/>
          <w:color w:val="000000" w:themeColor="text1"/>
        </w:rPr>
        <w:t>投资者通过本公司网上交易系统（www.efunds.com.cn）进行申购、赎回和转换的交易费率，请具体参照我公司网站上的相关说明。</w:t>
      </w:r>
    </w:p>
    <w:p w:rsidR="00B52AA9"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sidR="001531E0">
        <w:rPr>
          <w:rFonts w:asciiTheme="minorEastAsia" w:eastAsiaTheme="minorEastAsia" w:hAnsiTheme="minorEastAsia" w:cs="Arial"/>
          <w:color w:val="000000" w:themeColor="text1"/>
        </w:rPr>
        <w:t>基金管理人可以根据《基金合同》的相关约定调整上述费率或收费方式。上述费率如发生变更，基金管理人应按照《信息披露办法》或其他相关规定于新的费率或收费方式实施前在</w:t>
      </w:r>
      <w:r w:rsidRPr="001C6480" w:rsidR="007C4910">
        <w:rPr>
          <w:rFonts w:asciiTheme="minorEastAsia" w:eastAsiaTheme="minorEastAsia" w:hAnsiTheme="minorEastAsia" w:cs="Arial" w:hint="eastAsia"/>
          <w:color w:val="000000" w:themeColor="text1"/>
        </w:rPr>
        <w:t>指定媒介</w:t>
      </w:r>
      <w:r w:rsidRPr="001C6480" w:rsidR="001531E0">
        <w:rPr>
          <w:rFonts w:asciiTheme="minorEastAsia" w:eastAsiaTheme="minorEastAsia" w:hAnsiTheme="minorEastAsia" w:cs="Arial"/>
          <w:color w:val="000000" w:themeColor="text1"/>
        </w:rPr>
        <w:t>公告。</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w:t>
      </w:r>
      <w:r w:rsidRPr="001C6480" w:rsidR="00A849CB">
        <w:rPr>
          <w:rFonts w:asciiTheme="minorEastAsia" w:eastAsiaTheme="minorEastAsia" w:hAnsiTheme="minorEastAsia" w:cs="Arial"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A7CDB" w:rsidRPr="001C6480" w:rsidP="00AF46A7">
      <w:pPr>
        <w:pStyle w:val="Heading2"/>
        <w:numPr>
          <w:ilvl w:val="0"/>
          <w:numId w:val="12"/>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基金税收</w:t>
      </w:r>
      <w:bookmarkEnd w:id="115"/>
      <w:bookmarkEnd w:id="116"/>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本基金运作过程中涉及的各纳税主体，其纳税义务按国家税收法律、法规执行。</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117" w:name="_Toc96595118"/>
      <w:r w:rsidRPr="001C6480">
        <w:rPr>
          <w:rFonts w:asciiTheme="minorEastAsia" w:eastAsiaTheme="minorEastAsia" w:hAnsiTheme="minorEastAsia" w:cs="Arial" w:hint="eastAsia"/>
          <w:bCs/>
          <w:color w:val="000000" w:themeColor="text1"/>
        </w:rPr>
        <w:t>基金的会计与审计</w:t>
      </w:r>
      <w:bookmarkEnd w:id="117"/>
    </w:p>
    <w:p w:rsidR="001A7CDB" w:rsidRPr="001C6480" w:rsidP="00AF46A7">
      <w:pPr>
        <w:pStyle w:val="Heading2"/>
        <w:numPr>
          <w:ilvl w:val="0"/>
          <w:numId w:val="1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基金会计政策</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1、基金管理人为本基金的基金会计责任方；</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2、基金的会计年度为公历年度的1月1日至12月31日；基金首次募集的会计年度按如下原则：如果《基金合同》生效少于2个月，可以并入下一个会计年度；</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3、基金核算以人民币为记账本位币，以人民币元为记账单位；</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4、会计制度执行国家有关会计制度；</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5、本基金独立建账、独立核算；</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6、基金管理人及基金托管人各自保留完整的会计账目、凭证并进行日常的会计核算，按照有关规定编制基金会计报表；</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sz w:val="24"/>
        </w:rPr>
      </w:pPr>
      <w:r w:rsidRPr="001C6480">
        <w:rPr>
          <w:rFonts w:asciiTheme="minorEastAsia" w:eastAsiaTheme="minorEastAsia" w:hAnsiTheme="minorEastAsia"/>
          <w:bCs/>
          <w:color w:val="000000" w:themeColor="text1"/>
        </w:rPr>
        <w:t>7、基金托管人每月与基金管理人就基金的会计核算、报表编制等进行核对并以书面方式确认。</w:t>
      </w:r>
    </w:p>
    <w:p w:rsidR="001A7CDB" w:rsidRPr="001C6480" w:rsidP="00AF46A7">
      <w:pPr>
        <w:pStyle w:val="Heading2"/>
        <w:numPr>
          <w:ilvl w:val="0"/>
          <w:numId w:val="1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基金的</w:t>
      </w:r>
      <w:r w:rsidRPr="001C6480" w:rsidR="006F6B75">
        <w:rPr>
          <w:rFonts w:asciiTheme="minorEastAsia" w:eastAsiaTheme="minorEastAsia" w:hAnsiTheme="minorEastAsia" w:cs="Arial" w:hint="eastAsia"/>
          <w:b w:val="0"/>
          <w:color w:val="000000" w:themeColor="text1"/>
        </w:rPr>
        <w:t>年度</w:t>
      </w:r>
      <w:r w:rsidRPr="001C6480">
        <w:rPr>
          <w:rFonts w:asciiTheme="minorEastAsia" w:eastAsiaTheme="minorEastAsia" w:hAnsiTheme="minorEastAsia" w:cs="Arial"/>
          <w:b w:val="0"/>
          <w:color w:val="000000" w:themeColor="text1"/>
        </w:rPr>
        <w:t>审计</w:t>
      </w:r>
    </w:p>
    <w:p w:rsidR="00C45019"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、基金管理人聘请与基金管理人、基金托管人相互独立的具有证券、期货相关业务资格的会计师事务所及其注册会计师对本基金的年度财务报表进行审计。</w:t>
      </w:r>
    </w:p>
    <w:p w:rsidR="00C45019"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、会计师事务所更换经办注册会计师，应事先征得基金管理人同意。</w:t>
      </w:r>
    </w:p>
    <w:p w:rsidR="00C45019"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、基金管理人认为有充足理由更换会计师事务所，须通报基金托管人。更换会计师事务所需在</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日内在指定媒介公告。</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118" w:name="_Toc28099463"/>
      <w:bookmarkStart w:id="119" w:name="_Toc28099464"/>
      <w:bookmarkStart w:id="120" w:name="_Hlt4221115"/>
      <w:bookmarkStart w:id="121" w:name="_Toc28099465"/>
      <w:bookmarkStart w:id="122" w:name="_Toc96595119"/>
      <w:bookmarkEnd w:id="118"/>
      <w:bookmarkEnd w:id="119"/>
      <w:bookmarkEnd w:id="120"/>
      <w:bookmarkEnd w:id="121"/>
      <w:r w:rsidRPr="001C6480">
        <w:rPr>
          <w:rFonts w:asciiTheme="minorEastAsia" w:eastAsiaTheme="minorEastAsia" w:hAnsiTheme="minorEastAsia" w:cs="Arial" w:hint="eastAsia"/>
          <w:bCs/>
          <w:color w:val="000000" w:themeColor="text1"/>
          <w:szCs w:val="21"/>
        </w:rPr>
        <w:t>基金的信息披露</w:t>
      </w:r>
      <w:bookmarkEnd w:id="122"/>
    </w:p>
    <w:p w:rsidR="00375699"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一</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本基金的信息披露应符合《基金法》、《运作办法》、《信息披露办法》、《基金合同》及其他有关规定。</w:t>
      </w:r>
      <w:r w:rsidRPr="001C6480">
        <w:rPr>
          <w:rFonts w:asciiTheme="minorEastAsia" w:eastAsiaTheme="minorEastAsia" w:hAnsiTheme="minorEastAsia" w:hint="eastAsia"/>
          <w:bCs/>
          <w:color w:val="000000" w:themeColor="text1"/>
        </w:rPr>
        <w:t>相关法律法规关于信息披露的披露方式、登载媒</w:t>
      </w:r>
      <w:r w:rsidRPr="001C6480" w:rsidR="00AD72E8">
        <w:rPr>
          <w:rFonts w:asciiTheme="minorEastAsia" w:eastAsiaTheme="minorEastAsia" w:hAnsiTheme="minorEastAsia" w:hint="eastAsia"/>
          <w:bCs/>
          <w:color w:val="000000" w:themeColor="text1"/>
        </w:rPr>
        <w:t>介</w:t>
      </w:r>
      <w:r w:rsidRPr="001C6480">
        <w:rPr>
          <w:rFonts w:asciiTheme="minorEastAsia" w:eastAsiaTheme="minorEastAsia" w:hAnsiTheme="minorEastAsia" w:hint="eastAsia"/>
          <w:bCs/>
          <w:color w:val="000000" w:themeColor="text1"/>
        </w:rPr>
        <w:t>、报备方式等规定发生变化时，本基金从其最新规定。</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二</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信息披露义务人</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本基金信息披露义务人包括基金管理人、基金托管人、召集基金份额持有人大会的基金份额持有人等法律、行政法规和中国证监会规定的自然人、法人和非法人组织。</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本基金信息披露义务人以保护基金份额持有人利益为根本出发点，按照法律法规和中国证监会的规定披露基金信息，并保证所披露信息的真实性、准确性、完整性、及时性、简明性和易得性。</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三</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本基金信息披露义务人承诺公开披露的基金信息，不得有下列行为：</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1、虚假记载、误导性陈述或者重大遗漏；</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2、对证券投资业绩进行预测；</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3、违规承诺收益或者承担损失；</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4、诋毁其他基金管理人、基金托管人或者基金销售机构；</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5</w:t>
      </w:r>
      <w:r w:rsidRPr="001C6480">
        <w:rPr>
          <w:rFonts w:asciiTheme="minorEastAsia" w:eastAsiaTheme="minorEastAsia" w:hAnsiTheme="minorEastAsia" w:hint="eastAsia"/>
          <w:bCs/>
          <w:color w:val="000000" w:themeColor="text1"/>
        </w:rPr>
        <w:t>、登载任何自然人、法人和非法人组织的祝贺性、恭维性或推荐性的文字；</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6、中国证监会禁止的其他行为。</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四</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本基金公开披露的信息应采用中文文本。</w:t>
      </w:r>
      <w:r w:rsidRPr="001C6480">
        <w:rPr>
          <w:rFonts w:asciiTheme="minorEastAsia" w:eastAsiaTheme="minorEastAsia" w:hAnsiTheme="minorEastAsia" w:hint="eastAsia"/>
          <w:bCs/>
          <w:color w:val="000000" w:themeColor="text1"/>
        </w:rPr>
        <w:t>如同时采用外文文本的，基金信息披露义务人应保证不同文本的内容一致。不同文本之间发生歧义的，以中文文本为准。</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本基金公开披露的信息采用阿拉伯数字；除特别说明外，货币单位为人民币元。</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五</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公开披露的基金信息</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公开披露的基金信息包括：</w:t>
      </w:r>
    </w:p>
    <w:p w:rsidR="00AD72E8" w:rsidRPr="001C6480" w:rsidP="00AD72E8">
      <w:pPr>
        <w:spacing w:line="360" w:lineRule="auto"/>
        <w:ind w:firstLine="420" w:firstLineChars="200"/>
        <w:rPr>
          <w:rFonts w:asciiTheme="minorEastAsia" w:eastAsiaTheme="minorEastAsia" w:hAnsiTheme="minorEastAsia"/>
          <w:bCs/>
          <w:color w:val="000000" w:themeColor="text1"/>
          <w:sz w:val="24"/>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基金招募说明书、《基金合同》、基金托管协议</w:t>
      </w:r>
      <w:r w:rsidRPr="001C6480">
        <w:rPr>
          <w:rFonts w:asciiTheme="minorEastAsia" w:eastAsiaTheme="minorEastAsia" w:hAnsiTheme="minorEastAsia" w:hint="eastAsia"/>
          <w:bCs/>
          <w:color w:val="000000" w:themeColor="text1"/>
          <w:sz w:val="24"/>
          <w:szCs w:val="20"/>
        </w:rPr>
        <w:t>、基金产品资料概要</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《基金合同》是界定《基金合同》当事人的各项权利、义务关系，明确基金份额持有人大会召开的规则及具体程序，说明基金产品的特性等涉及基金投资</w:t>
      </w:r>
      <w:r w:rsidRPr="001C6480" w:rsidR="00EC0772">
        <w:rPr>
          <w:rFonts w:asciiTheme="minorEastAsia" w:eastAsiaTheme="minorEastAsia" w:hAnsiTheme="minorEastAsia" w:hint="eastAsia"/>
          <w:bCs/>
          <w:color w:val="000000" w:themeColor="text1"/>
        </w:rPr>
        <w:t>者</w:t>
      </w:r>
      <w:r w:rsidRPr="001C6480">
        <w:rPr>
          <w:rFonts w:asciiTheme="minorEastAsia" w:eastAsiaTheme="minorEastAsia" w:hAnsiTheme="minorEastAsia"/>
          <w:bCs/>
          <w:color w:val="000000" w:themeColor="text1"/>
        </w:rPr>
        <w:t>重大利益的事项的法律文件。</w:t>
      </w:r>
    </w:p>
    <w:p w:rsidR="00AD72E8" w:rsidRPr="001C6480" w:rsidP="00AD72E8">
      <w:pPr>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基金招募说明书应当最大限度地披露影响基金投资</w:t>
      </w:r>
      <w:r w:rsidRPr="001C6480" w:rsidR="00EC0772">
        <w:rPr>
          <w:rFonts w:asciiTheme="minorEastAsia" w:eastAsiaTheme="minorEastAsia" w:hAnsiTheme="minorEastAsia" w:hint="eastAsia"/>
          <w:bCs/>
          <w:color w:val="000000" w:themeColor="text1"/>
        </w:rPr>
        <w:t>者</w:t>
      </w:r>
      <w:r w:rsidRPr="001C6480">
        <w:rPr>
          <w:rFonts w:asciiTheme="minorEastAsia" w:eastAsiaTheme="minorEastAsia" w:hAnsiTheme="minorEastAsia"/>
          <w:bCs/>
          <w:color w:val="000000" w:themeColor="text1"/>
        </w:rPr>
        <w:t>决策的全部事项，说明基金认购、申购和赎回安排、基金投资、基金产品特性、风险揭示、信息披露及基金份额持有</w:t>
      </w:r>
      <w:r w:rsidRPr="001C6480">
        <w:rPr>
          <w:rFonts w:asciiTheme="minorEastAsia" w:eastAsiaTheme="minorEastAsia" w:hAnsiTheme="minorEastAsia"/>
          <w:bCs/>
          <w:color w:val="000000" w:themeColor="text1"/>
        </w:rPr>
        <w:t>人服务等内容。</w:t>
      </w:r>
      <w:r w:rsidRPr="001C6480">
        <w:rPr>
          <w:rFonts w:asciiTheme="minorEastAsia" w:eastAsiaTheme="minorEastAsia" w:hAnsiTheme="minorEastAsia" w:hint="eastAsia"/>
          <w:bCs/>
          <w:color w:val="000000" w:themeColor="text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基金托管协议是界定基金托管人和基金管理人在基金财产保管及基金运作监督等活动中的权利、义务关系的法律文件。</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基金募集申请经中国证监会核准后，基金管理人在基金份额发售的3日前，将基金招募说明书、《基金合同》摘要登载在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bCs/>
          <w:color w:val="000000" w:themeColor="text1"/>
        </w:rPr>
        <w:t>上；基金管理人、基金托管人应当将《基金合同》、基金托管协议登载在网站上。</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4</w:t>
      </w:r>
      <w:r w:rsidRPr="001C6480">
        <w:rPr>
          <w:rFonts w:asciiTheme="minorEastAsia" w:eastAsiaTheme="minorEastAsia" w:hAnsiTheme="minorEastAsia" w:hint="eastAsia"/>
          <w:bCs/>
          <w:color w:val="000000" w:themeColor="text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w:t>
      </w:r>
      <w:r w:rsidRPr="001C6480">
        <w:rPr>
          <w:rFonts w:asciiTheme="minorEastAsia" w:eastAsiaTheme="minorEastAsia" w:hAnsiTheme="minorEastAsia"/>
          <w:bCs/>
          <w:color w:val="000000" w:themeColor="text1"/>
        </w:rPr>
        <w:t>基金份额发售公告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基金管理人应当就基金份额发售的具体事宜编制基金份额发售公告，并在披露招募说明书的当日登载于</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bCs/>
          <w:color w:val="000000" w:themeColor="text1"/>
        </w:rPr>
        <w:t>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w:t>
      </w:r>
      <w:r w:rsidRPr="001C6480">
        <w:rPr>
          <w:rFonts w:asciiTheme="minorEastAsia" w:eastAsiaTheme="minorEastAsia" w:hAnsiTheme="minorEastAsia"/>
          <w:bCs/>
          <w:color w:val="000000" w:themeColor="text1"/>
        </w:rPr>
        <w:t>《基金合同》生效公告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基金管理人应当在收到中国证监会确认文件的次日在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bCs/>
          <w:color w:val="000000" w:themeColor="text1"/>
        </w:rPr>
        <w:t>上登载《基金合同》生效公告。</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4、基金净值信息</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《基金合同》生效后，在开始办理基金份额申购或者赎回前，基金管理人应当至少每周在指定网站披露一次基金份额净值和基金份额累计净值。</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在开始办理基金份额申购或者赎回后，基金管理人应当在不晚于每个开放日的次日，通过指定网站、基金销售机构网站或者营业网点披露开放日的基金份额净值和基金份额累计净值。</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基金管理人应当在不晚于半年度和年度最后一日的次日，在指定网站披露半年度和年度最后一日的基金份额净值和基金份额累计净值。</w:t>
      </w:r>
    </w:p>
    <w:p w:rsidR="001A7CDB" w:rsidRPr="001C6480" w:rsidP="00AD72E8">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5、</w:t>
      </w:r>
      <w:r w:rsidRPr="001C6480">
        <w:rPr>
          <w:rFonts w:asciiTheme="minorEastAsia" w:eastAsiaTheme="minorEastAsia" w:hAnsiTheme="minorEastAsia"/>
          <w:bCs/>
          <w:color w:val="000000" w:themeColor="text1"/>
        </w:rPr>
        <w:t>基金份额申购、赎回价格</w:t>
      </w:r>
    </w:p>
    <w:p w:rsidR="00AD72E8"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基金管理人应当在《基金合同》、招募说明书等信息披露文件上载明基金份额申购、赎回价格的计算方式及有关申购、赎回费率，</w:t>
      </w:r>
      <w:r w:rsidRPr="001C6480">
        <w:rPr>
          <w:rFonts w:asciiTheme="minorEastAsia" w:eastAsiaTheme="minorEastAsia" w:hAnsiTheme="minorEastAsia" w:hint="eastAsia"/>
          <w:bCs/>
          <w:color w:val="000000" w:themeColor="text1"/>
        </w:rPr>
        <w:t>并保证投资者能够在基金销售机构网站或营业网点查阅或者复制前述信息资料。</w:t>
      </w:r>
    </w:p>
    <w:p w:rsidR="00FC0D3C" w:rsidRPr="001C6480" w:rsidP="00FC0D3C">
      <w:pPr>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6、基金定期报告，包括基金年度报告、基金中期报告和基金季度报告</w:t>
      </w:r>
    </w:p>
    <w:p w:rsidR="00FC0D3C"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C0D3C"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基金管理人应当在上半年结束之日起两个月内，编制完成基金中期报告，将中期报告登载在指定网站上，并将中期报告提示性公告登载在指定报刊上。</w:t>
      </w:r>
    </w:p>
    <w:p w:rsidR="00FC0D3C"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基金管理人应当在季度结束之日起</w:t>
      </w:r>
      <w:r w:rsidRPr="001C6480">
        <w:rPr>
          <w:rFonts w:asciiTheme="minorEastAsia" w:eastAsiaTheme="minorEastAsia" w:hAnsiTheme="minorEastAsia"/>
          <w:bCs/>
          <w:color w:val="000000" w:themeColor="text1"/>
        </w:rPr>
        <w:t>15</w:t>
      </w:r>
      <w:r w:rsidRPr="001C6480">
        <w:rPr>
          <w:rFonts w:asciiTheme="minorEastAsia" w:eastAsiaTheme="minorEastAsia" w:hAnsiTheme="minorEastAsia" w:hint="eastAsia"/>
          <w:bCs/>
          <w:color w:val="000000" w:themeColor="text1"/>
        </w:rPr>
        <w:t>个工作日内，编制完成基金季度报告，将季度报告登载在指定网站上，并将季度报告提示性公告登载在指定报刊上。</w:t>
      </w:r>
    </w:p>
    <w:p w:rsidR="00FC0D3C"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《基金合同》生效不足</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个月的，基金管理人可以不编制当期季度报告、中期报告或者年度报告。</w:t>
      </w:r>
    </w:p>
    <w:p w:rsidR="00FC0D3C"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报告期内出现单一投资者持有基金份额比例达到或超过</w:t>
      </w:r>
      <w:r w:rsidRPr="001C6480">
        <w:rPr>
          <w:rFonts w:asciiTheme="minorEastAsia" w:eastAsiaTheme="minorEastAsia" w:hAnsiTheme="minorEastAsia"/>
          <w:bCs/>
          <w:color w:val="000000" w:themeColor="text1"/>
        </w:rPr>
        <w:t>20%</w:t>
      </w:r>
      <w:r w:rsidRPr="001C6480">
        <w:rPr>
          <w:rFonts w:asciiTheme="minorEastAsia" w:eastAsiaTheme="minorEastAsia" w:hAnsiTheme="minorEastAsia" w:hint="eastAsia"/>
          <w:bCs/>
          <w:color w:val="000000" w:themeColor="text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FC0D3C"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基金持续运作过程中，基金管理人应当在基金年度报告和中期报告中披露基金组合资产情况及其流动性风险分析等。</w:t>
      </w:r>
    </w:p>
    <w:p w:rsidR="001A7CDB" w:rsidRPr="001C6480" w:rsidP="00FC0D3C">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7、</w:t>
      </w:r>
      <w:r w:rsidRPr="001C6480">
        <w:rPr>
          <w:rFonts w:asciiTheme="minorEastAsia" w:eastAsiaTheme="minorEastAsia" w:hAnsiTheme="minorEastAsia"/>
          <w:bCs/>
          <w:color w:val="000000" w:themeColor="text1"/>
        </w:rPr>
        <w:t>临时报告</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本基金发生重大事件，有关信息披露义务人应当在</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日内编制临时报告书，并登载在指定报刊和指定网站上。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前款所称重大事件，是指可能对基金份额持有人权益或者基金份额的价格产生重大影响的下列事件：</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）基金份额持有人大会的召开及决定的事项；</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）基金合同终止、基金清算；</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）转换基金运作方式、基金合并；</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4</w:t>
      </w:r>
      <w:r w:rsidRPr="001C6480">
        <w:rPr>
          <w:rFonts w:asciiTheme="minorEastAsia" w:eastAsiaTheme="minorEastAsia" w:hAnsiTheme="minorEastAsia" w:hint="eastAsia"/>
          <w:bCs/>
          <w:color w:val="000000" w:themeColor="text1"/>
        </w:rPr>
        <w:t>）更换基金管理人、基金托管人、基金份额登记机构，基金改聘会计师事务所；</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5</w:t>
      </w:r>
      <w:r w:rsidRPr="001C6480">
        <w:rPr>
          <w:rFonts w:asciiTheme="minorEastAsia" w:eastAsiaTheme="minorEastAsia" w:hAnsiTheme="minorEastAsia" w:hint="eastAsia"/>
          <w:bCs/>
          <w:color w:val="000000" w:themeColor="text1"/>
        </w:rPr>
        <w:t>）基金管理人委托基金服务机构代为办理基金的份额登记、核算、估值等事项，基金托管人委托基金服务机构代为办理基金的核算、估值、复核等事项；</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）基金管理人、基金托管人的法定名称、住所发生变更；</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7</w:t>
      </w:r>
      <w:r w:rsidRPr="001C6480">
        <w:rPr>
          <w:rFonts w:asciiTheme="minorEastAsia" w:eastAsiaTheme="minorEastAsia" w:hAnsiTheme="minorEastAsia" w:hint="eastAsia"/>
          <w:bCs/>
          <w:color w:val="000000" w:themeColor="text1"/>
        </w:rPr>
        <w:t>）基金管理公司变更持有百分之五以上股权的股东、基金管理人的实际控制人变更；</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8</w:t>
      </w:r>
      <w:r w:rsidRPr="001C6480">
        <w:rPr>
          <w:rFonts w:asciiTheme="minorEastAsia" w:eastAsiaTheme="minorEastAsia" w:hAnsiTheme="minorEastAsia" w:hint="eastAsia"/>
          <w:bCs/>
          <w:color w:val="000000" w:themeColor="text1"/>
        </w:rPr>
        <w:t>）基金管理人的高级管理人员、基金经理和基金托管人专门基金托管部门负责人发生变动；</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9</w:t>
      </w:r>
      <w:r w:rsidRPr="001C6480">
        <w:rPr>
          <w:rFonts w:asciiTheme="minorEastAsia" w:eastAsiaTheme="minorEastAsia" w:hAnsiTheme="minorEastAsia" w:hint="eastAsia"/>
          <w:bCs/>
          <w:color w:val="000000" w:themeColor="text1"/>
        </w:rPr>
        <w:t>）基金管理人的董事在最近</w:t>
      </w:r>
      <w:r w:rsidRPr="001C6480">
        <w:rPr>
          <w:rFonts w:asciiTheme="minorEastAsia" w:eastAsiaTheme="minorEastAsia" w:hAnsiTheme="minorEastAsia"/>
          <w:bCs/>
          <w:color w:val="000000" w:themeColor="text1"/>
        </w:rPr>
        <w:t>12</w:t>
      </w:r>
      <w:r w:rsidRPr="001C6480">
        <w:rPr>
          <w:rFonts w:asciiTheme="minorEastAsia" w:eastAsiaTheme="minorEastAsia" w:hAnsiTheme="minorEastAsia" w:hint="eastAsia"/>
          <w:bCs/>
          <w:color w:val="000000" w:themeColor="text1"/>
        </w:rPr>
        <w:t>个月内变更超过百分之五十，基金管理人、基金托管人专门基金托管部门的主要业务人员在最近</w:t>
      </w:r>
      <w:r w:rsidRPr="001C6480">
        <w:rPr>
          <w:rFonts w:asciiTheme="minorEastAsia" w:eastAsiaTheme="minorEastAsia" w:hAnsiTheme="minorEastAsia"/>
          <w:bCs/>
          <w:color w:val="000000" w:themeColor="text1"/>
        </w:rPr>
        <w:t>12</w:t>
      </w:r>
      <w:r w:rsidRPr="001C6480">
        <w:rPr>
          <w:rFonts w:asciiTheme="minorEastAsia" w:eastAsiaTheme="minorEastAsia" w:hAnsiTheme="minorEastAsia" w:hint="eastAsia"/>
          <w:bCs/>
          <w:color w:val="000000" w:themeColor="text1"/>
        </w:rPr>
        <w:t>个月内变动超过百分之三十；</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10</w:t>
      </w:r>
      <w:r w:rsidRPr="001C6480">
        <w:rPr>
          <w:rFonts w:asciiTheme="minorEastAsia" w:eastAsiaTheme="minorEastAsia" w:hAnsiTheme="minorEastAsia" w:hint="eastAsia"/>
          <w:bCs/>
          <w:color w:val="000000" w:themeColor="text1"/>
        </w:rPr>
        <w:t>）涉及基金财产、基金管理业务、基金托管业务的诉讼或仲裁；</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11</w:t>
      </w:r>
      <w:r w:rsidRPr="001C6480">
        <w:rPr>
          <w:rFonts w:asciiTheme="minorEastAsia" w:eastAsiaTheme="minorEastAsia" w:hAnsiTheme="minorEastAsia" w:hint="eastAsia"/>
          <w:bCs/>
          <w:color w:val="000000" w:themeColor="text1"/>
        </w:rPr>
        <w:t>）基金管理人或其高级管理人员、基金经理因基金管理业务相关行为受到重大行政处罚、刑事处罚，基金托管人或其专门基金托管部门负责人因基金托管业务相关行为受到重大行政处罚、刑事处罚；</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12</w:t>
      </w:r>
      <w:r w:rsidRPr="001C6480">
        <w:rPr>
          <w:rFonts w:asciiTheme="minorEastAsia" w:eastAsiaTheme="minorEastAsia" w:hAnsiTheme="minorEastAsia" w:hint="eastAsia"/>
          <w:bCs/>
          <w:color w:val="000000" w:themeColor="text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13</w:t>
      </w:r>
      <w:r w:rsidRPr="001C6480">
        <w:rPr>
          <w:rFonts w:asciiTheme="minorEastAsia" w:eastAsiaTheme="minorEastAsia" w:hAnsiTheme="minorEastAsia" w:hint="eastAsia"/>
          <w:bCs/>
          <w:color w:val="000000" w:themeColor="text1"/>
        </w:rPr>
        <w:t>）基金收益分配事项；</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14</w:t>
      </w:r>
      <w:r w:rsidRPr="001C6480">
        <w:rPr>
          <w:rFonts w:asciiTheme="minorEastAsia" w:eastAsiaTheme="minorEastAsia" w:hAnsiTheme="minorEastAsia" w:hint="eastAsia"/>
          <w:bCs/>
          <w:color w:val="000000" w:themeColor="text1"/>
        </w:rPr>
        <w:t>）管理费、托管费、申购费、赎回费等费用计提标准、计提方式和费率发生变更；</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15</w:t>
      </w:r>
      <w:r w:rsidRPr="001C6480">
        <w:rPr>
          <w:rFonts w:asciiTheme="minorEastAsia" w:eastAsiaTheme="minorEastAsia" w:hAnsiTheme="minorEastAsia" w:hint="eastAsia"/>
          <w:bCs/>
          <w:color w:val="000000" w:themeColor="text1"/>
        </w:rPr>
        <w:t>）基金份额净值计价错误达基金份额净值百分之零点五；</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16</w:t>
      </w:r>
      <w:r w:rsidRPr="001C6480">
        <w:rPr>
          <w:rFonts w:asciiTheme="minorEastAsia" w:eastAsiaTheme="minorEastAsia" w:hAnsiTheme="minorEastAsia" w:hint="eastAsia"/>
          <w:bCs/>
          <w:color w:val="000000" w:themeColor="text1"/>
        </w:rPr>
        <w:t>）本基金开始办理申购、赎回；</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17</w:t>
      </w:r>
      <w:r w:rsidRPr="001C6480">
        <w:rPr>
          <w:rFonts w:asciiTheme="minorEastAsia" w:eastAsiaTheme="minorEastAsia" w:hAnsiTheme="minorEastAsia" w:hint="eastAsia"/>
          <w:bCs/>
          <w:color w:val="000000" w:themeColor="text1"/>
        </w:rPr>
        <w:t>）本基金暂停接受申购、赎回申请或重新接受申购、赎回申请；</w:t>
      </w:r>
    </w:p>
    <w:p w:rsidR="00C31116" w:rsidRPr="001C6480" w:rsidP="00C3111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18</w:t>
      </w:r>
      <w:r w:rsidRPr="001C6480">
        <w:rPr>
          <w:rFonts w:asciiTheme="minorEastAsia" w:eastAsiaTheme="minorEastAsia" w:hAnsiTheme="minorEastAsia" w:hint="eastAsia"/>
          <w:bCs/>
          <w:color w:val="000000" w:themeColor="text1"/>
        </w:rPr>
        <w:t>）基金变更标的指数；</w:t>
      </w:r>
    </w:p>
    <w:p w:rsidR="00C31116" w:rsidRPr="001C6480" w:rsidP="00C3111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19</w:t>
      </w:r>
      <w:r w:rsidRPr="001C6480">
        <w:rPr>
          <w:rFonts w:asciiTheme="minorEastAsia" w:eastAsiaTheme="minorEastAsia" w:hAnsiTheme="minorEastAsia" w:hint="eastAsia"/>
          <w:bCs/>
          <w:color w:val="000000" w:themeColor="text1"/>
        </w:rPr>
        <w:t>）调整基金份额类别的设置；</w:t>
      </w:r>
    </w:p>
    <w:p w:rsidR="00C31116" w:rsidRPr="001C6480" w:rsidP="00C3111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20</w:t>
      </w:r>
      <w:r w:rsidRPr="001C6480">
        <w:rPr>
          <w:rFonts w:asciiTheme="minorEastAsia" w:eastAsiaTheme="minorEastAsia" w:hAnsiTheme="minorEastAsia" w:hint="eastAsia"/>
          <w:bCs/>
          <w:color w:val="000000" w:themeColor="text1"/>
        </w:rPr>
        <w:t>）基金推出新业务或服务；</w:t>
      </w:r>
    </w:p>
    <w:p w:rsidR="00C31116" w:rsidRPr="001C6480" w:rsidP="00C31116">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21</w:t>
      </w:r>
      <w:r w:rsidRPr="001C6480">
        <w:rPr>
          <w:rFonts w:asciiTheme="minorEastAsia" w:eastAsiaTheme="minorEastAsia" w:hAnsiTheme="minorEastAsia" w:hint="eastAsia"/>
          <w:bCs/>
          <w:color w:val="000000" w:themeColor="text1"/>
        </w:rPr>
        <w:t>）基金信息披露义务人认为可能对基金份额持有人权益或者基金份额的价格产生重大影响的其他事项或中国证监会规定的其他事项。</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8、</w:t>
      </w:r>
      <w:r w:rsidRPr="001C6480">
        <w:rPr>
          <w:rFonts w:asciiTheme="minorEastAsia" w:eastAsiaTheme="minorEastAsia" w:hAnsiTheme="minorEastAsia"/>
          <w:bCs/>
          <w:color w:val="000000" w:themeColor="text1"/>
        </w:rPr>
        <w:t>澄清公告</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9、清算报告</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0</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基金份额持有人大会决议</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基金份额持有人大会决定的事项，应当依法报国务院证券监督管理机构核准或者备案，并予以公告。</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中国证监会规定的其他信息。</w:t>
      </w:r>
    </w:p>
    <w:p w:rsidR="002A32CC"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若本基金投资股指期货，基金管理人应在季度报告、</w:t>
      </w:r>
      <w:r w:rsidRPr="001C6480" w:rsidR="00476452">
        <w:rPr>
          <w:rFonts w:asciiTheme="minorEastAsia" w:eastAsiaTheme="minorEastAsia" w:hAnsiTheme="minorEastAsia" w:hint="eastAsia"/>
          <w:bCs/>
          <w:color w:val="000000" w:themeColor="text1"/>
        </w:rPr>
        <w:t>中期</w:t>
      </w:r>
      <w:r w:rsidRPr="001C6480">
        <w:rPr>
          <w:rFonts w:asciiTheme="minorEastAsia" w:eastAsiaTheme="minorEastAsia" w:hAnsiTheme="minorEastAsia" w:hint="eastAsia"/>
          <w:bCs/>
          <w:color w:val="000000" w:themeColor="text1"/>
        </w:rPr>
        <w:t>报告、年度报告等定期报告和招募说明书（更新）等文件中披露股指期货交易情况，包括投资政策、持仓情况、损益</w:t>
      </w:r>
      <w:r w:rsidRPr="001C6480">
        <w:rPr>
          <w:rFonts w:asciiTheme="minorEastAsia" w:eastAsiaTheme="minorEastAsia" w:hAnsiTheme="minorEastAsia" w:hint="eastAsia"/>
          <w:bCs/>
          <w:color w:val="000000" w:themeColor="text1"/>
        </w:rPr>
        <w:t>情况、风险指标等，并充分揭示股指期货交易对基金总体风险的影响以及是否符合既定的投资政策和投资目标等。</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六</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信息披露事务管理</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基金管理人、基金托管人应当建立健全信息披露管理制度，指定专门部门及高级管理人员负责管理信息披露事务。</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基金信息披露义务人公开披露基金信息，应当符合中国证监会相关基金信息披露内容与格式准则等法规的规定。</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为基金信息披露义务人公开披露的基金信息出具审计报告、法律意见书的专业机构，应当制作工作底稿，并将相关档案至少保存到《基金合同》终止后</w:t>
      </w:r>
      <w:r w:rsidRPr="001C6480">
        <w:rPr>
          <w:rFonts w:asciiTheme="minorEastAsia" w:eastAsiaTheme="minorEastAsia" w:hAnsiTheme="minorEastAsia"/>
          <w:bCs/>
          <w:color w:val="000000" w:themeColor="text1"/>
        </w:rPr>
        <w:t>10</w:t>
      </w:r>
      <w:r w:rsidRPr="001C6480">
        <w:rPr>
          <w:rFonts w:asciiTheme="minorEastAsia" w:eastAsiaTheme="minorEastAsia" w:hAnsiTheme="minorEastAsia" w:hint="eastAsia"/>
          <w:bCs/>
          <w:color w:val="000000" w:themeColor="text1"/>
        </w:rPr>
        <w:t>年。</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七</w:t>
      </w: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信息披露文件的存放与查阅</w:t>
      </w:r>
    </w:p>
    <w:p w:rsidR="0047645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依法必须披露的信息发布后，基金管理人、基金托管人应当按照相关法律法规规定将信息置备于公司办公场所，供社会公众查阅、复制。</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（八）暂停或延迟信息披露的情形</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当出现下述情况时，基金管理人和基金托管人可暂停或延迟披露基金相关信息：</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1、不可抗力；</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2、基金投资所涉及的证券交易市场遇法定节假日或因其他原因暂停营业时；</w:t>
      </w:r>
    </w:p>
    <w:p w:rsidR="001A7CDB"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3、出现基金管理人认为属于会导致基金管理人不能出售或评估基金资产的紧急事故的任何情况；</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4、法律法规、基金合同或中国证监会规定的情况。</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color w:val="000000" w:themeColor="text1"/>
        </w:rPr>
      </w:pPr>
      <w:bookmarkStart w:id="123" w:name="_Toc96595120"/>
      <w:r w:rsidRPr="001C6480">
        <w:rPr>
          <w:rFonts w:asciiTheme="minorEastAsia" w:eastAsiaTheme="minorEastAsia" w:hAnsiTheme="minorEastAsia" w:cs="Arial" w:hint="eastAsia"/>
          <w:bCs/>
          <w:color w:val="000000" w:themeColor="text1"/>
        </w:rPr>
        <w:t>风险揭示</w:t>
      </w:r>
      <w:bookmarkEnd w:id="123"/>
    </w:p>
    <w:p w:rsidR="00155EFC" w:rsidRPr="001C6480" w:rsidP="00155EFC">
      <w:pPr>
        <w:pStyle w:val="Heading2"/>
        <w:numPr>
          <w:ilvl w:val="0"/>
          <w:numId w:val="16"/>
        </w:numPr>
        <w:snapToGrid w:val="0"/>
        <w:spacing w:before="312" w:after="312" w:afterLines="0" w:line="360" w:lineRule="auto"/>
        <w:ind w:left="-1" w:hanging="283" w:leftChars="-135" w:hangingChars="101"/>
        <w:rPr>
          <w:rFonts w:asciiTheme="minorEastAsia" w:eastAsiaTheme="minorEastAsia" w:hAnsiTheme="minorEastAsia" w:cs="Arial"/>
          <w:color w:val="000000" w:themeColor="text1"/>
        </w:rPr>
      </w:pPr>
      <w:bookmarkStart w:id="124" w:name="_Toc76367385"/>
      <w:bookmarkStart w:id="125" w:name="_Toc92074917"/>
      <w:bookmarkStart w:id="126" w:name="_Toc231784428"/>
      <w:bookmarkStart w:id="127" w:name="_Toc238870123"/>
      <w:r w:rsidRPr="001C6480">
        <w:rPr>
          <w:rFonts w:asciiTheme="minorEastAsia" w:eastAsiaTheme="minorEastAsia" w:hAnsiTheme="minorEastAsia" w:cs="Arial" w:hint="eastAsia"/>
          <w:color w:val="000000" w:themeColor="text1"/>
        </w:rPr>
        <w:t>本基金特有风险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1、与指数化投资相关的特定风险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（1）标的指数波动的风险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标的指数成份股的价格可能受到政治因素、经济因素、上市公司经营状况、投资人心理和交易制度等各种因素的影响而波动，导致指数波动，从而使基金收益水平发生变化，产生风险。本基金</w:t>
      </w:r>
      <w:r w:rsidRPr="001C6480" w:rsidR="0014736A">
        <w:rPr>
          <w:rFonts w:asciiTheme="minorEastAsia" w:eastAsiaTheme="minorEastAsia" w:hAnsiTheme="minorEastAsia" w:hint="eastAsia"/>
          <w:bCs/>
          <w:color w:val="000000" w:themeColor="text1"/>
        </w:rPr>
        <w:t>股票投资比例不低于基金资产的90%，其中投资于标的指数成份股和备选成份股的资产不低于股票资产的80%</w:t>
      </w:r>
      <w:r w:rsidRPr="001C6480">
        <w:rPr>
          <w:rFonts w:asciiTheme="minorEastAsia" w:eastAsiaTheme="minorEastAsia" w:hAnsiTheme="minorEastAsia" w:hint="eastAsia"/>
          <w:color w:val="000000" w:themeColor="text1"/>
        </w:rPr>
        <w:t>，业绩表现将会随着标的指数的波动而波动；同时本基金将维持较高的股票仓位，在股票市场下跌的过程中，可能面临基金净值与标的指数同步下跌的风险。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（2）标的指数回报与股票市场平均回报偏离的风险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标的指数并不能代表整个股票市场。标的指数成份股的平均回报率与整个股票市场的平均回报率可能存在偏离。</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（3）基金投资组合回报与标的指数回报偏离的风险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以下因素可能使基金投资组合的收益率与标的指数的收益率发生偏离：1）标的指数调整成份股或变更编制方法，使本基金在相应的组合调整中产生跟踪偏离度与跟踪误差；2）标的指数成份股发生配股、增发等行为导致成份股在标的指数中的权重发生变化，使本基金在相应的组合调整中产生跟踪偏离度和跟踪误差；3）成份股派发现金红利、送配等所获收益导致基金收益率偏离标的指数收益率，从而产生跟踪偏离度和跟踪误差；4）由于成份股停牌、摘牌或流动性差等因素，基金无法及时调整投资组合或承担冲击成本而产生跟踪偏离度和跟踪误差；5）基金投资过程中的证券交易成本，以及基金管理费和托管费等，可能导致本基金在跟踪指数时产生收益上的偏离；6）在本基金指数化投资过程中，基金管理人的管理能力，例如跟踪指数的水平、技术手段、买入卖出的时机选择等，都会对本基金的收益产生影响，从而影响本基金对标的指数的跟踪程度；7）基金现金资产的拖累会影响本基金对标的指数的跟踪程度；8）如果本基金采取成份股替代策略，基金投资组合与标的指数构成的差异可能导致基金收益率与标的指数收益率产生偏离；9）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（4）标的指数变更的风险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根据基金合同规定，如发生导致标的指数变更的情形，基金管理人可以依据维护投资者合法权益的原则，变更本基金的标的指数。若标的指数发生变更，本基金的投资组合将相应进行调整。届时本基金的风险收益特征可能发生变化，且投资组合调整可能产生交易成本和机会成本。投资者须承担因标的指数变更而产生的风险与成本。</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（5）量化增强策略的风险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在一定的跟踪误差约束范围内，追求超越业绩比较基准的投资回报。为此，本基金可能在一定幅度内减少或增加部分标的指数成份股的投资比例，甚至从投资组合中剔除个别标的指数成份股，或在标的指数成份股之外进行投资。由于量化策略的表现存在不确定性，本基金进行增强投资的结果既可能超越业绩比较基准，也可能落后于业绩比较基准。</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2、采用量化策略进行投资管理可能引致的特定风险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（1）数据错误风险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量化策略投资以广泛覆盖各类信息源的数据库为基础，接入了包括宏观经济、行业信息、公司财务、证券与期货交易行情等在内的多种数据，相关数据通常来源于不同的数据提供商，且按不同的需求和规范进行进行预处理。源数据错误或预处理过程中出现的错误可能影响量化模型的输出结果，形成数据错误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（2）模型风险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采用量化模型指导投资决策，定量方法的缺陷在一定程度上也会影响本基金的表现。一方面，面对不断变换的市场环境，量化投资策略所遵循的模型理论均处于不断发展和完善的过程中；另一方面，在定量模型的具体设定中，核心参数假定的变动均可能影响整体效果的稳定性；最后，定量模型存在对历史数据的依赖。因此，在实际运作过程中，市场环境的变化可能导致遵循量化模型构建的投资组合在一定程度上无法达到预期的投资效果。</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3、本基金投资特定品种的特有风险</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（1）本基金投资范围包括股指期货，股指期货投资可能给本基金带来额外风险，包括杠杆风险、期货价格与基金投资品种价格的相关度降低带来的风险等，由此可能增加本基金净值的波动性。</w:t>
      </w:r>
    </w:p>
    <w:p w:rsidR="00155EFC" w:rsidRPr="001C6480" w:rsidP="00155EFC">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（2）本基金的投资范围包括资产支持证券，资产支持证券存在一定的信用风险、利率风险、流动性风险、提前偿付风险、操作风险和法律风险，由此可能给基金净值带来不利影响或损失。</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4</w:t>
      </w:r>
      <w:r w:rsidRPr="001C6480">
        <w:rPr>
          <w:rFonts w:asciiTheme="minorEastAsia" w:eastAsiaTheme="minorEastAsia" w:hAnsiTheme="minorEastAsia" w:cs="Arial" w:hint="eastAsia"/>
          <w:color w:val="000000" w:themeColor="text1"/>
        </w:rPr>
        <w:t>、本基金可投资科创板股票，可能面临退市风险、市场风险、流动性风险等特有风险，从而可能给基金净值带来不利影响或损失。本基金根据投资策略需要或市场环境变化，可</w:t>
      </w:r>
      <w:r w:rsidRPr="001C6480">
        <w:rPr>
          <w:rFonts w:asciiTheme="minorEastAsia" w:eastAsiaTheme="minorEastAsia" w:hAnsiTheme="minorEastAsia" w:cs="Arial" w:hint="eastAsia"/>
          <w:color w:val="000000" w:themeColor="text1"/>
        </w:rPr>
        <w:t>选择将部分基金资产投资于科创板股票或选择不将基金资产投资于科创板股票，基金资产并非必然投资于科创板股票。</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科创板股票在发行、上市、交易、退市等方面的规则与其他板块存在差异，基金投资科创板股票的风险包括但不限于：</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（1）科创板企业退市风险</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（2）市场风险</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（3）流动性风险</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（4）监管规则变化的风险</w:t>
      </w:r>
    </w:p>
    <w:p w:rsidR="00A24FE4" w:rsidRPr="001C6480"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科创板股票相关法律、行政法规、部门规章、规范性文件和交易所业务规则，可能根据市场情况进行修改完善，或者补充制定新的法律法规和业务规则，导致基金投资运作产生相应调整变化。</w:t>
      </w:r>
    </w:p>
    <w:p w:rsidR="00F76EEB" w:rsidRPr="001C6480" w:rsidP="00F76EEB">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5、投资于存托凭证的风险</w:t>
      </w:r>
    </w:p>
    <w:p w:rsidR="00F76EEB" w:rsidRPr="001C6480" w:rsidP="00F76EEB">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A7CDB" w:rsidRPr="001C6480" w:rsidP="005F0E3E">
      <w:pPr>
        <w:pStyle w:val="Heading2"/>
        <w:numPr>
          <w:ilvl w:val="0"/>
          <w:numId w:val="14"/>
        </w:numPr>
        <w:snapToGrid w:val="0"/>
        <w:spacing w:beforeLines="0" w:afterLines="0" w:line="360" w:lineRule="auto"/>
        <w:ind w:left="-1" w:hanging="283" w:leftChars="-135" w:hangingChars="101"/>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市场风险</w:t>
      </w:r>
    </w:p>
    <w:p w:rsidR="001A7CDB" w:rsidRPr="001C6480" w:rsidP="00F71D3B">
      <w:pPr>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w:t>
      </w:r>
      <w:r w:rsidRPr="001C6480">
        <w:rPr>
          <w:rFonts w:asciiTheme="minorEastAsia" w:eastAsiaTheme="minorEastAsia" w:hAnsiTheme="minorEastAsia" w:cs="Arial"/>
          <w:color w:val="000000" w:themeColor="text1"/>
        </w:rPr>
        <w:t>基金投资于证券市场</w:t>
      </w:r>
      <w:r w:rsidRPr="001C6480">
        <w:rPr>
          <w:rFonts w:asciiTheme="minorEastAsia" w:eastAsiaTheme="minorEastAsia" w:hAnsiTheme="minorEastAsia" w:cs="Arial" w:hint="eastAsia"/>
          <w:color w:val="000000" w:themeColor="text1"/>
        </w:rPr>
        <w:t>、期货市场</w:t>
      </w:r>
      <w:r w:rsidRPr="001C6480">
        <w:rPr>
          <w:rFonts w:asciiTheme="minorEastAsia" w:eastAsiaTheme="minorEastAsia" w:hAnsiTheme="minorEastAsia" w:cs="Arial"/>
          <w:color w:val="000000" w:themeColor="text1"/>
        </w:rPr>
        <w:t>，而证券市场价格因受到经济因素、政治因素、投资</w:t>
      </w:r>
      <w:r w:rsidRPr="001C6480">
        <w:rPr>
          <w:rFonts w:asciiTheme="minorEastAsia" w:eastAsiaTheme="minorEastAsia" w:hAnsiTheme="minorEastAsia" w:cs="Arial" w:hint="eastAsia"/>
          <w:color w:val="000000" w:themeColor="text1"/>
        </w:rPr>
        <w:t>者</w:t>
      </w:r>
      <w:r w:rsidRPr="001C6480">
        <w:rPr>
          <w:rFonts w:asciiTheme="minorEastAsia" w:eastAsiaTheme="minorEastAsia" w:hAnsiTheme="minorEastAsia" w:cs="Arial"/>
          <w:color w:val="000000" w:themeColor="text1"/>
        </w:rPr>
        <w:t>心理和交易制度等各种因素的影响而产生波动，从而导致基金收益水平发生变化，产生风险。主要的风险因素包括：</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政策风险。因财政政策、货币政策、产业政策、地区发展政策等国家宏观政策发生变化，导致市场价格波动，影响基金收益而产生风险。</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经济周期风险。随着经济运行的周期性变化，证券市场的收益水平也呈周期性变化，基金投资的收益水平也会随之变化，从而产生风险。</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Pr>
          <w:rFonts w:asciiTheme="minorEastAsia" w:eastAsiaTheme="minorEastAsia" w:hAnsiTheme="minorEastAsia" w:cs="Arial"/>
          <w:color w:val="000000" w:themeColor="text1"/>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Pr>
          <w:rFonts w:asciiTheme="minorEastAsia" w:eastAsiaTheme="minorEastAsia" w:hAnsiTheme="minorEastAsia" w:cs="Arial"/>
          <w:color w:val="000000" w:themeColor="text1"/>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w:t>
      </w:r>
      <w:r w:rsidRPr="001C6480">
        <w:rPr>
          <w:rFonts w:asciiTheme="minorEastAsia" w:eastAsiaTheme="minorEastAsia" w:hAnsiTheme="minorEastAsia" w:cs="Arial"/>
          <w:color w:val="000000" w:themeColor="text1"/>
        </w:rPr>
        <w:t>购买力风险。基金份额持有人收益将主要通过现金形式来分配，而现金可能因为通货膨胀因素而使其购买力下降,从而使基金的实际收益下降。</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6、信用风险。信</w:t>
      </w:r>
      <w:r w:rsidRPr="001C6480">
        <w:rPr>
          <w:rFonts w:asciiTheme="minorEastAsia" w:eastAsiaTheme="minorEastAsia" w:hAnsiTheme="minorEastAsia" w:cs="Arial"/>
          <w:color w:val="000000" w:themeColor="text1"/>
        </w:rPr>
        <w:t>用风险是指基金在交易过程发生交收违约，或者基金所投资债券之发行人出现违约、拒绝支付到期本息，都可能导致基金资产损失和收益变化</w:t>
      </w:r>
      <w:r w:rsidRPr="001C6480">
        <w:rPr>
          <w:rFonts w:asciiTheme="minorEastAsia" w:eastAsiaTheme="minorEastAsia" w:hAnsiTheme="minorEastAsia" w:cs="Arial" w:hint="eastAsia"/>
          <w:color w:val="000000" w:themeColor="text1"/>
        </w:rPr>
        <w:t>。</w:t>
      </w:r>
    </w:p>
    <w:p w:rsidR="001A7CDB" w:rsidRPr="001C6480" w:rsidP="005F0E3E">
      <w:pPr>
        <w:pStyle w:val="Heading2"/>
        <w:numPr>
          <w:ilvl w:val="0"/>
          <w:numId w:val="14"/>
        </w:numPr>
        <w:snapToGrid w:val="0"/>
        <w:spacing w:beforeLines="0" w:afterLines="0" w:line="360" w:lineRule="auto"/>
        <w:ind w:left="-1" w:hanging="283" w:leftChars="-135" w:hangingChars="101"/>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管理风险</w:t>
      </w:r>
    </w:p>
    <w:p w:rsidR="001A7CDB" w:rsidRPr="001C6480" w:rsidP="00F71D3B">
      <w:pPr>
        <w:autoSpaceDE w:val="0"/>
        <w:autoSpaceDN w:val="0"/>
        <w:snapToGrid w:val="0"/>
        <w:spacing w:line="360" w:lineRule="auto"/>
        <w:ind w:firstLine="420"/>
        <w:rPr>
          <w:rFonts w:asciiTheme="minorEastAsia" w:eastAsiaTheme="minorEastAsia" w:hAnsiTheme="minorEastAsia"/>
          <w:color w:val="000000" w:themeColor="text1"/>
        </w:rPr>
      </w:pPr>
      <w:r w:rsidRPr="001C6480">
        <w:rPr>
          <w:rFonts w:asciiTheme="minorEastAsia" w:eastAsiaTheme="minorEastAsia" w:hAnsiTheme="minorEastAsia" w:cs="Arial" w:hint="eastAsia"/>
          <w:color w:val="000000" w:themeColor="text1"/>
        </w:rPr>
        <w:t>在基金资产运作过程中，基金管理人的</w:t>
      </w:r>
      <w:r w:rsidRPr="001C6480">
        <w:rPr>
          <w:rFonts w:asciiTheme="minorEastAsia" w:eastAsiaTheme="minorEastAsia" w:hAnsiTheme="minorEastAsia" w:hint="eastAsia"/>
          <w:color w:val="000000" w:themeColor="text1"/>
        </w:rPr>
        <w:t>知识、经验、判断、决策、技能、</w:t>
      </w:r>
      <w:r w:rsidRPr="001C6480">
        <w:rPr>
          <w:rFonts w:asciiTheme="minorEastAsia" w:eastAsiaTheme="minorEastAsia" w:hAnsiTheme="minorEastAsia" w:cs="Arial" w:hint="eastAsia"/>
          <w:color w:val="000000" w:themeColor="text1"/>
        </w:rPr>
        <w:t>研究水平（包括定性研究和定量研究）、投资管理水平直接影响基金资产收益水平。如果基金管理人对经济形势和证券、期货市场判断不准确、获取的信息不完整、在设计与建立统计模型时未能全面考虑影响因素、市场表现与模型预测不一致、选择了不适当的风险暴露水平，或者对不同资产间价差变动的方向判断不准确，都会影响基金资产的收益水平。</w:t>
      </w:r>
      <w:r w:rsidRPr="001C6480">
        <w:rPr>
          <w:rFonts w:asciiTheme="minorEastAsia" w:eastAsiaTheme="minorEastAsia" w:hAnsiTheme="minorEastAsia" w:hint="eastAsia"/>
          <w:color w:val="000000" w:themeColor="text1"/>
        </w:rPr>
        <w:t>此外，基金管理人与基金托管人的管理手段和管理技术等因素的变化也会影响基金收益水平。</w:t>
      </w:r>
    </w:p>
    <w:p w:rsidR="001A7CDB" w:rsidRPr="001C6480" w:rsidP="005F0E3E">
      <w:pPr>
        <w:pStyle w:val="Heading2"/>
        <w:numPr>
          <w:ilvl w:val="0"/>
          <w:numId w:val="14"/>
        </w:numPr>
        <w:snapToGrid w:val="0"/>
        <w:spacing w:beforeLines="0" w:afterLines="0" w:line="360" w:lineRule="auto"/>
        <w:ind w:left="-1" w:hanging="283" w:leftChars="-135" w:hangingChars="101"/>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流动性风险</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（1）拟投资市场、行业及资产的流动性风险评估</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本基金为</w:t>
      </w:r>
      <w:r w:rsidRPr="001C6480" w:rsidR="00AA15B0">
        <w:rPr>
          <w:rFonts w:asciiTheme="minorEastAsia" w:eastAsiaTheme="minorEastAsia" w:hAnsiTheme="minorEastAsia" w:cs="Arial" w:hint="eastAsia"/>
          <w:color w:val="000000" w:themeColor="text1"/>
        </w:rPr>
        <w:t>沪深300指数增强型基金</w:t>
      </w:r>
      <w:r w:rsidRPr="001C6480">
        <w:rPr>
          <w:rFonts w:asciiTheme="minorEastAsia" w:eastAsiaTheme="minorEastAsia" w:hAnsiTheme="minorEastAsia" w:cs="Arial" w:hint="eastAsia"/>
          <w:color w:val="000000" w:themeColor="text1"/>
        </w:rPr>
        <w:t>，主要投资</w:t>
      </w:r>
      <w:r w:rsidRPr="001C6480" w:rsidR="00AA15B0">
        <w:rPr>
          <w:rFonts w:asciiTheme="minorEastAsia" w:eastAsiaTheme="minorEastAsia" w:hAnsiTheme="minorEastAsia" w:cs="Arial" w:hint="eastAsia"/>
          <w:color w:val="000000" w:themeColor="text1"/>
        </w:rPr>
        <w:t>于包括标的指数成份股和备选成份股在内的具有良好流动性的金融工具</w:t>
      </w:r>
      <w:r w:rsidRPr="001C6480">
        <w:rPr>
          <w:rFonts w:asciiTheme="minorEastAsia" w:eastAsiaTheme="minorEastAsia" w:hAnsiTheme="minorEastAsia" w:cs="Arial" w:hint="eastAsia"/>
          <w:color w:val="000000" w:themeColor="text1"/>
        </w:rPr>
        <w:t>，一般情况下，上述投资标的流动性较好，但不排除在特定阶段、特定市场环境下特定投资标的出现流动性较差的情况。因此，本基金投资于上述资产时，可能存在以下流动性风险：一是基金管理人建仓时或为实现收益而进行组合调整时，</w:t>
      </w:r>
      <w:r w:rsidRPr="001C6480">
        <w:rPr>
          <w:rFonts w:asciiTheme="minorEastAsia" w:eastAsiaTheme="minorEastAsia" w:hAnsiTheme="minorEastAsia" w:cs="Arial" w:hint="eastAsia"/>
          <w:color w:val="000000" w:themeColor="text1"/>
        </w:rPr>
        <w:t>可能由于市场流动性相对不足而无法按预期的价格将股票或债券买进或卖出；二是为应付投资人的赎回，基金管理人的现金支付出现困难，被迫在不适当的价格大量抛售股票或债券。两者均可能使基金净值受到不利影响。</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（2）巨额赎回情形下的流动性风险管理措施</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当本基金发生巨额赎回时，基金管理人可以根据基金当时的资产组合状况决定全额赎回或部分延期赎回；此外，如出现连续2个开放日以上发生巨额赎回时，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Pr="001C6480" w:rsidR="005F641C">
        <w:rPr>
          <w:rFonts w:asciiTheme="minorEastAsia" w:eastAsiaTheme="minorEastAsia" w:hAnsiTheme="minorEastAsia" w:cs="Arial" w:hint="eastAsia"/>
          <w:color w:val="000000" w:themeColor="text1"/>
        </w:rPr>
        <w:t>之</w:t>
      </w:r>
      <w:r w:rsidRPr="001C6480">
        <w:rPr>
          <w:rFonts w:asciiTheme="minorEastAsia" w:eastAsiaTheme="minorEastAsia" w:hAnsiTheme="minorEastAsia" w:cs="Arial" w:hint="eastAsia"/>
          <w:color w:val="000000" w:themeColor="text1"/>
        </w:rPr>
        <w:t>“（十）巨额赎回的情形及处理方式”。</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（3）除场外份额巨额赎回情形外实施备用的流动性风险管理工具的情形、程序及对投资者的潜在影响</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除场外份额巨额赎回情形外，本基金备用流动性风险管理工具包括但不限于暂停接受赎回申请、延缓支付赎回款项、暂停基金估值以及证监会认定的其他措施。</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暂停接受赎回申请、延缓支付赎回款项等工具的情形、程序见招募说明书“八、基金份额的申购、赎回”之“（十一）拒绝或暂停申购、暂停赎回或延缓支付赎回款项的情形及处理方式”的相关规定。若本基金暂停赎回申请，投资者在暂停赎回期间将无法赎回其持有的基金份额。若本基金延缓支付赎回款项，赎回款支付时间将后延，可能对投资者的资金安排带来不利影响。</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7D6B5E" w:rsidRPr="001C6480" w:rsidP="007D6B5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暂停基金估值的情形、程序见招募说明书“十四、基金资产估值”之“（七）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5F5F9E" w:rsidRPr="001C6480" w:rsidP="006D6AC5">
      <w:pPr>
        <w:pStyle w:val="Heading2"/>
        <w:numPr>
          <w:ilvl w:val="0"/>
          <w:numId w:val="14"/>
        </w:numPr>
        <w:snapToGrid w:val="0"/>
        <w:spacing w:beforeLines="0" w:afterLines="0" w:line="360" w:lineRule="auto"/>
        <w:ind w:left="-1" w:hanging="283" w:leftChars="-135" w:hangingChars="101"/>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b w:val="0"/>
          <w:color w:val="000000" w:themeColor="text1"/>
        </w:rPr>
        <w:t>本基金法律文件中涉及基金风险特征的表述与销售机构对基金的风险评级可能不一致的风险</w:t>
      </w:r>
    </w:p>
    <w:p w:rsidR="005F5F9E" w:rsidRPr="001C6480" w:rsidP="005F5F9E">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1A7CDB" w:rsidRPr="001C6480" w:rsidP="005F0E3E">
      <w:pPr>
        <w:pStyle w:val="Heading2"/>
        <w:numPr>
          <w:ilvl w:val="0"/>
          <w:numId w:val="14"/>
        </w:numPr>
        <w:snapToGrid w:val="0"/>
        <w:spacing w:beforeLines="0" w:afterLines="0" w:line="360" w:lineRule="auto"/>
        <w:ind w:left="-1" w:hanging="283" w:leftChars="-135" w:hangingChars="101"/>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交易对手风险</w:t>
      </w:r>
    </w:p>
    <w:p w:rsidR="001A7CDB" w:rsidRPr="001C6480" w:rsidP="00F71D3B">
      <w:pPr>
        <w:autoSpaceDE w:val="0"/>
        <w:autoSpaceDN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1、对手方风险</w:t>
      </w:r>
    </w:p>
    <w:p w:rsidR="001A7CDB" w:rsidRPr="001C6480" w:rsidP="00F71D3B">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运用基金资产投资于股指期货，会尽力选择资信状况优良、风险控制能力强的期货公司作为经纪商，但不能杜绝因所选择的期货公司在交易过程中存在违法、违规经营行为或破产清算导致基金资产遭受损失。另外，基金管理人在银行间市场进行交易，也会因为银行间交易对手违约等发生对手方风险。</w:t>
      </w:r>
    </w:p>
    <w:p w:rsidR="001A7CDB" w:rsidRPr="001C6480" w:rsidP="00F71D3B">
      <w:pPr>
        <w:autoSpaceDE w:val="0"/>
        <w:autoSpaceDN w:val="0"/>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2、连带风险</w:t>
      </w:r>
    </w:p>
    <w:p w:rsidR="001A7CDB" w:rsidRPr="001C6480" w:rsidP="00F71D3B">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为基金资产进行结算的结算会员或该结算会员下的其他投资人出现保证金不足、又未能在规定的时间内补足，或因其他原因导致中金所对该结算会员下的经纪账户强行平仓时，基金资产的资产可能因被连带强行平仓而遭受损失。</w:t>
      </w:r>
    </w:p>
    <w:p w:rsidR="001A7CDB" w:rsidRPr="001C6480" w:rsidP="005F0E3E">
      <w:pPr>
        <w:pStyle w:val="Heading2"/>
        <w:numPr>
          <w:ilvl w:val="0"/>
          <w:numId w:val="14"/>
        </w:numPr>
        <w:snapToGrid w:val="0"/>
        <w:spacing w:beforeLines="0" w:afterLines="0" w:line="360" w:lineRule="auto"/>
        <w:ind w:left="-1" w:hanging="283" w:leftChars="-135" w:hangingChars="101"/>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其他风险</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1、因技术因素而产生的风险，如电脑系统不可靠产生的风险；</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w:t>
      </w:r>
      <w:r w:rsidRPr="001C6480">
        <w:rPr>
          <w:rFonts w:asciiTheme="minorEastAsia" w:eastAsiaTheme="minorEastAsia" w:hAnsiTheme="minorEastAsia"/>
          <w:color w:val="000000" w:themeColor="text1"/>
        </w:rPr>
        <w:t>因战争、自然灾害等不可抗力导致的基金管理人、</w:t>
      </w:r>
      <w:r w:rsidRPr="001C6480">
        <w:rPr>
          <w:rFonts w:asciiTheme="minorEastAsia" w:eastAsiaTheme="minorEastAsia" w:hAnsiTheme="minorEastAsia" w:hint="eastAsia"/>
          <w:color w:val="000000" w:themeColor="text1"/>
        </w:rPr>
        <w:t>基金托管人、</w:t>
      </w:r>
      <w:r w:rsidRPr="001C6480">
        <w:rPr>
          <w:rFonts w:asciiTheme="minorEastAsia" w:eastAsiaTheme="minorEastAsia" w:hAnsiTheme="minorEastAsia"/>
          <w:color w:val="000000" w:themeColor="text1"/>
        </w:rPr>
        <w:t>基金</w:t>
      </w:r>
      <w:r w:rsidRPr="001C6480" w:rsidR="00E70AC3">
        <w:rPr>
          <w:rFonts w:asciiTheme="minorEastAsia" w:eastAsiaTheme="minorEastAsia" w:hAnsiTheme="minorEastAsia" w:hint="eastAsia"/>
          <w:color w:val="000000" w:themeColor="text1"/>
        </w:rPr>
        <w:t>服务</w:t>
      </w:r>
      <w:r w:rsidRPr="001C6480">
        <w:rPr>
          <w:rFonts w:asciiTheme="minorEastAsia" w:eastAsiaTheme="minorEastAsia" w:hAnsiTheme="minorEastAsia"/>
          <w:color w:val="000000" w:themeColor="text1"/>
        </w:rPr>
        <w:t>机构等机构无法正常工作，从而影响基金</w:t>
      </w:r>
      <w:r w:rsidRPr="001C6480">
        <w:rPr>
          <w:rFonts w:asciiTheme="minorEastAsia" w:eastAsiaTheme="minorEastAsia" w:hAnsiTheme="minorEastAsia" w:hint="eastAsia"/>
          <w:color w:val="000000" w:themeColor="text1"/>
        </w:rPr>
        <w:t>运作</w:t>
      </w:r>
      <w:r w:rsidRPr="001C6480">
        <w:rPr>
          <w:rFonts w:asciiTheme="minorEastAsia" w:eastAsiaTheme="minorEastAsia" w:hAnsiTheme="minorEastAsia"/>
          <w:color w:val="000000" w:themeColor="text1"/>
        </w:rPr>
        <w:t>的风险</w:t>
      </w:r>
      <w:r w:rsidRPr="001C6480">
        <w:rPr>
          <w:rFonts w:asciiTheme="minorEastAsia" w:eastAsiaTheme="minorEastAsia" w:hAnsiTheme="minorEastAsia" w:hint="eastAsia"/>
          <w:color w:val="000000" w:themeColor="text1"/>
        </w:rPr>
        <w:t>；</w:t>
      </w:r>
    </w:p>
    <w:p w:rsidR="001A7CDB" w:rsidRPr="001C6480" w:rsidP="00F71D3B">
      <w:pPr>
        <w:autoSpaceDE w:val="0"/>
        <w:autoSpaceDN w:val="0"/>
        <w:snapToGrid w:val="0"/>
        <w:spacing w:line="360" w:lineRule="auto"/>
        <w:ind w:firstLine="420"/>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3、因金融市场危机、代理商违约、基金托管人违约等超出基金管理人自身控制能力的因素出现，可能导致基金或者基金份额持有人利益受损的风险</w:t>
      </w:r>
      <w:r w:rsidRPr="001C6480">
        <w:rPr>
          <w:rFonts w:asciiTheme="minorEastAsia" w:eastAsiaTheme="minorEastAsia" w:hAnsiTheme="minorEastAsia" w:cs="Arial"/>
          <w:color w:val="000000" w:themeColor="text1"/>
        </w:rPr>
        <w:t>。</w:t>
      </w:r>
      <w:bookmarkEnd w:id="124"/>
      <w:bookmarkEnd w:id="125"/>
      <w:bookmarkEnd w:id="126"/>
      <w:bookmarkEnd w:id="127"/>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128" w:name="_Toc96595121"/>
      <w:r w:rsidRPr="001C6480">
        <w:rPr>
          <w:rFonts w:asciiTheme="minorEastAsia" w:eastAsiaTheme="minorEastAsia" w:hAnsiTheme="minorEastAsia" w:cs="Arial" w:hint="eastAsia"/>
          <w:bCs/>
          <w:color w:val="000000" w:themeColor="text1"/>
        </w:rPr>
        <w:t>基金合同的变更、终止与基金财产的清算</w:t>
      </w:r>
      <w:bookmarkEnd w:id="128"/>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129" w:name="_Toc97031319"/>
      <w:bookmarkStart w:id="130" w:name="_Toc97107279"/>
      <w:bookmarkStart w:id="131" w:name="_Toc86584659"/>
      <w:bookmarkStart w:id="132" w:name="_Toc238870129"/>
      <w:bookmarkEnd w:id="129"/>
      <w:bookmarkEnd w:id="130"/>
      <w:r w:rsidRPr="001C6480">
        <w:rPr>
          <w:rFonts w:asciiTheme="minorEastAsia" w:eastAsiaTheme="minorEastAsia" w:hAnsiTheme="minorEastAsia" w:cs="Arial"/>
          <w:b w:val="0"/>
          <w:color w:val="000000" w:themeColor="text1"/>
        </w:rPr>
        <w:t>《基金合同》的变更</w:t>
      </w:r>
    </w:p>
    <w:p w:rsidR="001A7CDB" w:rsidRPr="001C6480" w:rsidP="00F71D3B">
      <w:pPr>
        <w:autoSpaceDE w:val="0"/>
        <w:autoSpaceDN w:val="0"/>
        <w:adjustRightInd w:val="0"/>
        <w:snapToGrid w:val="0"/>
        <w:spacing w:line="360" w:lineRule="auto"/>
        <w:ind w:firstLine="420" w:firstLineChars="200"/>
        <w:jc w:val="left"/>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1、变更基金合同</w:t>
      </w:r>
      <w:r w:rsidRPr="001C6480">
        <w:rPr>
          <w:rFonts w:asciiTheme="minorEastAsia" w:eastAsiaTheme="minorEastAsia" w:hAnsiTheme="minorEastAsia" w:hint="eastAsia"/>
          <w:bCs/>
          <w:color w:val="000000" w:themeColor="text1"/>
        </w:rPr>
        <w:t>涉及</w:t>
      </w:r>
      <w:r w:rsidRPr="001C6480">
        <w:rPr>
          <w:rFonts w:asciiTheme="minorEastAsia" w:eastAsiaTheme="minorEastAsia" w:hAnsiTheme="minorEastAsia"/>
          <w:bCs/>
          <w:color w:val="000000" w:themeColor="text1"/>
        </w:rPr>
        <w:t>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A7CDB" w:rsidRPr="001C6480" w:rsidP="00EF0899">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2</w:t>
      </w:r>
      <w:r w:rsidRPr="001C6480">
        <w:rPr>
          <w:rFonts w:asciiTheme="minorEastAsia" w:eastAsiaTheme="minorEastAsia" w:hAnsiTheme="minorEastAsia" w:cs="Arial" w:hint="eastAsia"/>
          <w:color w:val="000000" w:themeColor="text1"/>
        </w:rPr>
        <w:t>、关于《基金合同》变更的基金份额持有人大会决议经中国证监会核准或出具无异议意见之日起生效，自决议生效之日起</w:t>
      </w:r>
      <w:r w:rsidRPr="001C6480">
        <w:rPr>
          <w:rFonts w:asciiTheme="minorEastAsia" w:eastAsiaTheme="minorEastAsia" w:hAnsiTheme="minorEastAsia" w:cs="Arial"/>
          <w:color w:val="000000" w:themeColor="text1"/>
        </w:rPr>
        <w:t>2</w:t>
      </w:r>
      <w:r w:rsidRPr="001C6480">
        <w:rPr>
          <w:rFonts w:asciiTheme="minorEastAsia" w:eastAsiaTheme="minorEastAsia" w:hAnsiTheme="minorEastAsia" w:cs="Arial" w:hint="eastAsia"/>
          <w:color w:val="000000" w:themeColor="text1"/>
        </w:rPr>
        <w:t>日内在指定媒介公告。</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《基金合同》的终止事由</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有下列情形之一的，</w:t>
      </w:r>
      <w:r w:rsidRPr="001C6480" w:rsidR="007F521B">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基金合同</w:t>
      </w:r>
      <w:r w:rsidRPr="001C6480" w:rsidR="007F521B">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应当终止：</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1、基金份额持有人大会决定终止的；</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2、基金管理人、基金托管人职责终止，在6个月内没有新基金管理人、新基金托管人承接的；</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3、《基金合同》约定的其他情形；</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4、相关法律法规和中国证监会规定的其他情况。</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基金财产的清算</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、基金财产清算小组：自出现《基金合同》终止事由之日起</w:t>
      </w:r>
      <w:r w:rsidRPr="001C6480">
        <w:rPr>
          <w:rFonts w:asciiTheme="minorEastAsia" w:eastAsiaTheme="minorEastAsia" w:hAnsiTheme="minorEastAsia"/>
          <w:bCs/>
          <w:color w:val="000000" w:themeColor="text1"/>
        </w:rPr>
        <w:t>30</w:t>
      </w:r>
      <w:r w:rsidRPr="001C6480">
        <w:rPr>
          <w:rFonts w:asciiTheme="minorEastAsia" w:eastAsiaTheme="minorEastAsia" w:hAnsiTheme="minorEastAsia" w:hint="eastAsia"/>
          <w:bCs/>
          <w:color w:val="000000" w:themeColor="text1"/>
        </w:rPr>
        <w:t>个工作日内成立清算小组，基金管理人组织基金财产清算小组并在中国证监会的监督下进行基金清算。</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、基金财产清算小组职责：基金财产清算小组负责基金财产的保管、清理、估价、变现和分配。基金财产清算小组可以依法进行必要的民事活动。</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bCs/>
          <w:color w:val="000000" w:themeColor="text1"/>
        </w:rPr>
        <w:t>4</w:t>
      </w:r>
      <w:r w:rsidRPr="001C6480">
        <w:rPr>
          <w:rFonts w:asciiTheme="minorEastAsia" w:eastAsiaTheme="minorEastAsia" w:hAnsiTheme="minorEastAsia" w:hint="eastAsia"/>
          <w:bCs/>
          <w:color w:val="000000" w:themeColor="text1"/>
        </w:rPr>
        <w:t>、基金财产清算程序：</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w:t>
      </w:r>
      <w:r w:rsidRPr="001C6480">
        <w:rPr>
          <w:rFonts w:asciiTheme="minorEastAsia" w:eastAsiaTheme="minorEastAsia" w:hAnsiTheme="minorEastAsia" w:hint="eastAsia"/>
          <w:bCs/>
          <w:color w:val="000000" w:themeColor="text1"/>
        </w:rPr>
        <w:t>）《基金合同》终止情形出现时，由基金财产清算小组统一接管基金；</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）对基金财产和债权债务进行清理和确认；</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3</w:t>
      </w:r>
      <w:r w:rsidRPr="001C6480">
        <w:rPr>
          <w:rFonts w:asciiTheme="minorEastAsia" w:eastAsiaTheme="minorEastAsia" w:hAnsiTheme="minorEastAsia" w:hint="eastAsia"/>
          <w:bCs/>
          <w:color w:val="000000" w:themeColor="text1"/>
        </w:rPr>
        <w:t>）对基金财产进行估值和变现；</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4</w:t>
      </w:r>
      <w:r w:rsidRPr="001C6480">
        <w:rPr>
          <w:rFonts w:asciiTheme="minorEastAsia" w:eastAsiaTheme="minorEastAsia" w:hAnsiTheme="minorEastAsia" w:hint="eastAsia"/>
          <w:bCs/>
          <w:color w:val="000000" w:themeColor="text1"/>
        </w:rPr>
        <w:t>）制作清算报告；</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5</w:t>
      </w:r>
      <w:r w:rsidRPr="001C6480">
        <w:rPr>
          <w:rFonts w:asciiTheme="minorEastAsia" w:eastAsiaTheme="minorEastAsia" w:hAnsiTheme="minorEastAsia" w:hint="eastAsia"/>
          <w:bCs/>
          <w:color w:val="000000" w:themeColor="text1"/>
        </w:rPr>
        <w:t>）聘请会计师事务所对清算报告进行外部审计，聘请律师事务所对清算报告出具法律意见书；</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）将清算报告报中国证监会备案并公告；</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7</w:t>
      </w:r>
      <w:r w:rsidRPr="001C6480">
        <w:rPr>
          <w:rFonts w:asciiTheme="minorEastAsia" w:eastAsiaTheme="minorEastAsia" w:hAnsiTheme="minorEastAsia" w:hint="eastAsia"/>
          <w:bCs/>
          <w:color w:val="000000" w:themeColor="text1"/>
        </w:rPr>
        <w:t>）对基金财产进行分配。</w:t>
      </w:r>
    </w:p>
    <w:p w:rsidR="000F516E" w:rsidRPr="001C6480" w:rsidP="00F71D3B">
      <w:pPr>
        <w:snapToGrid w:val="0"/>
        <w:spacing w:line="360" w:lineRule="auto"/>
        <w:ind w:firstLine="420" w:firstLineChars="200"/>
        <w:rPr>
          <w:rFonts w:asciiTheme="minorEastAsia" w:eastAsiaTheme="minorEastAsia" w:hAnsiTheme="minorEastAsia"/>
          <w:bCs/>
          <w:color w:val="000000" w:themeColor="text1"/>
          <w:sz w:val="24"/>
        </w:rPr>
      </w:pPr>
      <w:r w:rsidRPr="001C6480">
        <w:rPr>
          <w:rFonts w:asciiTheme="minorEastAsia" w:eastAsiaTheme="minorEastAsia" w:hAnsiTheme="minorEastAsia"/>
          <w:bCs/>
          <w:color w:val="000000" w:themeColor="text1"/>
        </w:rPr>
        <w:t>5</w:t>
      </w:r>
      <w:r w:rsidRPr="001C6480">
        <w:rPr>
          <w:rFonts w:asciiTheme="minorEastAsia" w:eastAsiaTheme="minorEastAsia" w:hAnsiTheme="minorEastAsia" w:hint="eastAsia"/>
          <w:bCs/>
          <w:color w:val="000000" w:themeColor="text1"/>
        </w:rPr>
        <w:t>、基金财产清算的期限为</w:t>
      </w:r>
      <w:r w:rsidRPr="001C6480">
        <w:rPr>
          <w:rFonts w:asciiTheme="minorEastAsia" w:eastAsiaTheme="minorEastAsia" w:hAnsiTheme="minorEastAsia"/>
          <w:bCs/>
          <w:color w:val="000000" w:themeColor="text1"/>
        </w:rPr>
        <w:t>6</w:t>
      </w:r>
      <w:r w:rsidRPr="001C6480">
        <w:rPr>
          <w:rFonts w:asciiTheme="minorEastAsia" w:eastAsiaTheme="minorEastAsia" w:hAnsiTheme="minorEastAsia" w:hint="eastAsia"/>
          <w:bCs/>
          <w:color w:val="000000" w:themeColor="text1"/>
        </w:rPr>
        <w:t>个月。</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清算费用</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清算费用是指基金财产清算小组在进行基金清算过程中发生的所有合理费用，清算费用由基金财产清算小组优先从基金财产中支付。</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基金财产清算剩余资产的分配</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b w:val="0"/>
          <w:color w:val="000000" w:themeColor="text1"/>
        </w:rPr>
        <w:t>基金财产清算的公告</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354A9"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基金财产清算账册及文件的保存</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基金财产清算账册及</w:t>
      </w:r>
      <w:r w:rsidRPr="001C6480" w:rsidR="00D354A9">
        <w:rPr>
          <w:rFonts w:asciiTheme="minorEastAsia" w:eastAsiaTheme="minorEastAsia" w:hAnsiTheme="minorEastAsia" w:cs="Arial" w:hint="eastAsia"/>
          <w:color w:val="000000" w:themeColor="text1"/>
        </w:rPr>
        <w:t>有关</w:t>
      </w:r>
      <w:r w:rsidRPr="001C6480">
        <w:rPr>
          <w:rFonts w:asciiTheme="minorEastAsia" w:eastAsiaTheme="minorEastAsia" w:hAnsiTheme="minorEastAsia" w:cs="Arial"/>
          <w:color w:val="000000" w:themeColor="text1"/>
        </w:rPr>
        <w:t>文件由基金托管人保存15年以上。</w:t>
      </w:r>
    </w:p>
    <w:p w:rsidR="00A459CE"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color w:val="000000" w:themeColor="text1"/>
          <w:sz w:val="21"/>
          <w:szCs w:val="21"/>
        </w:rPr>
      </w:pPr>
      <w:bookmarkStart w:id="133" w:name="_Toc200522988"/>
      <w:bookmarkStart w:id="134" w:name="_Toc96595122"/>
      <w:bookmarkEnd w:id="131"/>
      <w:bookmarkEnd w:id="132"/>
      <w:r w:rsidRPr="001C6480">
        <w:rPr>
          <w:rFonts w:asciiTheme="minorEastAsia" w:eastAsiaTheme="minorEastAsia" w:hAnsiTheme="minorEastAsia" w:cs="Arial"/>
          <w:bCs/>
          <w:color w:val="000000" w:themeColor="text1"/>
        </w:rPr>
        <w:t>基金合同</w:t>
      </w:r>
      <w:r w:rsidRPr="001C6480">
        <w:rPr>
          <w:rFonts w:asciiTheme="minorEastAsia" w:eastAsiaTheme="minorEastAsia" w:hAnsiTheme="minorEastAsia" w:cs="Arial" w:hint="eastAsia"/>
          <w:bCs/>
          <w:color w:val="000000" w:themeColor="text1"/>
        </w:rPr>
        <w:t>的</w:t>
      </w:r>
      <w:r w:rsidRPr="001C6480">
        <w:rPr>
          <w:rFonts w:asciiTheme="minorEastAsia" w:eastAsiaTheme="minorEastAsia" w:hAnsiTheme="minorEastAsia" w:cs="Arial"/>
          <w:bCs/>
          <w:color w:val="000000" w:themeColor="text1"/>
        </w:rPr>
        <w:t>内容摘要</w:t>
      </w:r>
      <w:bookmarkEnd w:id="133"/>
      <w:bookmarkEnd w:id="134"/>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bookmarkStart w:id="135" w:name="_Toc38437218"/>
      <w:bookmarkStart w:id="136" w:name="_Toc38437354"/>
      <w:bookmarkStart w:id="137" w:name="_Toc38437490"/>
      <w:bookmarkStart w:id="138" w:name="_Toc38437626"/>
      <w:bookmarkStart w:id="139" w:name="_Toc38437772"/>
      <w:bookmarkStart w:id="140" w:name="_Toc38437918"/>
      <w:bookmarkStart w:id="141" w:name="_Toc38438064"/>
      <w:bookmarkStart w:id="142" w:name="_Toc38438210"/>
      <w:bookmarkStart w:id="143" w:name="_Toc38438547"/>
      <w:bookmarkStart w:id="144" w:name="_Toc38438884"/>
      <w:bookmarkStart w:id="145" w:name="_Toc38439221"/>
      <w:bookmarkStart w:id="146" w:name="_Toc38439558"/>
      <w:bookmarkStart w:id="147" w:name="_Toc38439895"/>
      <w:bookmarkStart w:id="148" w:name="_Toc38440232"/>
      <w:bookmarkStart w:id="149" w:name="_Toc38440569"/>
      <w:bookmarkStart w:id="150" w:name="_Toc38440768"/>
      <w:bookmarkStart w:id="151" w:name="_Toc38441101"/>
      <w:bookmarkStart w:id="152" w:name="_Toc38441433"/>
      <w:bookmarkStart w:id="153" w:name="_Toc38441765"/>
      <w:bookmarkStart w:id="154" w:name="_Toc38442093"/>
      <w:bookmarkStart w:id="155" w:name="_Toc38442425"/>
      <w:bookmarkStart w:id="156" w:name="_Toc38442757"/>
      <w:bookmarkStart w:id="157" w:name="_Toc38443088"/>
      <w:bookmarkStart w:id="158" w:name="_Toc38443419"/>
      <w:bookmarkStart w:id="159" w:name="_Toc38443750"/>
      <w:bookmarkStart w:id="160" w:name="_Toc38433500"/>
      <w:bookmarkStart w:id="161" w:name="_Toc38433635"/>
      <w:bookmarkStart w:id="162" w:name="_Toc38433769"/>
      <w:bookmarkStart w:id="163" w:name="_Toc38433919"/>
      <w:bookmarkStart w:id="164" w:name="_Toc38434067"/>
      <w:bookmarkStart w:id="165" w:name="_Toc38434215"/>
      <w:bookmarkStart w:id="166" w:name="_Toc38434361"/>
      <w:bookmarkStart w:id="167" w:name="_Toc38434504"/>
      <w:bookmarkStart w:id="168" w:name="_Toc38434647"/>
      <w:bookmarkStart w:id="169" w:name="_Toc38434790"/>
      <w:bookmarkStart w:id="170" w:name="_Toc38434934"/>
      <w:bookmarkStart w:id="171" w:name="_Toc38437630"/>
      <w:bookmarkStart w:id="172" w:name="_Toc38437776"/>
      <w:bookmarkStart w:id="173" w:name="_Toc38437922"/>
      <w:bookmarkStart w:id="174" w:name="_Toc38438068"/>
      <w:bookmarkStart w:id="175" w:name="_Toc38438214"/>
      <w:bookmarkStart w:id="176" w:name="_Toc38438551"/>
      <w:bookmarkStart w:id="177" w:name="_Toc38438888"/>
      <w:bookmarkStart w:id="178" w:name="_Toc38439225"/>
      <w:bookmarkStart w:id="179" w:name="_Toc38439562"/>
      <w:bookmarkStart w:id="180" w:name="_Toc38439899"/>
      <w:bookmarkStart w:id="181" w:name="_Toc38440236"/>
      <w:bookmarkStart w:id="182" w:name="_Toc38440573"/>
      <w:bookmarkStart w:id="183" w:name="_Toc38440772"/>
      <w:bookmarkStart w:id="184" w:name="_Toc38441105"/>
      <w:bookmarkStart w:id="185" w:name="_Toc38441437"/>
      <w:bookmarkStart w:id="186" w:name="_Toc38441769"/>
      <w:bookmarkStart w:id="187" w:name="_Toc38442097"/>
      <w:bookmarkStart w:id="188" w:name="_Toc38442429"/>
      <w:bookmarkStart w:id="189" w:name="_Toc38442761"/>
      <w:bookmarkStart w:id="190" w:name="_Toc38443092"/>
      <w:bookmarkStart w:id="191" w:name="_Toc38443423"/>
      <w:bookmarkStart w:id="192" w:name="_Toc38443754"/>
      <w:bookmarkStart w:id="193" w:name="_Toc38433501"/>
      <w:bookmarkStart w:id="194" w:name="_Toc38433636"/>
      <w:bookmarkStart w:id="195" w:name="_Toc38433770"/>
      <w:bookmarkStart w:id="196" w:name="_Toc38433920"/>
      <w:bookmarkStart w:id="197" w:name="_Toc38434068"/>
      <w:bookmarkStart w:id="198" w:name="_Toc38434216"/>
      <w:bookmarkStart w:id="199" w:name="_Toc38434362"/>
      <w:bookmarkStart w:id="200" w:name="_Toc38434505"/>
      <w:bookmarkStart w:id="201" w:name="_Toc38434648"/>
      <w:bookmarkStart w:id="202" w:name="_Toc38434791"/>
      <w:bookmarkStart w:id="203" w:name="_Toc38434935"/>
      <w:bookmarkStart w:id="204" w:name="_Toc38437631"/>
      <w:bookmarkStart w:id="205" w:name="_Toc38437777"/>
      <w:bookmarkStart w:id="206" w:name="_Toc38437923"/>
      <w:bookmarkStart w:id="207" w:name="_Toc38438069"/>
      <w:bookmarkStart w:id="208" w:name="_Toc38438215"/>
      <w:bookmarkStart w:id="209" w:name="_Toc38438552"/>
      <w:bookmarkStart w:id="210" w:name="_Toc38438889"/>
      <w:bookmarkStart w:id="211" w:name="_Toc38439226"/>
      <w:bookmarkStart w:id="212" w:name="_Toc38439563"/>
      <w:bookmarkStart w:id="213" w:name="_Toc38439900"/>
      <w:bookmarkStart w:id="214" w:name="_Toc38440237"/>
      <w:bookmarkStart w:id="215" w:name="_Toc38440574"/>
      <w:bookmarkStart w:id="216" w:name="_Toc38440773"/>
      <w:bookmarkStart w:id="217" w:name="_Toc38441106"/>
      <w:bookmarkStart w:id="218" w:name="_Toc38441438"/>
      <w:bookmarkStart w:id="219" w:name="_Toc38441770"/>
      <w:bookmarkStart w:id="220" w:name="_Toc38442098"/>
      <w:bookmarkStart w:id="221" w:name="_Toc38442430"/>
      <w:bookmarkStart w:id="222" w:name="_Toc38442762"/>
      <w:bookmarkStart w:id="223" w:name="_Toc38443093"/>
      <w:bookmarkStart w:id="224" w:name="_Toc38443424"/>
      <w:bookmarkStart w:id="225" w:name="_Toc38443755"/>
      <w:bookmarkStart w:id="226" w:name="_Toc38433502"/>
      <w:bookmarkStart w:id="227" w:name="_Toc38433637"/>
      <w:bookmarkStart w:id="228" w:name="_Toc38433771"/>
      <w:bookmarkStart w:id="229" w:name="_Toc38433921"/>
      <w:bookmarkStart w:id="230" w:name="_Toc38434069"/>
      <w:bookmarkStart w:id="231" w:name="_Toc38434217"/>
      <w:bookmarkStart w:id="232" w:name="_Toc38434363"/>
      <w:bookmarkStart w:id="233" w:name="_Toc38434506"/>
      <w:bookmarkStart w:id="234" w:name="_Toc38434649"/>
      <w:bookmarkStart w:id="235" w:name="_Toc38434792"/>
      <w:bookmarkStart w:id="236" w:name="_Toc38434936"/>
      <w:bookmarkStart w:id="237" w:name="_Toc38437632"/>
      <w:bookmarkStart w:id="238" w:name="_Toc38437778"/>
      <w:bookmarkStart w:id="239" w:name="_Toc38437924"/>
      <w:bookmarkStart w:id="240" w:name="_Toc38438070"/>
      <w:bookmarkStart w:id="241" w:name="_Toc38438216"/>
      <w:bookmarkStart w:id="242" w:name="_Toc38438553"/>
      <w:bookmarkStart w:id="243" w:name="_Toc38438890"/>
      <w:bookmarkStart w:id="244" w:name="_Toc38439227"/>
      <w:bookmarkStart w:id="245" w:name="_Toc38439564"/>
      <w:bookmarkStart w:id="246" w:name="_Toc38439901"/>
      <w:bookmarkStart w:id="247" w:name="_Toc38440238"/>
      <w:bookmarkStart w:id="248" w:name="_Toc38440575"/>
      <w:bookmarkStart w:id="249" w:name="_Toc38440774"/>
      <w:bookmarkStart w:id="250" w:name="_Toc38441107"/>
      <w:bookmarkStart w:id="251" w:name="_Toc38441439"/>
      <w:bookmarkStart w:id="252" w:name="_Toc38441771"/>
      <w:bookmarkStart w:id="253" w:name="_Toc38442099"/>
      <w:bookmarkStart w:id="254" w:name="_Toc38442431"/>
      <w:bookmarkStart w:id="255" w:name="_Toc38442763"/>
      <w:bookmarkStart w:id="256" w:name="_Toc38443094"/>
      <w:bookmarkStart w:id="257" w:name="_Toc38443425"/>
      <w:bookmarkStart w:id="258" w:name="_Toc38443756"/>
      <w:bookmarkStart w:id="259" w:name="_Toc38433503"/>
      <w:bookmarkStart w:id="260" w:name="_Toc38433638"/>
      <w:bookmarkStart w:id="261" w:name="_Toc38433772"/>
      <w:bookmarkStart w:id="262" w:name="_Toc38433922"/>
      <w:bookmarkStart w:id="263" w:name="_Toc38434070"/>
      <w:bookmarkStart w:id="264" w:name="_Toc38434218"/>
      <w:bookmarkStart w:id="265" w:name="_Toc38434364"/>
      <w:bookmarkStart w:id="266" w:name="_Toc38434507"/>
      <w:bookmarkStart w:id="267" w:name="_Toc38434650"/>
      <w:bookmarkStart w:id="268" w:name="_Toc38434793"/>
      <w:bookmarkStart w:id="269" w:name="_Toc38434937"/>
      <w:bookmarkStart w:id="270" w:name="_Toc38437633"/>
      <w:bookmarkStart w:id="271" w:name="_Toc38437779"/>
      <w:bookmarkStart w:id="272" w:name="_Toc38437925"/>
      <w:bookmarkStart w:id="273" w:name="_Toc38438071"/>
      <w:bookmarkStart w:id="274" w:name="_Toc38438217"/>
      <w:bookmarkStart w:id="275" w:name="_Toc38438554"/>
      <w:bookmarkStart w:id="276" w:name="_Toc38438891"/>
      <w:bookmarkStart w:id="277" w:name="_Toc38439228"/>
      <w:bookmarkStart w:id="278" w:name="_Toc38439565"/>
      <w:bookmarkStart w:id="279" w:name="_Toc38439902"/>
      <w:bookmarkStart w:id="280" w:name="_Toc38440239"/>
      <w:bookmarkStart w:id="281" w:name="_Toc38440576"/>
      <w:bookmarkStart w:id="282" w:name="_Toc38440775"/>
      <w:bookmarkStart w:id="283" w:name="_Toc38441108"/>
      <w:bookmarkStart w:id="284" w:name="_Toc38441440"/>
      <w:bookmarkStart w:id="285" w:name="_Toc38441772"/>
      <w:bookmarkStart w:id="286" w:name="_Toc38442100"/>
      <w:bookmarkStart w:id="287" w:name="_Toc38442432"/>
      <w:bookmarkStart w:id="288" w:name="_Toc38442764"/>
      <w:bookmarkStart w:id="289" w:name="_Toc38443095"/>
      <w:bookmarkStart w:id="290" w:name="_Toc38443426"/>
      <w:bookmarkStart w:id="291" w:name="_Toc38443757"/>
      <w:bookmarkStart w:id="292" w:name="_Toc38433504"/>
      <w:bookmarkStart w:id="293" w:name="_Toc38433639"/>
      <w:bookmarkStart w:id="294" w:name="_Toc38433773"/>
      <w:bookmarkStart w:id="295" w:name="_Toc38433923"/>
      <w:bookmarkStart w:id="296" w:name="_Toc38434071"/>
      <w:bookmarkStart w:id="297" w:name="_Toc38434219"/>
      <w:bookmarkStart w:id="298" w:name="_Toc38434365"/>
      <w:bookmarkStart w:id="299" w:name="_Toc38434508"/>
      <w:bookmarkStart w:id="300" w:name="_Toc38434651"/>
      <w:bookmarkStart w:id="301" w:name="_Toc38434794"/>
      <w:bookmarkStart w:id="302" w:name="_Toc38434938"/>
      <w:bookmarkStart w:id="303" w:name="_Toc38437634"/>
      <w:bookmarkStart w:id="304" w:name="_Toc38437780"/>
      <w:bookmarkStart w:id="305" w:name="_Toc38437926"/>
      <w:bookmarkStart w:id="306" w:name="_Toc38438072"/>
      <w:bookmarkStart w:id="307" w:name="_Toc38438218"/>
      <w:bookmarkStart w:id="308" w:name="_Toc38438555"/>
      <w:bookmarkStart w:id="309" w:name="_Toc38438892"/>
      <w:bookmarkStart w:id="310" w:name="_Toc38439229"/>
      <w:bookmarkStart w:id="311" w:name="_Toc38439566"/>
      <w:bookmarkStart w:id="312" w:name="_Toc38439903"/>
      <w:bookmarkStart w:id="313" w:name="_Toc38440240"/>
      <w:bookmarkStart w:id="314" w:name="_Toc38440577"/>
      <w:bookmarkStart w:id="315" w:name="_Toc38440776"/>
      <w:bookmarkStart w:id="316" w:name="_Toc38441109"/>
      <w:bookmarkStart w:id="317" w:name="_Toc38441441"/>
      <w:bookmarkStart w:id="318" w:name="_Toc38441773"/>
      <w:bookmarkStart w:id="319" w:name="_Toc38442101"/>
      <w:bookmarkStart w:id="320" w:name="_Toc38442433"/>
      <w:bookmarkStart w:id="321" w:name="_Toc38442765"/>
      <w:bookmarkStart w:id="322" w:name="_Toc38443096"/>
      <w:bookmarkStart w:id="323" w:name="_Toc38443427"/>
      <w:bookmarkStart w:id="324" w:name="_Toc38443758"/>
      <w:bookmarkStart w:id="325" w:name="_Toc38433505"/>
      <w:bookmarkStart w:id="326" w:name="_Toc38433640"/>
      <w:bookmarkStart w:id="327" w:name="_Toc38433774"/>
      <w:bookmarkStart w:id="328" w:name="_Toc38433924"/>
      <w:bookmarkStart w:id="329" w:name="_Toc38434072"/>
      <w:bookmarkStart w:id="330" w:name="_Toc38434220"/>
      <w:bookmarkStart w:id="331" w:name="_Toc38434366"/>
      <w:bookmarkStart w:id="332" w:name="_Toc38434509"/>
      <w:bookmarkStart w:id="333" w:name="_Toc38434652"/>
      <w:bookmarkStart w:id="334" w:name="_Toc38434795"/>
      <w:bookmarkStart w:id="335" w:name="_Toc38434939"/>
      <w:bookmarkStart w:id="336" w:name="_Toc38437635"/>
      <w:bookmarkStart w:id="337" w:name="_Toc38437781"/>
      <w:bookmarkStart w:id="338" w:name="_Toc38437927"/>
      <w:bookmarkStart w:id="339" w:name="_Toc38438073"/>
      <w:bookmarkStart w:id="340" w:name="_Toc38438219"/>
      <w:bookmarkStart w:id="341" w:name="_Toc38438556"/>
      <w:bookmarkStart w:id="342" w:name="_Toc38438893"/>
      <w:bookmarkStart w:id="343" w:name="_Toc38439230"/>
      <w:bookmarkStart w:id="344" w:name="_Toc38439567"/>
      <w:bookmarkStart w:id="345" w:name="_Toc38439904"/>
      <w:bookmarkStart w:id="346" w:name="_Toc38440241"/>
      <w:bookmarkStart w:id="347" w:name="_Toc38440578"/>
      <w:bookmarkStart w:id="348" w:name="_Toc38440777"/>
      <w:bookmarkStart w:id="349" w:name="_Toc38441110"/>
      <w:bookmarkStart w:id="350" w:name="_Toc38441442"/>
      <w:bookmarkStart w:id="351" w:name="_Toc38441774"/>
      <w:bookmarkStart w:id="352" w:name="_Toc38442102"/>
      <w:bookmarkStart w:id="353" w:name="_Toc38442434"/>
      <w:bookmarkStart w:id="354" w:name="_Toc38442766"/>
      <w:bookmarkStart w:id="355" w:name="_Toc38443097"/>
      <w:bookmarkStart w:id="356" w:name="_Toc38443428"/>
      <w:bookmarkStart w:id="357" w:name="_Toc38443759"/>
      <w:bookmarkStart w:id="358" w:name="_Toc38433506"/>
      <w:bookmarkStart w:id="359" w:name="_Toc38433641"/>
      <w:bookmarkStart w:id="360" w:name="_Toc38433775"/>
      <w:bookmarkStart w:id="361" w:name="_Toc38433925"/>
      <w:bookmarkStart w:id="362" w:name="_Toc38434073"/>
      <w:bookmarkStart w:id="363" w:name="_Toc38434221"/>
      <w:bookmarkStart w:id="364" w:name="_Toc38434367"/>
      <w:bookmarkStart w:id="365" w:name="_Toc38434510"/>
      <w:bookmarkStart w:id="366" w:name="_Toc38434653"/>
      <w:bookmarkStart w:id="367" w:name="_Toc38434796"/>
      <w:bookmarkStart w:id="368" w:name="_Toc38434940"/>
      <w:bookmarkStart w:id="369" w:name="_Toc38437636"/>
      <w:bookmarkStart w:id="370" w:name="_Toc38437782"/>
      <w:bookmarkStart w:id="371" w:name="_Toc38437928"/>
      <w:bookmarkStart w:id="372" w:name="_Toc38438074"/>
      <w:bookmarkStart w:id="373" w:name="_Toc38438220"/>
      <w:bookmarkStart w:id="374" w:name="_Toc38438557"/>
      <w:bookmarkStart w:id="375" w:name="_Toc38438894"/>
      <w:bookmarkStart w:id="376" w:name="_Toc38439231"/>
      <w:bookmarkStart w:id="377" w:name="_Toc38439568"/>
      <w:bookmarkStart w:id="378" w:name="_Toc38439905"/>
      <w:bookmarkStart w:id="379" w:name="_Toc38440242"/>
      <w:bookmarkStart w:id="380" w:name="_Toc38440579"/>
      <w:bookmarkStart w:id="381" w:name="_Toc38440778"/>
      <w:bookmarkStart w:id="382" w:name="_Toc38441111"/>
      <w:bookmarkStart w:id="383" w:name="_Toc38441443"/>
      <w:bookmarkStart w:id="384" w:name="_Toc38441775"/>
      <w:bookmarkStart w:id="385" w:name="_Toc38442103"/>
      <w:bookmarkStart w:id="386" w:name="_Toc38442435"/>
      <w:bookmarkStart w:id="387" w:name="_Toc38442767"/>
      <w:bookmarkStart w:id="388" w:name="_Toc38443098"/>
      <w:bookmarkStart w:id="389" w:name="_Toc38443429"/>
      <w:bookmarkStart w:id="390" w:name="_Toc38443760"/>
      <w:bookmarkStart w:id="391" w:name="_Toc38433507"/>
      <w:bookmarkStart w:id="392" w:name="_Toc38433642"/>
      <w:bookmarkStart w:id="393" w:name="_Toc38433776"/>
      <w:bookmarkStart w:id="394" w:name="_Toc38433926"/>
      <w:bookmarkStart w:id="395" w:name="_Toc38434074"/>
      <w:bookmarkStart w:id="396" w:name="_Toc38434222"/>
      <w:bookmarkStart w:id="397" w:name="_Toc38434368"/>
      <w:bookmarkStart w:id="398" w:name="_Toc38434511"/>
      <w:bookmarkStart w:id="399" w:name="_Toc38434654"/>
      <w:bookmarkStart w:id="400" w:name="_Toc38434797"/>
      <w:bookmarkStart w:id="401" w:name="_Toc38434941"/>
      <w:bookmarkStart w:id="402" w:name="_Toc38437637"/>
      <w:bookmarkStart w:id="403" w:name="_Toc38437783"/>
      <w:bookmarkStart w:id="404" w:name="_Toc38437929"/>
      <w:bookmarkStart w:id="405" w:name="_Toc38438075"/>
      <w:bookmarkStart w:id="406" w:name="_Toc38438221"/>
      <w:bookmarkStart w:id="407" w:name="_Toc38438558"/>
      <w:bookmarkStart w:id="408" w:name="_Toc38438895"/>
      <w:bookmarkStart w:id="409" w:name="_Toc38439232"/>
      <w:bookmarkStart w:id="410" w:name="_Toc38439569"/>
      <w:bookmarkStart w:id="411" w:name="_Toc38439906"/>
      <w:bookmarkStart w:id="412" w:name="_Toc38440243"/>
      <w:bookmarkStart w:id="413" w:name="_Toc38440580"/>
      <w:bookmarkStart w:id="414" w:name="_Toc38440779"/>
      <w:bookmarkStart w:id="415" w:name="_Toc38441112"/>
      <w:bookmarkStart w:id="416" w:name="_Toc38441444"/>
      <w:bookmarkStart w:id="417" w:name="_Toc38441776"/>
      <w:bookmarkStart w:id="418" w:name="_Toc38442104"/>
      <w:bookmarkStart w:id="419" w:name="_Toc38442436"/>
      <w:bookmarkStart w:id="420" w:name="_Toc38442768"/>
      <w:bookmarkStart w:id="421" w:name="_Toc38443099"/>
      <w:bookmarkStart w:id="422" w:name="_Toc38443430"/>
      <w:bookmarkStart w:id="423" w:name="_Toc38443761"/>
      <w:bookmarkStart w:id="424" w:name="_Toc38433508"/>
      <w:bookmarkStart w:id="425" w:name="_Toc38433643"/>
      <w:bookmarkStart w:id="426" w:name="_Toc38433777"/>
      <w:bookmarkStart w:id="427" w:name="_Toc38433927"/>
      <w:bookmarkStart w:id="428" w:name="_Toc38434075"/>
      <w:bookmarkStart w:id="429" w:name="_Toc38434223"/>
      <w:bookmarkStart w:id="430" w:name="_Toc38434369"/>
      <w:bookmarkStart w:id="431" w:name="_Toc38434512"/>
      <w:bookmarkStart w:id="432" w:name="_Toc38434655"/>
      <w:bookmarkStart w:id="433" w:name="_Toc38434798"/>
      <w:bookmarkStart w:id="434" w:name="_Toc38434942"/>
      <w:bookmarkStart w:id="435" w:name="_Toc38437638"/>
      <w:bookmarkStart w:id="436" w:name="_Toc38437784"/>
      <w:bookmarkStart w:id="437" w:name="_Toc38437930"/>
      <w:bookmarkStart w:id="438" w:name="_Toc38438076"/>
      <w:bookmarkStart w:id="439" w:name="_Toc38438222"/>
      <w:bookmarkStart w:id="440" w:name="_Toc38438559"/>
      <w:bookmarkStart w:id="441" w:name="_Toc38438896"/>
      <w:bookmarkStart w:id="442" w:name="_Toc38439233"/>
      <w:bookmarkStart w:id="443" w:name="_Toc38439570"/>
      <w:bookmarkStart w:id="444" w:name="_Toc38439907"/>
      <w:bookmarkStart w:id="445" w:name="_Toc38440244"/>
      <w:bookmarkStart w:id="446" w:name="_Toc38440581"/>
      <w:bookmarkStart w:id="447" w:name="_Toc38440780"/>
      <w:bookmarkStart w:id="448" w:name="_Toc38441113"/>
      <w:bookmarkStart w:id="449" w:name="_Toc38441445"/>
      <w:bookmarkStart w:id="450" w:name="_Toc38441777"/>
      <w:bookmarkStart w:id="451" w:name="_Toc38442105"/>
      <w:bookmarkStart w:id="452" w:name="_Toc38442437"/>
      <w:bookmarkStart w:id="453" w:name="_Toc38442769"/>
      <w:bookmarkStart w:id="454" w:name="_Toc38443100"/>
      <w:bookmarkStart w:id="455" w:name="_Toc38443431"/>
      <w:bookmarkStart w:id="456" w:name="_Toc38443762"/>
      <w:bookmarkStart w:id="457" w:name="_Toc38433510"/>
      <w:bookmarkStart w:id="458" w:name="_Toc38433645"/>
      <w:bookmarkStart w:id="459" w:name="_Toc38433779"/>
      <w:bookmarkStart w:id="460" w:name="_Toc38433929"/>
      <w:bookmarkStart w:id="461" w:name="_Toc38434077"/>
      <w:bookmarkStart w:id="462" w:name="_Toc38434225"/>
      <w:bookmarkStart w:id="463" w:name="_Toc38434371"/>
      <w:bookmarkStart w:id="464" w:name="_Toc38434514"/>
      <w:bookmarkStart w:id="465" w:name="_Toc38434657"/>
      <w:bookmarkStart w:id="466" w:name="_Toc38434800"/>
      <w:bookmarkStart w:id="467" w:name="_Toc38434944"/>
      <w:bookmarkStart w:id="468" w:name="_Toc38437640"/>
      <w:bookmarkStart w:id="469" w:name="_Toc38437786"/>
      <w:bookmarkStart w:id="470" w:name="_Toc38437932"/>
      <w:bookmarkStart w:id="471" w:name="_Toc38438078"/>
      <w:bookmarkStart w:id="472" w:name="_Toc38438224"/>
      <w:bookmarkStart w:id="473" w:name="_Toc38438561"/>
      <w:bookmarkStart w:id="474" w:name="_Toc38438898"/>
      <w:bookmarkStart w:id="475" w:name="_Toc38439235"/>
      <w:bookmarkStart w:id="476" w:name="_Toc38439572"/>
      <w:bookmarkStart w:id="477" w:name="_Toc38439909"/>
      <w:bookmarkStart w:id="478" w:name="_Toc38440246"/>
      <w:bookmarkStart w:id="479" w:name="_Toc38440583"/>
      <w:bookmarkStart w:id="480" w:name="_Toc38440782"/>
      <w:bookmarkStart w:id="481" w:name="_Toc38441115"/>
      <w:bookmarkStart w:id="482" w:name="_Toc38441447"/>
      <w:bookmarkStart w:id="483" w:name="_Toc38441779"/>
      <w:bookmarkStart w:id="484" w:name="_Toc38442107"/>
      <w:bookmarkStart w:id="485" w:name="_Toc38442439"/>
      <w:bookmarkStart w:id="486" w:name="_Toc38442771"/>
      <w:bookmarkStart w:id="487" w:name="_Toc38443102"/>
      <w:bookmarkStart w:id="488" w:name="_Toc38443433"/>
      <w:bookmarkStart w:id="489" w:name="_Toc38443764"/>
      <w:bookmarkStart w:id="490" w:name="_Toc13148353"/>
      <w:bookmarkStart w:id="491" w:name="_Toc13150581"/>
      <w:bookmarkStart w:id="492" w:name="_Toc13291966"/>
      <w:bookmarkStart w:id="493" w:name="_Toc13504692"/>
      <w:bookmarkStart w:id="494" w:name="_Toc13504808"/>
      <w:bookmarkStart w:id="495" w:name="_Toc13556301"/>
      <w:bookmarkStart w:id="496" w:name="_Toc14337423"/>
      <w:bookmarkStart w:id="497" w:name="_Toc13148354"/>
      <w:bookmarkStart w:id="498" w:name="_Toc13150582"/>
      <w:bookmarkStart w:id="499" w:name="_Toc13291967"/>
      <w:bookmarkStart w:id="500" w:name="_Toc13504693"/>
      <w:bookmarkStart w:id="501" w:name="_Toc13504809"/>
      <w:bookmarkStart w:id="502" w:name="_Toc13556302"/>
      <w:bookmarkStart w:id="503" w:name="_Toc14337424"/>
      <w:bookmarkStart w:id="504" w:name="_Toc13148355"/>
      <w:bookmarkStart w:id="505" w:name="_Toc13150583"/>
      <w:bookmarkStart w:id="506" w:name="_Toc13291968"/>
      <w:bookmarkStart w:id="507" w:name="_Toc13504694"/>
      <w:bookmarkStart w:id="508" w:name="_Toc13504810"/>
      <w:bookmarkStart w:id="509" w:name="_Toc13556303"/>
      <w:bookmarkStart w:id="510" w:name="_Toc14337425"/>
      <w:bookmarkStart w:id="511" w:name="_Toc13148356"/>
      <w:bookmarkStart w:id="512" w:name="_Toc13150584"/>
      <w:bookmarkStart w:id="513" w:name="_Toc13291969"/>
      <w:bookmarkStart w:id="514" w:name="_Toc13504695"/>
      <w:bookmarkStart w:id="515" w:name="_Toc13504811"/>
      <w:bookmarkStart w:id="516" w:name="_Toc13556304"/>
      <w:bookmarkStart w:id="517" w:name="_Toc14337426"/>
      <w:bookmarkStart w:id="518" w:name="_Toc13148357"/>
      <w:bookmarkStart w:id="519" w:name="_Toc13150585"/>
      <w:bookmarkStart w:id="520" w:name="_Toc13291970"/>
      <w:bookmarkStart w:id="521" w:name="_Toc13504696"/>
      <w:bookmarkStart w:id="522" w:name="_Toc13504812"/>
      <w:bookmarkStart w:id="523" w:name="_Toc13556305"/>
      <w:bookmarkStart w:id="524" w:name="_Toc14337427"/>
      <w:bookmarkStart w:id="525" w:name="_Toc13148358"/>
      <w:bookmarkStart w:id="526" w:name="_Toc13150586"/>
      <w:bookmarkStart w:id="527" w:name="_Toc13291971"/>
      <w:bookmarkStart w:id="528" w:name="_Toc13504697"/>
      <w:bookmarkStart w:id="529" w:name="_Toc13504813"/>
      <w:bookmarkStart w:id="530" w:name="_Toc13556306"/>
      <w:bookmarkStart w:id="531" w:name="_Toc14337428"/>
      <w:bookmarkStart w:id="532" w:name="_Toc13148359"/>
      <w:bookmarkStart w:id="533" w:name="_Toc13150587"/>
      <w:bookmarkStart w:id="534" w:name="_Toc13291972"/>
      <w:bookmarkStart w:id="535" w:name="_Toc13504698"/>
      <w:bookmarkStart w:id="536" w:name="_Toc13504814"/>
      <w:bookmarkStart w:id="537" w:name="_Toc13556307"/>
      <w:bookmarkStart w:id="538" w:name="_Toc14337429"/>
      <w:bookmarkStart w:id="539" w:name="_Toc13148360"/>
      <w:bookmarkStart w:id="540" w:name="_Toc13150588"/>
      <w:bookmarkStart w:id="541" w:name="_Toc13291973"/>
      <w:bookmarkStart w:id="542" w:name="_Toc13504699"/>
      <w:bookmarkStart w:id="543" w:name="_Toc13504815"/>
      <w:bookmarkStart w:id="544" w:name="_Toc13556308"/>
      <w:bookmarkStart w:id="545" w:name="_Toc14337430"/>
      <w:bookmarkStart w:id="546" w:name="_Toc13148361"/>
      <w:bookmarkStart w:id="547" w:name="_Toc13150589"/>
      <w:bookmarkStart w:id="548" w:name="_Toc13291974"/>
      <w:bookmarkStart w:id="549" w:name="_Toc13504700"/>
      <w:bookmarkStart w:id="550" w:name="_Toc13504816"/>
      <w:bookmarkStart w:id="551" w:name="_Toc13556309"/>
      <w:bookmarkStart w:id="552" w:name="_Toc14337431"/>
      <w:bookmarkStart w:id="553" w:name="_Toc13148362"/>
      <w:bookmarkStart w:id="554" w:name="_Toc13150590"/>
      <w:bookmarkStart w:id="555" w:name="_Toc13291975"/>
      <w:bookmarkStart w:id="556" w:name="_Toc13504701"/>
      <w:bookmarkStart w:id="557" w:name="_Toc13504817"/>
      <w:bookmarkStart w:id="558" w:name="_Toc13556310"/>
      <w:bookmarkStart w:id="559" w:name="_Toc14337432"/>
      <w:bookmarkStart w:id="560" w:name="_Toc13148369"/>
      <w:bookmarkStart w:id="561" w:name="_Toc13150597"/>
      <w:bookmarkStart w:id="562" w:name="_Toc13291982"/>
      <w:bookmarkStart w:id="563" w:name="_Toc13504708"/>
      <w:bookmarkStart w:id="564" w:name="_Toc13504824"/>
      <w:bookmarkStart w:id="565" w:name="_Toc13556317"/>
      <w:bookmarkStart w:id="566" w:name="_Toc14337439"/>
      <w:bookmarkStart w:id="567" w:name="_Toc13148370"/>
      <w:bookmarkStart w:id="568" w:name="_Toc13150598"/>
      <w:bookmarkStart w:id="569" w:name="_Toc13291983"/>
      <w:bookmarkStart w:id="570" w:name="_Toc13504709"/>
      <w:bookmarkStart w:id="571" w:name="_Toc13504825"/>
      <w:bookmarkStart w:id="572" w:name="_Toc13556318"/>
      <w:bookmarkStart w:id="573" w:name="_Toc14337440"/>
      <w:bookmarkStart w:id="574" w:name="_Toc13148371"/>
      <w:bookmarkStart w:id="575" w:name="_Toc13150599"/>
      <w:bookmarkStart w:id="576" w:name="_Toc13291984"/>
      <w:bookmarkStart w:id="577" w:name="_Toc13504710"/>
      <w:bookmarkStart w:id="578" w:name="_Toc13504826"/>
      <w:bookmarkStart w:id="579" w:name="_Toc13556319"/>
      <w:bookmarkStart w:id="580" w:name="_Toc14337441"/>
      <w:bookmarkStart w:id="581" w:name="_Toc13148372"/>
      <w:bookmarkStart w:id="582" w:name="_Toc13150600"/>
      <w:bookmarkStart w:id="583" w:name="_Toc13291985"/>
      <w:bookmarkStart w:id="584" w:name="_Toc13504711"/>
      <w:bookmarkStart w:id="585" w:name="_Toc13504827"/>
      <w:bookmarkStart w:id="586" w:name="_Toc13556320"/>
      <w:bookmarkStart w:id="587" w:name="_Toc14337442"/>
      <w:bookmarkStart w:id="588" w:name="_Toc13148373"/>
      <w:bookmarkStart w:id="589" w:name="_Toc13150601"/>
      <w:bookmarkStart w:id="590" w:name="_Toc13291986"/>
      <w:bookmarkStart w:id="591" w:name="_Toc13504712"/>
      <w:bookmarkStart w:id="592" w:name="_Toc13504828"/>
      <w:bookmarkStart w:id="593" w:name="_Toc13556321"/>
      <w:bookmarkStart w:id="594" w:name="_Toc14337443"/>
      <w:bookmarkStart w:id="595" w:name="_Toc13148374"/>
      <w:bookmarkStart w:id="596" w:name="_Toc13150602"/>
      <w:bookmarkStart w:id="597" w:name="_Toc13291987"/>
      <w:bookmarkStart w:id="598" w:name="_Toc13504713"/>
      <w:bookmarkStart w:id="599" w:name="_Toc13504829"/>
      <w:bookmarkStart w:id="600" w:name="_Toc13556322"/>
      <w:bookmarkStart w:id="601" w:name="_Toc14337444"/>
      <w:bookmarkStart w:id="602" w:name="_Toc13148376"/>
      <w:bookmarkStart w:id="603" w:name="_Toc13150604"/>
      <w:bookmarkStart w:id="604" w:name="_Toc13291989"/>
      <w:bookmarkStart w:id="605" w:name="_Toc13504715"/>
      <w:bookmarkStart w:id="606" w:name="_Toc13504831"/>
      <w:bookmarkStart w:id="607" w:name="_Toc13556324"/>
      <w:bookmarkStart w:id="608" w:name="_Toc14337446"/>
      <w:bookmarkStart w:id="609" w:name="_Toc13148377"/>
      <w:bookmarkStart w:id="610" w:name="_Toc13150605"/>
      <w:bookmarkStart w:id="611" w:name="_Toc13291990"/>
      <w:bookmarkStart w:id="612" w:name="_Toc13504716"/>
      <w:bookmarkStart w:id="613" w:name="_Toc13504832"/>
      <w:bookmarkStart w:id="614" w:name="_Toc13556325"/>
      <w:bookmarkStart w:id="615" w:name="_Toc14337447"/>
      <w:bookmarkStart w:id="616" w:name="_Toc13148379"/>
      <w:bookmarkStart w:id="617" w:name="_Toc13150607"/>
      <w:bookmarkStart w:id="618" w:name="_Toc13291992"/>
      <w:bookmarkStart w:id="619" w:name="_Toc13504718"/>
      <w:bookmarkStart w:id="620" w:name="_Toc13504834"/>
      <w:bookmarkStart w:id="621" w:name="_Toc13556327"/>
      <w:bookmarkStart w:id="622" w:name="_Toc14337449"/>
      <w:bookmarkStart w:id="623" w:name="_Toc13148381"/>
      <w:bookmarkStart w:id="624" w:name="_Toc13150609"/>
      <w:bookmarkStart w:id="625" w:name="_Toc13291994"/>
      <w:bookmarkStart w:id="626" w:name="_Toc13504720"/>
      <w:bookmarkStart w:id="627" w:name="_Toc13504836"/>
      <w:bookmarkStart w:id="628" w:name="_Toc13556329"/>
      <w:bookmarkStart w:id="629" w:name="_Toc14337451"/>
      <w:bookmarkStart w:id="630" w:name="_Toc13148384"/>
      <w:bookmarkStart w:id="631" w:name="_Toc13150612"/>
      <w:bookmarkStart w:id="632" w:name="_Toc13291997"/>
      <w:bookmarkStart w:id="633" w:name="_Toc13504723"/>
      <w:bookmarkStart w:id="634" w:name="_Toc13504839"/>
      <w:bookmarkStart w:id="635" w:name="_Toc13556332"/>
      <w:bookmarkStart w:id="636" w:name="_Toc14337454"/>
      <w:bookmarkStart w:id="637" w:name="_Toc13148385"/>
      <w:bookmarkStart w:id="638" w:name="_Toc13150613"/>
      <w:bookmarkStart w:id="639" w:name="_Toc13291998"/>
      <w:bookmarkStart w:id="640" w:name="_Toc13504724"/>
      <w:bookmarkStart w:id="641" w:name="_Toc13504840"/>
      <w:bookmarkStart w:id="642" w:name="_Toc13556333"/>
      <w:bookmarkStart w:id="643" w:name="_Toc14337455"/>
      <w:bookmarkStart w:id="644" w:name="_Toc13148390"/>
      <w:bookmarkStart w:id="645" w:name="_Toc13150618"/>
      <w:bookmarkStart w:id="646" w:name="_Toc13292003"/>
      <w:bookmarkStart w:id="647" w:name="_Toc13504729"/>
      <w:bookmarkStart w:id="648" w:name="_Toc13504845"/>
      <w:bookmarkStart w:id="649" w:name="_Toc13556338"/>
      <w:bookmarkStart w:id="650" w:name="_Toc14337460"/>
      <w:bookmarkStart w:id="651" w:name="_Toc13148391"/>
      <w:bookmarkStart w:id="652" w:name="_Toc13150619"/>
      <w:bookmarkStart w:id="653" w:name="_Toc13292004"/>
      <w:bookmarkStart w:id="654" w:name="_Toc13504730"/>
      <w:bookmarkStart w:id="655" w:name="_Toc13504846"/>
      <w:bookmarkStart w:id="656" w:name="_Toc13556339"/>
      <w:bookmarkStart w:id="657" w:name="_Toc14337461"/>
      <w:bookmarkStart w:id="658" w:name="_Toc13148392"/>
      <w:bookmarkStart w:id="659" w:name="_Toc13150620"/>
      <w:bookmarkStart w:id="660" w:name="_Toc13292005"/>
      <w:bookmarkStart w:id="661" w:name="_Toc13504731"/>
      <w:bookmarkStart w:id="662" w:name="_Toc13504847"/>
      <w:bookmarkStart w:id="663" w:name="_Toc13556340"/>
      <w:bookmarkStart w:id="664" w:name="_Toc14337462"/>
      <w:bookmarkStart w:id="665" w:name="_Toc13148393"/>
      <w:bookmarkStart w:id="666" w:name="_Toc13150621"/>
      <w:bookmarkStart w:id="667" w:name="_Toc13292006"/>
      <w:bookmarkStart w:id="668" w:name="_Toc13504732"/>
      <w:bookmarkStart w:id="669" w:name="_Toc13504848"/>
      <w:bookmarkStart w:id="670" w:name="_Toc13556341"/>
      <w:bookmarkStart w:id="671" w:name="_Toc14337463"/>
      <w:bookmarkStart w:id="672" w:name="_Toc13148394"/>
      <w:bookmarkStart w:id="673" w:name="_Toc13150622"/>
      <w:bookmarkStart w:id="674" w:name="_Toc13292007"/>
      <w:bookmarkStart w:id="675" w:name="_Toc13504733"/>
      <w:bookmarkStart w:id="676" w:name="_Toc13504849"/>
      <w:bookmarkStart w:id="677" w:name="_Toc13556342"/>
      <w:bookmarkStart w:id="678" w:name="_Toc14337464"/>
      <w:bookmarkStart w:id="679" w:name="_Toc13148395"/>
      <w:bookmarkStart w:id="680" w:name="_Toc13150623"/>
      <w:bookmarkStart w:id="681" w:name="_Toc13292008"/>
      <w:bookmarkStart w:id="682" w:name="_Toc13504734"/>
      <w:bookmarkStart w:id="683" w:name="_Toc13504850"/>
      <w:bookmarkStart w:id="684" w:name="_Toc13556343"/>
      <w:bookmarkStart w:id="685" w:name="_Toc14337465"/>
      <w:bookmarkStart w:id="686" w:name="_Toc13148396"/>
      <w:bookmarkStart w:id="687" w:name="_Toc13150624"/>
      <w:bookmarkStart w:id="688" w:name="_Toc13292009"/>
      <w:bookmarkStart w:id="689" w:name="_Toc13504735"/>
      <w:bookmarkStart w:id="690" w:name="_Toc13504851"/>
      <w:bookmarkStart w:id="691" w:name="_Toc13556344"/>
      <w:bookmarkStart w:id="692" w:name="_Toc14337466"/>
      <w:bookmarkStart w:id="693" w:name="_Toc13148397"/>
      <w:bookmarkStart w:id="694" w:name="_Toc13150625"/>
      <w:bookmarkStart w:id="695" w:name="_Toc13292010"/>
      <w:bookmarkStart w:id="696" w:name="_Toc13504736"/>
      <w:bookmarkStart w:id="697" w:name="_Toc13504852"/>
      <w:bookmarkStart w:id="698" w:name="_Toc13556345"/>
      <w:bookmarkStart w:id="699" w:name="_Toc14337467"/>
      <w:bookmarkStart w:id="700" w:name="_Toc13148398"/>
      <w:bookmarkStart w:id="701" w:name="_Toc13150626"/>
      <w:bookmarkStart w:id="702" w:name="_Toc13292011"/>
      <w:bookmarkStart w:id="703" w:name="_Toc13504737"/>
      <w:bookmarkStart w:id="704" w:name="_Toc13504853"/>
      <w:bookmarkStart w:id="705" w:name="_Toc13556346"/>
      <w:bookmarkStart w:id="706" w:name="_Toc14337468"/>
      <w:bookmarkStart w:id="707" w:name="_Toc13148399"/>
      <w:bookmarkStart w:id="708" w:name="_Toc13150627"/>
      <w:bookmarkStart w:id="709" w:name="_Toc13292012"/>
      <w:bookmarkStart w:id="710" w:name="_Toc13504738"/>
      <w:bookmarkStart w:id="711" w:name="_Toc13504854"/>
      <w:bookmarkStart w:id="712" w:name="_Toc13556347"/>
      <w:bookmarkStart w:id="713" w:name="_Toc14337469"/>
      <w:bookmarkStart w:id="714" w:name="_Toc13148400"/>
      <w:bookmarkStart w:id="715" w:name="_Toc13150628"/>
      <w:bookmarkStart w:id="716" w:name="_Toc13292013"/>
      <w:bookmarkStart w:id="717" w:name="_Toc13504739"/>
      <w:bookmarkStart w:id="718" w:name="_Toc13504855"/>
      <w:bookmarkStart w:id="719" w:name="_Toc13556348"/>
      <w:bookmarkStart w:id="720" w:name="_Toc14337470"/>
      <w:bookmarkStart w:id="721" w:name="_Toc13148401"/>
      <w:bookmarkStart w:id="722" w:name="_Toc13150629"/>
      <w:bookmarkStart w:id="723" w:name="_Toc13292014"/>
      <w:bookmarkStart w:id="724" w:name="_Toc13504740"/>
      <w:bookmarkStart w:id="725" w:name="_Toc13504856"/>
      <w:bookmarkStart w:id="726" w:name="_Toc13556349"/>
      <w:bookmarkStart w:id="727" w:name="_Toc14337471"/>
      <w:bookmarkStart w:id="728" w:name="_Toc13148402"/>
      <w:bookmarkStart w:id="729" w:name="_Toc13150630"/>
      <w:bookmarkStart w:id="730" w:name="_Toc13292015"/>
      <w:bookmarkStart w:id="731" w:name="_Toc13504741"/>
      <w:bookmarkStart w:id="732" w:name="_Toc13504857"/>
      <w:bookmarkStart w:id="733" w:name="_Toc13556350"/>
      <w:bookmarkStart w:id="734" w:name="_Toc14337472"/>
      <w:bookmarkStart w:id="735" w:name="_Toc13148408"/>
      <w:bookmarkStart w:id="736" w:name="_Toc13150636"/>
      <w:bookmarkStart w:id="737" w:name="_Toc13292021"/>
      <w:bookmarkStart w:id="738" w:name="_Toc13504747"/>
      <w:bookmarkStart w:id="739" w:name="_Toc13504863"/>
      <w:bookmarkStart w:id="740" w:name="_Toc13556356"/>
      <w:bookmarkStart w:id="741" w:name="_Toc14337478"/>
      <w:bookmarkStart w:id="742" w:name="_Toc13148409"/>
      <w:bookmarkStart w:id="743" w:name="_Toc13150637"/>
      <w:bookmarkStart w:id="744" w:name="_Toc13292022"/>
      <w:bookmarkStart w:id="745" w:name="_Toc13504748"/>
      <w:bookmarkStart w:id="746" w:name="_Toc13504864"/>
      <w:bookmarkStart w:id="747" w:name="_Toc13556357"/>
      <w:bookmarkStart w:id="748" w:name="_Toc14337479"/>
      <w:bookmarkStart w:id="749" w:name="_Toc13148411"/>
      <w:bookmarkStart w:id="750" w:name="_Toc13150639"/>
      <w:bookmarkStart w:id="751" w:name="_Toc13292024"/>
      <w:bookmarkStart w:id="752" w:name="_Toc13504750"/>
      <w:bookmarkStart w:id="753" w:name="_Toc13504866"/>
      <w:bookmarkStart w:id="754" w:name="_Toc13556359"/>
      <w:bookmarkStart w:id="755" w:name="_Toc14337481"/>
      <w:bookmarkStart w:id="756" w:name="_Toc13148412"/>
      <w:bookmarkStart w:id="757" w:name="_Toc13150640"/>
      <w:bookmarkStart w:id="758" w:name="_Toc13292025"/>
      <w:bookmarkStart w:id="759" w:name="_Toc13504751"/>
      <w:bookmarkStart w:id="760" w:name="_Toc13504867"/>
      <w:bookmarkStart w:id="761" w:name="_Toc13556360"/>
      <w:bookmarkStart w:id="762" w:name="_Toc14337482"/>
      <w:bookmarkStart w:id="763" w:name="_Toc13148413"/>
      <w:bookmarkStart w:id="764" w:name="_Toc13150641"/>
      <w:bookmarkStart w:id="765" w:name="_Toc13292026"/>
      <w:bookmarkStart w:id="766" w:name="_Toc13504752"/>
      <w:bookmarkStart w:id="767" w:name="_Toc13504868"/>
      <w:bookmarkStart w:id="768" w:name="_Toc13556361"/>
      <w:bookmarkStart w:id="769" w:name="_Toc1433748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1C6480">
        <w:rPr>
          <w:rFonts w:asciiTheme="minorEastAsia" w:eastAsiaTheme="minorEastAsia" w:hAnsiTheme="minorEastAsia" w:cs="Arial" w:hint="eastAsia"/>
          <w:b w:val="0"/>
          <w:color w:val="000000" w:themeColor="text1"/>
        </w:rPr>
        <w:t>基金管理人的权利、义务</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1、根据《基金法》、《运作办法》及其他有关规定，基金管理人的权利包括但不限于：</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（1）依法募集基金；</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（2）自《基金合同》生效之日起，根据法律法规和《基金合同》独立运用并管理基金财产；</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（3）依照《基金合同》收取基金管理费以及法律法规规定或中国证监会批准的其他费用；</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（4）销售基金份额；</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（5）召集基金份额持有人大会；</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（6）依据《基金合同》及有关法律规定监督基金托管人，如认为基金托管人违反了《基金合同》及国家有关法律规定，应呈报中国证监会和其他监管部门，并采取必要措施保护基金投资者的利益；</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（7）在基金托管人更换时，提名新的基金托管人；</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（8）选择、更换基金销售机构，对基金销售机构的相关行为进行监督和处理；</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（9）担任或委托其他符合条件的机构担任基金注册登记机构办理基金注册登记业务并获得《基金合同》规定的费用；</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（10）依据《基金合同》及有关法律规定决定基金收益的分配方案；</w:t>
      </w:r>
      <w:r w:rsidRPr="001C6480">
        <w:rPr>
          <w:rFonts w:asciiTheme="minorEastAsia" w:eastAsiaTheme="minorEastAsia" w:hAnsiTheme="minorEastAsia" w:hint="eastAsia"/>
          <w:bCs/>
          <w:color w:val="000000" w:themeColor="text1"/>
        </w:rPr>
        <w:tab/>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（11）在《基金合同》约定的范围内，拒绝或暂停受理申购与赎回申请；</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（12）依照法律法规为基金的利益对被投资公司行使股东权利，为基金的利益行使因基金财产投资于证券所产生的权利；</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（13）在法律法规允许的前提下，为基金的利益依法为基金进行融资；</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（14）以基金管理人的名义，代表基金份额持有人的利益行使诉讼权利或者实施其他法律行为；</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（15）选择、更换律师事务所、会计师事务所、证券经纪商或其他为基金提供服务的外部机构；</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（16）在符合有关法律、法规的前提下，制订和调整有关基金认购、申购、赎回、转换和非交易过户的业务规则；</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（17）法律法规和《基金合同》规定的其他权利。</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2、根据《基金法》、《运作办法》及其他有关规定，基金管理人的义务包括但不限于：</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（1）依法募集基金，办理或者委托经中国证监会认定的其他机构代为办理基金份额的发售、申购、赎回和注册登记事宜；</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（2）办理基金备案手续；</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（3）自《基金合同》生效之日起,以诚实信用、谨慎勤勉的原则管理和运用基金财产；</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（4）配备足够的具有专业资格的人员进行基金投资分析、决策，以专业化的经营方式管理和运作基金财产；</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（5）建立健全内部风险控制、监察与稽核、财务管理及人事管理等制度，保证所管理的基金财产和基金管理人的财产相互独立,对所管理的不同基金分别管理，分别记账，进行证券投资；</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（6）除依据《基金法》、《基金合同》及其他有关规定外,不得利用基金财产为自己及任何第三人谋取利益，不得委托第三人运作基金财产；</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（7）依法接受基金托管人的监督；</w:t>
      </w:r>
    </w:p>
    <w:p w:rsidR="00BD2A0B"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8</w:t>
      </w:r>
      <w:r w:rsidRPr="001C6480">
        <w:rPr>
          <w:rFonts w:asciiTheme="minorEastAsia" w:eastAsiaTheme="minorEastAsia" w:hAnsiTheme="minorEastAsia" w:hint="eastAsia"/>
          <w:bCs/>
          <w:color w:val="000000" w:themeColor="text1"/>
        </w:rPr>
        <w:t>）采取适当合理的措施使计算基金份额认购、申购、赎回和注销价格的方法符合《基金合同》等法律文件的规定，按有关规定计算并公告基金净值信息，确定基金份额申购、赎回的价格；</w:t>
      </w:r>
    </w:p>
    <w:p w:rsidR="00BD2A0B"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9</w:t>
      </w:r>
      <w:r w:rsidRPr="001C6480">
        <w:rPr>
          <w:rFonts w:asciiTheme="minorEastAsia" w:eastAsiaTheme="minorEastAsia" w:hAnsiTheme="minorEastAsia" w:hint="eastAsia"/>
          <w:bCs/>
          <w:color w:val="000000" w:themeColor="text1"/>
        </w:rPr>
        <w:t>）进行基金会计核算并编制基金财务会计报告；</w:t>
      </w:r>
    </w:p>
    <w:p w:rsidR="00BD2A0B"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w:t>
      </w:r>
      <w:r w:rsidRPr="001C6480">
        <w:rPr>
          <w:rFonts w:asciiTheme="minorEastAsia" w:eastAsiaTheme="minorEastAsia" w:hAnsiTheme="minorEastAsia"/>
          <w:bCs/>
          <w:color w:val="000000" w:themeColor="text1"/>
        </w:rPr>
        <w:t>10</w:t>
      </w:r>
      <w:r w:rsidRPr="001C6480">
        <w:rPr>
          <w:rFonts w:asciiTheme="minorEastAsia" w:eastAsiaTheme="minorEastAsia" w:hAnsiTheme="minorEastAsia" w:hint="eastAsia"/>
          <w:bCs/>
          <w:color w:val="000000" w:themeColor="text1"/>
        </w:rPr>
        <w:t>）编制季度报告、中期报告和年度报告；</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（11）严格按照《基金法》、《基金合同》及其他有关规定，履行信息披露及报告义务；</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（12）保守基金商业秘密，不泄露基金投资计划、投资意向等。除《基金法》、《基金合同》及其他有关规定另有规定外，在基金信息公开披露前应予保密，不向他人泄露；</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（13）按《基金合同》的约定确定基金收益分配方案，及时向基金份额持有人分配基金收益；</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（14）按规定受理申购与赎回申请，及时、足额支付赎回款项；</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（15）依据《基金法》、《基金合同》及其他有关规定召集基金份额持有人大会或配合基金托管人、基金份额持有人依法召集基金份额持有人大会；</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（16）按规定保存基金财产管理业务活动的会计账册、报表、记录和其他相关资料15年以上；</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（18）组织并参加基金财产清算小组,参与基金财产的保管、清理、估价、变现和分配；</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（19）面临解散、依法被撤销或者被依法宣告破产时，及时报告中国证监会并通知基金托管人；</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（20）因违反《基金合同》导致基金财产的损失或损害基金份额持有人合法权益时，应当承担赔偿责任，其赔偿责任不因其退任而免除；</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（21）监督基金托管人按法律法规和《基金合同》规定履行自己的义务，基金托管人违反《基金合同》造成基金财产损失时，基金管理人应为基金份额持有人利益向基金托管人追偿；</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（22）当基金管理人将其义务委托第三方处理时，应当对第三方处理有关基金事务的行为承担责任；</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（23）以基金管理人名义，代表基金份额持有人利益行使诉讼权利或实施其他法律行为；</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（24）基金管理人在募集期间未能达到基金的备案条件，《基金合同》不能生效，基金管理人承担全部募集费用，将已募集资金并加计银行同期存款利息在基金募集期结束后30日内退还基金认购人；</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（25）执行生效的基金份额持有人大会的决议；</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（26）建立并保存基金份额持有人名册；</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（27）法律法规及中国证监会规定的和《基金合同》约定的其他义务。</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基金托管人的权利、义务</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1、根据《基金法》、《运作办法》及其他有关规定，基金托管人的权利包括但不限于：</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（1）自《基金合同》生效之日起，依法律法规和《基金合同》的规定安全保管基金财产；</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（2）依《基金合同》约定获得基金托管费以及法律法规规定或监管部门批准的其他费用；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（4）根据相关市场规则，为基金开设证券账户、为基金办理证券交易资金清算。</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（5）提议召开或召集基金份额持有人大会；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（6）在基金管理人更换时，提名新的基金管理人；</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（7）法律法规和《基金合同》规定的其他权利。</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2、根据《基金法》、《运作办法》及其他有关规定，基金托管人的义务包括但不限于：</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（1）以诚实信用、勤勉尽责的原则持有并安全保管基金财产；</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（2）设立专门的基金托管部门，具有符合要求的营业场所，配备足够的、合格的熟悉基金托管业务的专职人员，负责基金财产托管事宜；</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（4）除依据《基金法》、《基金合同》及其他有关规定外，不得利用基金财产为自己及任何第三人谋取利益，不得委托第三人托管基金财产；</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（5）保管由基金管理人代表基金签订的与基金有关的重大合同及有关凭证；</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（6）按规定开设基金财产的资金账户和证券账户,按照《基金合同》的约定，根据基金管理人的投资指令，及时办理清算、交割事宜；</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（7）保守基金商业秘密，除《基金法》、《基金合同》及其他有关规定另有规定外，在基金信息公开披露前予以保密，不得向他人泄露；</w:t>
      </w:r>
    </w:p>
    <w:p w:rsidR="00BD2A0B" w:rsidRPr="001C6480" w:rsidP="006D6AC5">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rPr>
        <w:t>8</w:t>
      </w:r>
      <w:r w:rsidRPr="001C6480">
        <w:rPr>
          <w:rFonts w:asciiTheme="minorEastAsia" w:eastAsiaTheme="minorEastAsia" w:hAnsiTheme="minorEastAsia" w:hint="eastAsia"/>
          <w:color w:val="000000" w:themeColor="text1"/>
        </w:rPr>
        <w:t>）复核、审查基金管理人计算的基金资产净值、基金份额净值、基金份额申购、赎回价格；</w:t>
      </w:r>
    </w:p>
    <w:p w:rsidR="00BD2A0B" w:rsidRPr="001C6480" w:rsidP="006D6AC5">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rPr>
        <w:t>9</w:t>
      </w:r>
      <w:r w:rsidRPr="001C6480">
        <w:rPr>
          <w:rFonts w:asciiTheme="minorEastAsia" w:eastAsiaTheme="minorEastAsia" w:hAnsiTheme="minorEastAsia" w:hint="eastAsia"/>
          <w:color w:val="000000" w:themeColor="text1"/>
        </w:rPr>
        <w:t>）办理与基金托管业务活动有关的信息披露事项；</w:t>
      </w:r>
    </w:p>
    <w:p w:rsidR="00BD2A0B" w:rsidRPr="001C6480" w:rsidP="006D6AC5">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w:t>
      </w:r>
      <w:r w:rsidRPr="001C6480">
        <w:rPr>
          <w:rFonts w:asciiTheme="minorEastAsia" w:eastAsiaTheme="minorEastAsia" w:hAnsiTheme="minorEastAsia"/>
          <w:color w:val="000000" w:themeColor="text1"/>
        </w:rPr>
        <w:t>10</w:t>
      </w:r>
      <w:r w:rsidRPr="001C6480">
        <w:rPr>
          <w:rFonts w:asciiTheme="minorEastAsia" w:eastAsiaTheme="minorEastAsia" w:hAnsiTheme="minorEastAsia" w:hint="eastAsia"/>
          <w:color w:val="000000" w:themeColor="text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（11）保存基金托管业务活动的记录、账册、报表和其他相关资料15年以上；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（12）建立并保存基金份额持有人名册；</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（13）按规定制作相关账册并与基金管理人核对；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（14）依据基金管理人的指令或有关规定向基金份额持有人支付基金收益和赎回款项；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（15）依据《基金法》、《基金合同》及其他有关规定，召集基金份额持有人大会或配合基金管理人、基金份额持有人依法召集基金份额持有人大会；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（16）按照法律法规和《基金合同》的规定监督基金管理人的投资运作；</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（17）参加基金财产清算小组，参与基金财产的保管、清理、估价、变现和分配；</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（18）面临解散、依法被撤销或者被依法宣告破产时，及时报告中国证监会和银行监管机构，并通知基金管理人；</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（19）因违反《基金合同》导致基金财产损失时，应承担赔偿责任，其赔偿责任不因其退任而免除；</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（20）按规定监督基金管理人按法律法规和《基金合同》规定履行自己的义务，基金管理人因违反《基金合同》造成基金财产损失时，应为基金份额持有人利益向基金管理人追偿；</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（21）执行生效的基金份额持有人大会的决定；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（22）法律法规及中国证监会规定的和《基金合同》约定的其他义务。</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基金份额持有人的权利、义务</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每份基金份额具有同等的合法权益。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1、根据《基金法》、《运作办法》及其他有关规定，基金份额持有人的权利包括但不限于：</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（1）分享基金财产收益；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（2）参与分配清算后的剩余基金财产；</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（3）依法申请赎回其持有的基金份额；</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（4）按照规定要求召开基金份额持有人大会；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（5）出席或者委派代表出席基金份额持有人大会，对基金份额持有人大会审议事项行使表决权；</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（6）查阅或者复制公开披露的基金信息资料；</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（7）监督基金管理人的投资运作；</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（8）对基金管理人、基金托管人、基金销售机构损害其合法权益的行为依法提起诉讼或仲裁；</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（9）法律法规和《基金合同》规定的其他权利。</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2、根据《基金法》、《运作办法》及其他有关规定，基金份额持有人的义务包括但不限于：</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（1）认真阅读并遵守《基金合同》；</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（2）了解所投资基金产品，了解自身风险承受能力，自行承担投资风险；</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（3）关注基金信息披露，及时行使权利和履行义务；</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（4）缴纳基金认购、申购、赎回款项及法律法规和《基金合同》所规定的费用；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（5）在其持有的基金份额范围内，承担基金亏损或者《基金合同》终止的有限责任；</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（6）不从事任何有损基金及其他《基金合同》当事人合法权益的活动；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（7）执行生效的基金份额持有人大会的决定；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（8）返还在基金交易过程中因任何原因获得的不当得利；</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（9）法律法规及中国证监会规定的和《基金合同》约定的其他义务。</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基金份额持有人大会召集、议事及表决的程序和规则</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基金份额持有人大会由基金份额持有人组成，基金份额持有人的合法授权代表有权代表基金份额持有人出席会议并表决。基金份额持有人持有的每一基金份额拥有平等的投票权。</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1、召开事由</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（1）当出现或需要决定下列事由之一的，应当召开基金份额持有人大会：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1）终止《基金合同》；</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2）更换基金管理人；</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3）更换基金托管人；</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4）转换基金运作方式；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5）提高基金管理人、基金托管人的报酬标准；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6）变更基金类别；</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7）本基金与其他基金的合并；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8）变更基金投资目标、范围或策略；</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9）变更基金份额持有人大会程序；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10）基金管理人或基金托管人要求召开基金份额持有人大会；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11）单独或合计持有本基金总份额10%以上（含10%）基金份额的基金份额持有人（以基金管理人收到提议当日的基金份额计算，下同）就同一事项书面要求召开基金份额持有人大会；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12）对基金当事人权利和义务产生重大影响的其他事项；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13）法律法规、《基金合同》或中国证监会规定的其他应当召开基金份额持有人大会的事项。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（2）以下情况可由基金管理人和基金托管人协商后修改，不需召开基金份额持有人大会：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1）调低基金管理费、基金托管费；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2）法律法规要求增加的基金费用的收取；</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3）在法律法规和《基金合同》规定的范围内调整本基金的申购费率、调低赎回费率或变更收费方式；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4）因相应的法律法规发生变动而应当对《基金合同》进行修改；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5）对《基金合同》的修改对基金份额持有人利益无实质性不利影响或修改不涉及《基金合同》当事人权利义务关系发生重大变化；</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color w:val="000000" w:themeColor="text1"/>
        </w:rPr>
        <w:t>6）</w:t>
      </w:r>
      <w:r w:rsidRPr="001C6480">
        <w:rPr>
          <w:rFonts w:asciiTheme="minorEastAsia" w:eastAsiaTheme="minorEastAsia" w:hAnsiTheme="minorEastAsia" w:hint="eastAsia"/>
          <w:bCs/>
          <w:color w:val="000000" w:themeColor="text1"/>
        </w:rPr>
        <w:t>基金管理人、基金登记机构、基金销售机构，在法律法规规定或中国证监会许可的范围内调整有关认购、申购、赎回、转换、基金交易、非交易过户、转托管等业务规则；</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color w:val="000000" w:themeColor="text1"/>
        </w:rPr>
        <w:t>7）</w:t>
      </w:r>
      <w:r w:rsidRPr="001C6480">
        <w:rPr>
          <w:rFonts w:asciiTheme="minorEastAsia" w:eastAsiaTheme="minorEastAsia" w:hAnsiTheme="minorEastAsia" w:hint="eastAsia"/>
          <w:bCs/>
          <w:color w:val="000000" w:themeColor="text1"/>
        </w:rPr>
        <w:t>在法律法规规定或中国证监会许可的范围内基金推出新业务或服务；</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w:t>
      </w:r>
      <w:r w:rsidRPr="001C6480">
        <w:rPr>
          <w:rFonts w:asciiTheme="minorEastAsia" w:eastAsiaTheme="minorEastAsia" w:hAnsiTheme="minorEastAsia" w:hint="eastAsia"/>
          <w:bCs/>
          <w:color w:val="000000" w:themeColor="text1"/>
        </w:rPr>
        <w:t>在法律法规规定或中国证监会许可的范围内调整基金份额类别设置</w:t>
      </w:r>
      <w:r w:rsidRPr="001C6480">
        <w:rPr>
          <w:rFonts w:asciiTheme="minorEastAsia" w:eastAsiaTheme="minorEastAsia" w:hAnsiTheme="minorEastAsia" w:hint="eastAsia"/>
          <w:color w:val="000000" w:themeColor="text1"/>
        </w:rPr>
        <w:t>；</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9）按照法律法规和《基金合同》规定不需召开基金份额持有人大会的其他情形。</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2、会议召集人及召集方式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（1）除法律法规规定或《基金合同》另有约定外，基金份额持有人大会由基金管理人召集；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（2）基金管理人未按规定召集或不能召集时，由基金托管人召集；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（6）基金份额持有人会议的召集人负责选择确定开会时间、地点、方式和权益登记日。</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3、召开基金份额持有人大会的通知时间、通知内容、通知方式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（1）召开基金份额持有人大会，召集人应于会议召开前30日，在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hint="eastAsia"/>
          <w:color w:val="000000" w:themeColor="text1"/>
        </w:rPr>
        <w:t>公告。基金份额持有人大会通知应至少载明以下内容：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1）会议召开的时间、地点和会议形式；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2）会议拟审议的事项、议事程序和表决方式；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3）有权出席基金份额持有人大会的基金份额持有人的权益登记日；</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4）授权委托证明的内容要求（包括但不限于代理人身份，代理权限和代理有效期限等）、送达时间和地点;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5）会务常设联系人姓名及联系电话；</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6）出席会议者必须准备的文件和必须履行的手续；</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7）召集人需要通知的其他事项。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4、基金份额持有人出席会议的方式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基金份额持有人大会可通过现场开会方式、通讯开会方式及法律法规、中国证监会允许的其他方式召开，会议的召开方式由会议召集人确定。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w:t>
      </w:r>
      <w:r w:rsidRPr="001C6480">
        <w:rPr>
          <w:rFonts w:asciiTheme="minorEastAsia" w:eastAsiaTheme="minorEastAsia" w:hAnsiTheme="minorEastAsia" w:hint="eastAsia"/>
          <w:bCs/>
          <w:color w:val="000000" w:themeColor="text1"/>
        </w:rPr>
        <w:t>亲自出席会议者持有的有关证明文件、受托出席会议者出示的委托人的代理投票授权委托证明及有关证明文件符合法律法规、《基金合同》和会议通知的规定；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2）经核对，</w:t>
      </w:r>
      <w:r w:rsidRPr="001C6480">
        <w:rPr>
          <w:rFonts w:asciiTheme="minorEastAsia" w:eastAsiaTheme="minorEastAsia" w:hAnsiTheme="minorEastAsia" w:hint="eastAsia"/>
          <w:bCs/>
          <w:color w:val="000000" w:themeColor="text1"/>
        </w:rPr>
        <w:t>到会者在权益登记日代表的有效的</w:t>
      </w:r>
      <w:r w:rsidRPr="001C6480">
        <w:rPr>
          <w:rFonts w:asciiTheme="minorEastAsia" w:eastAsiaTheme="minorEastAsia" w:hAnsiTheme="minorEastAsia" w:hint="eastAsia"/>
          <w:color w:val="000000" w:themeColor="text1"/>
        </w:rPr>
        <w:t>基金份额不少于本基金在权益登记日基金总份额的50%（含50%）。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（2）通讯开会。通讯开会系指基金份额持有人将其对表决事项的投票以书面形式在表决截至日以前送达至召集人指定的地址。通讯开会应以书面方式进行表决。</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在同时符合以下条件时，通讯开会的方式视为有效：</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1）会议召集人按《基金合同》约定公布会议通知后，在2个工作日内连续公布相关提示性公告；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w:t>
      </w:r>
      <w:r w:rsidRPr="001C6480">
        <w:rPr>
          <w:rFonts w:asciiTheme="minorEastAsia" w:eastAsiaTheme="minorEastAsia" w:hAnsiTheme="minorEastAsia" w:hint="eastAsia"/>
          <w:color w:val="000000" w:themeColor="text1"/>
        </w:rPr>
        <w:t>份额持有人的书面表决意见；基金托管人或基金管理人经通知不参加收取书面表决意见的，不影响表决效力；</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3）本人直接出具书面意见或授权他人代表出具书面意见的，基金份额持有人所持有的基金份额不小于在权益登记日基金总份额的50%（含50%）；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4）上述第3）项中直接出具书面意见的基金份额持有人或受托代表他人出具书面意见的代理人，同时提交的</w:t>
      </w:r>
      <w:r w:rsidRPr="001C6480">
        <w:rPr>
          <w:rFonts w:asciiTheme="minorEastAsia" w:eastAsiaTheme="minorEastAsia" w:hAnsiTheme="minorEastAsia" w:hint="eastAsia"/>
          <w:bCs/>
          <w:color w:val="000000" w:themeColor="text1"/>
        </w:rPr>
        <w:t>有关证明文件、受托出具书面意见的代理人出示的委托人的代理投票授权委托证明及有关证明文件</w:t>
      </w:r>
      <w:r w:rsidRPr="001C6480">
        <w:rPr>
          <w:rFonts w:asciiTheme="minorEastAsia" w:eastAsiaTheme="minorEastAsia" w:hAnsiTheme="minorEastAsia" w:hint="eastAsia"/>
          <w:color w:val="000000" w:themeColor="text1"/>
        </w:rPr>
        <w:t>符合法律法规、《基金合同》和会议通知的规定，并与基金注册登记机构记录相符；</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5）会议通知公布前报中国证监会备案。</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color w:val="000000" w:themeColor="text1"/>
        </w:rPr>
        <w:t>（3）</w:t>
      </w:r>
      <w:r w:rsidRPr="001C6480">
        <w:rPr>
          <w:rFonts w:asciiTheme="minorEastAsia" w:eastAsiaTheme="minorEastAsia" w:hAnsiTheme="minorEastAsia" w:hint="eastAsia"/>
          <w:bCs/>
          <w:color w:val="000000" w:themeColor="text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w:t>
      </w:r>
      <w:r w:rsidRPr="001C6480">
        <w:rPr>
          <w:rFonts w:asciiTheme="minorEastAsia" w:eastAsiaTheme="minorEastAsia" w:hAnsiTheme="minorEastAsia" w:hint="eastAsia"/>
          <w:bCs/>
          <w:color w:val="000000" w:themeColor="text1"/>
        </w:rPr>
        <w:t>基金份额持有人授权他人代为出席会议并表决的，授权方式可以采用书面、网络、电话、短信或其他方式，具体方式在会议通知中列明。</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5、议事内容与程序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（1）议事内容及提案权</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基金份额持有人大会的召集人发出召集会议的通知后，对原有提案的修改应当在基金份额持有人大会召开前30日公告。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基金份额持有人大会不得对未事先公告的议事内容进行表决。</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（2）议事程序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1）现场开会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会议召集人应当制作出席会议人员的签名册。签名册载明参加会议人员姓名（或单位名称）、身份证明文件号码、持有或代表有表决权的基金份额、委托人姓名（或单位名称）和联系方式等事项。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2）通讯开会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在通讯开会的情况下，首先由召集人提前30日公布提案，在所通知的表决截止日期后2个工作日内在公证机关监督下由召集人统计全部有效表决，在公证机关监督下形成决议。</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6、表决</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基金份额持有人所持每份基金份额有一票表决权。</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基金份额持有人大会决议分为一般决议和特别决议：</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（1）一般决议，一般决议须经参加大会的基金份额持有人或其代理人所持表决权的50%以上（含50%）通过方为有效；除下列第2项所规定的须以特别决议通过事项以外的其他事项均以一般决议的方式通过。</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基金份额持有人大会采取记名方式进行投票表决。</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基金份额持有人大会的各项提案或同一项提案内并列的各项议题应当分开审议、逐项表决。</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7、计票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（1）现场开会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2）监票人应当在基金份额持有人表决后立即进行清点并由大会主持人当场公布计票结果。</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4）计票过程应由公证机关予以公证,基金管理人或基金托管人拒不出席大会的，不影响计票的效力。</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（2）通讯开会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8、生效与公告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基金份额持有人大会的决议，召集人应当自通过之日起5日内报中国证监会核准或者备案。</w:t>
      </w:r>
    </w:p>
    <w:p w:rsidR="00A64800" w:rsidRPr="001C6480" w:rsidP="00BD2A0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基金份额持有人大会的决议自中国证监会依法核准或者出具无异议意见之日起生效。</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基金份额持有人大会决议自生效之日起</w:t>
      </w:r>
      <w:r w:rsidRPr="001C6480">
        <w:rPr>
          <w:rFonts w:asciiTheme="minorEastAsia" w:eastAsiaTheme="minorEastAsia" w:hAnsiTheme="minorEastAsia"/>
          <w:color w:val="000000" w:themeColor="text1"/>
        </w:rPr>
        <w:t>2</w:t>
      </w:r>
      <w:r w:rsidRPr="001C6480">
        <w:rPr>
          <w:rFonts w:asciiTheme="minorEastAsia" w:eastAsiaTheme="minorEastAsia" w:hAnsiTheme="minorEastAsia" w:hint="eastAsia"/>
          <w:color w:val="000000" w:themeColor="text1"/>
        </w:rPr>
        <w:t>日内在指定媒介上公告。如果采用通讯方式进行表决，在公告基金份额持有人大会决议时，必须将公证书全文、公证机构、公证员姓名等一同公告。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基金管理人、基金托管人和基金份额持有人应当执行生效的基金份额持有人大会的决议。生效的基金份额持有人大会决议对全体基金份额持有人、基金管理人、基金托管人均有约束力。</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color w:val="000000" w:themeColor="text1"/>
        </w:rPr>
        <w:t>9、</w:t>
      </w:r>
      <w:r w:rsidRPr="001C6480">
        <w:rPr>
          <w:rFonts w:asciiTheme="minorEastAsia" w:eastAsiaTheme="minorEastAsia" w:hAnsiTheme="minorEastAsia" w:hint="eastAsia"/>
          <w:bCs/>
          <w:color w:val="000000" w:themeColor="text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基金收益分配原则、执行方式</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1、基金收益分配原则</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1）在符合有关基金分红条件的前提下，本基金每年收益分配次数最多为12次，每份基金份额每次分配比例不得低于收益分配基准日每份基金份额可供分配利润的10%，若《基金合同》生效不满3个月可不进行收益分配；</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（2）本基金收益分配方式分两种：现金分红与红利再投资，基金份额持有人可选择现金红利或将现金红利自动转为基金份额进行再投资；若投资者不选择，本基金默认的收益分配方式是现金分红；</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（3）基金收益分配后基金份额净值不能低于面值；即基金收益分配基准日的基金份额净值减去每单位基金份额收益分配金额后不能低于面值；</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（4）每一基金份额享有同等分配权；</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（5）法律法规或监管机关另有规定的，从其规定。</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2、收益分配方案</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基金收益分配方案中应载明截止收益分配基准日的可供分配利润、基金收益分配对象、分配时间、分配数额及比例、分配方式等内容。</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3、收益分配方案的确定、公告与实施</w:t>
      </w:r>
    </w:p>
    <w:p w:rsidR="002F2BD2" w:rsidRPr="001C6480" w:rsidP="006D6AC5">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本基金收益分配方案由基金管理人拟定，并由基金托管人复核，在</w:t>
      </w:r>
      <w:r w:rsidRPr="001C6480">
        <w:rPr>
          <w:rFonts w:asciiTheme="minorEastAsia" w:eastAsiaTheme="minorEastAsia" w:hAnsiTheme="minorEastAsia"/>
          <w:bCs/>
          <w:color w:val="000000" w:themeColor="text1"/>
        </w:rPr>
        <w:t>2</w:t>
      </w:r>
      <w:r w:rsidRPr="001C6480">
        <w:rPr>
          <w:rFonts w:asciiTheme="minorEastAsia" w:eastAsiaTheme="minorEastAsia" w:hAnsiTheme="minorEastAsia" w:hint="eastAsia"/>
          <w:bCs/>
          <w:color w:val="000000" w:themeColor="text1"/>
        </w:rPr>
        <w:t>日内在指定媒介公告。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基金红利发放日距离收益分配基准日（即可供分配利润计算截止日）的时间不得超过15个工作日。</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与基金财产管理、运用有关费用的提取、支付方式与比例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1、基金费用的种类</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（1）基金管理人的管理费；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（2）基金托管人的托管费；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（3）基金合同生效后的标的指数许可使用费；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（4）《基金合同》生效后与基金相关的信息披露费用；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（5）《基金合同》生效后与基金相关的会计师费、律师费和诉讼费；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（6）基金份额持有人大会费用；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（7）基金的证券交易费用；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（8）基金的银行汇划费用；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（9）证券账户开户费用、银行账户维护费用；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（10）按照国家有关规定和《基金合同》约定，可以在基金财产中列支的其他费用。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2、基金费用计提方法、计提标准和支付方式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（1）基金管理人的管理费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本基金的管理费按前一日基金资产净值的0.8%年费率计提。管理费的计算方法如下：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H＝E×0.8%÷当年天数</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H为每日应计提的基金管理费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E为前一日的基金资产净值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（2）基金托管人的托管费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本基金的托管费按前一日基金资产净值的0.15%的年费率计提。托管费的计算方法如下：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H＝E×0.15%÷当年天数</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H为每日应计提的基金托管费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E为前一日的基金资产净值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（3）标的指数许可使用费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合同生效后的标的指数许可使用费按照基金管理人与中证指数有限公司签署的指数使用许可协议的约定从基金财产中向中证指数有限公司支付。标的指数使用费按前一日基金资产净值的0.016%的年费率计提。标的指数许可使用费每日计算，逐日累计。</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计算方法如下：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H=E×0.016%/当年天数</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H为每日应付的标的指数许可使用费，E为前一日的基金资产净值。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标的指数许可使用费的收取下限为每季度人民币伍万元（50，000），计费期间不足一季度的，根据实际天数按比例计算。</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中证指数有限公司根据相应指数使用许可协议变更上述标的指数许可使用费费率和计算方法的，本基金按照变更后的费率计提标的指数许可使用费，基金管理人必须依照有关规定最迟于新的费率和计算方式实施日前依照《信息披露办法》的有关规定在</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hint="eastAsia"/>
          <w:color w:val="000000" w:themeColor="text1"/>
        </w:rPr>
        <w:t>上公告。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如果中证指数有限公司根据指数使用许可协议的约定要求变更标的指数许可使用费费率和计算方法，应按照变更后的标的指数许可使用费从基金财产中支付给指数许可方。此项变更无需召开基金份额持有人大会。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上述“1、基金费用的种类中第（4）－（9）项费用”，根据有关法规及相应协议规定，按费用实际支出金额列入当期费用，由基金托管人从基金财产中支付。</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基金财产的投资范围和投资限制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1、投资范围</w:t>
      </w:r>
    </w:p>
    <w:p w:rsidR="00A64800" w:rsidRPr="001C6480" w:rsidP="00F71D3B">
      <w:pPr>
        <w:snapToGrid w:val="0"/>
        <w:spacing w:line="360" w:lineRule="auto"/>
        <w:ind w:firstLine="42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本基金的投资范围为具有良好流动性的金融工具，包括国内依法发行上市的股票（含中小板、创业板及其他经中国证监会核准</w:t>
      </w:r>
      <w:r w:rsidRPr="001C6480" w:rsidR="00F76EEB">
        <w:rPr>
          <w:rFonts w:asciiTheme="minorEastAsia" w:eastAsiaTheme="minorEastAsia" w:hAnsiTheme="minorEastAsia" w:hint="eastAsia"/>
          <w:bCs/>
          <w:color w:val="000000" w:themeColor="text1"/>
        </w:rPr>
        <w:t>或注册上市的股票、存托凭证</w:t>
      </w:r>
      <w:r w:rsidRPr="001C6480">
        <w:rPr>
          <w:rFonts w:asciiTheme="minorEastAsia" w:eastAsiaTheme="minorEastAsia" w:hAnsiTheme="minorEastAsia" w:hint="eastAsia"/>
          <w:bCs/>
          <w:color w:val="000000" w:themeColor="text1"/>
        </w:rPr>
        <w:t>）、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相关规定。</w:t>
      </w:r>
    </w:p>
    <w:p w:rsidR="00A64800" w:rsidRPr="001C6480" w:rsidP="00F71D3B">
      <w:pPr>
        <w:snapToGrid w:val="0"/>
        <w:spacing w:line="360" w:lineRule="auto"/>
        <w:ind w:firstLine="42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如法律法规或监管机构以后允许基金投资其他品种，基金管理人在履行适当程序后，可以将其纳入投资范围。</w:t>
      </w:r>
    </w:p>
    <w:p w:rsidR="00A64800" w:rsidRPr="001C6480" w:rsidP="00F71D3B">
      <w:pPr>
        <w:snapToGrid w:val="0"/>
        <w:spacing w:line="360" w:lineRule="auto"/>
        <w:ind w:firstLine="42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基金的投资组合比例为：</w:t>
      </w:r>
    </w:p>
    <w:p w:rsidR="00A64800" w:rsidRPr="001C6480" w:rsidP="00F71D3B">
      <w:pPr>
        <w:snapToGrid w:val="0"/>
        <w:spacing w:line="360" w:lineRule="auto"/>
        <w:ind w:firstLine="420"/>
        <w:rPr>
          <w:rFonts w:asciiTheme="minorEastAsia" w:eastAsiaTheme="minorEastAsia" w:hAnsiTheme="minorEastAsia"/>
          <w:bCs/>
          <w:color w:val="000000" w:themeColor="text1"/>
        </w:rPr>
      </w:pPr>
      <w:r w:rsidRPr="001C6480">
        <w:rPr>
          <w:rFonts w:asciiTheme="minorEastAsia" w:eastAsiaTheme="minorEastAsia" w:hAnsiTheme="minorEastAsia" w:hint="eastAsia"/>
          <w:color w:val="000000" w:themeColor="text1"/>
        </w:rPr>
        <w:t>股票资产投资比例不低于基金资产的90%，</w:t>
      </w:r>
      <w:r w:rsidRPr="001C6480">
        <w:rPr>
          <w:rFonts w:asciiTheme="minorEastAsia" w:eastAsiaTheme="minorEastAsia" w:hAnsiTheme="minorEastAsia" w:hint="eastAsia"/>
          <w:bCs/>
          <w:color w:val="000000" w:themeColor="text1"/>
        </w:rPr>
        <w:t>其中投资于标的指数成份股和备选成份股的资产不低于股票资产的</w:t>
      </w:r>
      <w:r w:rsidRPr="001C6480">
        <w:rPr>
          <w:rFonts w:asciiTheme="minorEastAsia" w:eastAsiaTheme="minorEastAsia" w:hAnsiTheme="minorEastAsia"/>
          <w:bCs/>
          <w:color w:val="000000" w:themeColor="text1"/>
        </w:rPr>
        <w:t>80%</w:t>
      </w:r>
      <w:r w:rsidRPr="001C6480">
        <w:rPr>
          <w:rFonts w:asciiTheme="minorEastAsia" w:eastAsiaTheme="minorEastAsia" w:hAnsiTheme="minorEastAsia" w:hint="eastAsia"/>
          <w:bCs/>
          <w:color w:val="000000" w:themeColor="text1"/>
        </w:rPr>
        <w:t>；现金或者到期日在一年以内的政府债券不低于基金资产净值的</w:t>
      </w:r>
      <w:r w:rsidRPr="001C6480">
        <w:rPr>
          <w:rFonts w:asciiTheme="minorEastAsia" w:eastAsiaTheme="minorEastAsia" w:hAnsiTheme="minorEastAsia"/>
          <w:bCs/>
          <w:color w:val="000000" w:themeColor="text1"/>
        </w:rPr>
        <w:t>5%</w:t>
      </w:r>
      <w:r w:rsidRPr="001C6480" w:rsidR="00AA15B0">
        <w:rPr>
          <w:rFonts w:asciiTheme="minorEastAsia" w:eastAsiaTheme="minorEastAsia" w:hAnsiTheme="minorEastAsia" w:hint="eastAsia"/>
          <w:bCs/>
          <w:color w:val="000000" w:themeColor="text1"/>
        </w:rPr>
        <w:t>，现金不包括结算备付金、存出保证金、应收申购款等</w:t>
      </w:r>
      <w:r w:rsidRPr="001C6480">
        <w:rPr>
          <w:rFonts w:asciiTheme="minorEastAsia" w:eastAsiaTheme="minorEastAsia" w:hAnsiTheme="minorEastAsia" w:hint="eastAsia"/>
          <w:bCs/>
          <w:color w:val="000000" w:themeColor="text1"/>
        </w:rPr>
        <w:t>。</w:t>
      </w:r>
    </w:p>
    <w:p w:rsidR="00A64800" w:rsidRPr="001C6480" w:rsidP="00F71D3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bCs/>
          <w:color w:val="000000" w:themeColor="text1"/>
        </w:rPr>
        <w:t>若法律法规的相关规定发生变更或监管机构允许，本基金管理人在履行适当程序后，可对上述资产配置比例进行调整。</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2、组合限制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基金的投资组合应遵循以下限制：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（1）本基金股票资产占基金资产净值的比例为90%-95%，</w:t>
      </w:r>
      <w:r w:rsidRPr="001C6480">
        <w:rPr>
          <w:rFonts w:asciiTheme="minorEastAsia" w:eastAsiaTheme="minorEastAsia" w:hAnsiTheme="minorEastAsia" w:hint="eastAsia"/>
          <w:bCs/>
          <w:color w:val="000000" w:themeColor="text1"/>
        </w:rPr>
        <w:t>其中投资于标的指数成份股和备选成份股的资产不低于股票资产的</w:t>
      </w:r>
      <w:r w:rsidRPr="001C6480">
        <w:rPr>
          <w:rFonts w:asciiTheme="minorEastAsia" w:eastAsiaTheme="minorEastAsia" w:hAnsiTheme="minorEastAsia"/>
          <w:bCs/>
          <w:color w:val="000000" w:themeColor="text1"/>
        </w:rPr>
        <w:t>80%</w:t>
      </w:r>
      <w:r w:rsidRPr="001C6480">
        <w:rPr>
          <w:rFonts w:asciiTheme="minorEastAsia" w:eastAsiaTheme="minorEastAsia" w:hAnsiTheme="minorEastAsia" w:hint="eastAsia"/>
          <w:color w:val="000000" w:themeColor="text1"/>
        </w:rPr>
        <w:t>；</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（2）本基金持有一家上市公司的股票，其市值不超过基金资产净值的10％；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（3）本基金管理人管理的全部基金持有一家公司发行的证券，不超过该证券的10％；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（4）本基金持有的全部权证，其市值不得超过基金资产净值的3％；</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（5）本基金管理人管理的全部基金持有的同一权证，不得超过该权证的10％；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（6）本基金在任何交易日买入权证的总金额，不得超过上一交易日基金资产净值的0.5％；</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（7）本基金投资于同一原始权益人的各类资产支持证券的比例，不得超过基金资产净值的10％；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（8）本基金持有的全部资产支持证券，其市值不得超过基金资产净值的20％；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（9）本基金持有的同一(指同一信用级别)资产支持证券的比例，不得超过该资产支持证券规模的10％；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（10）本基金管理人管理的全部基金投资于同一原始权益人的各类资产支持证券，不得超过其各类资产支持证券合计规模的10％；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（11）本基金应投资于信用级别评级为BBB以上(含BBB)的资产支持证券。基金持有资产支持证券期间，如果其信用等级下降、不再符合投资标准，应在评级报告发布之日起3个月内予以全部卖出；</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（12）基金财产参与股票发行申购，本基金所申报的金额不超过本基金的总资产，本基金所申报的股票数量不超过拟发行股票公司本次发行股票的总量；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（13）本基金进入全国银行间同业市场进行债券回购的资金余额不得超过基金资产净值的40%；债券回购最长期限为1年，债券回购到期后不得展期；</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14）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（15）本基金投资于股指期货，还应遵循如下投资组合限制：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1）在任何交易日日终，本基金持有的买入股指期货合约价值不超过基金资产净值的10%，卖出股指期货合约价值不超过基金持有的股票总市值的20%。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2）在任何交易日日终，本基金持有的买入期货合约价值与有价证券市值之和不得超过基金资产净值的95%。</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其中，有价证券指股票、债券（不含到期日在一年以内的政府债券）、权证、资产支持证券、买入返售金融资产（不含质押式回购）等。</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3）本基金所持有的股票市值和买入、卖出股指期货合约价值，合计（轧差计算）占基金资产净值的比例范围为90%-95%。</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4）本基金在任何交易日内交易（不包括平仓）的股指期货合约的成交金额不得超过上一交易日基金资产净值的20%。</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本基金管理人应当按照中国金融期货交易所的要求向其报告所交易和持有的卖出期货合约情况、交易目的及对应的证券资产情况等。</w:t>
      </w:r>
    </w:p>
    <w:p w:rsidR="00AA15B0" w:rsidRPr="001C6480" w:rsidP="00AA15B0">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（16）本基金每个交易日日终在扣除股指期货合约需缴纳的交易保证金后，应当保持不低于基金资产净值5%的现金或到期日在一年以内的政府债券，现金不包括结算备付金、存出保证金、应收申购款等。</w:t>
      </w:r>
    </w:p>
    <w:p w:rsidR="00AA15B0" w:rsidRPr="001C6480" w:rsidP="00AA15B0">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15B0" w:rsidRPr="001C6480" w:rsidP="00AA15B0">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（18）本基金主动投资于流动性受限资产的市值合计不得超过本基金资产净值的15%。</w:t>
      </w:r>
    </w:p>
    <w:p w:rsidR="00AA15B0" w:rsidRPr="001C6480" w:rsidP="00AA15B0">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因证券市场波动、上市公司股票停牌、基金规模变动等基金管理人之外的因素致使基金不符合前款所规定比例限制的，基金管理人不得主动新增流动性受限资产的投资。</w:t>
      </w:r>
    </w:p>
    <w:p w:rsidR="00AA15B0" w:rsidRPr="001C6480" w:rsidP="00AA15B0">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（19）本基金与私募类证券资管产品及中国证监会认定的其他主体为交易对手开展逆回购交易的，可接受质押品的资质要求应当与基金合同约定的投资范围保持一致。</w:t>
      </w:r>
    </w:p>
    <w:p w:rsidR="00F76EEB" w:rsidRPr="001C6480" w:rsidP="00F76EE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hint="eastAsia"/>
          <w:color w:val="000000" w:themeColor="text1"/>
        </w:rPr>
        <w:t>（20）</w:t>
      </w:r>
      <w:r w:rsidRPr="001C6480">
        <w:rPr>
          <w:rFonts w:asciiTheme="minorEastAsia" w:eastAsiaTheme="minorEastAsia" w:hAnsiTheme="minorEastAsia" w:hint="eastAsia"/>
          <w:bCs/>
          <w:color w:val="000000" w:themeColor="text1"/>
        </w:rPr>
        <w:t>本基金投资存托凭证的比例限制依照境内上市交易的股票执行，与境内上市交易的股票合并计算。</w:t>
      </w:r>
    </w:p>
    <w:p w:rsidR="00AA15B0" w:rsidRPr="001C6480" w:rsidP="00F76EE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bCs/>
          <w:color w:val="000000" w:themeColor="text1"/>
        </w:rPr>
        <w:t>（21）</w:t>
      </w:r>
      <w:r w:rsidRPr="001C6480">
        <w:rPr>
          <w:rFonts w:asciiTheme="minorEastAsia" w:eastAsiaTheme="minorEastAsia" w:hAnsiTheme="minorEastAsia" w:hint="eastAsia"/>
          <w:color w:val="000000" w:themeColor="text1"/>
        </w:rPr>
        <w:t>法律法规及中国证监会规定的及《基金合同》约定的其他投资比例限制。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除上述（11）、（12）、（16）、（18）、（19）以外，因证券、期货市场波动、上市公司合并、基金规模变动、股权分置改革中支付对价等基金管理人之外的因素致使基金投资比例不符合上述规定投资比例的，基金管理人应当在10个交易日内进行调整。</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基金管理人应当自基金合同生效之日起6个月内使基金的投资组合比例符合基金合同的有关约定。基金托管人对基金的投资的监督与检查自基金合同生效之日起开始。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法律法规或监管部门取消上述限制，如适用于本基金，基金管理人在履行适当程序后，则本基金投资不再受相关限制。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3、禁止行为</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为维护基金份额持有人的合法权益，基金财产不得用于下列投资或者活动：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（1）承销证券；</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（2）向他人贷款或者提供担保；</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（3）从事承担无限责任的投资；</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（4）买卖其他基金份额，但是国务院另有规定的除外；</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（5）向其基金管理人、基金托管人出资或者买卖其基金管理人、基金托管人发行的股票或者债券；</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（6）买卖与其基金管理人、基金托管人有控股关系的股东或者与其基金管理人、基金托管人有其他重大利害关系的公司发行的证券或者承销期内承销的证券；</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（7）从事内幕交易、操纵证券交易价格及其他不正当的证券交易活动；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（8）依照法律法规有关规定，由中国证监会规定禁止的其他活动。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若将来法律法规或中国证监会的相关规定发生修改或变更，致使前述约定的投资禁止行为和投资组合比例限制修改或取消，如适用于本基金，则本基金可相应调整禁止行为和投资限制规定。</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基金资产净值的计算方法和公告方式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1、估值日</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本基金的估值日为本基金相关的证券交易场所的交易日以及国家法律法规规定需要对外披露基金净值的非交易日。</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2、估值对象</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基金所拥有的股票、权证、债券和银行存款本息、应收款项、其它投资等资产及负债。</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3、估值方法</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（1）证券交易所上市的有价证券的估值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4）交易所上市不存在活跃市场的有价证券，采用估值技术确定公允价值。交易所上市的资产支持证券，采用估值技术确定公允价值，在估值技术难以可靠计量公允价值的情况下，按成本估值。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（2）处于未上市期间的有价证券应区分如下情况处理：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1）送股、转增股、配股和公开增发的新股，按估值日在证券交易所挂牌的同一股票的估值方法估值；该日无交易的，以最近一日的市价（收盘价）估值；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2）首次公开发行未上市的股票、债券和权证，采用估值技术确定公允价值，在估值技术难以可靠计量公允价值的情况下，按成本估值；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3）首次公开发行有明确锁定期的股票，同一股票在交易所上市后，按交易所上市的同一股票的估值方法估值；非公开发行有明确锁定期的股票，按监管机构或行业协会有关规定确定公允价值。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（3）全国银行间债券市场交易的债券、资产支持证券等固定收益品种，采用估值技术确定公允价值。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（4）同一债券同时在两个或两个以上市场交易的，按债券所处的市场分别估值。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（5）因持有股票而享有的配股权，以及停止交易、但未行权的权证，采用估值技术确定公允价值。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（6）股指期货合约按照估值当日的结算价进行估值。估值当日无结算价，且最近交易日后经济环境未发生重大变化的，采用最近交易日结算价估值。</w:t>
      </w:r>
    </w:p>
    <w:p w:rsidR="00F76EEB" w:rsidRPr="001C6480" w:rsidP="00F76EE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（7）本基金投资存托凭证的估值核算，依照境内上市交易的股票执行。</w:t>
      </w:r>
    </w:p>
    <w:p w:rsidR="00A64800" w:rsidRPr="001C6480" w:rsidP="00F76EE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（8）如有确凿证据表明按上述方法进行估值不能客观反映其公允价值的，基金管理人可根据具体情况与基金托管人商定后，按最能反映公允价值的价格估值。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w:t>
      </w:r>
      <w:r w:rsidRPr="001C6480" w:rsidR="00F76EEB">
        <w:rPr>
          <w:rFonts w:asciiTheme="minorEastAsia" w:eastAsiaTheme="minorEastAsia" w:hAnsiTheme="minorEastAsia" w:hint="eastAsia"/>
          <w:color w:val="000000" w:themeColor="text1"/>
        </w:rPr>
        <w:t>9</w:t>
      </w:r>
      <w:r w:rsidRPr="001C6480">
        <w:rPr>
          <w:rFonts w:asciiTheme="minorEastAsia" w:eastAsiaTheme="minorEastAsia" w:hAnsiTheme="minorEastAsia" w:hint="eastAsia"/>
          <w:color w:val="000000" w:themeColor="text1"/>
        </w:rPr>
        <w:t>）相关法律法规以及监管部门有强制规定的，从其规定。如有新增事项，按国家最新规定估值。</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4、估值程序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（1）基金份额净值是按照每个工作日闭市后，基金资产净值除以当日基金份额的余额数量计算，精确到0.0001元，小数点后第五位四舍五入。国家另有规定的，从其规定。</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每个工作日计算基金资产净值及基金份额净值，并按规定公告。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5、估值错误的处理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基金管理人和基金托管人将采取必要、适当、合理的措施确保基金资产估值的准确性、及时性。当基金份额净值小数点后4位以内(含第4位)发生估值错误时，视为基金份额净值错误。</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基金合同的当事人应按照以下约定处理：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（1）估值错误类型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本基金运作过程中，如果由于基金管理人或基金托管人、或注册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上述估值错误的主要类型包括但不限于：资料申报差错、数据传输差错、数据计算差错、系统故障差错、下达指令差错等。</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（2）估值错误处理原则</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2）估值错误的责任方对有关当事人的直接损失负责，不对间接损失负责，并且仅对估值错误的有关直接当事人负责，不对第三方负责。</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4）估值错误调整采用尽量恢复至假设未发生估值错误的正确情形的方式。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（3）估值错误处理程序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估值错误被发现后，有关的当事人应当及时进行处理，处理的程序如下：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1）查明估值错误发生的原因，列明所有的当事人，并根据估值错误发生的原因确定估值错误的责任方；</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2）根据估值错误处理原则或当事人协商的方法对因估值错误造成的损失进行评估；</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3）根据估值错误处理原则或当事人协商的方法由估值错误的责任方进行更正和赔偿损失；</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4）根据估值错误处理的方法，需要修改基金注册登记机构交易数据的，由基金注册登记机构进行更正，并就估值错误的更正向有关当事人进行确认。</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（4）基金份额净值估值错误处理的方法如下：</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1）基金份额净值计算出现错误时，基金管理人应当立即予以纠正，通报基金托管人，并采取合理的措施防止损失进一步扩大。</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2）错误偏差达到基金份额净值的0.25%时，基金管理人应当通报基金托管人并报中国证监会备案；错误偏差达到基金份额净值的0.5%时，基金管理人应当公告。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3）前述内容如法律法规或监管机关另有规定的，从其规定处理。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6、暂停估值的情形</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（1）基金投资所涉及的证券交易市场遇法定节假日或因其他原因暂停营业时；</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（2）因不可抗力致使基金管理人、基金托管人无法准确评估基金资产价值时；</w:t>
      </w:r>
    </w:p>
    <w:p w:rsidR="00AA15B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（3）当前一估值日基金资产净值50%以上的资产出现无可参考的活跃市场价格且采用估值技术仍导致公允价值存在重大不确定性时，经与基金托管人协商一致的；</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w:t>
      </w:r>
      <w:r w:rsidRPr="001C6480" w:rsidR="00AA15B0">
        <w:rPr>
          <w:rFonts w:asciiTheme="minorEastAsia" w:eastAsiaTheme="minorEastAsia" w:hAnsiTheme="minorEastAsia" w:hint="eastAsia"/>
          <w:color w:val="000000" w:themeColor="text1"/>
        </w:rPr>
        <w:t>4</w:t>
      </w:r>
      <w:r w:rsidRPr="001C6480">
        <w:rPr>
          <w:rFonts w:asciiTheme="minorEastAsia" w:eastAsiaTheme="minorEastAsia" w:hAnsiTheme="minorEastAsia" w:hint="eastAsia"/>
          <w:color w:val="000000" w:themeColor="text1"/>
        </w:rPr>
        <w:t>）中国证监会和基金合同认定的其它情形。</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7、基金净值的确认</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8、特殊情况的处理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（1）基金管理人或基金托管人按估值方法的第</w:t>
      </w:r>
      <w:r w:rsidRPr="001C6480" w:rsidR="00F76EEB">
        <w:rPr>
          <w:rFonts w:asciiTheme="minorEastAsia" w:eastAsiaTheme="minorEastAsia" w:hAnsiTheme="minorEastAsia" w:hint="eastAsia"/>
          <w:color w:val="000000" w:themeColor="text1"/>
        </w:rPr>
        <w:t>8</w:t>
      </w:r>
      <w:r w:rsidRPr="001C6480">
        <w:rPr>
          <w:rFonts w:asciiTheme="minorEastAsia" w:eastAsiaTheme="minorEastAsia" w:hAnsiTheme="minorEastAsia" w:hint="eastAsia"/>
          <w:color w:val="000000" w:themeColor="text1"/>
        </w:rPr>
        <w:t>项进行估值时，所造成的误差不作为基金资产估值错误处理。</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由于不可抗力原因，或由于证券交易所及注册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基金合同解除和终止的事由、程序以及基金财产清算方式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1、《基金合同》的终止事由</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有下列情形之一的，《基金合同》应当终止：</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（1）基金份额持有人大会决定终止的；</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（2）基金管理人、基金托管人职责终止，在6个月内没有新基金管理人、新基金托管人承接的；</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（3）《基金合同》约定的其他情形；</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（4）相关法律法规和中国证监会规定的其他情况。</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2、基金财产的清算</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（1）基金财产清算小组：自出现《基金合同》终止事由之日起30个工作日内成立清算小组，基金管理人组织基金财产清算小组并在中国证监会的监督下进行基金清算。</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（3）基金财产清算小组职责：基金财产清算小组负责基金财产的保管、清理、估价、变现和分配。基金财产清算小组可以依法进行必要的民事活动。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（4）基金财产清算程序：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1）《基金合同》终止情形出现时，由基金财产清算小组统一接管基金；</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2）对基金财产和债权债务进行清理和确认；</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3）对基金财产进行估值和变现；</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4）制作清算报告；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5）聘请会计师事务所对清算报告进行外部审计，聘请律师事务所对清算报告出具法律意见书；</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6）将清算报告报中国证监会备案并公告；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7）对基金财产进行分配。</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（5）基金财产清算的期限为6个月。</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3、清算费用</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清算费用是指基金财产清算小组在进行基金清算过程中发生的所有合理费用，清算费用由基金财产清算小组优先从基金财产中支付。</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4、基金财产清算剩余资产的分配</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5、基金财产清算的公告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6、基金财产清算账册及文件的保存</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基金财产清算账册及有关文件由基金托管人保存15年以上。</w:t>
      </w:r>
    </w:p>
    <w:p w:rsidR="00A64800"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争议解决方式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w:t>
      </w:r>
      <w:r w:rsidRPr="001C6480">
        <w:rPr>
          <w:rFonts w:asciiTheme="minorEastAsia" w:eastAsiaTheme="minorEastAsia" w:hAnsiTheme="minorEastAsia" w:hint="eastAsia"/>
          <w:color w:val="000000" w:themeColor="text1"/>
        </w:rPr>
        <w:t>的仲裁规则进行仲裁。仲裁地点为北京市。仲裁裁决是终局的，对各方当事人均有约束力，仲裁费用由败诉方承担。</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争议处理期间，基金合同当事人应恪守各自的职责，继续忠实、勤勉、尽责地履行基金合同规定的义务，维护基金份额持有人的合法权益。</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《基金合同》受中国法律管辖。</w:t>
      </w:r>
    </w:p>
    <w:p w:rsidR="00A64800" w:rsidRPr="001C6480" w:rsidP="00F71D3B">
      <w:pPr>
        <w:pStyle w:val="Heading2"/>
        <w:numPr>
          <w:ilvl w:val="1"/>
          <w:numId w:val="3"/>
        </w:numPr>
        <w:snapToGrid w:val="0"/>
        <w:spacing w:beforeLines="0" w:afterLines="0" w:line="360" w:lineRule="auto"/>
        <w:ind w:left="0" w:firstLine="0" w:firstLineChars="0"/>
        <w:rPr>
          <w:rFonts w:asciiTheme="minorEastAsia" w:eastAsiaTheme="minorEastAsia" w:hAnsiTheme="minorEastAsia" w:cs="Arial"/>
          <w:b w:val="0"/>
          <w:color w:val="000000" w:themeColor="text1"/>
        </w:rPr>
      </w:pPr>
      <w:r w:rsidRPr="001C6480">
        <w:rPr>
          <w:rFonts w:asciiTheme="minorEastAsia" w:eastAsiaTheme="minorEastAsia" w:hAnsiTheme="minorEastAsia" w:cs="Arial" w:hint="eastAsia"/>
          <w:b w:val="0"/>
          <w:color w:val="000000" w:themeColor="text1"/>
        </w:rPr>
        <w:t>基金合同存放地和投资者取得基金合同的方式</w:t>
      </w:r>
    </w:p>
    <w:p w:rsidR="00A64800"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1、《基金合同》正本一式八份，除中国证监会和银行业监督管理机构各持两份外，基金管理人、基金托管人各持有两份，每份具有同等的法律效力。</w:t>
      </w:r>
    </w:p>
    <w:p w:rsidR="001A7CDB" w:rsidRPr="001C6480" w:rsidP="00ED52CD">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2、《基金合同》可印制成册，供投资者在基金管理人、基金托管人、销售机构的办公场所和营业场所查阅。</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770" w:name="_Toc316994660"/>
      <w:bookmarkStart w:id="771" w:name="_Toc238870145"/>
      <w:bookmarkStart w:id="772" w:name="_Toc96595123"/>
      <w:bookmarkEnd w:id="770"/>
      <w:r w:rsidRPr="001C6480">
        <w:rPr>
          <w:rFonts w:asciiTheme="minorEastAsia" w:eastAsiaTheme="minorEastAsia" w:hAnsiTheme="minorEastAsia" w:cs="Arial" w:hint="eastAsia"/>
          <w:bCs/>
          <w:color w:val="000000" w:themeColor="text1"/>
        </w:rPr>
        <w:t>基金托管协议的内容摘要</w:t>
      </w:r>
      <w:bookmarkEnd w:id="771"/>
      <w:bookmarkEnd w:id="772"/>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bCs/>
          <w:color w:val="000000" w:themeColor="text1"/>
        </w:rPr>
      </w:pPr>
      <w:bookmarkStart w:id="773" w:name="_Toc40511576"/>
      <w:bookmarkStart w:id="774" w:name="_Toc238870146"/>
      <w:r w:rsidRPr="001C6480">
        <w:rPr>
          <w:rFonts w:asciiTheme="minorEastAsia" w:eastAsiaTheme="minorEastAsia" w:hAnsiTheme="minorEastAsia" w:cs="Arial"/>
          <w:b w:val="0"/>
          <w:bCs/>
          <w:color w:val="000000" w:themeColor="text1"/>
        </w:rPr>
        <w:t>托管协议当事人</w:t>
      </w:r>
      <w:bookmarkEnd w:id="773"/>
      <w:bookmarkEnd w:id="774"/>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75" w:name="_Toc316994662"/>
      <w:bookmarkStart w:id="776" w:name="_Toc353180325"/>
      <w:r w:rsidRPr="001C6480">
        <w:rPr>
          <w:rFonts w:asciiTheme="minorEastAsia" w:eastAsiaTheme="minorEastAsia" w:hAnsiTheme="minorEastAsia" w:cs="Arial" w:hint="eastAsia"/>
          <w:color w:val="000000" w:themeColor="text1"/>
        </w:rPr>
        <w:t>1、基金管理人</w:t>
      </w:r>
      <w:bookmarkEnd w:id="775"/>
      <w:bookmarkEnd w:id="776"/>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77" w:name="_Toc353180326"/>
      <w:r w:rsidRPr="001C6480">
        <w:rPr>
          <w:rFonts w:asciiTheme="minorEastAsia" w:eastAsiaTheme="minorEastAsia" w:hAnsiTheme="minorEastAsia" w:cs="Arial" w:hint="eastAsia"/>
          <w:color w:val="000000" w:themeColor="text1"/>
        </w:rPr>
        <w:t>名称：易方达基金管理有限公司</w:t>
      </w:r>
      <w:bookmarkEnd w:id="777"/>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olor w:val="000000" w:themeColor="text1"/>
        </w:rPr>
        <w:t>注册地址：广东省珠海市横琴新区荣粤道188号6层</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78" w:name="_Toc353180328"/>
      <w:r w:rsidRPr="001C6480">
        <w:rPr>
          <w:rFonts w:asciiTheme="minorEastAsia" w:eastAsiaTheme="minorEastAsia" w:hAnsiTheme="minorEastAsia" w:cs="Arial" w:hint="eastAsia"/>
          <w:color w:val="000000" w:themeColor="text1"/>
        </w:rPr>
        <w:t>法定代表人：</w:t>
      </w:r>
      <w:r w:rsidRPr="001C6480" w:rsidR="007F0578">
        <w:rPr>
          <w:rFonts w:asciiTheme="minorEastAsia" w:eastAsiaTheme="minorEastAsia" w:hAnsiTheme="minorEastAsia" w:cs="Arial" w:hint="eastAsia"/>
          <w:color w:val="000000" w:themeColor="text1"/>
        </w:rPr>
        <w:t>刘晓艳</w:t>
      </w:r>
      <w:bookmarkEnd w:id="778"/>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79" w:name="_Toc353180329"/>
      <w:r w:rsidRPr="001C6480">
        <w:rPr>
          <w:rFonts w:asciiTheme="minorEastAsia" w:eastAsiaTheme="minorEastAsia" w:hAnsiTheme="minorEastAsia" w:cs="Arial" w:hint="eastAsia"/>
          <w:color w:val="000000" w:themeColor="text1"/>
        </w:rPr>
        <w:t>成立日期：2001年4月17日</w:t>
      </w:r>
      <w:bookmarkEnd w:id="779"/>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80" w:name="_Toc353180330"/>
      <w:r w:rsidRPr="001C6480">
        <w:rPr>
          <w:rFonts w:asciiTheme="minorEastAsia" w:eastAsiaTheme="minorEastAsia" w:hAnsiTheme="minorEastAsia" w:cs="Arial" w:hint="eastAsia"/>
          <w:color w:val="000000" w:themeColor="text1"/>
        </w:rPr>
        <w:t>批准设立机关及批准设立文号：</w:t>
      </w:r>
      <w:r w:rsidRPr="001C6480" w:rsidR="00104FE6">
        <w:rPr>
          <w:rFonts w:asciiTheme="minorEastAsia" w:eastAsiaTheme="minorEastAsia" w:hAnsiTheme="minorEastAsia" w:cs="Arial" w:hint="eastAsia"/>
          <w:color w:val="000000" w:themeColor="text1"/>
        </w:rPr>
        <w:t>中国证券监督管理委员会</w:t>
      </w:r>
      <w:r w:rsidRPr="001C6480">
        <w:rPr>
          <w:rFonts w:asciiTheme="minorEastAsia" w:eastAsiaTheme="minorEastAsia" w:hAnsiTheme="minorEastAsia" w:cs="Arial" w:hint="eastAsia"/>
          <w:color w:val="000000" w:themeColor="text1"/>
        </w:rPr>
        <w:t>，证监基金字[2001]4号</w:t>
      </w:r>
      <w:bookmarkEnd w:id="780"/>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81" w:name="_Toc353180331"/>
      <w:r w:rsidRPr="001C6480">
        <w:rPr>
          <w:rFonts w:asciiTheme="minorEastAsia" w:eastAsiaTheme="minorEastAsia" w:hAnsiTheme="minorEastAsia" w:cs="Arial" w:hint="eastAsia"/>
          <w:color w:val="000000" w:themeColor="text1"/>
        </w:rPr>
        <w:t>组织形式：有限责任公司</w:t>
      </w:r>
      <w:bookmarkEnd w:id="781"/>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注册资本：13,244.2万元人民币</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82" w:name="_Toc353180333"/>
      <w:r w:rsidRPr="001C6480">
        <w:rPr>
          <w:rFonts w:asciiTheme="minorEastAsia" w:eastAsiaTheme="minorEastAsia" w:hAnsiTheme="minorEastAsia" w:cs="Arial" w:hint="eastAsia"/>
          <w:color w:val="000000" w:themeColor="text1"/>
        </w:rPr>
        <w:t>存续期间：持续经营</w:t>
      </w:r>
      <w:bookmarkEnd w:id="782"/>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83" w:name="_Toc353180334"/>
      <w:r w:rsidRPr="001C6480">
        <w:rPr>
          <w:rFonts w:asciiTheme="minorEastAsia" w:eastAsiaTheme="minorEastAsia" w:hAnsiTheme="minorEastAsia" w:cs="Arial" w:hint="eastAsia"/>
          <w:color w:val="000000" w:themeColor="text1"/>
        </w:rPr>
        <w:t>经营范围：</w:t>
      </w:r>
      <w:bookmarkEnd w:id="783"/>
      <w:r w:rsidRPr="001C6480" w:rsidR="00307189">
        <w:rPr>
          <w:rFonts w:asciiTheme="minorEastAsia" w:eastAsiaTheme="minorEastAsia" w:hAnsiTheme="minorEastAsia" w:cs="Arial" w:hint="eastAsia"/>
          <w:color w:val="000000" w:themeColor="text1"/>
        </w:rPr>
        <w:t>公开募集证券投资基金管理、基金销售、特定客户资产管理</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bookmarkStart w:id="784" w:name="_Toc316994663"/>
      <w:bookmarkStart w:id="785" w:name="_Toc353180335"/>
      <w:r w:rsidRPr="001C6480">
        <w:rPr>
          <w:rFonts w:asciiTheme="minorEastAsia" w:eastAsiaTheme="minorEastAsia" w:hAnsiTheme="minorEastAsia" w:cs="Arial" w:hint="eastAsia"/>
          <w:color w:val="000000" w:themeColor="text1"/>
        </w:rPr>
        <w:t>2、基金托管人</w:t>
      </w:r>
      <w:bookmarkEnd w:id="784"/>
      <w:bookmarkEnd w:id="785"/>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名称：中国建设银行股份有限公司</w:t>
      </w:r>
      <w:r w:rsidRPr="001C6480" w:rsidR="001B3973">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hint="eastAsia"/>
          <w:color w:val="000000" w:themeColor="text1"/>
        </w:rPr>
        <w:t>简称：中国建设银行</w:t>
      </w:r>
      <w:r w:rsidRPr="001C6480" w:rsidR="001B3973">
        <w:rPr>
          <w:rFonts w:asciiTheme="minorEastAsia" w:eastAsiaTheme="minorEastAsia" w:hAnsiTheme="minorEastAsia" w:cs="Arial" w:hint="eastAsia"/>
          <w:color w:val="000000" w:themeColor="text1"/>
        </w:rPr>
        <w:t>）</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住所：北京市西城区金融大街25号</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办公地址：北京市西城区闹市口大街1号院1号楼</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邮政编码：100033</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法定代表人：</w:t>
      </w:r>
      <w:r w:rsidRPr="001C6480" w:rsidR="00726333">
        <w:rPr>
          <w:rFonts w:asciiTheme="minorEastAsia" w:eastAsiaTheme="minorEastAsia" w:hAnsiTheme="minorEastAsia" w:cs="Arial" w:hint="eastAsia"/>
          <w:color w:val="000000" w:themeColor="text1"/>
        </w:rPr>
        <w:t>田</w:t>
      </w:r>
      <w:r w:rsidRPr="001C6480" w:rsidR="00726333">
        <w:rPr>
          <w:rFonts w:asciiTheme="minorEastAsia" w:eastAsiaTheme="minorEastAsia" w:hAnsiTheme="minorEastAsia" w:cs="Arial"/>
          <w:color w:val="000000" w:themeColor="text1"/>
        </w:rPr>
        <w:t>国立</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成立日期：2004年9月17日</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基金托管业务批准文号：中国证监会证监基字[1998]12号</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组织形式：股份有限公司</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注册资本：</w:t>
      </w:r>
      <w:r w:rsidRPr="001C6480" w:rsidR="006D636C">
        <w:rPr>
          <w:rFonts w:asciiTheme="minorEastAsia" w:eastAsiaTheme="minorEastAsia" w:hAnsiTheme="minorEastAsia" w:hint="eastAsia"/>
          <w:color w:val="000000" w:themeColor="text1"/>
        </w:rPr>
        <w:t>贰仟伍佰亿壹仟零玖拾柒万柒仟肆佰捌拾陆元整</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存续期间：持续经营</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bCs/>
          <w:color w:val="000000" w:themeColor="text1"/>
        </w:rPr>
      </w:pPr>
      <w:bookmarkStart w:id="786" w:name="_Toc40511578"/>
      <w:bookmarkStart w:id="787" w:name="_Toc238870147"/>
      <w:bookmarkStart w:id="788" w:name="_Toc124749227"/>
      <w:bookmarkStart w:id="789" w:name="_Toc124749938"/>
      <w:bookmarkStart w:id="790" w:name="_Toc125361075"/>
      <w:r w:rsidRPr="001C6480">
        <w:rPr>
          <w:rFonts w:asciiTheme="minorEastAsia" w:eastAsiaTheme="minorEastAsia" w:hAnsiTheme="minorEastAsia" w:cs="Arial"/>
          <w:b w:val="0"/>
          <w:bCs/>
          <w:color w:val="000000" w:themeColor="text1"/>
        </w:rPr>
        <w:t>基金托管人对基金管理人的业务监督和核查</w:t>
      </w:r>
      <w:bookmarkEnd w:id="786"/>
      <w:bookmarkEnd w:id="787"/>
      <w:bookmarkEnd w:id="788"/>
      <w:bookmarkEnd w:id="789"/>
      <w:bookmarkEnd w:id="790"/>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sidR="00034ADE">
        <w:rPr>
          <w:rFonts w:asciiTheme="minorEastAsia" w:eastAsiaTheme="minorEastAsia" w:hAnsiTheme="minorEastAsia" w:cs="Arial" w:hint="eastAsia"/>
          <w:color w:val="000000" w:themeColor="text1"/>
        </w:rPr>
        <w:t>基金托管人根据有关法律法规的规定及基金合同的约定，对基金投资范围、投资对象进行监督。基金合同明确约定基金投资风格或证券选择标准的，基金管理人应按照基金</w:t>
      </w:r>
      <w:r w:rsidRPr="001C6480" w:rsidR="00034ADE">
        <w:rPr>
          <w:rFonts w:asciiTheme="minorEastAsia" w:eastAsiaTheme="minorEastAsia" w:hAnsiTheme="minorEastAsia" w:cs="Arial" w:hint="eastAsia"/>
          <w:color w:val="000000" w:themeColor="text1"/>
        </w:rPr>
        <w:t>托管人要求的格式提供投资品种池，以便基金托管人运用相关技术系统，对基金实际投资是否符合基金合同关于证券选择标准的约定进行监督，对存在疑义的事项进行核查</w:t>
      </w:r>
      <w:r w:rsidRPr="001C6480">
        <w:rPr>
          <w:rFonts w:asciiTheme="minorEastAsia" w:eastAsiaTheme="minorEastAsia" w:hAnsiTheme="minorEastAsia" w:cs="Arial" w:hint="eastAsia"/>
          <w:color w:val="000000" w:themeColor="text1"/>
        </w:rPr>
        <w:t>。</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本基金的投资范围为具有良好流动性的金融工具，包括国内依法发行上市的股票（含中小板、创业板及其他经中国证监会核准</w:t>
      </w:r>
      <w:r w:rsidRPr="001C6480" w:rsidR="00F76EEB">
        <w:rPr>
          <w:rFonts w:asciiTheme="minorEastAsia" w:eastAsiaTheme="minorEastAsia" w:hAnsiTheme="minorEastAsia" w:cs="Arial" w:hint="eastAsia"/>
          <w:color w:val="000000" w:themeColor="text1"/>
        </w:rPr>
        <w:t>或注册上市的股票、存托凭证</w:t>
      </w:r>
      <w:r w:rsidRPr="001C6480">
        <w:rPr>
          <w:rFonts w:asciiTheme="minorEastAsia" w:eastAsiaTheme="minorEastAsia" w:hAnsiTheme="minorEastAsia" w:cs="Arial" w:hint="eastAsia"/>
          <w:color w:val="000000" w:themeColor="text1"/>
        </w:rPr>
        <w:t>）、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相关规定。</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本基金根据相关法律法规或中国证监会要求履行相关手续后，还可以投资于法律法规或中国证监会未来允许基金投资的其它金融工具。</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本基金的投资比例为：</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股票投资比例不低于基金资产净值的90%，</w:t>
      </w:r>
      <w:r w:rsidRPr="001C6480">
        <w:rPr>
          <w:rFonts w:asciiTheme="minorEastAsia" w:eastAsiaTheme="minorEastAsia" w:hAnsiTheme="minorEastAsia" w:cs="Arial" w:hint="eastAsia"/>
          <w:bCs/>
          <w:color w:val="000000" w:themeColor="text1"/>
        </w:rPr>
        <w:t>其中投资于标的指数成份股和备选成份股的资产不低于股票资产净值的80%；现金或者到期日在一年以内的政府债券不低于基金资产净值的5%</w:t>
      </w:r>
      <w:r w:rsidRPr="001C6480" w:rsidR="00AA15B0">
        <w:rPr>
          <w:rFonts w:asciiTheme="minorEastAsia" w:eastAsiaTheme="minorEastAsia" w:hAnsiTheme="minorEastAsia" w:cs="Arial" w:hint="eastAsia"/>
          <w:bCs/>
          <w:color w:val="000000" w:themeColor="text1"/>
        </w:rPr>
        <w:t>，现金不包括结算备付金、存出保证金、应收申购款等</w:t>
      </w:r>
      <w:r w:rsidRPr="001C6480">
        <w:rPr>
          <w:rFonts w:asciiTheme="minorEastAsia" w:eastAsiaTheme="minorEastAsia" w:hAnsiTheme="minorEastAsia" w:cs="Arial" w:hint="eastAsia"/>
          <w:bCs/>
          <w:color w:val="000000" w:themeColor="text1"/>
        </w:rPr>
        <w:t>。</w:t>
      </w:r>
    </w:p>
    <w:p w:rsidR="001A7CDB" w:rsidRPr="001C6480" w:rsidP="00F71D3B">
      <w:pPr>
        <w:adjustRightInd w:val="0"/>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s="Arial" w:hint="eastAsia"/>
          <w:color w:val="000000" w:themeColor="text1"/>
        </w:rPr>
        <w:t>若法律法规的相关规定发生变更或监管机构允许，本基金管理人在履行适当程序后，可对上述资产配置比例进行调整。</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hint="eastAsia"/>
          <w:color w:val="000000" w:themeColor="text1"/>
        </w:rPr>
        <w:t>2、</w:t>
      </w:r>
      <w:r w:rsidRPr="001C6480">
        <w:rPr>
          <w:rFonts w:asciiTheme="minorEastAsia" w:eastAsiaTheme="minorEastAsia" w:hAnsiTheme="minorEastAsia" w:cs="Arial" w:hint="eastAsia"/>
          <w:color w:val="000000" w:themeColor="text1"/>
        </w:rPr>
        <w:t>基金托管人根据有关法律法规的规定及基金合同的约定，对基金投资、融资比例进行监督。基金托管人按下述比例和调整期限进行监督：</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（1）本基金股票资产占基金资产净值的比例为90%-95%，其中投资于标的指数成份股和备选成份股的资产不低于股票资产的80%；</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（2）本基金持有一家上市公司的股票，其市值不超过基金资产净值的10％；</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（3）本基金持有的全部权证，其市值不得超过基金资产净值的3％；</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（4）本基金在任何交易日买入权证的总金额，不得超过上一交易日基金资产净值的0.5％；</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（5）本基金投资于同一原始权益人的各类资产支持证券的比例，不得超过基金资产净值的10％；</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（6）本基金持有的全部资产支持证券，其市值不得超过基金资产净值的20％；</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（7）本基金持有的同一(指同一信用级别)资产支持证券的比例，不得超过该资产支持证券规模的10％；</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（8）本基金应投资于信用级别评级为BBB以上(含BBB)的资产支持证券。基金持有资产支持证券期间，如果其信用等级下降、不再符合投资标准，应在评级报告发布之日起3个月内予以全部卖出；</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（9）基金财产参与股票发行申购，本基金所申报的金额不超过本基金的总资产，本基金所申报的股票数量不超过拟发行股票公司本次发行股票的总量；</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（10）本基金进入全国银行间同业市场进行债券回购的资金余额不得超过基金资产净值的40%；债券回购最长期限为1年，债券回购到期后不得展期；</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11）本基金投资流通受限证券，其公允价值不得超过本基金资产净值的10%；本基金持有的同一流通受限证券，其公允价值不得超过本基金资产净值的3%；因流通受限证券价格波动、基金规模变动、新股申购等基金管理人无法控制的因素导致上述比例被动超标的，基金管理人应当停止主动买入流通受限证券并在流通受限期结束后卖出流通受限证券。</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（12）本基金投资股指期货，还应包括以下投资监督比例：</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1）在任何交易日日终，本基金持有的买入股指期货合约价值不超过基金资产净值的10%，卖出股指期货合约价值不超过基金持有的股票总市值的20%。</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2）在任何交易日日终，本基金持有的买入期货合约价值与有价证券市值之和,不得超过基金资产净值的95%。</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其中，有价证券指股票、债券（不含到期日在一年以内的政府债券）、权证、资产支持证券、买入返售金融资产（不含质押式回购）等。</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3）本基金所持有的股票市值和买入、卖出股指期货合约价值，合计（轧差计算）占基金资产的比例范围为90%-95%。</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4）本基金在任何交易日内交易（不包括平仓）的股指期货合约的成交金额不得超过上一交易日基金资产净值的20%。</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本基金在开始进行股指期货投资之前，应与基金托管人就股指期货开户、清算、估值、交收等事宜另行具体协商。</w:t>
      </w:r>
    </w:p>
    <w:p w:rsidR="00AA15B0" w:rsidRPr="001C6480" w:rsidP="00AA15B0">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（13）本基金每个交易日日终在扣除股指期货合约需缴纳的交易保证金后，应当保持不低于基金资产净值5%的现金或到期日在一年以内的政府债券,现金不包括结算备付金、存出保证金、应收申购款等。</w:t>
      </w:r>
    </w:p>
    <w:p w:rsidR="00AA15B0" w:rsidRPr="001C6480" w:rsidP="00AA15B0">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15B0" w:rsidRPr="001C6480" w:rsidP="00AA15B0">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（15）本基金主动投资于流动性受限资产的市值合计不得超过本基金资产净值的15%。</w:t>
      </w:r>
    </w:p>
    <w:p w:rsidR="00AA15B0" w:rsidRPr="001C6480" w:rsidP="00AA15B0">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因证券市场波动、上市公司股票停牌、基金规模变动等基金管理人之外的因素致使基金不符合前款所规定比例限制的，基金管理人不得主动新增流动性受限资产的投资。</w:t>
      </w:r>
    </w:p>
    <w:p w:rsidR="00AA15B0" w:rsidRPr="001C6480" w:rsidP="00AA15B0">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（16）本基金与私募类证券资管产品及中国证监会认定的其他主体为交易对手开展逆回购交易的，可接受质押品的资质要求应当与基金合同约定的投资范围保持一致。</w:t>
      </w:r>
    </w:p>
    <w:p w:rsidR="00F76EEB" w:rsidRPr="001C6480" w:rsidP="00F76EEB">
      <w:pPr>
        <w:snapToGrid w:val="0"/>
        <w:spacing w:line="360" w:lineRule="auto"/>
        <w:ind w:firstLine="420" w:firstLineChars="200"/>
        <w:rPr>
          <w:rFonts w:asciiTheme="minorEastAsia" w:eastAsiaTheme="minorEastAsia" w:hAnsiTheme="minorEastAsia"/>
          <w:bCs/>
          <w:color w:val="000000" w:themeColor="text1"/>
        </w:rPr>
      </w:pPr>
      <w:r w:rsidRPr="001C6480">
        <w:rPr>
          <w:rFonts w:asciiTheme="minorEastAsia" w:eastAsiaTheme="minorEastAsia" w:hAnsiTheme="minorEastAsia" w:cs="Arial" w:hint="eastAsia"/>
          <w:color w:val="000000" w:themeColor="text1"/>
        </w:rPr>
        <w:t>（17）</w:t>
      </w:r>
      <w:r w:rsidRPr="001C6480">
        <w:rPr>
          <w:rFonts w:asciiTheme="minorEastAsia" w:eastAsiaTheme="minorEastAsia" w:hAnsiTheme="minorEastAsia" w:hint="eastAsia"/>
          <w:bCs/>
          <w:color w:val="000000" w:themeColor="text1"/>
        </w:rPr>
        <w:t>本基金投资存托凭证的比例限制依照境内上市交易的股票执行，与境内上市交易的股票合并计算。</w:t>
      </w:r>
    </w:p>
    <w:p w:rsidR="00AA15B0" w:rsidRPr="001C6480" w:rsidP="00F76EE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hint="eastAsia"/>
          <w:bCs/>
          <w:color w:val="000000" w:themeColor="text1"/>
        </w:rPr>
        <w:t>（18）</w:t>
      </w:r>
      <w:r w:rsidRPr="001C6480">
        <w:rPr>
          <w:rFonts w:asciiTheme="minorEastAsia" w:eastAsiaTheme="minorEastAsia" w:hAnsiTheme="minorEastAsia" w:cs="Arial" w:hint="eastAsia"/>
          <w:color w:val="000000" w:themeColor="text1"/>
        </w:rPr>
        <w:t>法律法规及中国证监会规定的及《基金合同》约定的其他投资比例限制。</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如果法律法规对上述投资组合比例限制进行变更的，以变更后的规定为准。法律法规或监管部门取消上述限制，如适用于本基金，则本基金投资不再受相关限制。</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除上述（8）、（9）、（13）、（15）、（16）以外，因证券、期货市场波动、上市公司合并、基金规模变动、股权分置改革中支付对价等基金管理人之外的因素致使基金投资比例不符合上述规定投资比例的，基金管理人应当在10个交易日内进行调整。</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基金管理人应当自基金合同生效之日起6个月内使基金的投资组合比例符合基金合同的有关约定。基金托管人对基金的投资的监督与检查自基金合同生效之日起开始。</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034ADE"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及结算方式的，应向基金托管人说明理由，并在与交易对手发生交易前3个工作日内与基金托管人协商解决。基金管理人与基金托管人完成确认后，被确认调整的名单开始生效，新名单生效前已与本次剔除的交易对手所进行但尚未结算的交易，仍应按照协议进行结算。</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基金管理人负责对交易对手的资信控制，按银行间债券市场的交易规则进行交易，并负责解决因交易对手不履行合同而造成的纠纷及损失，基金托管人不承担由此造成的任何</w:t>
      </w:r>
      <w:r w:rsidRPr="001C6480">
        <w:rPr>
          <w:rFonts w:asciiTheme="minorEastAsia" w:eastAsiaTheme="minorEastAsia" w:hAnsiTheme="minorEastAsia" w:cs="Arial" w:hint="eastAsia"/>
          <w:color w:val="000000" w:themeColor="text1"/>
        </w:rPr>
        <w:t>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5、基金托管人根据有关法律法规的规定及基金合同的约定，对基金管理人投资流通受限证券进行监督。</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本基金投资的受限证券限于可由中国证券登记结算有限责任公司或中央国债登记结算有限责任公司负责登记和存管，并可在证券交易所或全国银行间债券市场交易的证券。</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投资的受限证券应保证登记在本基金名下，基金管理人负责相关工作的落实和协调。因基金管理人原因产生的受限证券登记存管问题，造成基金托管人无法安全保管本基金资产的责任与损失，及因基金管理人原因受限证券存管直接影响本基金安全的责任及损失，由基金管理人承担。</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本基金投资受限证券，不得预付任何形式的保证金。</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负责应对本基金投资受限证券的流动性风险，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受限证券导致的流动性风险且基金托管人已尽职监督核查的，基金托管人不承担任何责任。</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sidR="0011571B">
        <w:rPr>
          <w:rFonts w:asciiTheme="minorEastAsia" w:eastAsiaTheme="minorEastAsia" w:hAnsiTheme="minorEastAsia" w:cs="Arial" w:hint="eastAsia"/>
          <w:color w:val="000000" w:themeColor="text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sidR="0011571B">
        <w:rPr>
          <w:rFonts w:asciiTheme="minorEastAsia" w:eastAsiaTheme="minorEastAsia" w:hAnsiTheme="minorEastAsia" w:cs="Arial" w:hint="eastAsia"/>
          <w:color w:val="000000" w:themeColor="text1"/>
        </w:rPr>
        <w:t>中国证监会批准发行非公开发行股票的批准文件</w:t>
      </w:r>
      <w:r w:rsidRPr="001C6480">
        <w:rPr>
          <w:rFonts w:asciiTheme="minorEastAsia" w:eastAsiaTheme="minorEastAsia" w:hAnsiTheme="minorEastAsia" w:cs="Arial" w:hint="eastAsia"/>
          <w:color w:val="000000" w:themeColor="text1"/>
        </w:rPr>
        <w:t>。</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sidR="0011571B">
        <w:rPr>
          <w:rFonts w:asciiTheme="minorEastAsia" w:eastAsiaTheme="minorEastAsia" w:hAnsiTheme="minorEastAsia" w:cs="Arial" w:hint="eastAsia"/>
          <w:color w:val="000000" w:themeColor="text1"/>
        </w:rPr>
        <w:t>非公开发行股票有关发行数量、发行价格、锁定期等发行资料</w:t>
      </w:r>
      <w:r w:rsidRPr="001C6480">
        <w:rPr>
          <w:rFonts w:asciiTheme="minorEastAsia" w:eastAsiaTheme="minorEastAsia" w:hAnsiTheme="minorEastAsia" w:cs="Arial" w:hint="eastAsia"/>
          <w:color w:val="000000" w:themeColor="text1"/>
        </w:rPr>
        <w:t>。</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sidR="0011571B">
        <w:rPr>
          <w:rFonts w:asciiTheme="minorEastAsia" w:eastAsiaTheme="minorEastAsia" w:hAnsiTheme="minorEastAsia" w:cs="Arial" w:hint="eastAsia"/>
          <w:color w:val="000000" w:themeColor="text1"/>
        </w:rPr>
        <w:t>基金拟认购的数量、价格、总成本、账面价值</w:t>
      </w:r>
      <w:r w:rsidRPr="001C6480">
        <w:rPr>
          <w:rFonts w:asciiTheme="minorEastAsia" w:eastAsiaTheme="minorEastAsia" w:hAnsiTheme="minorEastAsia" w:cs="Arial" w:hint="eastAsia"/>
          <w:color w:val="000000" w:themeColor="text1"/>
        </w:rPr>
        <w:t>。</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（4）基金管理人应在本基金投资非公开发行股票后两个交易日内，在中国证监会</w:t>
      </w:r>
      <w:r w:rsidRPr="001C6480" w:rsidR="007C4910">
        <w:rPr>
          <w:rFonts w:asciiTheme="minorEastAsia" w:eastAsiaTheme="minorEastAsia" w:hAnsiTheme="minorEastAsia" w:cs="Arial" w:hint="eastAsia"/>
          <w:color w:val="000000" w:themeColor="text1"/>
        </w:rPr>
        <w:t>指定媒介</w:t>
      </w:r>
      <w:r w:rsidRPr="001C6480">
        <w:rPr>
          <w:rFonts w:asciiTheme="minorEastAsia" w:eastAsiaTheme="minorEastAsia" w:hAnsiTheme="minorEastAsia" w:cs="Arial" w:hint="eastAsia"/>
          <w:color w:val="000000" w:themeColor="text1"/>
        </w:rPr>
        <w:t>披露所投资非公开发行股票的名称、数量、总成本、账面价值，以及总成本和账面价值占基金资产净值的比例、锁定期等信息。</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本基金有关投资受限证券比例如违反有关限制规定，在合理期限内未能进行及时调整，基金管理人应在两个工作日内编制临时报告书，予以公告。</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w:t>
      </w:r>
      <w:r w:rsidRPr="001C6480" w:rsidR="0011571B">
        <w:rPr>
          <w:rFonts w:asciiTheme="minorEastAsia" w:eastAsiaTheme="minorEastAsia" w:hAnsiTheme="minorEastAsia" w:cs="Arial" w:hint="eastAsia"/>
          <w:color w:val="000000" w:themeColor="text1"/>
        </w:rPr>
        <w:t>基金托管人根据有关规定有权对基金管理人进行以下事项监督：</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sidR="0011571B">
        <w:rPr>
          <w:rFonts w:asciiTheme="minorEastAsia" w:eastAsiaTheme="minorEastAsia" w:hAnsiTheme="minorEastAsia" w:cs="Arial" w:hint="eastAsia"/>
          <w:color w:val="000000" w:themeColor="text1"/>
        </w:rPr>
        <w:t>本基金投资受限证券时的法律法规遵守情况。</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2）在基金投资受限证券管理工作方面有关制度、流动性风险处置预案的建立与完善情况。</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3）有关比例限制的执行情况。</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4）信息披露情况。</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w:t>
      </w:r>
      <w:r w:rsidRPr="001C6480">
        <w:rPr>
          <w:rFonts w:asciiTheme="minorEastAsia" w:eastAsiaTheme="minorEastAsia" w:hAnsiTheme="minorEastAsia" w:hint="eastAsia"/>
          <w:color w:val="000000" w:themeColor="text1"/>
        </w:rPr>
        <w:t>相关法律法规对基金投资受限证券有新规定的，从其规定。</w:t>
      </w:r>
    </w:p>
    <w:p w:rsidR="0011571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w:t>
      </w:r>
      <w:r w:rsidRPr="001C6480" w:rsidR="0011571B">
        <w:rPr>
          <w:rFonts w:asciiTheme="minorEastAsia" w:eastAsiaTheme="minorEastAsia" w:hAnsiTheme="minorEastAsia" w:cs="Arial" w:hint="eastAsia"/>
          <w:color w:val="000000" w:themeColor="text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8、</w:t>
      </w:r>
      <w:r w:rsidRPr="001C6480" w:rsidR="0011571B">
        <w:rPr>
          <w:rFonts w:asciiTheme="minorEastAsia" w:eastAsiaTheme="minorEastAsia" w:hAnsiTheme="minorEastAsia" w:cs="Arial" w:hint="eastAsia"/>
          <w:color w:val="000000" w:themeColor="text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9、</w:t>
      </w:r>
      <w:r w:rsidRPr="001C6480" w:rsidR="0011571B">
        <w:rPr>
          <w:rFonts w:asciiTheme="minorEastAsia" w:eastAsiaTheme="minorEastAsia" w:hAnsiTheme="minorEastAsia" w:cs="Arial" w:hint="eastAsia"/>
          <w:color w:val="000000" w:themeColor="text1"/>
        </w:rPr>
        <w:t>若基金托管人发现基金管理人依据交易程序已经生效的指令违反法律、行政法规和其他有关规定，或者违反基金合同约定的，应当立即通知基金管理人，由此造成的损失由基金管理人承担。</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s="Arial" w:hint="eastAsia"/>
          <w:color w:val="000000" w:themeColor="text1"/>
        </w:rPr>
        <w:t>10、</w:t>
      </w:r>
      <w:r w:rsidRPr="001C6480" w:rsidR="0011571B">
        <w:rPr>
          <w:rFonts w:asciiTheme="minorEastAsia" w:eastAsiaTheme="minorEastAsia" w:hAnsiTheme="minorEastAsia" w:cs="Arial" w:hint="eastAsia"/>
          <w:color w:val="000000" w:themeColor="text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bCs/>
          <w:color w:val="000000" w:themeColor="text1"/>
        </w:rPr>
      </w:pPr>
      <w:bookmarkStart w:id="791" w:name="_Toc238870148"/>
      <w:bookmarkStart w:id="792" w:name="_Toc123705448"/>
      <w:bookmarkStart w:id="793" w:name="_Toc124749228"/>
      <w:bookmarkStart w:id="794" w:name="_Toc124749939"/>
      <w:bookmarkStart w:id="795" w:name="_Toc125361076"/>
      <w:r w:rsidRPr="001C6480">
        <w:rPr>
          <w:rFonts w:asciiTheme="minorEastAsia" w:eastAsiaTheme="minorEastAsia" w:hAnsiTheme="minorEastAsia" w:cs="Arial"/>
          <w:b w:val="0"/>
          <w:bCs/>
          <w:color w:val="000000" w:themeColor="text1"/>
        </w:rPr>
        <w:t>基金管理人对基金托管人的业务核查</w:t>
      </w:r>
      <w:bookmarkEnd w:id="791"/>
      <w:bookmarkEnd w:id="792"/>
      <w:bookmarkEnd w:id="793"/>
      <w:bookmarkEnd w:id="794"/>
      <w:bookmarkEnd w:id="795"/>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sidR="00591E0B">
        <w:rPr>
          <w:rFonts w:asciiTheme="minorEastAsia" w:eastAsiaTheme="minorEastAsia" w:hAnsiTheme="minorEastAsia" w:cs="Arial" w:hint="eastAsia"/>
          <w:color w:val="000000" w:themeColor="text1"/>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bCs/>
          <w:color w:val="000000" w:themeColor="text1"/>
        </w:rPr>
      </w:pPr>
      <w:r w:rsidRPr="001C6480">
        <w:rPr>
          <w:rFonts w:asciiTheme="minorEastAsia" w:eastAsiaTheme="minorEastAsia" w:hAnsiTheme="minorEastAsia" w:cs="Arial" w:hint="eastAsia"/>
          <w:b w:val="0"/>
          <w:bCs/>
          <w:color w:val="000000" w:themeColor="text1"/>
        </w:rPr>
        <w:t>基金财产的保管</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1、基金财产保管的原则</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sz w:val="24"/>
        </w:rPr>
      </w:pPr>
      <w:r w:rsidRPr="001C6480">
        <w:rPr>
          <w:rFonts w:asciiTheme="minorEastAsia" w:eastAsiaTheme="minorEastAsia" w:hAnsiTheme="minorEastAsia" w:cs="Arial" w:hint="eastAsia"/>
          <w:color w:val="000000" w:themeColor="text1"/>
        </w:rPr>
        <w:t>（1）基金财产应独立于基金管理人、基金托管人的固有财产。</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sidR="00591E0B">
        <w:rPr>
          <w:rFonts w:asciiTheme="minorEastAsia" w:eastAsiaTheme="minorEastAsia" w:hAnsiTheme="minorEastAsia" w:cs="Arial" w:hint="eastAsia"/>
          <w:color w:val="000000" w:themeColor="text1"/>
        </w:rPr>
        <w:t>基金托管人应安全保管基金财产。</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w:t>
      </w:r>
      <w:r w:rsidRPr="001C6480" w:rsidR="00591E0B">
        <w:rPr>
          <w:rFonts w:asciiTheme="minorEastAsia" w:eastAsiaTheme="minorEastAsia" w:hAnsiTheme="minorEastAsia" w:cs="Arial" w:hint="eastAsia"/>
          <w:color w:val="000000" w:themeColor="text1"/>
        </w:rPr>
        <w:t>基金托管人按照规定开设基金财产的资金账户和证券账户。</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sidR="00591E0B">
        <w:rPr>
          <w:rFonts w:asciiTheme="minorEastAsia" w:eastAsiaTheme="minorEastAsia" w:hAnsiTheme="minorEastAsia" w:cs="Arial" w:hint="eastAsia"/>
          <w:color w:val="000000" w:themeColor="text1"/>
        </w:rPr>
        <w:t>基金托管人对所托管的不同基金财产分别设置账户，确保基金财产的完整与独立。</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（5）基金托管人按照基金合同和本协议的约定保管基金财产，如有特殊情况双方可另行协商解决。基金托管人未经基金管理人的指令，不得自行运用、处分、分配本基金的任</w:t>
      </w:r>
      <w:r w:rsidRPr="001C6480">
        <w:rPr>
          <w:rFonts w:asciiTheme="minorEastAsia" w:eastAsiaTheme="minorEastAsia" w:hAnsiTheme="minorEastAsia" w:cs="Arial" w:hint="eastAsia"/>
          <w:color w:val="000000" w:themeColor="text1"/>
        </w:rPr>
        <w:t>何资产（不包含基金托管人依据中国证券登记结算有限责任公司结算数据完成场内交易交收、托管资产开户银行扣收结算费和账户维护费等费用）。</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w:t>
      </w:r>
      <w:r w:rsidRPr="001C6480" w:rsidR="00591E0B">
        <w:rPr>
          <w:rFonts w:asciiTheme="minorEastAsia" w:eastAsiaTheme="minorEastAsia" w:hAnsiTheme="minorEastAsia" w:cs="Arial" w:hint="eastAsia"/>
          <w:color w:val="000000" w:themeColor="text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w:t>
      </w:r>
      <w:r w:rsidRPr="001C6480" w:rsidR="00591E0B">
        <w:rPr>
          <w:rFonts w:asciiTheme="minorEastAsia" w:eastAsiaTheme="minorEastAsia" w:hAnsiTheme="minorEastAsia" w:cs="Arial" w:hint="eastAsia"/>
          <w:color w:val="000000" w:themeColor="text1"/>
        </w:rPr>
        <w:t>除依据法律法规和基金合同的规定外，基金托管人不得委托第三人托管基金财产。</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2、基金募集期间及募集资金的验资</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（1）基金募集期间募集的资金应存于基金管理人在基金托管人的营业机构开立的“基金募集专户”。该账户由基金管理人开立并管理。</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sidR="00591E0B">
        <w:rPr>
          <w:rFonts w:asciiTheme="minorEastAsia" w:eastAsiaTheme="minorEastAsia" w:hAnsiTheme="minorEastAsia" w:cs="Arial" w:hint="eastAsia"/>
          <w:color w:val="000000" w:themeColor="text1"/>
        </w:rPr>
        <w:t>基金募集期满或基金停止募集时，募集的基金份额总额、基金募集金额、基金份额持有人人数符合《基金法》、《运作办法》等有关规定后，基金管理人应将募集到的基金财产的全部资金划入基金托管人为基金开立的基金托管资金账户，同时在规定时间内，聘请具有从事证券相关业务资格的会计师事务所进行验资，出具验资报告。出具的验资报告由参加验资的2名或2名以上中国注册会计师签字方为有效。</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（3）若基金募集期限届满，未能达到基金合同生效的条件，由基金管理人按规定办理退款等事宜。</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3、基金银行账户的开立和管理</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（1）基金托管人可以本基金的名义在其营业机构开立基金的银行账户，并根据基金管理人合法合规的指令办理资金收付。本基金的银行预留印鉴由基金托管人保管和使用。</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sidR="00591E0B">
        <w:rPr>
          <w:rFonts w:asciiTheme="minorEastAsia" w:eastAsiaTheme="minorEastAsia" w:hAnsiTheme="minorEastAsia" w:cs="Arial" w:hint="eastAsia"/>
          <w:color w:val="000000" w:themeColor="text1"/>
        </w:rPr>
        <w:t>基金银行账户的开立和使用，限于满足开展本基金业务的需要。基金托管人和基金管理人不得假借本基金的名义开立任何其他银行账户；亦不得使用基金的任何账户进行本基金业务以外的活动。</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（3）基金银行账户的开立和管理应符合银行业监督管理机构的有关规定。</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（4）在符合法律法规规定的条件下，基金托管人可以通过基金托管人专用账户办理基金资产的支付。</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4、基金证券账户和结算备付金账户的开立和管理</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（1）基金托管人在中国证券登记结算有限责任公司上海分公司、深圳分公司为基金开立基金托管人与基金联名的证券账户。</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（3）基金证券账户的开立和证券账户卡的保管由基金托管人负责，账户资产的管理和运用由基金管理人负责。</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（5）若中国证监会或其他监管机构在本托管协议订立日之后允许基金从事其他投资品种的投资业务，涉及相关账户的开立、使用的，若无相关规定，则基金托管人比照上述关于账户开立、使用的规定执行。</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5、债券托管专户的开设和管理</w:t>
      </w:r>
    </w:p>
    <w:p w:rsidR="00591E0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6、其他账户的开立和管理</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（1）因业务发展需要而开立的其他账户，可以根据法律法规和基金合同的规定，由基金托管人负责开立。新账户按有关规定使用并管理。</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（2）法律法规等有关规定对相关账户的开立和管理另有规定的，从其规定办理。</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7、基金财产投资的有关有价凭证等的保管</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财产投资的有关实物证券、银行定期存款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由基金管理人和基金托管人共同办理。基金托管人对由基金托管人以外机构实际有效控制的资产不承担保管责任。</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8、与基金财产有关的重大合同的保管</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对于无法取得二份以上的正本的，基金管理人应向基金托管人提供加盖公章的合同传真件，并对该合同的真实性承担责任，未经双方协商或未在合同约定范围内，合同原件不得转移。</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bCs/>
          <w:color w:val="000000" w:themeColor="text1"/>
        </w:rPr>
      </w:pPr>
      <w:bookmarkStart w:id="796" w:name="_Toc238870150"/>
      <w:r w:rsidRPr="001C6480">
        <w:rPr>
          <w:rFonts w:asciiTheme="minorEastAsia" w:eastAsiaTheme="minorEastAsia" w:hAnsiTheme="minorEastAsia" w:cs="Arial"/>
          <w:b w:val="0"/>
          <w:bCs/>
          <w:color w:val="000000" w:themeColor="text1"/>
        </w:rPr>
        <w:t>基金资产净值计算与复核</w:t>
      </w:r>
      <w:bookmarkEnd w:id="796"/>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1、基金资产净值</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基金资产净值是指基金资产总值减去负债后的价值。</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基金份额净值按照每个工作日闭市后，基金资产净值除以当日基金份额总数计算，精确到0.0001元，小数点后第五位四舍五入。国家另有规定的，从其规定。</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基金管理人每个工作日计算基金资产净值及基金份额净值，经基金托管人复核，按规定公告。</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2、复核程序</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基金管理人每工作日对基金资产进行估值后，将基金份额净值结果发送基金托管人，经基金托管人复核无误后，由基金管理人对外公布。</w:t>
      </w:r>
      <w:r w:rsidRPr="001C6480">
        <w:rPr>
          <w:rFonts w:asciiTheme="minorEastAsia" w:eastAsiaTheme="minorEastAsia" w:hAnsiTheme="minorEastAsia" w:cs="Arial" w:hint="eastAsia"/>
          <w:bCs/>
          <w:color w:val="000000" w:themeColor="text1"/>
        </w:rPr>
        <w:t>但基金管理人根据法律法规或基金合同的规定暂停估值时除外。</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sz w:val="24"/>
        </w:rPr>
      </w:pPr>
      <w:r w:rsidRPr="001C6480">
        <w:rPr>
          <w:rFonts w:asciiTheme="minorEastAsia" w:eastAsiaTheme="minorEastAsia" w:hAnsiTheme="minorEastAsia" w:cs="Arial" w:hint="eastAsia"/>
          <w:color w:val="000000" w:themeColor="text1"/>
        </w:rPr>
        <w:t>3、</w:t>
      </w:r>
      <w:r w:rsidRPr="001C6480" w:rsidR="00A71665">
        <w:rPr>
          <w:rFonts w:asciiTheme="minorEastAsia" w:eastAsiaTheme="minorEastAsia" w:hAnsiTheme="minorEastAsia" w:cs="Arial"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bCs/>
          <w:color w:val="000000" w:themeColor="text1"/>
        </w:rPr>
      </w:pPr>
      <w:bookmarkStart w:id="797" w:name="_Toc238870151"/>
      <w:r w:rsidRPr="001C6480">
        <w:rPr>
          <w:rFonts w:asciiTheme="minorEastAsia" w:eastAsiaTheme="minorEastAsia" w:hAnsiTheme="minorEastAsia" w:cs="Arial"/>
          <w:b w:val="0"/>
          <w:bCs/>
          <w:color w:val="000000" w:themeColor="text1"/>
        </w:rPr>
        <w:t>基金份额持有人名册的保管</w:t>
      </w:r>
      <w:bookmarkEnd w:id="797"/>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2F2BD2" w:rsidRPr="001C6480" w:rsidP="006D6AC5">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在基金托管人要求或编制中期报告和年度报告前，基金管理人应按照基金托管人的要求将有关资料送交基金托管人，不得无故拒绝或延误提供，并保证其的真实性、准确性和完整性。基金托管人不得将所保管的基金份额持有人名册用于基金托管业务以外的其他用途，并应遵守保密义务。</w:t>
      </w:r>
    </w:p>
    <w:p w:rsidR="001A7CDB" w:rsidRPr="001C6480" w:rsidP="005F0E3E">
      <w:pPr>
        <w:pStyle w:val="Heading2"/>
        <w:numPr>
          <w:ilvl w:val="1"/>
          <w:numId w:val="3"/>
        </w:numPr>
        <w:snapToGrid w:val="0"/>
        <w:spacing w:beforeLines="0" w:afterLines="0" w:line="360" w:lineRule="auto"/>
        <w:ind w:left="-1" w:hanging="140" w:leftChars="-67" w:hangingChars="50"/>
        <w:rPr>
          <w:rFonts w:asciiTheme="minorEastAsia" w:eastAsiaTheme="minorEastAsia" w:hAnsiTheme="minorEastAsia" w:cs="Arial"/>
          <w:b w:val="0"/>
          <w:bCs/>
          <w:color w:val="000000" w:themeColor="text1"/>
        </w:rPr>
      </w:pPr>
      <w:bookmarkStart w:id="798" w:name="_Toc238870152"/>
      <w:r w:rsidRPr="001C6480">
        <w:rPr>
          <w:rFonts w:asciiTheme="minorEastAsia" w:eastAsiaTheme="minorEastAsia" w:hAnsiTheme="minorEastAsia" w:cs="Arial"/>
          <w:b w:val="0"/>
          <w:bCs/>
          <w:color w:val="000000" w:themeColor="text1"/>
        </w:rPr>
        <w:t>争议解决方式</w:t>
      </w:r>
      <w:bookmarkEnd w:id="798"/>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争议处理期间，双方当事人应恪守基金管理人和基金托管人职责，各自继续忠实、勤勉、尽责地履行基金合同和本托管协议规定的义务，维护基金份额持有人的合法权益。</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本协议受中国法律管辖。</w:t>
      </w:r>
    </w:p>
    <w:p w:rsidR="001A7CDB" w:rsidRPr="001C6480" w:rsidP="005F0E3E">
      <w:pPr>
        <w:pStyle w:val="Heading2"/>
        <w:numPr>
          <w:ilvl w:val="1"/>
          <w:numId w:val="3"/>
        </w:numPr>
        <w:snapToGrid w:val="0"/>
        <w:spacing w:beforeLines="0" w:afterLines="0" w:line="360" w:lineRule="auto"/>
        <w:ind w:left="142" w:hanging="283" w:leftChars="-67" w:hangingChars="101"/>
        <w:rPr>
          <w:rFonts w:asciiTheme="minorEastAsia" w:eastAsiaTheme="minorEastAsia" w:hAnsiTheme="minorEastAsia" w:cs="Arial"/>
          <w:b w:val="0"/>
          <w:bCs/>
          <w:color w:val="000000" w:themeColor="text1"/>
          <w:sz w:val="21"/>
        </w:rPr>
      </w:pPr>
      <w:bookmarkStart w:id="799" w:name="_Toc238870153"/>
      <w:r w:rsidRPr="001C6480">
        <w:rPr>
          <w:rFonts w:asciiTheme="minorEastAsia" w:eastAsiaTheme="minorEastAsia" w:hAnsiTheme="minorEastAsia" w:cs="Arial"/>
          <w:b w:val="0"/>
          <w:bCs/>
          <w:color w:val="000000" w:themeColor="text1"/>
        </w:rPr>
        <w:t>托管协议的变更与终止</w:t>
      </w:r>
      <w:bookmarkEnd w:id="799"/>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1、托管协议的变更程序</w:t>
      </w:r>
    </w:p>
    <w:p w:rsidR="00A71665"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本协议双方当事人经协商一致，可以对协议进行修改。修改后的新协议，其内容不得与基金合同的规定有任何冲突。</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2、基金托管协议终止出现的情形</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（1）基金合同终止；</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（2）基金托管人解散、依法被撤销、破产或由其他基金托管人接管基金资产；</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（3）基金管理人解散、依法被撤销、破产或由其他基金管理人接管基金管理权；</w:t>
      </w:r>
    </w:p>
    <w:p w:rsidR="001A7CDB" w:rsidRPr="001C6480" w:rsidP="00F71D3B">
      <w:pPr>
        <w:adjustRightInd w:val="0"/>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（4）发生法律法规或基金合同规定的终止事项。</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800" w:name="_Toc38438238"/>
      <w:bookmarkStart w:id="801" w:name="_Toc38438575"/>
      <w:bookmarkStart w:id="802" w:name="_Toc38438912"/>
      <w:bookmarkStart w:id="803" w:name="_Toc38439249"/>
      <w:bookmarkStart w:id="804" w:name="_Toc38439586"/>
      <w:bookmarkStart w:id="805" w:name="_Toc38439923"/>
      <w:bookmarkStart w:id="806" w:name="_Toc38440260"/>
      <w:bookmarkStart w:id="807" w:name="_Toc38440597"/>
      <w:bookmarkStart w:id="808" w:name="_Toc38440796"/>
      <w:bookmarkStart w:id="809" w:name="_Toc38441129"/>
      <w:bookmarkStart w:id="810" w:name="_Toc38441461"/>
      <w:bookmarkStart w:id="811" w:name="_Toc38441793"/>
      <w:bookmarkStart w:id="812" w:name="_Toc38442121"/>
      <w:bookmarkStart w:id="813" w:name="_Toc38442453"/>
      <w:bookmarkStart w:id="814" w:name="_Toc38442785"/>
      <w:bookmarkStart w:id="815" w:name="_Toc38443116"/>
      <w:bookmarkStart w:id="816" w:name="_Toc38443447"/>
      <w:bookmarkStart w:id="817" w:name="_Toc38443778"/>
      <w:bookmarkStart w:id="818" w:name="_Toc38438239"/>
      <w:bookmarkStart w:id="819" w:name="_Toc38438576"/>
      <w:bookmarkStart w:id="820" w:name="_Toc38438913"/>
      <w:bookmarkStart w:id="821" w:name="_Toc38439250"/>
      <w:bookmarkStart w:id="822" w:name="_Toc38439587"/>
      <w:bookmarkStart w:id="823" w:name="_Toc38439924"/>
      <w:bookmarkStart w:id="824" w:name="_Toc38440261"/>
      <w:bookmarkStart w:id="825" w:name="_Toc38440598"/>
      <w:bookmarkStart w:id="826" w:name="_Toc38440797"/>
      <w:bookmarkStart w:id="827" w:name="_Toc38441130"/>
      <w:bookmarkStart w:id="828" w:name="_Toc38441462"/>
      <w:bookmarkStart w:id="829" w:name="_Toc38441794"/>
      <w:bookmarkStart w:id="830" w:name="_Toc38442122"/>
      <w:bookmarkStart w:id="831" w:name="_Toc38442454"/>
      <w:bookmarkStart w:id="832" w:name="_Toc38442786"/>
      <w:bookmarkStart w:id="833" w:name="_Toc38443117"/>
      <w:bookmarkStart w:id="834" w:name="_Toc38443448"/>
      <w:bookmarkStart w:id="835" w:name="_Toc38443779"/>
      <w:bookmarkStart w:id="836" w:name="_Toc38438240"/>
      <w:bookmarkStart w:id="837" w:name="_Toc38438577"/>
      <w:bookmarkStart w:id="838" w:name="_Toc38438914"/>
      <w:bookmarkStart w:id="839" w:name="_Toc38439251"/>
      <w:bookmarkStart w:id="840" w:name="_Toc38439588"/>
      <w:bookmarkStart w:id="841" w:name="_Toc38439925"/>
      <w:bookmarkStart w:id="842" w:name="_Toc38440262"/>
      <w:bookmarkStart w:id="843" w:name="_Toc38440599"/>
      <w:bookmarkStart w:id="844" w:name="_Toc38440798"/>
      <w:bookmarkStart w:id="845" w:name="_Toc38441131"/>
      <w:bookmarkStart w:id="846" w:name="_Toc38441463"/>
      <w:bookmarkStart w:id="847" w:name="_Toc38441795"/>
      <w:bookmarkStart w:id="848" w:name="_Toc38442123"/>
      <w:bookmarkStart w:id="849" w:name="_Toc38442455"/>
      <w:bookmarkStart w:id="850" w:name="_Toc38442787"/>
      <w:bookmarkStart w:id="851" w:name="_Toc38443118"/>
      <w:bookmarkStart w:id="852" w:name="_Toc38443449"/>
      <w:bookmarkStart w:id="853" w:name="_Toc38443780"/>
      <w:bookmarkStart w:id="854" w:name="_Toc38438241"/>
      <w:bookmarkStart w:id="855" w:name="_Toc38438578"/>
      <w:bookmarkStart w:id="856" w:name="_Toc38438915"/>
      <w:bookmarkStart w:id="857" w:name="_Toc38439252"/>
      <w:bookmarkStart w:id="858" w:name="_Toc38439589"/>
      <w:bookmarkStart w:id="859" w:name="_Toc38439926"/>
      <w:bookmarkStart w:id="860" w:name="_Toc38440263"/>
      <w:bookmarkStart w:id="861" w:name="_Toc38440600"/>
      <w:bookmarkStart w:id="862" w:name="_Toc38440799"/>
      <w:bookmarkStart w:id="863" w:name="_Toc38441132"/>
      <w:bookmarkStart w:id="864" w:name="_Toc38441464"/>
      <w:bookmarkStart w:id="865" w:name="_Toc38441796"/>
      <w:bookmarkStart w:id="866" w:name="_Toc38442124"/>
      <w:bookmarkStart w:id="867" w:name="_Toc38442456"/>
      <w:bookmarkStart w:id="868" w:name="_Toc38442788"/>
      <w:bookmarkStart w:id="869" w:name="_Toc38443119"/>
      <w:bookmarkStart w:id="870" w:name="_Toc38443450"/>
      <w:bookmarkStart w:id="871" w:name="_Toc38443781"/>
      <w:bookmarkStart w:id="872" w:name="_Toc38438242"/>
      <w:bookmarkStart w:id="873" w:name="_Toc38438579"/>
      <w:bookmarkStart w:id="874" w:name="_Toc38438916"/>
      <w:bookmarkStart w:id="875" w:name="_Toc38439253"/>
      <w:bookmarkStart w:id="876" w:name="_Toc38439590"/>
      <w:bookmarkStart w:id="877" w:name="_Toc38439927"/>
      <w:bookmarkStart w:id="878" w:name="_Toc38440264"/>
      <w:bookmarkStart w:id="879" w:name="_Toc38440601"/>
      <w:bookmarkStart w:id="880" w:name="_Toc38440800"/>
      <w:bookmarkStart w:id="881" w:name="_Toc38441133"/>
      <w:bookmarkStart w:id="882" w:name="_Toc38441465"/>
      <w:bookmarkStart w:id="883" w:name="_Toc38441797"/>
      <w:bookmarkStart w:id="884" w:name="_Toc38442125"/>
      <w:bookmarkStart w:id="885" w:name="_Toc38442457"/>
      <w:bookmarkStart w:id="886" w:name="_Toc38442789"/>
      <w:bookmarkStart w:id="887" w:name="_Toc38443120"/>
      <w:bookmarkStart w:id="888" w:name="_Toc38443451"/>
      <w:bookmarkStart w:id="889" w:name="_Toc38443782"/>
      <w:bookmarkStart w:id="890" w:name="_Toc38438243"/>
      <w:bookmarkStart w:id="891" w:name="_Toc38438580"/>
      <w:bookmarkStart w:id="892" w:name="_Toc38438917"/>
      <w:bookmarkStart w:id="893" w:name="_Toc38439254"/>
      <w:bookmarkStart w:id="894" w:name="_Toc38439591"/>
      <w:bookmarkStart w:id="895" w:name="_Toc38439928"/>
      <w:bookmarkStart w:id="896" w:name="_Toc38440265"/>
      <w:bookmarkStart w:id="897" w:name="_Toc38440602"/>
      <w:bookmarkStart w:id="898" w:name="_Toc38440801"/>
      <w:bookmarkStart w:id="899" w:name="_Toc38441134"/>
      <w:bookmarkStart w:id="900" w:name="_Toc38441466"/>
      <w:bookmarkStart w:id="901" w:name="_Toc38441798"/>
      <w:bookmarkStart w:id="902" w:name="_Toc38442126"/>
      <w:bookmarkStart w:id="903" w:name="_Toc38442458"/>
      <w:bookmarkStart w:id="904" w:name="_Toc38442790"/>
      <w:bookmarkStart w:id="905" w:name="_Toc38443121"/>
      <w:bookmarkStart w:id="906" w:name="_Toc38443452"/>
      <w:bookmarkStart w:id="907" w:name="_Toc38443783"/>
      <w:bookmarkStart w:id="908" w:name="_Toc38438244"/>
      <w:bookmarkStart w:id="909" w:name="_Toc38438581"/>
      <w:bookmarkStart w:id="910" w:name="_Toc38438918"/>
      <w:bookmarkStart w:id="911" w:name="_Toc38439255"/>
      <w:bookmarkStart w:id="912" w:name="_Toc38439592"/>
      <w:bookmarkStart w:id="913" w:name="_Toc38439929"/>
      <w:bookmarkStart w:id="914" w:name="_Toc38440266"/>
      <w:bookmarkStart w:id="915" w:name="_Toc38440603"/>
      <w:bookmarkStart w:id="916" w:name="_Toc38440802"/>
      <w:bookmarkStart w:id="917" w:name="_Toc38441135"/>
      <w:bookmarkStart w:id="918" w:name="_Toc38441467"/>
      <w:bookmarkStart w:id="919" w:name="_Toc38441799"/>
      <w:bookmarkStart w:id="920" w:name="_Toc38442127"/>
      <w:bookmarkStart w:id="921" w:name="_Toc38442459"/>
      <w:bookmarkStart w:id="922" w:name="_Toc38442791"/>
      <w:bookmarkStart w:id="923" w:name="_Toc38443122"/>
      <w:bookmarkStart w:id="924" w:name="_Toc38443453"/>
      <w:bookmarkStart w:id="925" w:name="_Toc38443784"/>
      <w:bookmarkStart w:id="926" w:name="_Toc38438245"/>
      <w:bookmarkStart w:id="927" w:name="_Toc38438582"/>
      <w:bookmarkStart w:id="928" w:name="_Toc38438919"/>
      <w:bookmarkStart w:id="929" w:name="_Toc38439256"/>
      <w:bookmarkStart w:id="930" w:name="_Toc38439593"/>
      <w:bookmarkStart w:id="931" w:name="_Toc38439930"/>
      <w:bookmarkStart w:id="932" w:name="_Toc38440267"/>
      <w:bookmarkStart w:id="933" w:name="_Toc38440604"/>
      <w:bookmarkStart w:id="934" w:name="_Toc38440803"/>
      <w:bookmarkStart w:id="935" w:name="_Toc38441136"/>
      <w:bookmarkStart w:id="936" w:name="_Toc38441468"/>
      <w:bookmarkStart w:id="937" w:name="_Toc38441800"/>
      <w:bookmarkStart w:id="938" w:name="_Toc38442128"/>
      <w:bookmarkStart w:id="939" w:name="_Toc38442460"/>
      <w:bookmarkStart w:id="940" w:name="_Toc38442792"/>
      <w:bookmarkStart w:id="941" w:name="_Toc38443123"/>
      <w:bookmarkStart w:id="942" w:name="_Toc38443454"/>
      <w:bookmarkStart w:id="943" w:name="_Toc38443785"/>
      <w:bookmarkStart w:id="944" w:name="_Toc38438246"/>
      <w:bookmarkStart w:id="945" w:name="_Toc38438583"/>
      <w:bookmarkStart w:id="946" w:name="_Toc38438920"/>
      <w:bookmarkStart w:id="947" w:name="_Toc38439257"/>
      <w:bookmarkStart w:id="948" w:name="_Toc38439594"/>
      <w:bookmarkStart w:id="949" w:name="_Toc38439931"/>
      <w:bookmarkStart w:id="950" w:name="_Toc38440268"/>
      <w:bookmarkStart w:id="951" w:name="_Toc38440605"/>
      <w:bookmarkStart w:id="952" w:name="_Toc38440804"/>
      <w:bookmarkStart w:id="953" w:name="_Toc38441137"/>
      <w:bookmarkStart w:id="954" w:name="_Toc38441469"/>
      <w:bookmarkStart w:id="955" w:name="_Toc38441801"/>
      <w:bookmarkStart w:id="956" w:name="_Toc38442129"/>
      <w:bookmarkStart w:id="957" w:name="_Toc38442461"/>
      <w:bookmarkStart w:id="958" w:name="_Toc38442793"/>
      <w:bookmarkStart w:id="959" w:name="_Toc38443124"/>
      <w:bookmarkStart w:id="960" w:name="_Toc38443455"/>
      <w:bookmarkStart w:id="961" w:name="_Toc38443786"/>
      <w:bookmarkStart w:id="962" w:name="_Toc38438247"/>
      <w:bookmarkStart w:id="963" w:name="_Toc38438584"/>
      <w:bookmarkStart w:id="964" w:name="_Toc38438921"/>
      <w:bookmarkStart w:id="965" w:name="_Toc38439258"/>
      <w:bookmarkStart w:id="966" w:name="_Toc38439595"/>
      <w:bookmarkStart w:id="967" w:name="_Toc38439932"/>
      <w:bookmarkStart w:id="968" w:name="_Toc38440269"/>
      <w:bookmarkStart w:id="969" w:name="_Toc38440606"/>
      <w:bookmarkStart w:id="970" w:name="_Toc38440805"/>
      <w:bookmarkStart w:id="971" w:name="_Toc38441138"/>
      <w:bookmarkStart w:id="972" w:name="_Toc38441470"/>
      <w:bookmarkStart w:id="973" w:name="_Toc38441802"/>
      <w:bookmarkStart w:id="974" w:name="_Toc38442130"/>
      <w:bookmarkStart w:id="975" w:name="_Toc38442462"/>
      <w:bookmarkStart w:id="976" w:name="_Toc38442794"/>
      <w:bookmarkStart w:id="977" w:name="_Toc38443125"/>
      <w:bookmarkStart w:id="978" w:name="_Toc38443456"/>
      <w:bookmarkStart w:id="979" w:name="_Toc38443787"/>
      <w:bookmarkStart w:id="980" w:name="_Toc38438248"/>
      <w:bookmarkStart w:id="981" w:name="_Toc38438585"/>
      <w:bookmarkStart w:id="982" w:name="_Toc38438922"/>
      <w:bookmarkStart w:id="983" w:name="_Toc38439259"/>
      <w:bookmarkStart w:id="984" w:name="_Toc38439596"/>
      <w:bookmarkStart w:id="985" w:name="_Toc38439933"/>
      <w:bookmarkStart w:id="986" w:name="_Toc38440270"/>
      <w:bookmarkStart w:id="987" w:name="_Toc38440607"/>
      <w:bookmarkStart w:id="988" w:name="_Toc38440806"/>
      <w:bookmarkStart w:id="989" w:name="_Toc38441139"/>
      <w:bookmarkStart w:id="990" w:name="_Toc38441471"/>
      <w:bookmarkStart w:id="991" w:name="_Toc38441803"/>
      <w:bookmarkStart w:id="992" w:name="_Toc38442131"/>
      <w:bookmarkStart w:id="993" w:name="_Toc38442463"/>
      <w:bookmarkStart w:id="994" w:name="_Toc38442795"/>
      <w:bookmarkStart w:id="995" w:name="_Toc38443126"/>
      <w:bookmarkStart w:id="996" w:name="_Toc38443457"/>
      <w:bookmarkStart w:id="997" w:name="_Toc38443788"/>
      <w:bookmarkStart w:id="998" w:name="_Toc38438249"/>
      <w:bookmarkStart w:id="999" w:name="_Toc38438586"/>
      <w:bookmarkStart w:id="1000" w:name="_Toc38438923"/>
      <w:bookmarkStart w:id="1001" w:name="_Toc38439260"/>
      <w:bookmarkStart w:id="1002" w:name="_Toc38439597"/>
      <w:bookmarkStart w:id="1003" w:name="_Toc38439934"/>
      <w:bookmarkStart w:id="1004" w:name="_Toc38440271"/>
      <w:bookmarkStart w:id="1005" w:name="_Toc38440608"/>
      <w:bookmarkStart w:id="1006" w:name="_Toc38440807"/>
      <w:bookmarkStart w:id="1007" w:name="_Toc38441140"/>
      <w:bookmarkStart w:id="1008" w:name="_Toc38441472"/>
      <w:bookmarkStart w:id="1009" w:name="_Toc38441804"/>
      <w:bookmarkStart w:id="1010" w:name="_Toc38442132"/>
      <w:bookmarkStart w:id="1011" w:name="_Toc38442464"/>
      <w:bookmarkStart w:id="1012" w:name="_Toc38442796"/>
      <w:bookmarkStart w:id="1013" w:name="_Toc38443127"/>
      <w:bookmarkStart w:id="1014" w:name="_Toc38443458"/>
      <w:bookmarkStart w:id="1015" w:name="_Toc38443789"/>
      <w:bookmarkStart w:id="1016" w:name="_Toc38438250"/>
      <w:bookmarkStart w:id="1017" w:name="_Toc38438587"/>
      <w:bookmarkStart w:id="1018" w:name="_Toc38438924"/>
      <w:bookmarkStart w:id="1019" w:name="_Toc38439261"/>
      <w:bookmarkStart w:id="1020" w:name="_Toc38439598"/>
      <w:bookmarkStart w:id="1021" w:name="_Toc38439935"/>
      <w:bookmarkStart w:id="1022" w:name="_Toc38440272"/>
      <w:bookmarkStart w:id="1023" w:name="_Toc38440609"/>
      <w:bookmarkStart w:id="1024" w:name="_Toc38440808"/>
      <w:bookmarkStart w:id="1025" w:name="_Toc38441141"/>
      <w:bookmarkStart w:id="1026" w:name="_Toc38441473"/>
      <w:bookmarkStart w:id="1027" w:name="_Toc38441805"/>
      <w:bookmarkStart w:id="1028" w:name="_Toc38442133"/>
      <w:bookmarkStart w:id="1029" w:name="_Toc38442465"/>
      <w:bookmarkStart w:id="1030" w:name="_Toc38442797"/>
      <w:bookmarkStart w:id="1031" w:name="_Toc38443128"/>
      <w:bookmarkStart w:id="1032" w:name="_Toc38443459"/>
      <w:bookmarkStart w:id="1033" w:name="_Toc38443790"/>
      <w:bookmarkStart w:id="1034" w:name="_Toc38438251"/>
      <w:bookmarkStart w:id="1035" w:name="_Toc38438588"/>
      <w:bookmarkStart w:id="1036" w:name="_Toc38438925"/>
      <w:bookmarkStart w:id="1037" w:name="_Toc38439262"/>
      <w:bookmarkStart w:id="1038" w:name="_Toc38439599"/>
      <w:bookmarkStart w:id="1039" w:name="_Toc38439936"/>
      <w:bookmarkStart w:id="1040" w:name="_Toc38440273"/>
      <w:bookmarkStart w:id="1041" w:name="_Toc38440610"/>
      <w:bookmarkStart w:id="1042" w:name="_Toc38440809"/>
      <w:bookmarkStart w:id="1043" w:name="_Toc38441142"/>
      <w:bookmarkStart w:id="1044" w:name="_Toc38441474"/>
      <w:bookmarkStart w:id="1045" w:name="_Toc38441806"/>
      <w:bookmarkStart w:id="1046" w:name="_Toc38442134"/>
      <w:bookmarkStart w:id="1047" w:name="_Toc38442466"/>
      <w:bookmarkStart w:id="1048" w:name="_Toc38442798"/>
      <w:bookmarkStart w:id="1049" w:name="_Toc38443129"/>
      <w:bookmarkStart w:id="1050" w:name="_Toc38443460"/>
      <w:bookmarkStart w:id="1051" w:name="_Toc38443791"/>
      <w:bookmarkStart w:id="1052" w:name="_Toc38438252"/>
      <w:bookmarkStart w:id="1053" w:name="_Toc38438589"/>
      <w:bookmarkStart w:id="1054" w:name="_Toc38438926"/>
      <w:bookmarkStart w:id="1055" w:name="_Toc38439263"/>
      <w:bookmarkStart w:id="1056" w:name="_Toc38439600"/>
      <w:bookmarkStart w:id="1057" w:name="_Toc38439937"/>
      <w:bookmarkStart w:id="1058" w:name="_Toc38440274"/>
      <w:bookmarkStart w:id="1059" w:name="_Toc38440611"/>
      <w:bookmarkStart w:id="1060" w:name="_Toc38440810"/>
      <w:bookmarkStart w:id="1061" w:name="_Toc38441143"/>
      <w:bookmarkStart w:id="1062" w:name="_Toc38441475"/>
      <w:bookmarkStart w:id="1063" w:name="_Toc38441807"/>
      <w:bookmarkStart w:id="1064" w:name="_Toc38442135"/>
      <w:bookmarkStart w:id="1065" w:name="_Toc38442467"/>
      <w:bookmarkStart w:id="1066" w:name="_Toc38442799"/>
      <w:bookmarkStart w:id="1067" w:name="_Toc38443130"/>
      <w:bookmarkStart w:id="1068" w:name="_Toc38443461"/>
      <w:bookmarkStart w:id="1069" w:name="_Toc38443792"/>
      <w:bookmarkStart w:id="1070" w:name="_Toc38438253"/>
      <w:bookmarkStart w:id="1071" w:name="_Toc38438590"/>
      <w:bookmarkStart w:id="1072" w:name="_Toc38438927"/>
      <w:bookmarkStart w:id="1073" w:name="_Toc38439264"/>
      <w:bookmarkStart w:id="1074" w:name="_Toc38439601"/>
      <w:bookmarkStart w:id="1075" w:name="_Toc38439938"/>
      <w:bookmarkStart w:id="1076" w:name="_Toc38440275"/>
      <w:bookmarkStart w:id="1077" w:name="_Toc38440612"/>
      <w:bookmarkStart w:id="1078" w:name="_Toc38440811"/>
      <w:bookmarkStart w:id="1079" w:name="_Toc38441144"/>
      <w:bookmarkStart w:id="1080" w:name="_Toc38441476"/>
      <w:bookmarkStart w:id="1081" w:name="_Toc38441808"/>
      <w:bookmarkStart w:id="1082" w:name="_Toc38442136"/>
      <w:bookmarkStart w:id="1083" w:name="_Toc38442468"/>
      <w:bookmarkStart w:id="1084" w:name="_Toc38442800"/>
      <w:bookmarkStart w:id="1085" w:name="_Toc38443131"/>
      <w:bookmarkStart w:id="1086" w:name="_Toc38443462"/>
      <w:bookmarkStart w:id="1087" w:name="_Toc38443793"/>
      <w:bookmarkStart w:id="1088" w:name="_Toc38438254"/>
      <w:bookmarkStart w:id="1089" w:name="_Toc38438591"/>
      <w:bookmarkStart w:id="1090" w:name="_Toc38438928"/>
      <w:bookmarkStart w:id="1091" w:name="_Toc38439265"/>
      <w:bookmarkStart w:id="1092" w:name="_Toc38439602"/>
      <w:bookmarkStart w:id="1093" w:name="_Toc38439939"/>
      <w:bookmarkStart w:id="1094" w:name="_Toc38440276"/>
      <w:bookmarkStart w:id="1095" w:name="_Toc38440613"/>
      <w:bookmarkStart w:id="1096" w:name="_Toc38440812"/>
      <w:bookmarkStart w:id="1097" w:name="_Toc38441145"/>
      <w:bookmarkStart w:id="1098" w:name="_Toc38441477"/>
      <w:bookmarkStart w:id="1099" w:name="_Toc38441809"/>
      <w:bookmarkStart w:id="1100" w:name="_Toc38442137"/>
      <w:bookmarkStart w:id="1101" w:name="_Toc38442469"/>
      <w:bookmarkStart w:id="1102" w:name="_Toc38442801"/>
      <w:bookmarkStart w:id="1103" w:name="_Toc38443132"/>
      <w:bookmarkStart w:id="1104" w:name="_Toc38443463"/>
      <w:bookmarkStart w:id="1105" w:name="_Toc38443794"/>
      <w:bookmarkStart w:id="1106" w:name="_Toc96595124"/>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Pr="001C6480">
        <w:rPr>
          <w:rFonts w:asciiTheme="minorEastAsia" w:eastAsiaTheme="minorEastAsia" w:hAnsiTheme="minorEastAsia" w:cs="Arial" w:hint="eastAsia"/>
          <w:bCs/>
          <w:color w:val="000000" w:themeColor="text1"/>
        </w:rPr>
        <w:t>对基金份额持有人的服务</w:t>
      </w:r>
      <w:bookmarkStart w:id="1107" w:name="_Toc38186634"/>
      <w:bookmarkEnd w:id="1106"/>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基金管理人承诺为基金份额持有人提供一系列的服务。以下是主要的服务内容，基金管理人根据基金份额持有人的需要和市场的变化，有权增加、修改这些服务项目：</w:t>
      </w:r>
    </w:p>
    <w:p w:rsidR="001A7CDB" w:rsidRPr="001C6480" w:rsidP="00F71D3B">
      <w:pPr>
        <w:pStyle w:val="Heading2"/>
        <w:snapToGrid w:val="0"/>
        <w:spacing w:beforeLines="0" w:afterLines="0" w:line="360" w:lineRule="auto"/>
        <w:ind w:firstLine="0" w:firstLineChars="0"/>
        <w:rPr>
          <w:rFonts w:asciiTheme="minorEastAsia" w:eastAsiaTheme="minorEastAsia" w:hAnsiTheme="minorEastAsia" w:cs="Arial"/>
          <w:b w:val="0"/>
          <w:bCs/>
          <w:color w:val="000000" w:themeColor="text1"/>
        </w:rPr>
      </w:pPr>
      <w:r w:rsidRPr="001C6480">
        <w:rPr>
          <w:rFonts w:asciiTheme="minorEastAsia" w:eastAsiaTheme="minorEastAsia" w:hAnsiTheme="minorEastAsia" w:cs="Arial"/>
          <w:b w:val="0"/>
          <w:bCs/>
          <w:color w:val="000000" w:themeColor="text1"/>
        </w:rPr>
        <w:t>（一）基金份额持有人投资交易确认服务</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基金注册登记机构保留基金份额持有人名册上列明的所有基金份额持有人的基金交易记录。</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基金管理人直销</w:t>
      </w:r>
      <w:r w:rsidRPr="001C6480" w:rsidR="004E6B2E">
        <w:rPr>
          <w:rFonts w:asciiTheme="minorEastAsia" w:eastAsiaTheme="minorEastAsia" w:hAnsiTheme="minorEastAsia" w:cs="Arial" w:hint="eastAsia"/>
          <w:color w:val="000000" w:themeColor="text1"/>
          <w:szCs w:val="21"/>
        </w:rPr>
        <w:t>网点</w:t>
      </w:r>
      <w:r w:rsidRPr="001C6480">
        <w:rPr>
          <w:rFonts w:asciiTheme="minorEastAsia" w:eastAsiaTheme="minorEastAsia" w:hAnsiTheme="minorEastAsia" w:cs="Arial"/>
          <w:color w:val="000000" w:themeColor="text1"/>
          <w:szCs w:val="21"/>
        </w:rPr>
        <w:t>应根据在基金管理人直销</w:t>
      </w:r>
      <w:r w:rsidRPr="001C6480" w:rsidR="004E6B2E">
        <w:rPr>
          <w:rFonts w:asciiTheme="minorEastAsia" w:eastAsiaTheme="minorEastAsia" w:hAnsiTheme="minorEastAsia" w:cs="Arial" w:hint="eastAsia"/>
          <w:color w:val="000000" w:themeColor="text1"/>
          <w:szCs w:val="21"/>
        </w:rPr>
        <w:t>网点</w:t>
      </w:r>
      <w:r w:rsidRPr="001C6480">
        <w:rPr>
          <w:rFonts w:asciiTheme="minorEastAsia" w:eastAsiaTheme="minorEastAsia" w:hAnsiTheme="minorEastAsia" w:cs="Arial"/>
          <w:color w:val="000000" w:themeColor="text1"/>
          <w:szCs w:val="21"/>
        </w:rPr>
        <w:t>进行交易的投资</w:t>
      </w:r>
      <w:r w:rsidRPr="001C6480" w:rsidR="004E6B2E">
        <w:rPr>
          <w:rFonts w:asciiTheme="minorEastAsia" w:eastAsiaTheme="minorEastAsia" w:hAnsiTheme="minorEastAsia" w:cs="Arial" w:hint="eastAsia"/>
          <w:color w:val="000000" w:themeColor="text1"/>
          <w:szCs w:val="21"/>
        </w:rPr>
        <w:t>者</w:t>
      </w:r>
      <w:r w:rsidRPr="001C6480">
        <w:rPr>
          <w:rFonts w:asciiTheme="minorEastAsia" w:eastAsiaTheme="minorEastAsia" w:hAnsiTheme="minorEastAsia" w:cs="Arial"/>
          <w:color w:val="000000" w:themeColor="text1"/>
          <w:szCs w:val="21"/>
        </w:rPr>
        <w:t>的要求提</w:t>
      </w:r>
      <w:r w:rsidRPr="001C6480" w:rsidR="004E6B2E">
        <w:rPr>
          <w:rFonts w:asciiTheme="minorEastAsia" w:eastAsiaTheme="minorEastAsia" w:hAnsiTheme="minorEastAsia" w:cs="Arial" w:hint="eastAsia"/>
          <w:color w:val="000000" w:themeColor="text1"/>
          <w:szCs w:val="21"/>
        </w:rPr>
        <w:t>供</w:t>
      </w:r>
      <w:r w:rsidRPr="001C6480">
        <w:rPr>
          <w:rFonts w:asciiTheme="minorEastAsia" w:eastAsiaTheme="minorEastAsia" w:hAnsiTheme="minorEastAsia" w:cs="Arial"/>
          <w:color w:val="000000" w:themeColor="text1"/>
          <w:szCs w:val="21"/>
        </w:rPr>
        <w:t>成交确认单。基金</w:t>
      </w:r>
      <w:r w:rsidRPr="001C6480" w:rsidR="00FD1294">
        <w:rPr>
          <w:rFonts w:asciiTheme="minorEastAsia" w:eastAsiaTheme="minorEastAsia" w:hAnsiTheme="minorEastAsia" w:cs="宋体" w:hint="eastAsia"/>
          <w:color w:val="000000" w:themeColor="text1"/>
          <w:kern w:val="0"/>
          <w:sz w:val="22"/>
          <w:szCs w:val="22"/>
          <w:lang w:val="zh-CN"/>
        </w:rPr>
        <w:t>非直销销售</w:t>
      </w:r>
      <w:r w:rsidRPr="001C6480">
        <w:rPr>
          <w:rFonts w:asciiTheme="minorEastAsia" w:eastAsiaTheme="minorEastAsia" w:hAnsiTheme="minorEastAsia" w:cs="Arial"/>
          <w:color w:val="000000" w:themeColor="text1"/>
          <w:szCs w:val="21"/>
        </w:rPr>
        <w:t>机构应根据在</w:t>
      </w:r>
      <w:r w:rsidRPr="001C6480" w:rsidR="00FD1294">
        <w:rPr>
          <w:rFonts w:asciiTheme="minorEastAsia" w:eastAsiaTheme="minorEastAsia" w:hAnsiTheme="minorEastAsia" w:cs="Arial" w:hint="eastAsia"/>
          <w:color w:val="000000" w:themeColor="text1"/>
          <w:szCs w:val="21"/>
        </w:rPr>
        <w:t>销售</w:t>
      </w:r>
      <w:r w:rsidRPr="001C6480">
        <w:rPr>
          <w:rFonts w:asciiTheme="minorEastAsia" w:eastAsiaTheme="minorEastAsia" w:hAnsiTheme="minorEastAsia" w:cs="Arial"/>
          <w:color w:val="000000" w:themeColor="text1"/>
          <w:szCs w:val="21"/>
        </w:rPr>
        <w:t>网点进行交易的投资</w:t>
      </w:r>
      <w:r w:rsidRPr="001C6480" w:rsidR="004E6B2E">
        <w:rPr>
          <w:rFonts w:asciiTheme="minorEastAsia" w:eastAsiaTheme="minorEastAsia" w:hAnsiTheme="minorEastAsia" w:cs="Arial" w:hint="eastAsia"/>
          <w:color w:val="000000" w:themeColor="text1"/>
          <w:szCs w:val="21"/>
        </w:rPr>
        <w:t>者</w:t>
      </w:r>
      <w:r w:rsidRPr="001C6480">
        <w:rPr>
          <w:rFonts w:asciiTheme="minorEastAsia" w:eastAsiaTheme="minorEastAsia" w:hAnsiTheme="minorEastAsia" w:cs="Arial"/>
          <w:color w:val="000000" w:themeColor="text1"/>
          <w:szCs w:val="21"/>
        </w:rPr>
        <w:t>的要求提</w:t>
      </w:r>
      <w:r w:rsidRPr="001C6480" w:rsidR="004E6B2E">
        <w:rPr>
          <w:rFonts w:asciiTheme="minorEastAsia" w:eastAsiaTheme="minorEastAsia" w:hAnsiTheme="minorEastAsia" w:cs="Arial" w:hint="eastAsia"/>
          <w:color w:val="000000" w:themeColor="text1"/>
          <w:szCs w:val="21"/>
        </w:rPr>
        <w:t>供</w:t>
      </w:r>
      <w:r w:rsidRPr="001C6480">
        <w:rPr>
          <w:rFonts w:asciiTheme="minorEastAsia" w:eastAsiaTheme="minorEastAsia" w:hAnsiTheme="minorEastAsia" w:cs="Arial"/>
          <w:color w:val="000000" w:themeColor="text1"/>
          <w:szCs w:val="21"/>
        </w:rPr>
        <w:t>成交确认单。</w:t>
      </w:r>
    </w:p>
    <w:p w:rsidR="001A7CDB" w:rsidRPr="001C6480" w:rsidP="00F71D3B">
      <w:pPr>
        <w:pStyle w:val="Heading2"/>
        <w:snapToGrid w:val="0"/>
        <w:spacing w:beforeLines="0" w:afterLines="0" w:line="360" w:lineRule="auto"/>
        <w:ind w:firstLine="0" w:firstLineChars="0"/>
        <w:rPr>
          <w:rFonts w:asciiTheme="minorEastAsia" w:eastAsiaTheme="minorEastAsia" w:hAnsiTheme="minorEastAsia" w:cs="Arial"/>
          <w:b w:val="0"/>
          <w:bCs/>
          <w:color w:val="000000" w:themeColor="text1"/>
        </w:rPr>
      </w:pPr>
      <w:r w:rsidRPr="001C6480">
        <w:rPr>
          <w:rFonts w:asciiTheme="minorEastAsia" w:eastAsiaTheme="minorEastAsia" w:hAnsiTheme="minorEastAsia" w:cs="Arial"/>
          <w:b w:val="0"/>
          <w:bCs/>
          <w:color w:val="000000" w:themeColor="text1"/>
        </w:rPr>
        <w:t>（二）基金份额持有人交易记录查询服务</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本基金份额持有人可通过基金管理人的客户服务中心查询历史交易记录。</w:t>
      </w:r>
    </w:p>
    <w:p w:rsidR="001A7CDB" w:rsidRPr="001C6480" w:rsidP="00F71D3B">
      <w:pPr>
        <w:pStyle w:val="Heading2"/>
        <w:snapToGrid w:val="0"/>
        <w:spacing w:beforeLines="0" w:afterLines="0" w:line="360" w:lineRule="auto"/>
        <w:ind w:firstLine="0" w:firstLineChars="0"/>
        <w:rPr>
          <w:rFonts w:asciiTheme="minorEastAsia" w:eastAsiaTheme="minorEastAsia" w:hAnsiTheme="minorEastAsia" w:cs="Arial"/>
          <w:b w:val="0"/>
          <w:bCs/>
          <w:color w:val="000000" w:themeColor="text1"/>
        </w:rPr>
      </w:pPr>
      <w:r w:rsidRPr="001C6480">
        <w:rPr>
          <w:rFonts w:asciiTheme="minorEastAsia" w:eastAsiaTheme="minorEastAsia" w:hAnsiTheme="minorEastAsia" w:cs="Arial"/>
          <w:b w:val="0"/>
          <w:bCs/>
          <w:color w:val="000000" w:themeColor="text1"/>
        </w:rPr>
        <w:t>（三）基金份额持有人</w:t>
      </w:r>
      <w:r w:rsidRPr="001C6480" w:rsidR="004E6B2E">
        <w:rPr>
          <w:rFonts w:asciiTheme="minorEastAsia" w:eastAsiaTheme="minorEastAsia" w:hAnsiTheme="minorEastAsia" w:cs="Arial" w:hint="eastAsia"/>
          <w:b w:val="0"/>
          <w:bCs/>
          <w:color w:val="000000" w:themeColor="text1"/>
        </w:rPr>
        <w:t>的</w:t>
      </w:r>
      <w:r w:rsidRPr="001C6480">
        <w:rPr>
          <w:rFonts w:asciiTheme="minorEastAsia" w:eastAsiaTheme="minorEastAsia" w:hAnsiTheme="minorEastAsia" w:cs="Arial"/>
          <w:b w:val="0"/>
          <w:bCs/>
          <w:color w:val="000000" w:themeColor="text1"/>
        </w:rPr>
        <w:t>对账单服务</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hint="eastAsia"/>
          <w:color w:val="000000" w:themeColor="text1"/>
        </w:rPr>
        <w:t>1、基金份额持有人可登录本公司网站（http://www.efunds.com.cn）查阅对账单。</w:t>
      </w:r>
    </w:p>
    <w:p w:rsidR="001A7CDB" w:rsidRPr="001C6480" w:rsidP="00F71D3B">
      <w:pPr>
        <w:snapToGrid w:val="0"/>
        <w:spacing w:line="360" w:lineRule="auto"/>
        <w:ind w:firstLine="420" w:firstLineChars="200"/>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hint="eastAsia"/>
          <w:color w:val="000000" w:themeColor="text1"/>
          <w:szCs w:val="21"/>
        </w:rPr>
        <w:t>具体查阅和定制账单的方法可参见本公司网站或拨打客服热线咨询。</w:t>
      </w:r>
    </w:p>
    <w:p w:rsidR="001A7CDB" w:rsidRPr="001C6480" w:rsidP="00F71D3B">
      <w:pPr>
        <w:pStyle w:val="Heading2"/>
        <w:snapToGrid w:val="0"/>
        <w:spacing w:beforeLines="0" w:afterLines="0" w:line="360" w:lineRule="auto"/>
        <w:ind w:firstLine="0" w:firstLineChars="0"/>
        <w:rPr>
          <w:rFonts w:asciiTheme="minorEastAsia" w:eastAsiaTheme="minorEastAsia" w:hAnsiTheme="minorEastAsia" w:cs="Arial"/>
          <w:b w:val="0"/>
          <w:bCs/>
          <w:color w:val="000000" w:themeColor="text1"/>
        </w:rPr>
      </w:pPr>
      <w:r w:rsidRPr="001C6480">
        <w:rPr>
          <w:rFonts w:asciiTheme="minorEastAsia" w:eastAsiaTheme="minorEastAsia" w:hAnsiTheme="minorEastAsia" w:cs="Arial"/>
          <w:b w:val="0"/>
          <w:bCs/>
          <w:color w:val="000000" w:themeColor="text1"/>
        </w:rPr>
        <w:t>（</w:t>
      </w:r>
      <w:r w:rsidRPr="001C6480" w:rsidR="002B3F76">
        <w:rPr>
          <w:rFonts w:asciiTheme="minorEastAsia" w:eastAsiaTheme="minorEastAsia" w:hAnsiTheme="minorEastAsia" w:cs="Arial" w:hint="eastAsia"/>
          <w:b w:val="0"/>
          <w:bCs/>
          <w:color w:val="000000" w:themeColor="text1"/>
        </w:rPr>
        <w:t>四</w:t>
      </w:r>
      <w:r w:rsidRPr="001C6480">
        <w:rPr>
          <w:rFonts w:asciiTheme="minorEastAsia" w:eastAsiaTheme="minorEastAsia" w:hAnsiTheme="minorEastAsia" w:cs="Arial"/>
          <w:b w:val="0"/>
          <w:bCs/>
          <w:color w:val="000000" w:themeColor="text1"/>
        </w:rPr>
        <w:t>）定期定额投资计划</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hint="eastAsia"/>
          <w:color w:val="000000" w:themeColor="text1"/>
          <w:szCs w:val="21"/>
        </w:rPr>
        <w:t>基金管理人可利用</w:t>
      </w:r>
      <w:r w:rsidRPr="001C6480" w:rsidR="002B3F76">
        <w:rPr>
          <w:rFonts w:asciiTheme="minorEastAsia" w:eastAsiaTheme="minorEastAsia" w:hAnsiTheme="minorEastAsia" w:cs="宋体" w:hint="eastAsia"/>
          <w:color w:val="000000" w:themeColor="text1"/>
          <w:kern w:val="0"/>
          <w:sz w:val="22"/>
          <w:szCs w:val="22"/>
          <w:lang w:val="zh-CN"/>
        </w:rPr>
        <w:t>非直销销售</w:t>
      </w:r>
      <w:r w:rsidRPr="001C6480">
        <w:rPr>
          <w:rFonts w:asciiTheme="minorEastAsia" w:eastAsiaTheme="minorEastAsia" w:hAnsiTheme="minorEastAsia" w:cs="Arial" w:hint="eastAsia"/>
          <w:color w:val="000000" w:themeColor="text1"/>
          <w:szCs w:val="21"/>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r w:rsidRPr="001C6480" w:rsidR="00072450">
        <w:rPr>
          <w:rFonts w:asciiTheme="minorEastAsia" w:eastAsiaTheme="minorEastAsia" w:hAnsiTheme="minorEastAsia" w:hint="eastAsia"/>
          <w:color w:val="000000" w:themeColor="text1"/>
        </w:rPr>
        <w:t>原易方达量化衍伸股票型证券投资基金已于</w:t>
      </w:r>
      <w:r w:rsidRPr="001C6480" w:rsidR="00072450">
        <w:rPr>
          <w:rFonts w:asciiTheme="minorEastAsia" w:eastAsiaTheme="minorEastAsia" w:hAnsiTheme="minorEastAsia"/>
          <w:color w:val="000000" w:themeColor="text1"/>
        </w:rPr>
        <w:t>2012</w:t>
      </w:r>
      <w:r w:rsidRPr="001C6480" w:rsidR="00072450">
        <w:rPr>
          <w:rFonts w:asciiTheme="minorEastAsia" w:eastAsiaTheme="minorEastAsia" w:hAnsiTheme="minorEastAsia" w:hint="eastAsia"/>
          <w:color w:val="000000" w:themeColor="text1"/>
        </w:rPr>
        <w:t>年9月27日开始办理定期定额投资业务，原基金变更不影响本基金的正常定期定额投资。</w:t>
      </w:r>
    </w:p>
    <w:p w:rsidR="001A7CDB" w:rsidRPr="001C6480" w:rsidP="00F71D3B">
      <w:pPr>
        <w:pStyle w:val="Heading2"/>
        <w:snapToGrid w:val="0"/>
        <w:spacing w:beforeLines="0" w:afterLines="0" w:line="360" w:lineRule="auto"/>
        <w:ind w:firstLine="0" w:firstLineChars="0"/>
        <w:rPr>
          <w:rFonts w:asciiTheme="minorEastAsia" w:eastAsiaTheme="minorEastAsia" w:hAnsiTheme="minorEastAsia" w:cs="Arial"/>
          <w:b w:val="0"/>
          <w:bCs/>
          <w:color w:val="000000" w:themeColor="text1"/>
        </w:rPr>
      </w:pPr>
      <w:r w:rsidRPr="001C6480">
        <w:rPr>
          <w:rFonts w:asciiTheme="minorEastAsia" w:eastAsiaTheme="minorEastAsia" w:hAnsiTheme="minorEastAsia" w:cs="Arial"/>
          <w:b w:val="0"/>
          <w:bCs/>
          <w:color w:val="000000" w:themeColor="text1"/>
        </w:rPr>
        <w:t>（</w:t>
      </w:r>
      <w:r w:rsidRPr="001C6480" w:rsidR="002B3F76">
        <w:rPr>
          <w:rFonts w:asciiTheme="minorEastAsia" w:eastAsiaTheme="minorEastAsia" w:hAnsiTheme="minorEastAsia" w:cs="Arial" w:hint="eastAsia"/>
          <w:b w:val="0"/>
          <w:bCs/>
          <w:color w:val="000000" w:themeColor="text1"/>
        </w:rPr>
        <w:t>五</w:t>
      </w:r>
      <w:r w:rsidRPr="001C6480">
        <w:rPr>
          <w:rFonts w:asciiTheme="minorEastAsia" w:eastAsiaTheme="minorEastAsia" w:hAnsiTheme="minorEastAsia" w:cs="Arial"/>
          <w:b w:val="0"/>
          <w:bCs/>
          <w:color w:val="000000" w:themeColor="text1"/>
        </w:rPr>
        <w:t>）资讯服务</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hint="eastAsia"/>
          <w:color w:val="000000" w:themeColor="text1"/>
          <w:szCs w:val="21"/>
        </w:rPr>
        <w:t>1、</w:t>
      </w:r>
      <w:r w:rsidRPr="001C6480">
        <w:rPr>
          <w:rFonts w:asciiTheme="minorEastAsia" w:eastAsiaTheme="minorEastAsia" w:hAnsiTheme="minorEastAsia" w:cs="Arial"/>
          <w:color w:val="000000" w:themeColor="text1"/>
          <w:szCs w:val="21"/>
        </w:rPr>
        <w:t>客户服务电话</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投资</w:t>
      </w:r>
      <w:r w:rsidRPr="001C6480" w:rsidR="004E6B2E">
        <w:rPr>
          <w:rFonts w:asciiTheme="minorEastAsia" w:eastAsiaTheme="minorEastAsia" w:hAnsiTheme="minorEastAsia" w:cs="Arial" w:hint="eastAsia"/>
          <w:color w:val="000000" w:themeColor="text1"/>
          <w:szCs w:val="21"/>
        </w:rPr>
        <w:t>者</w:t>
      </w:r>
      <w:r w:rsidRPr="001C6480">
        <w:rPr>
          <w:rFonts w:asciiTheme="minorEastAsia" w:eastAsiaTheme="minorEastAsia" w:hAnsiTheme="minorEastAsia" w:cs="Arial"/>
          <w:color w:val="000000" w:themeColor="text1"/>
          <w:szCs w:val="21"/>
        </w:rPr>
        <w:t>如果想了解申购与赎回的交易情况、基金账户余额、基金产品与服务等信息，</w:t>
      </w:r>
      <w:r w:rsidRPr="001C6480" w:rsidR="00DD5BCE">
        <w:rPr>
          <w:rFonts w:asciiTheme="minorEastAsia" w:eastAsiaTheme="minorEastAsia" w:hAnsiTheme="minorEastAsia" w:hint="eastAsia"/>
          <w:color w:val="000000" w:themeColor="text1"/>
          <w:kern w:val="0"/>
        </w:rPr>
        <w:t>或反馈投资过程中需要投诉与建议的情况，</w:t>
      </w:r>
      <w:r w:rsidRPr="001C6480">
        <w:rPr>
          <w:rFonts w:asciiTheme="minorEastAsia" w:eastAsiaTheme="minorEastAsia" w:hAnsiTheme="minorEastAsia" w:cs="Arial"/>
          <w:color w:val="000000" w:themeColor="text1"/>
          <w:szCs w:val="21"/>
        </w:rPr>
        <w:t>可拨打如下电话：4008818088。</w:t>
      </w:r>
      <w:r w:rsidRPr="001C6480" w:rsidR="00DD5BCE">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hint="eastAsia"/>
          <w:color w:val="000000" w:themeColor="text1"/>
          <w:szCs w:val="21"/>
        </w:rPr>
        <w:t>2、</w:t>
      </w:r>
      <w:r w:rsidRPr="001C6480">
        <w:rPr>
          <w:rFonts w:asciiTheme="minorEastAsia" w:eastAsiaTheme="minorEastAsia" w:hAnsiTheme="minorEastAsia" w:cs="Arial"/>
          <w:color w:val="000000" w:themeColor="text1"/>
          <w:szCs w:val="21"/>
        </w:rPr>
        <w:t>互联网站及电子信箱</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网址：</w:t>
      </w:r>
      <w:hyperlink r:id="rId9" w:history="1">
        <w:r w:rsidRPr="001C6480">
          <w:rPr>
            <w:rFonts w:asciiTheme="minorEastAsia" w:eastAsiaTheme="minorEastAsia" w:hAnsiTheme="minorEastAsia" w:cs="Arial"/>
            <w:color w:val="000000" w:themeColor="text1"/>
            <w:szCs w:val="21"/>
          </w:rPr>
          <w:t>http://www.efunds.com.cn</w:t>
        </w:r>
      </w:hyperlink>
    </w:p>
    <w:p w:rsidR="004B766C"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szCs w:val="21"/>
        </w:rPr>
      </w:pPr>
      <w:r w:rsidRPr="001C6480">
        <w:rPr>
          <w:rFonts w:asciiTheme="minorEastAsia" w:eastAsiaTheme="minorEastAsia" w:hAnsiTheme="minorEastAsia" w:cs="Arial"/>
          <w:color w:val="000000" w:themeColor="text1"/>
          <w:szCs w:val="21"/>
        </w:rPr>
        <w:t>电子信箱：</w:t>
      </w:r>
      <w:hyperlink r:id="rId10" w:history="1">
        <w:r w:rsidRPr="001C6480">
          <w:rPr>
            <w:rFonts w:asciiTheme="minorEastAsia" w:eastAsiaTheme="minorEastAsia" w:hAnsiTheme="minorEastAsia" w:cs="Arial"/>
            <w:color w:val="000000" w:themeColor="text1"/>
            <w:szCs w:val="21"/>
          </w:rPr>
          <w:t>service@efunds.com.cn</w:t>
        </w:r>
      </w:hyperlink>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286323">
      <w:pPr>
        <w:jc w:val="center"/>
        <w:rPr>
          <w:rFonts w:asciiTheme="minorEastAsia" w:eastAsiaTheme="minorEastAsia" w:hAnsiTheme="minorEastAsia"/>
          <w:color w:val="000000" w:themeColor="text1"/>
        </w:rPr>
      </w:pPr>
    </w:p>
    <w:p w:rsidR="004B766C" w:rsidRPr="001C6480" w:rsidP="004B766C">
      <w:pPr>
        <w:jc w:val="cente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4B766C" w:rsidRPr="001C6480" w:rsidP="004B766C">
      <w:pPr>
        <w:rPr>
          <w:rFonts w:asciiTheme="minorEastAsia" w:eastAsiaTheme="minorEastAsia" w:hAnsiTheme="minorEastAsia"/>
          <w:color w:val="000000" w:themeColor="text1"/>
        </w:rPr>
      </w:pPr>
    </w:p>
    <w:p w:rsidR="001A7CDB" w:rsidRPr="001C6480" w:rsidP="004B766C">
      <w:pPr>
        <w:rPr>
          <w:rFonts w:asciiTheme="minorEastAsia" w:eastAsiaTheme="minorEastAsia" w:hAnsiTheme="minorEastAsia"/>
          <w:color w:val="000000" w:themeColor="text1"/>
        </w:rPr>
      </w:pP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1108" w:name="_Toc38438275"/>
      <w:bookmarkStart w:id="1109" w:name="_Toc38438612"/>
      <w:bookmarkStart w:id="1110" w:name="_Toc38438949"/>
      <w:bookmarkStart w:id="1111" w:name="_Toc38439286"/>
      <w:bookmarkStart w:id="1112" w:name="_Toc38439623"/>
      <w:bookmarkStart w:id="1113" w:name="_Toc38439960"/>
      <w:bookmarkStart w:id="1114" w:name="_Toc38440297"/>
      <w:bookmarkStart w:id="1115" w:name="_Toc38440630"/>
      <w:bookmarkStart w:id="1116" w:name="_Toc38440829"/>
      <w:bookmarkStart w:id="1117" w:name="_Toc38441161"/>
      <w:bookmarkStart w:id="1118" w:name="_Toc38441493"/>
      <w:bookmarkStart w:id="1119" w:name="_Toc38441821"/>
      <w:bookmarkStart w:id="1120" w:name="_Toc38442153"/>
      <w:bookmarkStart w:id="1121" w:name="_Toc38442485"/>
      <w:bookmarkStart w:id="1122" w:name="_Toc38442816"/>
      <w:bookmarkStart w:id="1123" w:name="_Toc38443147"/>
      <w:bookmarkStart w:id="1124" w:name="_Toc38443478"/>
      <w:bookmarkStart w:id="1125" w:name="_Toc38443809"/>
      <w:bookmarkStart w:id="1126" w:name="_Toc38438277"/>
      <w:bookmarkStart w:id="1127" w:name="_Toc38438614"/>
      <w:bookmarkStart w:id="1128" w:name="_Toc38438951"/>
      <w:bookmarkStart w:id="1129" w:name="_Toc38439288"/>
      <w:bookmarkStart w:id="1130" w:name="_Toc38439625"/>
      <w:bookmarkStart w:id="1131" w:name="_Toc38439962"/>
      <w:bookmarkStart w:id="1132" w:name="_Toc38440299"/>
      <w:bookmarkStart w:id="1133" w:name="_Toc38440632"/>
      <w:bookmarkStart w:id="1134" w:name="_Toc38440831"/>
      <w:bookmarkStart w:id="1135" w:name="_Toc38441163"/>
      <w:bookmarkStart w:id="1136" w:name="_Toc38441495"/>
      <w:bookmarkStart w:id="1137" w:name="_Toc38441823"/>
      <w:bookmarkStart w:id="1138" w:name="_Toc38442155"/>
      <w:bookmarkStart w:id="1139" w:name="_Toc38442487"/>
      <w:bookmarkStart w:id="1140" w:name="_Toc38442818"/>
      <w:bookmarkStart w:id="1141" w:name="_Toc38443149"/>
      <w:bookmarkStart w:id="1142" w:name="_Toc38443480"/>
      <w:bookmarkStart w:id="1143" w:name="_Toc38443811"/>
      <w:bookmarkStart w:id="1144" w:name="_Toc38438278"/>
      <w:bookmarkStart w:id="1145" w:name="_Toc38438615"/>
      <w:bookmarkStart w:id="1146" w:name="_Toc38438952"/>
      <w:bookmarkStart w:id="1147" w:name="_Toc38439289"/>
      <w:bookmarkStart w:id="1148" w:name="_Toc38439626"/>
      <w:bookmarkStart w:id="1149" w:name="_Toc38439963"/>
      <w:bookmarkStart w:id="1150" w:name="_Toc38440300"/>
      <w:bookmarkStart w:id="1151" w:name="_Toc38440633"/>
      <w:bookmarkStart w:id="1152" w:name="_Toc38440832"/>
      <w:bookmarkStart w:id="1153" w:name="_Toc38441164"/>
      <w:bookmarkStart w:id="1154" w:name="_Toc38441496"/>
      <w:bookmarkStart w:id="1155" w:name="_Toc38441824"/>
      <w:bookmarkStart w:id="1156" w:name="_Toc38442156"/>
      <w:bookmarkStart w:id="1157" w:name="_Toc38442488"/>
      <w:bookmarkStart w:id="1158" w:name="_Toc38442819"/>
      <w:bookmarkStart w:id="1159" w:name="_Toc38443150"/>
      <w:bookmarkStart w:id="1160" w:name="_Toc38443481"/>
      <w:bookmarkStart w:id="1161" w:name="_Toc38443812"/>
      <w:bookmarkStart w:id="1162" w:name="_Toc38438279"/>
      <w:bookmarkStart w:id="1163" w:name="_Toc38438616"/>
      <w:bookmarkStart w:id="1164" w:name="_Toc38438953"/>
      <w:bookmarkStart w:id="1165" w:name="_Toc38439290"/>
      <w:bookmarkStart w:id="1166" w:name="_Toc38439627"/>
      <w:bookmarkStart w:id="1167" w:name="_Toc38439964"/>
      <w:bookmarkStart w:id="1168" w:name="_Toc38440301"/>
      <w:bookmarkStart w:id="1169" w:name="_Toc38440634"/>
      <w:bookmarkStart w:id="1170" w:name="_Toc38440833"/>
      <w:bookmarkStart w:id="1171" w:name="_Toc38441165"/>
      <w:bookmarkStart w:id="1172" w:name="_Toc38441497"/>
      <w:bookmarkStart w:id="1173" w:name="_Toc38441825"/>
      <w:bookmarkStart w:id="1174" w:name="_Toc38442157"/>
      <w:bookmarkStart w:id="1175" w:name="_Toc38442489"/>
      <w:bookmarkStart w:id="1176" w:name="_Toc38442820"/>
      <w:bookmarkStart w:id="1177" w:name="_Toc38443151"/>
      <w:bookmarkStart w:id="1178" w:name="_Toc38443482"/>
      <w:bookmarkStart w:id="1179" w:name="_Toc38443813"/>
      <w:bookmarkStart w:id="1180" w:name="_Toc38438280"/>
      <w:bookmarkStart w:id="1181" w:name="_Toc38438617"/>
      <w:bookmarkStart w:id="1182" w:name="_Toc38438954"/>
      <w:bookmarkStart w:id="1183" w:name="_Toc38439291"/>
      <w:bookmarkStart w:id="1184" w:name="_Toc38439628"/>
      <w:bookmarkStart w:id="1185" w:name="_Toc38439965"/>
      <w:bookmarkStart w:id="1186" w:name="_Toc38440302"/>
      <w:bookmarkStart w:id="1187" w:name="_Toc38440635"/>
      <w:bookmarkStart w:id="1188" w:name="_Toc38440834"/>
      <w:bookmarkStart w:id="1189" w:name="_Toc38441166"/>
      <w:bookmarkStart w:id="1190" w:name="_Toc38441498"/>
      <w:bookmarkStart w:id="1191" w:name="_Toc38441826"/>
      <w:bookmarkStart w:id="1192" w:name="_Toc38442158"/>
      <w:bookmarkStart w:id="1193" w:name="_Toc38442490"/>
      <w:bookmarkStart w:id="1194" w:name="_Toc38442821"/>
      <w:bookmarkStart w:id="1195" w:name="_Toc38443152"/>
      <w:bookmarkStart w:id="1196" w:name="_Toc38443483"/>
      <w:bookmarkStart w:id="1197" w:name="_Toc38443814"/>
      <w:bookmarkStart w:id="1198" w:name="_Toc38438281"/>
      <w:bookmarkStart w:id="1199" w:name="_Toc38438618"/>
      <w:bookmarkStart w:id="1200" w:name="_Toc38438955"/>
      <w:bookmarkStart w:id="1201" w:name="_Toc38439292"/>
      <w:bookmarkStart w:id="1202" w:name="_Toc38439629"/>
      <w:bookmarkStart w:id="1203" w:name="_Toc38439966"/>
      <w:bookmarkStart w:id="1204" w:name="_Toc38440303"/>
      <w:bookmarkStart w:id="1205" w:name="_Toc38440636"/>
      <w:bookmarkStart w:id="1206" w:name="_Toc38440835"/>
      <w:bookmarkStart w:id="1207" w:name="_Toc38441167"/>
      <w:bookmarkStart w:id="1208" w:name="_Toc38441499"/>
      <w:bookmarkStart w:id="1209" w:name="_Toc38441827"/>
      <w:bookmarkStart w:id="1210" w:name="_Toc38442159"/>
      <w:bookmarkStart w:id="1211" w:name="_Toc38442491"/>
      <w:bookmarkStart w:id="1212" w:name="_Toc38442822"/>
      <w:bookmarkStart w:id="1213" w:name="_Toc38443153"/>
      <w:bookmarkStart w:id="1214" w:name="_Toc38443484"/>
      <w:bookmarkStart w:id="1215" w:name="_Toc38443815"/>
      <w:bookmarkStart w:id="1216" w:name="_Toc38438282"/>
      <w:bookmarkStart w:id="1217" w:name="_Toc38438619"/>
      <w:bookmarkStart w:id="1218" w:name="_Toc38438956"/>
      <w:bookmarkStart w:id="1219" w:name="_Toc38439293"/>
      <w:bookmarkStart w:id="1220" w:name="_Toc38439630"/>
      <w:bookmarkStart w:id="1221" w:name="_Toc38439967"/>
      <w:bookmarkStart w:id="1222" w:name="_Toc38440304"/>
      <w:bookmarkStart w:id="1223" w:name="_Toc38440637"/>
      <w:bookmarkStart w:id="1224" w:name="_Toc38440836"/>
      <w:bookmarkStart w:id="1225" w:name="_Toc38441168"/>
      <w:bookmarkStart w:id="1226" w:name="_Toc38441500"/>
      <w:bookmarkStart w:id="1227" w:name="_Toc38441828"/>
      <w:bookmarkStart w:id="1228" w:name="_Toc38442160"/>
      <w:bookmarkStart w:id="1229" w:name="_Toc38442492"/>
      <w:bookmarkStart w:id="1230" w:name="_Toc38442823"/>
      <w:bookmarkStart w:id="1231" w:name="_Toc38443154"/>
      <w:bookmarkStart w:id="1232" w:name="_Toc38443485"/>
      <w:bookmarkStart w:id="1233" w:name="_Toc38443816"/>
      <w:bookmarkStart w:id="1234" w:name="_Toc38438283"/>
      <w:bookmarkStart w:id="1235" w:name="_Toc38438620"/>
      <w:bookmarkStart w:id="1236" w:name="_Toc38438957"/>
      <w:bookmarkStart w:id="1237" w:name="_Toc38439294"/>
      <w:bookmarkStart w:id="1238" w:name="_Toc38439631"/>
      <w:bookmarkStart w:id="1239" w:name="_Toc38439968"/>
      <w:bookmarkStart w:id="1240" w:name="_Toc38440305"/>
      <w:bookmarkStart w:id="1241" w:name="_Toc38440638"/>
      <w:bookmarkStart w:id="1242" w:name="_Toc38440837"/>
      <w:bookmarkStart w:id="1243" w:name="_Toc38441169"/>
      <w:bookmarkStart w:id="1244" w:name="_Toc38441501"/>
      <w:bookmarkStart w:id="1245" w:name="_Toc38441829"/>
      <w:bookmarkStart w:id="1246" w:name="_Toc38442161"/>
      <w:bookmarkStart w:id="1247" w:name="_Toc38442493"/>
      <w:bookmarkStart w:id="1248" w:name="_Toc38442824"/>
      <w:bookmarkStart w:id="1249" w:name="_Toc38443155"/>
      <w:bookmarkStart w:id="1250" w:name="_Toc38443486"/>
      <w:bookmarkStart w:id="1251" w:name="_Toc38443817"/>
      <w:bookmarkStart w:id="1252" w:name="_Toc38438284"/>
      <w:bookmarkStart w:id="1253" w:name="_Toc38438621"/>
      <w:bookmarkStart w:id="1254" w:name="_Toc38438958"/>
      <w:bookmarkStart w:id="1255" w:name="_Toc38439295"/>
      <w:bookmarkStart w:id="1256" w:name="_Toc38439632"/>
      <w:bookmarkStart w:id="1257" w:name="_Toc38439969"/>
      <w:bookmarkStart w:id="1258" w:name="_Toc38440306"/>
      <w:bookmarkStart w:id="1259" w:name="_Toc38440639"/>
      <w:bookmarkStart w:id="1260" w:name="_Toc38440838"/>
      <w:bookmarkStart w:id="1261" w:name="_Toc38441170"/>
      <w:bookmarkStart w:id="1262" w:name="_Toc38441502"/>
      <w:bookmarkStart w:id="1263" w:name="_Toc38441830"/>
      <w:bookmarkStart w:id="1264" w:name="_Toc38442162"/>
      <w:bookmarkStart w:id="1265" w:name="_Toc38442494"/>
      <w:bookmarkStart w:id="1266" w:name="_Toc38442825"/>
      <w:bookmarkStart w:id="1267" w:name="_Toc38443156"/>
      <w:bookmarkStart w:id="1268" w:name="_Toc38443487"/>
      <w:bookmarkStart w:id="1269" w:name="_Toc38443818"/>
      <w:bookmarkStart w:id="1270" w:name="_Toc38438285"/>
      <w:bookmarkStart w:id="1271" w:name="_Toc38438622"/>
      <w:bookmarkStart w:id="1272" w:name="_Toc38438959"/>
      <w:bookmarkStart w:id="1273" w:name="_Toc38439296"/>
      <w:bookmarkStart w:id="1274" w:name="_Toc38439633"/>
      <w:bookmarkStart w:id="1275" w:name="_Toc38439970"/>
      <w:bookmarkStart w:id="1276" w:name="_Toc38440307"/>
      <w:bookmarkStart w:id="1277" w:name="_Toc38440640"/>
      <w:bookmarkStart w:id="1278" w:name="_Toc38440839"/>
      <w:bookmarkStart w:id="1279" w:name="_Toc38441171"/>
      <w:bookmarkStart w:id="1280" w:name="_Toc38441503"/>
      <w:bookmarkStart w:id="1281" w:name="_Toc38441831"/>
      <w:bookmarkStart w:id="1282" w:name="_Toc38442163"/>
      <w:bookmarkStart w:id="1283" w:name="_Toc38442495"/>
      <w:bookmarkStart w:id="1284" w:name="_Toc38442826"/>
      <w:bookmarkStart w:id="1285" w:name="_Toc38443157"/>
      <w:bookmarkStart w:id="1286" w:name="_Toc38443488"/>
      <w:bookmarkStart w:id="1287" w:name="_Toc38443819"/>
      <w:bookmarkStart w:id="1288" w:name="_Toc38438286"/>
      <w:bookmarkStart w:id="1289" w:name="_Toc38438623"/>
      <w:bookmarkStart w:id="1290" w:name="_Toc38438960"/>
      <w:bookmarkStart w:id="1291" w:name="_Toc38439297"/>
      <w:bookmarkStart w:id="1292" w:name="_Toc38439634"/>
      <w:bookmarkStart w:id="1293" w:name="_Toc38439971"/>
      <w:bookmarkStart w:id="1294" w:name="_Toc38440308"/>
      <w:bookmarkStart w:id="1295" w:name="_Toc38440641"/>
      <w:bookmarkStart w:id="1296" w:name="_Toc38440840"/>
      <w:bookmarkStart w:id="1297" w:name="_Toc38441172"/>
      <w:bookmarkStart w:id="1298" w:name="_Toc38441504"/>
      <w:bookmarkStart w:id="1299" w:name="_Toc38441832"/>
      <w:bookmarkStart w:id="1300" w:name="_Toc38442164"/>
      <w:bookmarkStart w:id="1301" w:name="_Toc38442496"/>
      <w:bookmarkStart w:id="1302" w:name="_Toc38442827"/>
      <w:bookmarkStart w:id="1303" w:name="_Toc38443158"/>
      <w:bookmarkStart w:id="1304" w:name="_Toc38443489"/>
      <w:bookmarkStart w:id="1305" w:name="_Toc38443820"/>
      <w:bookmarkStart w:id="1306" w:name="_Toc38438287"/>
      <w:bookmarkStart w:id="1307" w:name="_Toc38438624"/>
      <w:bookmarkStart w:id="1308" w:name="_Toc38438961"/>
      <w:bookmarkStart w:id="1309" w:name="_Toc38439298"/>
      <w:bookmarkStart w:id="1310" w:name="_Toc38439635"/>
      <w:bookmarkStart w:id="1311" w:name="_Toc38439972"/>
      <w:bookmarkStart w:id="1312" w:name="_Toc38440309"/>
      <w:bookmarkStart w:id="1313" w:name="_Toc38440642"/>
      <w:bookmarkStart w:id="1314" w:name="_Toc38440841"/>
      <w:bookmarkStart w:id="1315" w:name="_Toc38441173"/>
      <w:bookmarkStart w:id="1316" w:name="_Toc38441505"/>
      <w:bookmarkStart w:id="1317" w:name="_Toc38441833"/>
      <w:bookmarkStart w:id="1318" w:name="_Toc38442165"/>
      <w:bookmarkStart w:id="1319" w:name="_Toc38442497"/>
      <w:bookmarkStart w:id="1320" w:name="_Toc38442828"/>
      <w:bookmarkStart w:id="1321" w:name="_Toc38443159"/>
      <w:bookmarkStart w:id="1322" w:name="_Toc38443490"/>
      <w:bookmarkStart w:id="1323" w:name="_Toc38443821"/>
      <w:bookmarkStart w:id="1324" w:name="_Toc38438288"/>
      <w:bookmarkStart w:id="1325" w:name="_Toc38438625"/>
      <w:bookmarkStart w:id="1326" w:name="_Toc38438962"/>
      <w:bookmarkStart w:id="1327" w:name="_Toc38439299"/>
      <w:bookmarkStart w:id="1328" w:name="_Toc38439636"/>
      <w:bookmarkStart w:id="1329" w:name="_Toc38439973"/>
      <w:bookmarkStart w:id="1330" w:name="_Toc38440310"/>
      <w:bookmarkStart w:id="1331" w:name="_Toc38440643"/>
      <w:bookmarkStart w:id="1332" w:name="_Toc38440842"/>
      <w:bookmarkStart w:id="1333" w:name="_Toc38441174"/>
      <w:bookmarkStart w:id="1334" w:name="_Toc38441506"/>
      <w:bookmarkStart w:id="1335" w:name="_Toc38441834"/>
      <w:bookmarkStart w:id="1336" w:name="_Toc38442166"/>
      <w:bookmarkStart w:id="1337" w:name="_Toc38442498"/>
      <w:bookmarkStart w:id="1338" w:name="_Toc38442829"/>
      <w:bookmarkStart w:id="1339" w:name="_Toc38443160"/>
      <w:bookmarkStart w:id="1340" w:name="_Toc38443491"/>
      <w:bookmarkStart w:id="1341" w:name="_Toc38443822"/>
      <w:bookmarkStart w:id="1342" w:name="_Toc38438289"/>
      <w:bookmarkStart w:id="1343" w:name="_Toc38438626"/>
      <w:bookmarkStart w:id="1344" w:name="_Toc38438963"/>
      <w:bookmarkStart w:id="1345" w:name="_Toc38439300"/>
      <w:bookmarkStart w:id="1346" w:name="_Toc38439637"/>
      <w:bookmarkStart w:id="1347" w:name="_Toc38439974"/>
      <w:bookmarkStart w:id="1348" w:name="_Toc38440311"/>
      <w:bookmarkStart w:id="1349" w:name="_Toc38440644"/>
      <w:bookmarkStart w:id="1350" w:name="_Toc38440843"/>
      <w:bookmarkStart w:id="1351" w:name="_Toc38441175"/>
      <w:bookmarkStart w:id="1352" w:name="_Toc38441507"/>
      <w:bookmarkStart w:id="1353" w:name="_Toc38441835"/>
      <w:bookmarkStart w:id="1354" w:name="_Toc38442167"/>
      <w:bookmarkStart w:id="1355" w:name="_Toc38442499"/>
      <w:bookmarkStart w:id="1356" w:name="_Toc38442830"/>
      <w:bookmarkStart w:id="1357" w:name="_Toc38443161"/>
      <w:bookmarkStart w:id="1358" w:name="_Toc38443492"/>
      <w:bookmarkStart w:id="1359" w:name="_Toc38443823"/>
      <w:bookmarkStart w:id="1360" w:name="_Toc38438290"/>
      <w:bookmarkStart w:id="1361" w:name="_Toc38438627"/>
      <w:bookmarkStart w:id="1362" w:name="_Toc38438964"/>
      <w:bookmarkStart w:id="1363" w:name="_Toc38439301"/>
      <w:bookmarkStart w:id="1364" w:name="_Toc38439638"/>
      <w:bookmarkStart w:id="1365" w:name="_Toc38439975"/>
      <w:bookmarkStart w:id="1366" w:name="_Toc38440312"/>
      <w:bookmarkStart w:id="1367" w:name="_Toc38440645"/>
      <w:bookmarkStart w:id="1368" w:name="_Toc38440844"/>
      <w:bookmarkStart w:id="1369" w:name="_Toc38441176"/>
      <w:bookmarkStart w:id="1370" w:name="_Toc38441508"/>
      <w:bookmarkStart w:id="1371" w:name="_Toc38441836"/>
      <w:bookmarkStart w:id="1372" w:name="_Toc38442168"/>
      <w:bookmarkStart w:id="1373" w:name="_Toc38442500"/>
      <w:bookmarkStart w:id="1374" w:name="_Toc38442831"/>
      <w:bookmarkStart w:id="1375" w:name="_Toc38443162"/>
      <w:bookmarkStart w:id="1376" w:name="_Toc38443493"/>
      <w:bookmarkStart w:id="1377" w:name="_Toc38443824"/>
      <w:bookmarkStart w:id="1378" w:name="_Toc38438291"/>
      <w:bookmarkStart w:id="1379" w:name="_Toc38438628"/>
      <w:bookmarkStart w:id="1380" w:name="_Toc38438965"/>
      <w:bookmarkStart w:id="1381" w:name="_Toc38439302"/>
      <w:bookmarkStart w:id="1382" w:name="_Toc38439639"/>
      <w:bookmarkStart w:id="1383" w:name="_Toc38439976"/>
      <w:bookmarkStart w:id="1384" w:name="_Toc38440313"/>
      <w:bookmarkStart w:id="1385" w:name="_Toc38440646"/>
      <w:bookmarkStart w:id="1386" w:name="_Toc38440845"/>
      <w:bookmarkStart w:id="1387" w:name="_Toc38441177"/>
      <w:bookmarkStart w:id="1388" w:name="_Toc38441509"/>
      <w:bookmarkStart w:id="1389" w:name="_Toc38441837"/>
      <w:bookmarkStart w:id="1390" w:name="_Toc38442169"/>
      <w:bookmarkStart w:id="1391" w:name="_Toc38442501"/>
      <w:bookmarkStart w:id="1392" w:name="_Toc38442832"/>
      <w:bookmarkStart w:id="1393" w:name="_Toc38443163"/>
      <w:bookmarkStart w:id="1394" w:name="_Toc38443494"/>
      <w:bookmarkStart w:id="1395" w:name="_Toc38443825"/>
      <w:bookmarkStart w:id="1396" w:name="_Toc38438292"/>
      <w:bookmarkStart w:id="1397" w:name="_Toc38438629"/>
      <w:bookmarkStart w:id="1398" w:name="_Toc38438966"/>
      <w:bookmarkStart w:id="1399" w:name="_Toc38439303"/>
      <w:bookmarkStart w:id="1400" w:name="_Toc38439640"/>
      <w:bookmarkStart w:id="1401" w:name="_Toc38439977"/>
      <w:bookmarkStart w:id="1402" w:name="_Toc38440314"/>
      <w:bookmarkStart w:id="1403" w:name="_Toc38440647"/>
      <w:bookmarkStart w:id="1404" w:name="_Toc38440846"/>
      <w:bookmarkStart w:id="1405" w:name="_Toc38441178"/>
      <w:bookmarkStart w:id="1406" w:name="_Toc38441510"/>
      <w:bookmarkStart w:id="1407" w:name="_Toc38441838"/>
      <w:bookmarkStart w:id="1408" w:name="_Toc38442170"/>
      <w:bookmarkStart w:id="1409" w:name="_Toc38442502"/>
      <w:bookmarkStart w:id="1410" w:name="_Toc38442833"/>
      <w:bookmarkStart w:id="1411" w:name="_Toc38443164"/>
      <w:bookmarkStart w:id="1412" w:name="_Toc38443495"/>
      <w:bookmarkStart w:id="1413" w:name="_Toc38443826"/>
      <w:bookmarkStart w:id="1414" w:name="_Toc38438293"/>
      <w:bookmarkStart w:id="1415" w:name="_Toc38438630"/>
      <w:bookmarkStart w:id="1416" w:name="_Toc38438967"/>
      <w:bookmarkStart w:id="1417" w:name="_Toc38439304"/>
      <w:bookmarkStart w:id="1418" w:name="_Toc38439641"/>
      <w:bookmarkStart w:id="1419" w:name="_Toc38439978"/>
      <w:bookmarkStart w:id="1420" w:name="_Toc38440315"/>
      <w:bookmarkStart w:id="1421" w:name="_Toc38440648"/>
      <w:bookmarkStart w:id="1422" w:name="_Toc38440847"/>
      <w:bookmarkStart w:id="1423" w:name="_Toc38441179"/>
      <w:bookmarkStart w:id="1424" w:name="_Toc38441511"/>
      <w:bookmarkStart w:id="1425" w:name="_Toc38441839"/>
      <w:bookmarkStart w:id="1426" w:name="_Toc38442171"/>
      <w:bookmarkStart w:id="1427" w:name="_Toc38442503"/>
      <w:bookmarkStart w:id="1428" w:name="_Toc38442834"/>
      <w:bookmarkStart w:id="1429" w:name="_Toc38443165"/>
      <w:bookmarkStart w:id="1430" w:name="_Toc38443496"/>
      <w:bookmarkStart w:id="1431" w:name="_Toc38443827"/>
      <w:bookmarkStart w:id="1432" w:name="_Toc38438296"/>
      <w:bookmarkStart w:id="1433" w:name="_Toc38438633"/>
      <w:bookmarkStart w:id="1434" w:name="_Toc38438970"/>
      <w:bookmarkStart w:id="1435" w:name="_Toc38439307"/>
      <w:bookmarkStart w:id="1436" w:name="_Toc38439644"/>
      <w:bookmarkStart w:id="1437" w:name="_Toc38439981"/>
      <w:bookmarkStart w:id="1438" w:name="_Toc38440318"/>
      <w:bookmarkStart w:id="1439" w:name="_Toc38440651"/>
      <w:bookmarkStart w:id="1440" w:name="_Toc38440850"/>
      <w:bookmarkStart w:id="1441" w:name="_Toc38441182"/>
      <w:bookmarkStart w:id="1442" w:name="_Toc38441514"/>
      <w:bookmarkStart w:id="1443" w:name="_Toc38441842"/>
      <w:bookmarkStart w:id="1444" w:name="_Toc38442174"/>
      <w:bookmarkStart w:id="1445" w:name="_Toc38442506"/>
      <w:bookmarkStart w:id="1446" w:name="_Toc38442837"/>
      <w:bookmarkStart w:id="1447" w:name="_Toc38443168"/>
      <w:bookmarkStart w:id="1448" w:name="_Toc38443499"/>
      <w:bookmarkStart w:id="1449" w:name="_Toc38443830"/>
      <w:bookmarkStart w:id="1450" w:name="_Toc38438297"/>
      <w:bookmarkStart w:id="1451" w:name="_Toc38438634"/>
      <w:bookmarkStart w:id="1452" w:name="_Toc38438971"/>
      <w:bookmarkStart w:id="1453" w:name="_Toc38439308"/>
      <w:bookmarkStart w:id="1454" w:name="_Toc38439645"/>
      <w:bookmarkStart w:id="1455" w:name="_Toc38439982"/>
      <w:bookmarkStart w:id="1456" w:name="_Toc38440319"/>
      <w:bookmarkStart w:id="1457" w:name="_Toc38440652"/>
      <w:bookmarkStart w:id="1458" w:name="_Toc38440851"/>
      <w:bookmarkStart w:id="1459" w:name="_Toc38441183"/>
      <w:bookmarkStart w:id="1460" w:name="_Toc38441515"/>
      <w:bookmarkStart w:id="1461" w:name="_Toc38441843"/>
      <w:bookmarkStart w:id="1462" w:name="_Toc38442175"/>
      <w:bookmarkStart w:id="1463" w:name="_Toc38442507"/>
      <w:bookmarkStart w:id="1464" w:name="_Toc38442838"/>
      <w:bookmarkStart w:id="1465" w:name="_Toc38443169"/>
      <w:bookmarkStart w:id="1466" w:name="_Toc38443500"/>
      <w:bookmarkStart w:id="1467" w:name="_Toc38443831"/>
      <w:bookmarkStart w:id="1468" w:name="_Toc38438298"/>
      <w:bookmarkStart w:id="1469" w:name="_Toc38438635"/>
      <w:bookmarkStart w:id="1470" w:name="_Toc38438972"/>
      <w:bookmarkStart w:id="1471" w:name="_Toc38439309"/>
      <w:bookmarkStart w:id="1472" w:name="_Toc38439646"/>
      <w:bookmarkStart w:id="1473" w:name="_Toc38439983"/>
      <w:bookmarkStart w:id="1474" w:name="_Toc38440320"/>
      <w:bookmarkStart w:id="1475" w:name="_Toc38440653"/>
      <w:bookmarkStart w:id="1476" w:name="_Toc38440852"/>
      <w:bookmarkStart w:id="1477" w:name="_Toc38441184"/>
      <w:bookmarkStart w:id="1478" w:name="_Toc38441516"/>
      <w:bookmarkStart w:id="1479" w:name="_Toc38441844"/>
      <w:bookmarkStart w:id="1480" w:name="_Toc38442176"/>
      <w:bookmarkStart w:id="1481" w:name="_Toc38442508"/>
      <w:bookmarkStart w:id="1482" w:name="_Toc38442839"/>
      <w:bookmarkStart w:id="1483" w:name="_Toc38443170"/>
      <w:bookmarkStart w:id="1484" w:name="_Toc38443501"/>
      <w:bookmarkStart w:id="1485" w:name="_Toc38443832"/>
      <w:bookmarkStart w:id="1486" w:name="_Toc38438299"/>
      <w:bookmarkStart w:id="1487" w:name="_Toc38438636"/>
      <w:bookmarkStart w:id="1488" w:name="_Toc38438973"/>
      <w:bookmarkStart w:id="1489" w:name="_Toc38439310"/>
      <w:bookmarkStart w:id="1490" w:name="_Toc38439647"/>
      <w:bookmarkStart w:id="1491" w:name="_Toc38439984"/>
      <w:bookmarkStart w:id="1492" w:name="_Toc38440321"/>
      <w:bookmarkStart w:id="1493" w:name="_Toc38440654"/>
      <w:bookmarkStart w:id="1494" w:name="_Toc38440853"/>
      <w:bookmarkStart w:id="1495" w:name="_Toc38441185"/>
      <w:bookmarkStart w:id="1496" w:name="_Toc38441517"/>
      <w:bookmarkStart w:id="1497" w:name="_Toc38441845"/>
      <w:bookmarkStart w:id="1498" w:name="_Toc38442177"/>
      <w:bookmarkStart w:id="1499" w:name="_Toc38442509"/>
      <w:bookmarkStart w:id="1500" w:name="_Toc38442840"/>
      <w:bookmarkStart w:id="1501" w:name="_Toc38443171"/>
      <w:bookmarkStart w:id="1502" w:name="_Toc38443502"/>
      <w:bookmarkStart w:id="1503" w:name="_Toc38443833"/>
      <w:bookmarkStart w:id="1504" w:name="_Toc38438301"/>
      <w:bookmarkStart w:id="1505" w:name="_Toc38438638"/>
      <w:bookmarkStart w:id="1506" w:name="_Toc38438975"/>
      <w:bookmarkStart w:id="1507" w:name="_Toc38439312"/>
      <w:bookmarkStart w:id="1508" w:name="_Toc38439649"/>
      <w:bookmarkStart w:id="1509" w:name="_Toc38439986"/>
      <w:bookmarkStart w:id="1510" w:name="_Toc38440323"/>
      <w:bookmarkStart w:id="1511" w:name="_Toc38440656"/>
      <w:bookmarkStart w:id="1512" w:name="_Toc38440855"/>
      <w:bookmarkStart w:id="1513" w:name="_Toc38441187"/>
      <w:bookmarkStart w:id="1514" w:name="_Toc38441519"/>
      <w:bookmarkStart w:id="1515" w:name="_Toc38441847"/>
      <w:bookmarkStart w:id="1516" w:name="_Toc38442179"/>
      <w:bookmarkStart w:id="1517" w:name="_Toc38442511"/>
      <w:bookmarkStart w:id="1518" w:name="_Toc38442842"/>
      <w:bookmarkStart w:id="1519" w:name="_Toc38443173"/>
      <w:bookmarkStart w:id="1520" w:name="_Toc38443504"/>
      <w:bookmarkStart w:id="1521" w:name="_Toc38443835"/>
      <w:bookmarkStart w:id="1522" w:name="_Toc38438302"/>
      <w:bookmarkStart w:id="1523" w:name="_Toc38438639"/>
      <w:bookmarkStart w:id="1524" w:name="_Toc38438976"/>
      <w:bookmarkStart w:id="1525" w:name="_Toc38439313"/>
      <w:bookmarkStart w:id="1526" w:name="_Toc38439650"/>
      <w:bookmarkStart w:id="1527" w:name="_Toc38439987"/>
      <w:bookmarkStart w:id="1528" w:name="_Toc38440324"/>
      <w:bookmarkStart w:id="1529" w:name="_Toc38440657"/>
      <w:bookmarkStart w:id="1530" w:name="_Toc38440856"/>
      <w:bookmarkStart w:id="1531" w:name="_Toc38441188"/>
      <w:bookmarkStart w:id="1532" w:name="_Toc38441520"/>
      <w:bookmarkStart w:id="1533" w:name="_Toc38441848"/>
      <w:bookmarkStart w:id="1534" w:name="_Toc38442180"/>
      <w:bookmarkStart w:id="1535" w:name="_Toc38442512"/>
      <w:bookmarkStart w:id="1536" w:name="_Toc38442843"/>
      <w:bookmarkStart w:id="1537" w:name="_Toc38443174"/>
      <w:bookmarkStart w:id="1538" w:name="_Toc38443505"/>
      <w:bookmarkStart w:id="1539" w:name="_Toc38443836"/>
      <w:bookmarkStart w:id="1540" w:name="_Toc38438303"/>
      <w:bookmarkStart w:id="1541" w:name="_Toc38438640"/>
      <w:bookmarkStart w:id="1542" w:name="_Toc38438977"/>
      <w:bookmarkStart w:id="1543" w:name="_Toc38439314"/>
      <w:bookmarkStart w:id="1544" w:name="_Toc38439651"/>
      <w:bookmarkStart w:id="1545" w:name="_Toc38439988"/>
      <w:bookmarkStart w:id="1546" w:name="_Toc38440325"/>
      <w:bookmarkStart w:id="1547" w:name="_Toc38440658"/>
      <w:bookmarkStart w:id="1548" w:name="_Toc38440857"/>
      <w:bookmarkStart w:id="1549" w:name="_Toc38441189"/>
      <w:bookmarkStart w:id="1550" w:name="_Toc38441521"/>
      <w:bookmarkStart w:id="1551" w:name="_Toc38441849"/>
      <w:bookmarkStart w:id="1552" w:name="_Toc38442181"/>
      <w:bookmarkStart w:id="1553" w:name="_Toc38442513"/>
      <w:bookmarkStart w:id="1554" w:name="_Toc38442844"/>
      <w:bookmarkStart w:id="1555" w:name="_Toc38443175"/>
      <w:bookmarkStart w:id="1556" w:name="_Toc38443506"/>
      <w:bookmarkStart w:id="1557" w:name="_Toc38443837"/>
      <w:bookmarkStart w:id="1558" w:name="_Toc38438304"/>
      <w:bookmarkStart w:id="1559" w:name="_Toc38438641"/>
      <w:bookmarkStart w:id="1560" w:name="_Toc38438978"/>
      <w:bookmarkStart w:id="1561" w:name="_Toc38439315"/>
      <w:bookmarkStart w:id="1562" w:name="_Toc38439652"/>
      <w:bookmarkStart w:id="1563" w:name="_Toc38439989"/>
      <w:bookmarkStart w:id="1564" w:name="_Toc38440326"/>
      <w:bookmarkStart w:id="1565" w:name="_Toc38440659"/>
      <w:bookmarkStart w:id="1566" w:name="_Toc38440858"/>
      <w:bookmarkStart w:id="1567" w:name="_Toc38441190"/>
      <w:bookmarkStart w:id="1568" w:name="_Toc38441522"/>
      <w:bookmarkStart w:id="1569" w:name="_Toc38441850"/>
      <w:bookmarkStart w:id="1570" w:name="_Toc38442182"/>
      <w:bookmarkStart w:id="1571" w:name="_Toc38442514"/>
      <w:bookmarkStart w:id="1572" w:name="_Toc38442845"/>
      <w:bookmarkStart w:id="1573" w:name="_Toc38443176"/>
      <w:bookmarkStart w:id="1574" w:name="_Toc38443507"/>
      <w:bookmarkStart w:id="1575" w:name="_Toc38443838"/>
      <w:bookmarkStart w:id="1576" w:name="_Toc38438305"/>
      <w:bookmarkStart w:id="1577" w:name="_Toc38438642"/>
      <w:bookmarkStart w:id="1578" w:name="_Toc38438979"/>
      <w:bookmarkStart w:id="1579" w:name="_Toc38439316"/>
      <w:bookmarkStart w:id="1580" w:name="_Toc38439653"/>
      <w:bookmarkStart w:id="1581" w:name="_Toc38439990"/>
      <w:bookmarkStart w:id="1582" w:name="_Toc38440327"/>
      <w:bookmarkStart w:id="1583" w:name="_Toc38440660"/>
      <w:bookmarkStart w:id="1584" w:name="_Toc38440859"/>
      <w:bookmarkStart w:id="1585" w:name="_Toc38441191"/>
      <w:bookmarkStart w:id="1586" w:name="_Toc38441523"/>
      <w:bookmarkStart w:id="1587" w:name="_Toc38441851"/>
      <w:bookmarkStart w:id="1588" w:name="_Toc38442183"/>
      <w:bookmarkStart w:id="1589" w:name="_Toc38442515"/>
      <w:bookmarkStart w:id="1590" w:name="_Toc38442846"/>
      <w:bookmarkStart w:id="1591" w:name="_Toc38443177"/>
      <w:bookmarkStart w:id="1592" w:name="_Toc38443508"/>
      <w:bookmarkStart w:id="1593" w:name="_Toc38443839"/>
      <w:bookmarkStart w:id="1594" w:name="_Toc38438306"/>
      <w:bookmarkStart w:id="1595" w:name="_Toc38438643"/>
      <w:bookmarkStart w:id="1596" w:name="_Toc38438980"/>
      <w:bookmarkStart w:id="1597" w:name="_Toc38439317"/>
      <w:bookmarkStart w:id="1598" w:name="_Toc38439654"/>
      <w:bookmarkStart w:id="1599" w:name="_Toc38439991"/>
      <w:bookmarkStart w:id="1600" w:name="_Toc38440328"/>
      <w:bookmarkStart w:id="1601" w:name="_Toc38440661"/>
      <w:bookmarkStart w:id="1602" w:name="_Toc38440860"/>
      <w:bookmarkStart w:id="1603" w:name="_Toc38441192"/>
      <w:bookmarkStart w:id="1604" w:name="_Toc38441524"/>
      <w:bookmarkStart w:id="1605" w:name="_Toc38441852"/>
      <w:bookmarkStart w:id="1606" w:name="_Toc38442184"/>
      <w:bookmarkStart w:id="1607" w:name="_Toc38442516"/>
      <w:bookmarkStart w:id="1608" w:name="_Toc38442847"/>
      <w:bookmarkStart w:id="1609" w:name="_Toc38443178"/>
      <w:bookmarkStart w:id="1610" w:name="_Toc38443509"/>
      <w:bookmarkStart w:id="1611" w:name="_Toc38443840"/>
      <w:bookmarkStart w:id="1612" w:name="_Toc38438310"/>
      <w:bookmarkStart w:id="1613" w:name="_Toc38438647"/>
      <w:bookmarkStart w:id="1614" w:name="_Toc38438984"/>
      <w:bookmarkStart w:id="1615" w:name="_Toc38439321"/>
      <w:bookmarkStart w:id="1616" w:name="_Toc38439658"/>
      <w:bookmarkStart w:id="1617" w:name="_Toc38439995"/>
      <w:bookmarkStart w:id="1618" w:name="_Toc38440332"/>
      <w:bookmarkStart w:id="1619" w:name="_Toc38440665"/>
      <w:bookmarkStart w:id="1620" w:name="_Toc38440864"/>
      <w:bookmarkStart w:id="1621" w:name="_Toc38441196"/>
      <w:bookmarkStart w:id="1622" w:name="_Toc38441528"/>
      <w:bookmarkStart w:id="1623" w:name="_Toc38441856"/>
      <w:bookmarkStart w:id="1624" w:name="_Toc38442188"/>
      <w:bookmarkStart w:id="1625" w:name="_Toc38442520"/>
      <w:bookmarkStart w:id="1626" w:name="_Toc38442851"/>
      <w:bookmarkStart w:id="1627" w:name="_Toc38443182"/>
      <w:bookmarkStart w:id="1628" w:name="_Toc38443513"/>
      <w:bookmarkStart w:id="1629" w:name="_Toc38443844"/>
      <w:bookmarkStart w:id="1630" w:name="_Toc38438311"/>
      <w:bookmarkStart w:id="1631" w:name="_Toc38438648"/>
      <w:bookmarkStart w:id="1632" w:name="_Toc38438985"/>
      <w:bookmarkStart w:id="1633" w:name="_Toc38439322"/>
      <w:bookmarkStart w:id="1634" w:name="_Toc38439659"/>
      <w:bookmarkStart w:id="1635" w:name="_Toc38439996"/>
      <w:bookmarkStart w:id="1636" w:name="_Toc38440333"/>
      <w:bookmarkStart w:id="1637" w:name="_Toc38440666"/>
      <w:bookmarkStart w:id="1638" w:name="_Toc38440865"/>
      <w:bookmarkStart w:id="1639" w:name="_Toc38441197"/>
      <w:bookmarkStart w:id="1640" w:name="_Toc38441529"/>
      <w:bookmarkStart w:id="1641" w:name="_Toc38441857"/>
      <w:bookmarkStart w:id="1642" w:name="_Toc38442189"/>
      <w:bookmarkStart w:id="1643" w:name="_Toc38442521"/>
      <w:bookmarkStart w:id="1644" w:name="_Toc38442852"/>
      <w:bookmarkStart w:id="1645" w:name="_Toc38443183"/>
      <w:bookmarkStart w:id="1646" w:name="_Toc38443514"/>
      <w:bookmarkStart w:id="1647" w:name="_Toc38443845"/>
      <w:bookmarkStart w:id="1648" w:name="_Toc38438312"/>
      <w:bookmarkStart w:id="1649" w:name="_Toc38438649"/>
      <w:bookmarkStart w:id="1650" w:name="_Toc38438986"/>
      <w:bookmarkStart w:id="1651" w:name="_Toc38439323"/>
      <w:bookmarkStart w:id="1652" w:name="_Toc38439660"/>
      <w:bookmarkStart w:id="1653" w:name="_Toc38439997"/>
      <w:bookmarkStart w:id="1654" w:name="_Toc38440334"/>
      <w:bookmarkStart w:id="1655" w:name="_Toc38440667"/>
      <w:bookmarkStart w:id="1656" w:name="_Toc38440866"/>
      <w:bookmarkStart w:id="1657" w:name="_Toc38441198"/>
      <w:bookmarkStart w:id="1658" w:name="_Toc38441530"/>
      <w:bookmarkStart w:id="1659" w:name="_Toc38441858"/>
      <w:bookmarkStart w:id="1660" w:name="_Toc38442190"/>
      <w:bookmarkStart w:id="1661" w:name="_Toc38442522"/>
      <w:bookmarkStart w:id="1662" w:name="_Toc38442853"/>
      <w:bookmarkStart w:id="1663" w:name="_Toc38443184"/>
      <w:bookmarkStart w:id="1664" w:name="_Toc38443515"/>
      <w:bookmarkStart w:id="1665" w:name="_Toc38443846"/>
      <w:bookmarkStart w:id="1666" w:name="_Toc38438313"/>
      <w:bookmarkStart w:id="1667" w:name="_Toc38438650"/>
      <w:bookmarkStart w:id="1668" w:name="_Toc38438987"/>
      <w:bookmarkStart w:id="1669" w:name="_Toc38439324"/>
      <w:bookmarkStart w:id="1670" w:name="_Toc38439661"/>
      <w:bookmarkStart w:id="1671" w:name="_Toc38439998"/>
      <w:bookmarkStart w:id="1672" w:name="_Toc38440335"/>
      <w:bookmarkStart w:id="1673" w:name="_Toc38440668"/>
      <w:bookmarkStart w:id="1674" w:name="_Toc38440867"/>
      <w:bookmarkStart w:id="1675" w:name="_Toc38441199"/>
      <w:bookmarkStart w:id="1676" w:name="_Toc38441531"/>
      <w:bookmarkStart w:id="1677" w:name="_Toc38441859"/>
      <w:bookmarkStart w:id="1678" w:name="_Toc38442191"/>
      <w:bookmarkStart w:id="1679" w:name="_Toc38442523"/>
      <w:bookmarkStart w:id="1680" w:name="_Toc38442854"/>
      <w:bookmarkStart w:id="1681" w:name="_Toc38443185"/>
      <w:bookmarkStart w:id="1682" w:name="_Toc38443516"/>
      <w:bookmarkStart w:id="1683" w:name="_Toc38443847"/>
      <w:bookmarkStart w:id="1684" w:name="_Toc38438314"/>
      <w:bookmarkStart w:id="1685" w:name="_Toc38438651"/>
      <w:bookmarkStart w:id="1686" w:name="_Toc38438988"/>
      <w:bookmarkStart w:id="1687" w:name="_Toc38439325"/>
      <w:bookmarkStart w:id="1688" w:name="_Toc38439662"/>
      <w:bookmarkStart w:id="1689" w:name="_Toc38439999"/>
      <w:bookmarkStart w:id="1690" w:name="_Toc38440336"/>
      <w:bookmarkStart w:id="1691" w:name="_Toc38440669"/>
      <w:bookmarkStart w:id="1692" w:name="_Toc38440868"/>
      <w:bookmarkStart w:id="1693" w:name="_Toc38441200"/>
      <w:bookmarkStart w:id="1694" w:name="_Toc38441532"/>
      <w:bookmarkStart w:id="1695" w:name="_Toc38441860"/>
      <w:bookmarkStart w:id="1696" w:name="_Toc38442192"/>
      <w:bookmarkStart w:id="1697" w:name="_Toc38442524"/>
      <w:bookmarkStart w:id="1698" w:name="_Toc38442855"/>
      <w:bookmarkStart w:id="1699" w:name="_Toc38443186"/>
      <w:bookmarkStart w:id="1700" w:name="_Toc38443517"/>
      <w:bookmarkStart w:id="1701" w:name="_Toc38443848"/>
      <w:bookmarkStart w:id="1702" w:name="_Toc38438315"/>
      <w:bookmarkStart w:id="1703" w:name="_Toc38438652"/>
      <w:bookmarkStart w:id="1704" w:name="_Toc38438989"/>
      <w:bookmarkStart w:id="1705" w:name="_Toc38439326"/>
      <w:bookmarkStart w:id="1706" w:name="_Toc38439663"/>
      <w:bookmarkStart w:id="1707" w:name="_Toc38440000"/>
      <w:bookmarkStart w:id="1708" w:name="_Toc38440337"/>
      <w:bookmarkStart w:id="1709" w:name="_Toc38440670"/>
      <w:bookmarkStart w:id="1710" w:name="_Toc38440869"/>
      <w:bookmarkStart w:id="1711" w:name="_Toc38441201"/>
      <w:bookmarkStart w:id="1712" w:name="_Toc38441533"/>
      <w:bookmarkStart w:id="1713" w:name="_Toc38441861"/>
      <w:bookmarkStart w:id="1714" w:name="_Toc38442193"/>
      <w:bookmarkStart w:id="1715" w:name="_Toc38442525"/>
      <w:bookmarkStart w:id="1716" w:name="_Toc38442856"/>
      <w:bookmarkStart w:id="1717" w:name="_Toc38443187"/>
      <w:bookmarkStart w:id="1718" w:name="_Toc38443518"/>
      <w:bookmarkStart w:id="1719" w:name="_Toc38443849"/>
      <w:bookmarkStart w:id="1720" w:name="_Toc38438316"/>
      <w:bookmarkStart w:id="1721" w:name="_Toc38438653"/>
      <w:bookmarkStart w:id="1722" w:name="_Toc38438990"/>
      <w:bookmarkStart w:id="1723" w:name="_Toc38439327"/>
      <w:bookmarkStart w:id="1724" w:name="_Toc38439664"/>
      <w:bookmarkStart w:id="1725" w:name="_Toc38440001"/>
      <w:bookmarkStart w:id="1726" w:name="_Toc38440338"/>
      <w:bookmarkStart w:id="1727" w:name="_Toc38440671"/>
      <w:bookmarkStart w:id="1728" w:name="_Toc38440870"/>
      <w:bookmarkStart w:id="1729" w:name="_Toc38441202"/>
      <w:bookmarkStart w:id="1730" w:name="_Toc38441534"/>
      <w:bookmarkStart w:id="1731" w:name="_Toc38441862"/>
      <w:bookmarkStart w:id="1732" w:name="_Toc38442194"/>
      <w:bookmarkStart w:id="1733" w:name="_Toc38442526"/>
      <w:bookmarkStart w:id="1734" w:name="_Toc38442857"/>
      <w:bookmarkStart w:id="1735" w:name="_Toc38443188"/>
      <w:bookmarkStart w:id="1736" w:name="_Toc38443519"/>
      <w:bookmarkStart w:id="1737" w:name="_Toc38443850"/>
      <w:bookmarkStart w:id="1738" w:name="_Toc38438317"/>
      <w:bookmarkStart w:id="1739" w:name="_Toc38438654"/>
      <w:bookmarkStart w:id="1740" w:name="_Toc38438991"/>
      <w:bookmarkStart w:id="1741" w:name="_Toc38439328"/>
      <w:bookmarkStart w:id="1742" w:name="_Toc38439665"/>
      <w:bookmarkStart w:id="1743" w:name="_Toc38440002"/>
      <w:bookmarkStart w:id="1744" w:name="_Toc38440339"/>
      <w:bookmarkStart w:id="1745" w:name="_Toc38440672"/>
      <w:bookmarkStart w:id="1746" w:name="_Toc38440871"/>
      <w:bookmarkStart w:id="1747" w:name="_Toc38441203"/>
      <w:bookmarkStart w:id="1748" w:name="_Toc38441535"/>
      <w:bookmarkStart w:id="1749" w:name="_Toc38441863"/>
      <w:bookmarkStart w:id="1750" w:name="_Toc38442195"/>
      <w:bookmarkStart w:id="1751" w:name="_Toc38442527"/>
      <w:bookmarkStart w:id="1752" w:name="_Toc38442858"/>
      <w:bookmarkStart w:id="1753" w:name="_Toc38443189"/>
      <w:bookmarkStart w:id="1754" w:name="_Toc38443520"/>
      <w:bookmarkStart w:id="1755" w:name="_Toc38443851"/>
      <w:bookmarkStart w:id="1756" w:name="_Toc38438318"/>
      <w:bookmarkStart w:id="1757" w:name="_Toc38438655"/>
      <w:bookmarkStart w:id="1758" w:name="_Toc38438992"/>
      <w:bookmarkStart w:id="1759" w:name="_Toc38439329"/>
      <w:bookmarkStart w:id="1760" w:name="_Toc38439666"/>
      <w:bookmarkStart w:id="1761" w:name="_Toc38440003"/>
      <w:bookmarkStart w:id="1762" w:name="_Toc38440340"/>
      <w:bookmarkStart w:id="1763" w:name="_Toc38440673"/>
      <w:bookmarkStart w:id="1764" w:name="_Toc38440872"/>
      <w:bookmarkStart w:id="1765" w:name="_Toc38441204"/>
      <w:bookmarkStart w:id="1766" w:name="_Toc38441536"/>
      <w:bookmarkStart w:id="1767" w:name="_Toc38441864"/>
      <w:bookmarkStart w:id="1768" w:name="_Toc38442196"/>
      <w:bookmarkStart w:id="1769" w:name="_Toc38442528"/>
      <w:bookmarkStart w:id="1770" w:name="_Toc38442859"/>
      <w:bookmarkStart w:id="1771" w:name="_Toc38443190"/>
      <w:bookmarkStart w:id="1772" w:name="_Toc38443521"/>
      <w:bookmarkStart w:id="1773" w:name="_Toc38443852"/>
      <w:bookmarkStart w:id="1774" w:name="_Toc38438319"/>
      <w:bookmarkStart w:id="1775" w:name="_Toc38438656"/>
      <w:bookmarkStart w:id="1776" w:name="_Toc38438993"/>
      <w:bookmarkStart w:id="1777" w:name="_Toc38439330"/>
      <w:bookmarkStart w:id="1778" w:name="_Toc38439667"/>
      <w:bookmarkStart w:id="1779" w:name="_Toc38440004"/>
      <w:bookmarkStart w:id="1780" w:name="_Toc38440341"/>
      <w:bookmarkStart w:id="1781" w:name="_Toc38440674"/>
      <w:bookmarkStart w:id="1782" w:name="_Toc38440873"/>
      <w:bookmarkStart w:id="1783" w:name="_Toc38441205"/>
      <w:bookmarkStart w:id="1784" w:name="_Toc38441537"/>
      <w:bookmarkStart w:id="1785" w:name="_Toc38441865"/>
      <w:bookmarkStart w:id="1786" w:name="_Toc38442197"/>
      <w:bookmarkStart w:id="1787" w:name="_Toc38442529"/>
      <w:bookmarkStart w:id="1788" w:name="_Toc38442860"/>
      <w:bookmarkStart w:id="1789" w:name="_Toc38443191"/>
      <w:bookmarkStart w:id="1790" w:name="_Toc38443522"/>
      <w:bookmarkStart w:id="1791" w:name="_Toc38443853"/>
      <w:bookmarkStart w:id="1792" w:name="_Toc38438320"/>
      <w:bookmarkStart w:id="1793" w:name="_Toc38438657"/>
      <w:bookmarkStart w:id="1794" w:name="_Toc38438994"/>
      <w:bookmarkStart w:id="1795" w:name="_Toc38439331"/>
      <w:bookmarkStart w:id="1796" w:name="_Toc38439668"/>
      <w:bookmarkStart w:id="1797" w:name="_Toc38440005"/>
      <w:bookmarkStart w:id="1798" w:name="_Toc38440342"/>
      <w:bookmarkStart w:id="1799" w:name="_Toc38440675"/>
      <w:bookmarkStart w:id="1800" w:name="_Toc38440874"/>
      <w:bookmarkStart w:id="1801" w:name="_Toc38441206"/>
      <w:bookmarkStart w:id="1802" w:name="_Toc38441538"/>
      <w:bookmarkStart w:id="1803" w:name="_Toc38441866"/>
      <w:bookmarkStart w:id="1804" w:name="_Toc38442198"/>
      <w:bookmarkStart w:id="1805" w:name="_Toc38442530"/>
      <w:bookmarkStart w:id="1806" w:name="_Toc38442861"/>
      <w:bookmarkStart w:id="1807" w:name="_Toc38443192"/>
      <w:bookmarkStart w:id="1808" w:name="_Toc38443523"/>
      <w:bookmarkStart w:id="1809" w:name="_Toc38443854"/>
      <w:bookmarkStart w:id="1810" w:name="_Toc38438321"/>
      <w:bookmarkStart w:id="1811" w:name="_Toc38438658"/>
      <w:bookmarkStart w:id="1812" w:name="_Toc38438995"/>
      <w:bookmarkStart w:id="1813" w:name="_Toc38439332"/>
      <w:bookmarkStart w:id="1814" w:name="_Toc38439669"/>
      <w:bookmarkStart w:id="1815" w:name="_Toc38440006"/>
      <w:bookmarkStart w:id="1816" w:name="_Toc38440343"/>
      <w:bookmarkStart w:id="1817" w:name="_Toc38440676"/>
      <w:bookmarkStart w:id="1818" w:name="_Toc38440875"/>
      <w:bookmarkStart w:id="1819" w:name="_Toc38441207"/>
      <w:bookmarkStart w:id="1820" w:name="_Toc38441539"/>
      <w:bookmarkStart w:id="1821" w:name="_Toc38441867"/>
      <w:bookmarkStart w:id="1822" w:name="_Toc38442199"/>
      <w:bookmarkStart w:id="1823" w:name="_Toc38442531"/>
      <w:bookmarkStart w:id="1824" w:name="_Toc38442862"/>
      <w:bookmarkStart w:id="1825" w:name="_Toc38443193"/>
      <w:bookmarkStart w:id="1826" w:name="_Toc38443524"/>
      <w:bookmarkStart w:id="1827" w:name="_Toc38443855"/>
      <w:bookmarkStart w:id="1828" w:name="_Toc38438322"/>
      <w:bookmarkStart w:id="1829" w:name="_Toc38438659"/>
      <w:bookmarkStart w:id="1830" w:name="_Toc38438996"/>
      <w:bookmarkStart w:id="1831" w:name="_Toc38439333"/>
      <w:bookmarkStart w:id="1832" w:name="_Toc38439670"/>
      <w:bookmarkStart w:id="1833" w:name="_Toc38440007"/>
      <w:bookmarkStart w:id="1834" w:name="_Toc38440344"/>
      <w:bookmarkStart w:id="1835" w:name="_Toc38440677"/>
      <w:bookmarkStart w:id="1836" w:name="_Toc38440876"/>
      <w:bookmarkStart w:id="1837" w:name="_Toc38441208"/>
      <w:bookmarkStart w:id="1838" w:name="_Toc38441540"/>
      <w:bookmarkStart w:id="1839" w:name="_Toc38441868"/>
      <w:bookmarkStart w:id="1840" w:name="_Toc38442200"/>
      <w:bookmarkStart w:id="1841" w:name="_Toc38442532"/>
      <w:bookmarkStart w:id="1842" w:name="_Toc38442863"/>
      <w:bookmarkStart w:id="1843" w:name="_Toc38443194"/>
      <w:bookmarkStart w:id="1844" w:name="_Toc38443525"/>
      <w:bookmarkStart w:id="1845" w:name="_Toc38443856"/>
      <w:bookmarkStart w:id="1846" w:name="_Toc38438323"/>
      <w:bookmarkStart w:id="1847" w:name="_Toc38438660"/>
      <w:bookmarkStart w:id="1848" w:name="_Toc38438997"/>
      <w:bookmarkStart w:id="1849" w:name="_Toc38439334"/>
      <w:bookmarkStart w:id="1850" w:name="_Toc38439671"/>
      <w:bookmarkStart w:id="1851" w:name="_Toc38440008"/>
      <w:bookmarkStart w:id="1852" w:name="_Toc38440345"/>
      <w:bookmarkStart w:id="1853" w:name="_Toc38440678"/>
      <w:bookmarkStart w:id="1854" w:name="_Toc38440877"/>
      <w:bookmarkStart w:id="1855" w:name="_Toc38441209"/>
      <w:bookmarkStart w:id="1856" w:name="_Toc38441541"/>
      <w:bookmarkStart w:id="1857" w:name="_Toc38441869"/>
      <w:bookmarkStart w:id="1858" w:name="_Toc38442201"/>
      <w:bookmarkStart w:id="1859" w:name="_Toc38442533"/>
      <w:bookmarkStart w:id="1860" w:name="_Toc38442864"/>
      <w:bookmarkStart w:id="1861" w:name="_Toc38443195"/>
      <w:bookmarkStart w:id="1862" w:name="_Toc38443526"/>
      <w:bookmarkStart w:id="1863" w:name="_Toc38443857"/>
      <w:bookmarkStart w:id="1864" w:name="_Toc38438324"/>
      <w:bookmarkStart w:id="1865" w:name="_Toc38438661"/>
      <w:bookmarkStart w:id="1866" w:name="_Toc38438998"/>
      <w:bookmarkStart w:id="1867" w:name="_Toc38439335"/>
      <w:bookmarkStart w:id="1868" w:name="_Toc38439672"/>
      <w:bookmarkStart w:id="1869" w:name="_Toc38440009"/>
      <w:bookmarkStart w:id="1870" w:name="_Toc38440346"/>
      <w:bookmarkStart w:id="1871" w:name="_Toc38440679"/>
      <w:bookmarkStart w:id="1872" w:name="_Toc38440878"/>
      <w:bookmarkStart w:id="1873" w:name="_Toc38441210"/>
      <w:bookmarkStart w:id="1874" w:name="_Toc38441542"/>
      <w:bookmarkStart w:id="1875" w:name="_Toc38441870"/>
      <w:bookmarkStart w:id="1876" w:name="_Toc38442202"/>
      <w:bookmarkStart w:id="1877" w:name="_Toc38442534"/>
      <w:bookmarkStart w:id="1878" w:name="_Toc38442865"/>
      <w:bookmarkStart w:id="1879" w:name="_Toc38443196"/>
      <w:bookmarkStart w:id="1880" w:name="_Toc38443527"/>
      <w:bookmarkStart w:id="1881" w:name="_Toc38443858"/>
      <w:bookmarkStart w:id="1882" w:name="_Toc38438325"/>
      <w:bookmarkStart w:id="1883" w:name="_Toc38438662"/>
      <w:bookmarkStart w:id="1884" w:name="_Toc38438999"/>
      <w:bookmarkStart w:id="1885" w:name="_Toc38439336"/>
      <w:bookmarkStart w:id="1886" w:name="_Toc38439673"/>
      <w:bookmarkStart w:id="1887" w:name="_Toc38440010"/>
      <w:bookmarkStart w:id="1888" w:name="_Toc38440347"/>
      <w:bookmarkStart w:id="1889" w:name="_Toc38440879"/>
      <w:bookmarkStart w:id="1890" w:name="_Toc38441211"/>
      <w:bookmarkStart w:id="1891" w:name="_Toc38441543"/>
      <w:bookmarkStart w:id="1892" w:name="_Toc38441871"/>
      <w:bookmarkStart w:id="1893" w:name="_Toc38442203"/>
      <w:bookmarkStart w:id="1894" w:name="_Toc38442535"/>
      <w:bookmarkStart w:id="1895" w:name="_Toc38442866"/>
      <w:bookmarkStart w:id="1896" w:name="_Toc38443197"/>
      <w:bookmarkStart w:id="1897" w:name="_Toc38443528"/>
      <w:bookmarkStart w:id="1898" w:name="_Toc38443859"/>
      <w:bookmarkStart w:id="1899" w:name="_Toc38438326"/>
      <w:bookmarkStart w:id="1900" w:name="_Toc38438663"/>
      <w:bookmarkStart w:id="1901" w:name="_Toc38439000"/>
      <w:bookmarkStart w:id="1902" w:name="_Toc38439337"/>
      <w:bookmarkStart w:id="1903" w:name="_Toc38439674"/>
      <w:bookmarkStart w:id="1904" w:name="_Toc38440011"/>
      <w:bookmarkStart w:id="1905" w:name="_Toc38440348"/>
      <w:bookmarkStart w:id="1906" w:name="_Toc38440880"/>
      <w:bookmarkStart w:id="1907" w:name="_Toc38441212"/>
      <w:bookmarkStart w:id="1908" w:name="_Toc38441544"/>
      <w:bookmarkStart w:id="1909" w:name="_Toc38441872"/>
      <w:bookmarkStart w:id="1910" w:name="_Toc38442204"/>
      <w:bookmarkStart w:id="1911" w:name="_Toc38442536"/>
      <w:bookmarkStart w:id="1912" w:name="_Toc38442867"/>
      <w:bookmarkStart w:id="1913" w:name="_Toc38443198"/>
      <w:bookmarkStart w:id="1914" w:name="_Toc38443529"/>
      <w:bookmarkStart w:id="1915" w:name="_Toc38443860"/>
      <w:bookmarkStart w:id="1916" w:name="_Toc38438327"/>
      <w:bookmarkStart w:id="1917" w:name="_Toc38438664"/>
      <w:bookmarkStart w:id="1918" w:name="_Toc38439001"/>
      <w:bookmarkStart w:id="1919" w:name="_Toc38439338"/>
      <w:bookmarkStart w:id="1920" w:name="_Toc38439675"/>
      <w:bookmarkStart w:id="1921" w:name="_Toc38440012"/>
      <w:bookmarkStart w:id="1922" w:name="_Toc38440349"/>
      <w:bookmarkStart w:id="1923" w:name="_Toc38440881"/>
      <w:bookmarkStart w:id="1924" w:name="_Toc38441213"/>
      <w:bookmarkStart w:id="1925" w:name="_Toc38441545"/>
      <w:bookmarkStart w:id="1926" w:name="_Toc38441873"/>
      <w:bookmarkStart w:id="1927" w:name="_Toc38442205"/>
      <w:bookmarkStart w:id="1928" w:name="_Toc38442537"/>
      <w:bookmarkStart w:id="1929" w:name="_Toc38442868"/>
      <w:bookmarkStart w:id="1930" w:name="_Toc38443199"/>
      <w:bookmarkStart w:id="1931" w:name="_Toc38443530"/>
      <w:bookmarkStart w:id="1932" w:name="_Toc38443861"/>
      <w:bookmarkStart w:id="1933" w:name="_Toc38438328"/>
      <w:bookmarkStart w:id="1934" w:name="_Toc38438665"/>
      <w:bookmarkStart w:id="1935" w:name="_Toc38439002"/>
      <w:bookmarkStart w:id="1936" w:name="_Toc38439339"/>
      <w:bookmarkStart w:id="1937" w:name="_Toc38439676"/>
      <w:bookmarkStart w:id="1938" w:name="_Toc38440013"/>
      <w:bookmarkStart w:id="1939" w:name="_Toc38440350"/>
      <w:bookmarkStart w:id="1940" w:name="_Toc38440882"/>
      <w:bookmarkStart w:id="1941" w:name="_Toc38441214"/>
      <w:bookmarkStart w:id="1942" w:name="_Toc38441546"/>
      <w:bookmarkStart w:id="1943" w:name="_Toc38441874"/>
      <w:bookmarkStart w:id="1944" w:name="_Toc38442206"/>
      <w:bookmarkStart w:id="1945" w:name="_Toc38442538"/>
      <w:bookmarkStart w:id="1946" w:name="_Toc38442869"/>
      <w:bookmarkStart w:id="1947" w:name="_Toc38443200"/>
      <w:bookmarkStart w:id="1948" w:name="_Toc38443531"/>
      <w:bookmarkStart w:id="1949" w:name="_Toc38443862"/>
      <w:bookmarkStart w:id="1950" w:name="_Toc38438329"/>
      <w:bookmarkStart w:id="1951" w:name="_Toc38438666"/>
      <w:bookmarkStart w:id="1952" w:name="_Toc38439003"/>
      <w:bookmarkStart w:id="1953" w:name="_Toc38439340"/>
      <w:bookmarkStart w:id="1954" w:name="_Toc38439677"/>
      <w:bookmarkStart w:id="1955" w:name="_Toc38440014"/>
      <w:bookmarkStart w:id="1956" w:name="_Toc38440351"/>
      <w:bookmarkStart w:id="1957" w:name="_Toc38440883"/>
      <w:bookmarkStart w:id="1958" w:name="_Toc38441215"/>
      <w:bookmarkStart w:id="1959" w:name="_Toc38441547"/>
      <w:bookmarkStart w:id="1960" w:name="_Toc38441875"/>
      <w:bookmarkStart w:id="1961" w:name="_Toc38442207"/>
      <w:bookmarkStart w:id="1962" w:name="_Toc38442539"/>
      <w:bookmarkStart w:id="1963" w:name="_Toc38442870"/>
      <w:bookmarkStart w:id="1964" w:name="_Toc38443201"/>
      <w:bookmarkStart w:id="1965" w:name="_Toc38443532"/>
      <w:bookmarkStart w:id="1966" w:name="_Toc38443863"/>
      <w:bookmarkStart w:id="1967" w:name="_Toc38438330"/>
      <w:bookmarkStart w:id="1968" w:name="_Toc38438667"/>
      <w:bookmarkStart w:id="1969" w:name="_Toc38439004"/>
      <w:bookmarkStart w:id="1970" w:name="_Toc38439341"/>
      <w:bookmarkStart w:id="1971" w:name="_Toc38439678"/>
      <w:bookmarkStart w:id="1972" w:name="_Toc38440015"/>
      <w:bookmarkStart w:id="1973" w:name="_Toc38440352"/>
      <w:bookmarkStart w:id="1974" w:name="_Toc38440884"/>
      <w:bookmarkStart w:id="1975" w:name="_Toc38441216"/>
      <w:bookmarkStart w:id="1976" w:name="_Toc38441548"/>
      <w:bookmarkStart w:id="1977" w:name="_Toc38441876"/>
      <w:bookmarkStart w:id="1978" w:name="_Toc38442208"/>
      <w:bookmarkStart w:id="1979" w:name="_Toc38442540"/>
      <w:bookmarkStart w:id="1980" w:name="_Toc38442871"/>
      <w:bookmarkStart w:id="1981" w:name="_Toc38443202"/>
      <w:bookmarkStart w:id="1982" w:name="_Toc38443533"/>
      <w:bookmarkStart w:id="1983" w:name="_Toc38443864"/>
      <w:bookmarkStart w:id="1984" w:name="_Toc38438331"/>
      <w:bookmarkStart w:id="1985" w:name="_Toc38438668"/>
      <w:bookmarkStart w:id="1986" w:name="_Toc38439005"/>
      <w:bookmarkStart w:id="1987" w:name="_Toc38439342"/>
      <w:bookmarkStart w:id="1988" w:name="_Toc38439679"/>
      <w:bookmarkStart w:id="1989" w:name="_Toc38440016"/>
      <w:bookmarkStart w:id="1990" w:name="_Toc38440353"/>
      <w:bookmarkStart w:id="1991" w:name="_Toc38440885"/>
      <w:bookmarkStart w:id="1992" w:name="_Toc38441217"/>
      <w:bookmarkStart w:id="1993" w:name="_Toc38441549"/>
      <w:bookmarkStart w:id="1994" w:name="_Toc38441877"/>
      <w:bookmarkStart w:id="1995" w:name="_Toc38442209"/>
      <w:bookmarkStart w:id="1996" w:name="_Toc38442541"/>
      <w:bookmarkStart w:id="1997" w:name="_Toc38442872"/>
      <w:bookmarkStart w:id="1998" w:name="_Toc38443203"/>
      <w:bookmarkStart w:id="1999" w:name="_Toc38443534"/>
      <w:bookmarkStart w:id="2000" w:name="_Toc38443865"/>
      <w:bookmarkStart w:id="2001" w:name="_Toc38438332"/>
      <w:bookmarkStart w:id="2002" w:name="_Toc38438669"/>
      <w:bookmarkStart w:id="2003" w:name="_Toc38439006"/>
      <w:bookmarkStart w:id="2004" w:name="_Toc38439343"/>
      <w:bookmarkStart w:id="2005" w:name="_Toc38439680"/>
      <w:bookmarkStart w:id="2006" w:name="_Toc38440017"/>
      <w:bookmarkStart w:id="2007" w:name="_Toc38440354"/>
      <w:bookmarkStart w:id="2008" w:name="_Toc38440886"/>
      <w:bookmarkStart w:id="2009" w:name="_Toc38441218"/>
      <w:bookmarkStart w:id="2010" w:name="_Toc38441550"/>
      <w:bookmarkStart w:id="2011" w:name="_Toc38441878"/>
      <w:bookmarkStart w:id="2012" w:name="_Toc38442210"/>
      <w:bookmarkStart w:id="2013" w:name="_Toc38442542"/>
      <w:bookmarkStart w:id="2014" w:name="_Toc38442873"/>
      <w:bookmarkStart w:id="2015" w:name="_Toc38443204"/>
      <w:bookmarkStart w:id="2016" w:name="_Toc38443535"/>
      <w:bookmarkStart w:id="2017" w:name="_Toc38443866"/>
      <w:bookmarkStart w:id="2018" w:name="_Toc38438333"/>
      <w:bookmarkStart w:id="2019" w:name="_Toc38438670"/>
      <w:bookmarkStart w:id="2020" w:name="_Toc38439007"/>
      <w:bookmarkStart w:id="2021" w:name="_Toc38439344"/>
      <w:bookmarkStart w:id="2022" w:name="_Toc38439681"/>
      <w:bookmarkStart w:id="2023" w:name="_Toc38440018"/>
      <w:bookmarkStart w:id="2024" w:name="_Toc38440355"/>
      <w:bookmarkStart w:id="2025" w:name="_Toc38440887"/>
      <w:bookmarkStart w:id="2026" w:name="_Toc38441219"/>
      <w:bookmarkStart w:id="2027" w:name="_Toc38441551"/>
      <w:bookmarkStart w:id="2028" w:name="_Toc38441879"/>
      <w:bookmarkStart w:id="2029" w:name="_Toc38442211"/>
      <w:bookmarkStart w:id="2030" w:name="_Toc38442543"/>
      <w:bookmarkStart w:id="2031" w:name="_Toc38442874"/>
      <w:bookmarkStart w:id="2032" w:name="_Toc38443205"/>
      <w:bookmarkStart w:id="2033" w:name="_Toc38443536"/>
      <w:bookmarkStart w:id="2034" w:name="_Toc38443867"/>
      <w:bookmarkStart w:id="2035" w:name="_Toc38438334"/>
      <w:bookmarkStart w:id="2036" w:name="_Toc38438671"/>
      <w:bookmarkStart w:id="2037" w:name="_Toc38439008"/>
      <w:bookmarkStart w:id="2038" w:name="_Toc38439345"/>
      <w:bookmarkStart w:id="2039" w:name="_Toc38439682"/>
      <w:bookmarkStart w:id="2040" w:name="_Toc38440019"/>
      <w:bookmarkStart w:id="2041" w:name="_Toc38440356"/>
      <w:bookmarkStart w:id="2042" w:name="_Toc38440888"/>
      <w:bookmarkStart w:id="2043" w:name="_Toc38441220"/>
      <w:bookmarkStart w:id="2044" w:name="_Toc38441552"/>
      <w:bookmarkStart w:id="2045" w:name="_Toc38441880"/>
      <w:bookmarkStart w:id="2046" w:name="_Toc38442212"/>
      <w:bookmarkStart w:id="2047" w:name="_Toc38442544"/>
      <w:bookmarkStart w:id="2048" w:name="_Toc38442875"/>
      <w:bookmarkStart w:id="2049" w:name="_Toc38443206"/>
      <w:bookmarkStart w:id="2050" w:name="_Toc38443537"/>
      <w:bookmarkStart w:id="2051" w:name="_Toc38443868"/>
      <w:bookmarkStart w:id="2052" w:name="_Toc38438335"/>
      <w:bookmarkStart w:id="2053" w:name="_Toc38438672"/>
      <w:bookmarkStart w:id="2054" w:name="_Toc38439009"/>
      <w:bookmarkStart w:id="2055" w:name="_Toc38439346"/>
      <w:bookmarkStart w:id="2056" w:name="_Toc38439683"/>
      <w:bookmarkStart w:id="2057" w:name="_Toc38440020"/>
      <w:bookmarkStart w:id="2058" w:name="_Toc38440357"/>
      <w:bookmarkStart w:id="2059" w:name="_Toc38440889"/>
      <w:bookmarkStart w:id="2060" w:name="_Toc38441221"/>
      <w:bookmarkStart w:id="2061" w:name="_Toc38441553"/>
      <w:bookmarkStart w:id="2062" w:name="_Toc38441881"/>
      <w:bookmarkStart w:id="2063" w:name="_Toc38442213"/>
      <w:bookmarkStart w:id="2064" w:name="_Toc38442545"/>
      <w:bookmarkStart w:id="2065" w:name="_Toc38442876"/>
      <w:bookmarkStart w:id="2066" w:name="_Toc38443207"/>
      <w:bookmarkStart w:id="2067" w:name="_Toc38443538"/>
      <w:bookmarkStart w:id="2068" w:name="_Toc38443869"/>
      <w:bookmarkStart w:id="2069" w:name="_Toc38438336"/>
      <w:bookmarkStart w:id="2070" w:name="_Toc38438673"/>
      <w:bookmarkStart w:id="2071" w:name="_Toc38439010"/>
      <w:bookmarkStart w:id="2072" w:name="_Toc38439347"/>
      <w:bookmarkStart w:id="2073" w:name="_Toc38439684"/>
      <w:bookmarkStart w:id="2074" w:name="_Toc38440021"/>
      <w:bookmarkStart w:id="2075" w:name="_Toc38440358"/>
      <w:bookmarkStart w:id="2076" w:name="_Toc38440890"/>
      <w:bookmarkStart w:id="2077" w:name="_Toc38441222"/>
      <w:bookmarkStart w:id="2078" w:name="_Toc38441554"/>
      <w:bookmarkStart w:id="2079" w:name="_Toc38441882"/>
      <w:bookmarkStart w:id="2080" w:name="_Toc38442214"/>
      <w:bookmarkStart w:id="2081" w:name="_Toc38442546"/>
      <w:bookmarkStart w:id="2082" w:name="_Toc38442877"/>
      <w:bookmarkStart w:id="2083" w:name="_Toc38443208"/>
      <w:bookmarkStart w:id="2084" w:name="_Toc38443539"/>
      <w:bookmarkStart w:id="2085" w:name="_Toc38443870"/>
      <w:bookmarkStart w:id="2086" w:name="_Toc38438337"/>
      <w:bookmarkStart w:id="2087" w:name="_Toc38438674"/>
      <w:bookmarkStart w:id="2088" w:name="_Toc38439011"/>
      <w:bookmarkStart w:id="2089" w:name="_Toc38439348"/>
      <w:bookmarkStart w:id="2090" w:name="_Toc38439685"/>
      <w:bookmarkStart w:id="2091" w:name="_Toc38440022"/>
      <w:bookmarkStart w:id="2092" w:name="_Toc38440359"/>
      <w:bookmarkStart w:id="2093" w:name="_Toc38440891"/>
      <w:bookmarkStart w:id="2094" w:name="_Toc38441223"/>
      <w:bookmarkStart w:id="2095" w:name="_Toc38441555"/>
      <w:bookmarkStart w:id="2096" w:name="_Toc38441883"/>
      <w:bookmarkStart w:id="2097" w:name="_Toc38442215"/>
      <w:bookmarkStart w:id="2098" w:name="_Toc38442547"/>
      <w:bookmarkStart w:id="2099" w:name="_Toc38442878"/>
      <w:bookmarkStart w:id="2100" w:name="_Toc38443209"/>
      <w:bookmarkStart w:id="2101" w:name="_Toc38443540"/>
      <w:bookmarkStart w:id="2102" w:name="_Toc38443871"/>
      <w:bookmarkStart w:id="2103" w:name="_Toc38438338"/>
      <w:bookmarkStart w:id="2104" w:name="_Toc38438675"/>
      <w:bookmarkStart w:id="2105" w:name="_Toc38439012"/>
      <w:bookmarkStart w:id="2106" w:name="_Toc38439349"/>
      <w:bookmarkStart w:id="2107" w:name="_Toc38439686"/>
      <w:bookmarkStart w:id="2108" w:name="_Toc38440023"/>
      <w:bookmarkStart w:id="2109" w:name="_Toc38440360"/>
      <w:bookmarkStart w:id="2110" w:name="_Toc38440892"/>
      <w:bookmarkStart w:id="2111" w:name="_Toc38441224"/>
      <w:bookmarkStart w:id="2112" w:name="_Toc38441556"/>
      <w:bookmarkStart w:id="2113" w:name="_Toc38441884"/>
      <w:bookmarkStart w:id="2114" w:name="_Toc38442216"/>
      <w:bookmarkStart w:id="2115" w:name="_Toc38442548"/>
      <w:bookmarkStart w:id="2116" w:name="_Toc38442879"/>
      <w:bookmarkStart w:id="2117" w:name="_Toc38443210"/>
      <w:bookmarkStart w:id="2118" w:name="_Toc38443541"/>
      <w:bookmarkStart w:id="2119" w:name="_Toc38443872"/>
      <w:bookmarkStart w:id="2120" w:name="_Toc38438339"/>
      <w:bookmarkStart w:id="2121" w:name="_Toc38438676"/>
      <w:bookmarkStart w:id="2122" w:name="_Toc38439013"/>
      <w:bookmarkStart w:id="2123" w:name="_Toc38439350"/>
      <w:bookmarkStart w:id="2124" w:name="_Toc38439687"/>
      <w:bookmarkStart w:id="2125" w:name="_Toc38440024"/>
      <w:bookmarkStart w:id="2126" w:name="_Toc38440361"/>
      <w:bookmarkStart w:id="2127" w:name="_Toc38440893"/>
      <w:bookmarkStart w:id="2128" w:name="_Toc38441225"/>
      <w:bookmarkStart w:id="2129" w:name="_Toc38441557"/>
      <w:bookmarkStart w:id="2130" w:name="_Toc38441885"/>
      <w:bookmarkStart w:id="2131" w:name="_Toc38442217"/>
      <w:bookmarkStart w:id="2132" w:name="_Toc38442549"/>
      <w:bookmarkStart w:id="2133" w:name="_Toc38442880"/>
      <w:bookmarkStart w:id="2134" w:name="_Toc38443211"/>
      <w:bookmarkStart w:id="2135" w:name="_Toc38443542"/>
      <w:bookmarkStart w:id="2136" w:name="_Toc38443873"/>
      <w:bookmarkStart w:id="2137" w:name="_Toc38438340"/>
      <w:bookmarkStart w:id="2138" w:name="_Toc38438677"/>
      <w:bookmarkStart w:id="2139" w:name="_Toc38439014"/>
      <w:bookmarkStart w:id="2140" w:name="_Toc38439351"/>
      <w:bookmarkStart w:id="2141" w:name="_Toc38439688"/>
      <w:bookmarkStart w:id="2142" w:name="_Toc38440025"/>
      <w:bookmarkStart w:id="2143" w:name="_Toc38440362"/>
      <w:bookmarkStart w:id="2144" w:name="_Toc38440894"/>
      <w:bookmarkStart w:id="2145" w:name="_Toc38441226"/>
      <w:bookmarkStart w:id="2146" w:name="_Toc38441558"/>
      <w:bookmarkStart w:id="2147" w:name="_Toc38441886"/>
      <w:bookmarkStart w:id="2148" w:name="_Toc38442218"/>
      <w:bookmarkStart w:id="2149" w:name="_Toc38442550"/>
      <w:bookmarkStart w:id="2150" w:name="_Toc38442881"/>
      <w:bookmarkStart w:id="2151" w:name="_Toc38443212"/>
      <w:bookmarkStart w:id="2152" w:name="_Toc38443543"/>
      <w:bookmarkStart w:id="2153" w:name="_Toc38443874"/>
      <w:bookmarkStart w:id="2154" w:name="_Toc38438341"/>
      <w:bookmarkStart w:id="2155" w:name="_Toc38438678"/>
      <w:bookmarkStart w:id="2156" w:name="_Toc38439015"/>
      <w:bookmarkStart w:id="2157" w:name="_Toc38439352"/>
      <w:bookmarkStart w:id="2158" w:name="_Toc38439689"/>
      <w:bookmarkStart w:id="2159" w:name="_Toc38440026"/>
      <w:bookmarkStart w:id="2160" w:name="_Toc38440363"/>
      <w:bookmarkStart w:id="2161" w:name="_Toc38440895"/>
      <w:bookmarkStart w:id="2162" w:name="_Toc38441227"/>
      <w:bookmarkStart w:id="2163" w:name="_Toc38441559"/>
      <w:bookmarkStart w:id="2164" w:name="_Toc38441887"/>
      <w:bookmarkStart w:id="2165" w:name="_Toc38442219"/>
      <w:bookmarkStart w:id="2166" w:name="_Toc38442551"/>
      <w:bookmarkStart w:id="2167" w:name="_Toc38442882"/>
      <w:bookmarkStart w:id="2168" w:name="_Toc38443213"/>
      <w:bookmarkStart w:id="2169" w:name="_Toc38443544"/>
      <w:bookmarkStart w:id="2170" w:name="_Toc38443875"/>
      <w:bookmarkStart w:id="2171" w:name="_Toc38438342"/>
      <w:bookmarkStart w:id="2172" w:name="_Toc38438679"/>
      <w:bookmarkStart w:id="2173" w:name="_Toc38439016"/>
      <w:bookmarkStart w:id="2174" w:name="_Toc38439353"/>
      <w:bookmarkStart w:id="2175" w:name="_Toc38439690"/>
      <w:bookmarkStart w:id="2176" w:name="_Toc38440027"/>
      <w:bookmarkStart w:id="2177" w:name="_Toc38440364"/>
      <w:bookmarkStart w:id="2178" w:name="_Toc38440896"/>
      <w:bookmarkStart w:id="2179" w:name="_Toc38441228"/>
      <w:bookmarkStart w:id="2180" w:name="_Toc38441560"/>
      <w:bookmarkStart w:id="2181" w:name="_Toc38441888"/>
      <w:bookmarkStart w:id="2182" w:name="_Toc38442220"/>
      <w:bookmarkStart w:id="2183" w:name="_Toc38442552"/>
      <w:bookmarkStart w:id="2184" w:name="_Toc38442883"/>
      <w:bookmarkStart w:id="2185" w:name="_Toc38443214"/>
      <w:bookmarkStart w:id="2186" w:name="_Toc38443545"/>
      <w:bookmarkStart w:id="2187" w:name="_Toc38443876"/>
      <w:bookmarkStart w:id="2188" w:name="_Toc38438343"/>
      <w:bookmarkStart w:id="2189" w:name="_Toc38438680"/>
      <w:bookmarkStart w:id="2190" w:name="_Toc38439017"/>
      <w:bookmarkStart w:id="2191" w:name="_Toc38439354"/>
      <w:bookmarkStart w:id="2192" w:name="_Toc38439691"/>
      <w:bookmarkStart w:id="2193" w:name="_Toc38440028"/>
      <w:bookmarkStart w:id="2194" w:name="_Toc38440365"/>
      <w:bookmarkStart w:id="2195" w:name="_Toc38440897"/>
      <w:bookmarkStart w:id="2196" w:name="_Toc38441229"/>
      <w:bookmarkStart w:id="2197" w:name="_Toc38441561"/>
      <w:bookmarkStart w:id="2198" w:name="_Toc38441889"/>
      <w:bookmarkStart w:id="2199" w:name="_Toc38442221"/>
      <w:bookmarkStart w:id="2200" w:name="_Toc38442553"/>
      <w:bookmarkStart w:id="2201" w:name="_Toc38442884"/>
      <w:bookmarkStart w:id="2202" w:name="_Toc38443215"/>
      <w:bookmarkStart w:id="2203" w:name="_Toc38443546"/>
      <w:bookmarkStart w:id="2204" w:name="_Toc38443877"/>
      <w:bookmarkStart w:id="2205" w:name="_Toc96595125"/>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sidRPr="001C6480">
        <w:rPr>
          <w:rFonts w:asciiTheme="minorEastAsia" w:eastAsiaTheme="minorEastAsia" w:hAnsiTheme="minorEastAsia" w:cs="Arial" w:hint="eastAsia"/>
          <w:bCs/>
          <w:color w:val="000000" w:themeColor="text1"/>
        </w:rPr>
        <w:t>其他应披露事项</w:t>
      </w:r>
      <w:bookmarkEnd w:id="2205"/>
    </w:p>
    <w:tbl>
      <w:tblPr>
        <w:tblpPr w:leftFromText="180" w:rightFromText="180" w:vertAnchor="text" w:horzAnchor="margin" w:tblpY="316"/>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1843"/>
      </w:tblGrid>
      <w:tr w:rsidTr="006B7EA8">
        <w:tblPrEx>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487" w:type="dxa"/>
            <w:tcBorders>
              <w:top w:val="single" w:sz="4" w:space="0" w:color="auto"/>
              <w:left w:val="single" w:sz="4" w:space="0" w:color="auto"/>
              <w:bottom w:val="single" w:sz="4" w:space="0" w:color="auto"/>
              <w:right w:val="single" w:sz="4" w:space="0" w:color="auto"/>
            </w:tcBorders>
            <w:vAlign w:val="center"/>
            <w:hideMark/>
          </w:tcPr>
          <w:p w:rsidR="006B7EA8" w:rsidRPr="001C6480" w:rsidP="005B11A9">
            <w:pPr>
              <w:widowControl w:val="0"/>
              <w:spacing w:line="360" w:lineRule="auto"/>
              <w:ind w:firstLine="420" w:firstLineChars="200"/>
              <w:jc w:val="center"/>
              <w:rPr>
                <w:rFonts w:asciiTheme="minorEastAsia" w:eastAsiaTheme="minorEastAsia" w:hAnsiTheme="minorEastAsia" w:cs="Times New Roman"/>
                <w:color w:val="000000" w:themeColor="text1"/>
                <w:kern w:val="2"/>
              </w:rPr>
            </w:pPr>
            <w:r w:rsidRPr="001C6480">
              <w:rPr>
                <w:rFonts w:asciiTheme="minorEastAsia" w:eastAsiaTheme="minorEastAsia" w:hAnsiTheme="minorEastAsia" w:hint="eastAsia"/>
                <w:color w:val="000000" w:themeColor="text1"/>
              </w:rPr>
              <w:t>公告事项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EA8" w:rsidRPr="001C6480" w:rsidP="006B7EA8">
            <w:pPr>
              <w:widowControl w:val="0"/>
              <w:spacing w:line="360" w:lineRule="auto"/>
              <w:ind w:firstLine="420" w:firstLineChars="200"/>
              <w:rPr>
                <w:rFonts w:asciiTheme="minorEastAsia" w:eastAsiaTheme="minorEastAsia" w:hAnsiTheme="minorEastAsia" w:cs="Times New Roman"/>
                <w:color w:val="000000" w:themeColor="text1"/>
                <w:kern w:val="2"/>
              </w:rPr>
            </w:pPr>
            <w:r w:rsidRPr="001C6480">
              <w:rPr>
                <w:rFonts w:asciiTheme="minorEastAsia" w:eastAsiaTheme="minorEastAsia" w:hAnsiTheme="minorEastAsia" w:hint="eastAsia"/>
                <w:color w:val="000000" w:themeColor="text1"/>
              </w:rPr>
              <w:t>披露日期</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易方达基金管理有限公司关于终止包商银行股份有限公司办理本公司旗下基金销售业务的公告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2021-02-08</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易方达沪深300量化增强证券投资基金基金经理变更公告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2021-03-20</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易方达基金管理有限公司关于旗下部分基金根据《公开募集证券投资基金运作指引第3号——指数基金指引》修改基金合同部分条款的公告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2021-03-30</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易方达基金管理有限公司旗下基金2020年年度报告提示性公告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2021-03-30</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易方达基金管理有限公司关于提醒投资者及时提供或更新身份信息资料的公告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2021-04-02</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易方达基金管理有限公司旗下基金2021年第1季度报告提示性公告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2021-04-19</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易方达基金管理有限公司高级管理人员变更公告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2021-07-17</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易方达基金管理有限公司旗下基金2021年第2季度报告提示性公告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2021-07-20</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易方达基金管理有限公司高级管理人员变更公告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2021-07-24</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易方达基金管理有限公司高级管理人员变更公告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2021-07-24</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易方达基金管理有限公司关于南京分公司营业场所变更的公告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2021-07-28</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易方达基金管理有限公司高级管理人员变更公告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2021-07-30</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易方达基金管理有限公司旗下基金2021年中期报告提示性公告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2021-08-28</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易方达沪深300量化增强证券投资基金基金经理变更公告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2021-09-04</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易方达基金管理有限公司旗下基金2021年第3季度报告提示性公告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2021-10-27</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易方达基金管理有限公司关于旗下部分公开募集证券投资基金可投资于北京证券交易所股票的公告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2021-11-15</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易方达基金管理有限公司关于暂停北京钱景基金销售有限公司办理旗下基金相关销售业务的公告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2021-12-10</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易方达基金管理有限公司关于成都分公司营业场所变更的公告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2021-12-17</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易方达基金管理有限公司关于旗下公开募集证券投资基金执行新金融工具相关会计准则的公告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2022-01-01</w:t>
            </w:r>
          </w:p>
        </w:tc>
      </w:tr>
      <w:tr>
        <w:tblPrEx>
          <w:tblW w:w="8330" w:type="dxa"/>
          <w:tblLayout w:type="fixed"/>
          <w:tblLook w:val="04A0"/>
        </w:tblPrEx>
        <w:tc>
          <w:tcPr>
            <w:tcW w:w="6487" w:type="dxa"/>
          </w:tcPr>
          <w:p w:rsidR="00FF24EB" w:rsidRPr="001C6480">
            <w:pPr>
              <w:jc w:val="lef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易方达基金管理有限公司关于公司住所变更的公告</w:t>
            </w:r>
          </w:p>
        </w:tc>
        <w:tc>
          <w:tcPr>
            <w:tcW w:w="1843" w:type="dxa"/>
          </w:tcPr>
          <w:p w:rsidR="00FF24EB" w:rsidRPr="001C6480">
            <w:pPr>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2022-01-07</w:t>
            </w:r>
          </w:p>
        </w:tc>
      </w:tr>
    </w:tbl>
    <w:p w:rsidR="008E0212" w:rsidRPr="001C6480" w:rsidP="00187A7B">
      <w:pPr>
        <w:autoSpaceDE w:val="0"/>
        <w:autoSpaceDN w:val="0"/>
        <w:adjustRightInd w:val="0"/>
        <w:snapToGrid w:val="0"/>
        <w:spacing w:line="360" w:lineRule="auto"/>
        <w:jc w:val="left"/>
        <w:rPr>
          <w:rFonts w:asciiTheme="minorEastAsia" w:eastAsiaTheme="minorEastAsia" w:hAnsiTheme="minorEastAsia" w:cs="Arial"/>
          <w:color w:val="000000" w:themeColor="text1"/>
        </w:rPr>
      </w:pPr>
      <w:r w:rsidRPr="001C6480">
        <w:rPr>
          <w:rFonts w:asciiTheme="minorEastAsia" w:eastAsiaTheme="minorEastAsia" w:hAnsiTheme="minorEastAsia"/>
          <w:color w:val="000000" w:themeColor="text1"/>
        </w:rPr>
        <w:t>注：以上公告事项披露在规定媒介及基金管理人网站上。</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bCs/>
          <w:color w:val="000000" w:themeColor="text1"/>
        </w:rPr>
      </w:pPr>
      <w:bookmarkStart w:id="2206" w:name="_Toc38438350"/>
      <w:bookmarkStart w:id="2207" w:name="_Toc38438687"/>
      <w:bookmarkStart w:id="2208" w:name="_Toc38439024"/>
      <w:bookmarkStart w:id="2209" w:name="_Toc38439361"/>
      <w:bookmarkStart w:id="2210" w:name="_Toc38439698"/>
      <w:bookmarkStart w:id="2211" w:name="_Toc38440035"/>
      <w:bookmarkStart w:id="2212" w:name="_Toc38440372"/>
      <w:bookmarkStart w:id="2213" w:name="_Toc38440904"/>
      <w:bookmarkStart w:id="2214" w:name="_Toc38441236"/>
      <w:bookmarkStart w:id="2215" w:name="_Toc38441568"/>
      <w:bookmarkStart w:id="2216" w:name="_Toc38441896"/>
      <w:bookmarkStart w:id="2217" w:name="_Toc38442228"/>
      <w:bookmarkStart w:id="2218" w:name="_Toc38442560"/>
      <w:bookmarkStart w:id="2219" w:name="_Toc38442891"/>
      <w:bookmarkStart w:id="2220" w:name="_Toc38443222"/>
      <w:bookmarkStart w:id="2221" w:name="_Toc38443553"/>
      <w:bookmarkStart w:id="2222" w:name="_Toc38443883"/>
      <w:bookmarkStart w:id="2223" w:name="_Toc38438351"/>
      <w:bookmarkStart w:id="2224" w:name="_Toc38438688"/>
      <w:bookmarkStart w:id="2225" w:name="_Toc38439025"/>
      <w:bookmarkStart w:id="2226" w:name="_Toc38439362"/>
      <w:bookmarkStart w:id="2227" w:name="_Toc38439699"/>
      <w:bookmarkStart w:id="2228" w:name="_Toc38440036"/>
      <w:bookmarkStart w:id="2229" w:name="_Toc38440373"/>
      <w:bookmarkStart w:id="2230" w:name="_Toc38440905"/>
      <w:bookmarkStart w:id="2231" w:name="_Toc38441237"/>
      <w:bookmarkStart w:id="2232" w:name="_Toc38441569"/>
      <w:bookmarkStart w:id="2233" w:name="_Toc38441897"/>
      <w:bookmarkStart w:id="2234" w:name="_Toc38442229"/>
      <w:bookmarkStart w:id="2235" w:name="_Toc38442561"/>
      <w:bookmarkStart w:id="2236" w:name="_Toc38442892"/>
      <w:bookmarkStart w:id="2237" w:name="_Toc38443223"/>
      <w:bookmarkStart w:id="2238" w:name="_Toc38443554"/>
      <w:bookmarkStart w:id="2239" w:name="_Toc38443884"/>
      <w:bookmarkStart w:id="2240" w:name="_Toc38438352"/>
      <w:bookmarkStart w:id="2241" w:name="_Toc38438689"/>
      <w:bookmarkStart w:id="2242" w:name="_Toc38439026"/>
      <w:bookmarkStart w:id="2243" w:name="_Toc38439363"/>
      <w:bookmarkStart w:id="2244" w:name="_Toc38439700"/>
      <w:bookmarkStart w:id="2245" w:name="_Toc38440037"/>
      <w:bookmarkStart w:id="2246" w:name="_Toc38440374"/>
      <w:bookmarkStart w:id="2247" w:name="_Toc38440906"/>
      <w:bookmarkStart w:id="2248" w:name="_Toc38441238"/>
      <w:bookmarkStart w:id="2249" w:name="_Toc38441570"/>
      <w:bookmarkStart w:id="2250" w:name="_Toc38441898"/>
      <w:bookmarkStart w:id="2251" w:name="_Toc38442230"/>
      <w:bookmarkStart w:id="2252" w:name="_Toc38442562"/>
      <w:bookmarkStart w:id="2253" w:name="_Toc38442893"/>
      <w:bookmarkStart w:id="2254" w:name="_Toc38443224"/>
      <w:bookmarkStart w:id="2255" w:name="_Toc38443555"/>
      <w:bookmarkStart w:id="2256" w:name="_Toc38443885"/>
      <w:bookmarkStart w:id="2257" w:name="_Toc38438353"/>
      <w:bookmarkStart w:id="2258" w:name="_Toc38438690"/>
      <w:bookmarkStart w:id="2259" w:name="_Toc38439027"/>
      <w:bookmarkStart w:id="2260" w:name="_Toc38439364"/>
      <w:bookmarkStart w:id="2261" w:name="_Toc38439701"/>
      <w:bookmarkStart w:id="2262" w:name="_Toc38440038"/>
      <w:bookmarkStart w:id="2263" w:name="_Toc38440375"/>
      <w:bookmarkStart w:id="2264" w:name="_Toc38440907"/>
      <w:bookmarkStart w:id="2265" w:name="_Toc38441239"/>
      <w:bookmarkStart w:id="2266" w:name="_Toc38441571"/>
      <w:bookmarkStart w:id="2267" w:name="_Toc38441899"/>
      <w:bookmarkStart w:id="2268" w:name="_Toc38442231"/>
      <w:bookmarkStart w:id="2269" w:name="_Toc38442563"/>
      <w:bookmarkStart w:id="2270" w:name="_Toc38442894"/>
      <w:bookmarkStart w:id="2271" w:name="_Toc38443225"/>
      <w:bookmarkStart w:id="2272" w:name="_Toc38443556"/>
      <w:bookmarkStart w:id="2273" w:name="_Toc38443886"/>
      <w:bookmarkStart w:id="2274" w:name="_Toc38438354"/>
      <w:bookmarkStart w:id="2275" w:name="_Toc38438691"/>
      <w:bookmarkStart w:id="2276" w:name="_Toc38439028"/>
      <w:bookmarkStart w:id="2277" w:name="_Toc38439365"/>
      <w:bookmarkStart w:id="2278" w:name="_Toc38439702"/>
      <w:bookmarkStart w:id="2279" w:name="_Toc38440039"/>
      <w:bookmarkStart w:id="2280" w:name="_Toc38440376"/>
      <w:bookmarkStart w:id="2281" w:name="_Toc38440908"/>
      <w:bookmarkStart w:id="2282" w:name="_Toc38441240"/>
      <w:bookmarkStart w:id="2283" w:name="_Toc38441572"/>
      <w:bookmarkStart w:id="2284" w:name="_Toc38441900"/>
      <w:bookmarkStart w:id="2285" w:name="_Toc38442232"/>
      <w:bookmarkStart w:id="2286" w:name="_Toc38442564"/>
      <w:bookmarkStart w:id="2287" w:name="_Toc38442895"/>
      <w:bookmarkStart w:id="2288" w:name="_Toc38443226"/>
      <w:bookmarkStart w:id="2289" w:name="_Toc38443557"/>
      <w:bookmarkStart w:id="2290" w:name="_Toc38443887"/>
      <w:bookmarkStart w:id="2291" w:name="_Toc38438355"/>
      <w:bookmarkStart w:id="2292" w:name="_Toc38438692"/>
      <w:bookmarkStart w:id="2293" w:name="_Toc38439029"/>
      <w:bookmarkStart w:id="2294" w:name="_Toc38439366"/>
      <w:bookmarkStart w:id="2295" w:name="_Toc38439703"/>
      <w:bookmarkStart w:id="2296" w:name="_Toc38440040"/>
      <w:bookmarkStart w:id="2297" w:name="_Toc38440377"/>
      <w:bookmarkStart w:id="2298" w:name="_Toc38440909"/>
      <w:bookmarkStart w:id="2299" w:name="_Toc38441241"/>
      <w:bookmarkStart w:id="2300" w:name="_Toc38441573"/>
      <w:bookmarkStart w:id="2301" w:name="_Toc38441901"/>
      <w:bookmarkStart w:id="2302" w:name="_Toc38442233"/>
      <w:bookmarkStart w:id="2303" w:name="_Toc38442565"/>
      <w:bookmarkStart w:id="2304" w:name="_Toc38442896"/>
      <w:bookmarkStart w:id="2305" w:name="_Toc38443227"/>
      <w:bookmarkStart w:id="2306" w:name="_Toc38443558"/>
      <w:bookmarkStart w:id="2307" w:name="_Toc38443888"/>
      <w:bookmarkStart w:id="2308" w:name="_Toc38438356"/>
      <w:bookmarkStart w:id="2309" w:name="_Toc38438693"/>
      <w:bookmarkStart w:id="2310" w:name="_Toc38439030"/>
      <w:bookmarkStart w:id="2311" w:name="_Toc38439367"/>
      <w:bookmarkStart w:id="2312" w:name="_Toc38439704"/>
      <w:bookmarkStart w:id="2313" w:name="_Toc38440041"/>
      <w:bookmarkStart w:id="2314" w:name="_Toc38440378"/>
      <w:bookmarkStart w:id="2315" w:name="_Toc38440910"/>
      <w:bookmarkStart w:id="2316" w:name="_Toc38441242"/>
      <w:bookmarkStart w:id="2317" w:name="_Toc38441574"/>
      <w:bookmarkStart w:id="2318" w:name="_Toc38441902"/>
      <w:bookmarkStart w:id="2319" w:name="_Toc38442234"/>
      <w:bookmarkStart w:id="2320" w:name="_Toc38442566"/>
      <w:bookmarkStart w:id="2321" w:name="_Toc38442897"/>
      <w:bookmarkStart w:id="2322" w:name="_Toc38443228"/>
      <w:bookmarkStart w:id="2323" w:name="_Toc38443559"/>
      <w:bookmarkStart w:id="2324" w:name="_Toc38443889"/>
      <w:bookmarkStart w:id="2325" w:name="_Toc38438357"/>
      <w:bookmarkStart w:id="2326" w:name="_Toc38438694"/>
      <w:bookmarkStart w:id="2327" w:name="_Toc38439031"/>
      <w:bookmarkStart w:id="2328" w:name="_Toc38439368"/>
      <w:bookmarkStart w:id="2329" w:name="_Toc38439705"/>
      <w:bookmarkStart w:id="2330" w:name="_Toc38440042"/>
      <w:bookmarkStart w:id="2331" w:name="_Toc38440379"/>
      <w:bookmarkStart w:id="2332" w:name="_Toc38440911"/>
      <w:bookmarkStart w:id="2333" w:name="_Toc38441243"/>
      <w:bookmarkStart w:id="2334" w:name="_Toc38441575"/>
      <w:bookmarkStart w:id="2335" w:name="_Toc38441903"/>
      <w:bookmarkStart w:id="2336" w:name="_Toc38442235"/>
      <w:bookmarkStart w:id="2337" w:name="_Toc38442567"/>
      <w:bookmarkStart w:id="2338" w:name="_Toc38442898"/>
      <w:bookmarkStart w:id="2339" w:name="_Toc38443229"/>
      <w:bookmarkStart w:id="2340" w:name="_Toc38443560"/>
      <w:bookmarkStart w:id="2341" w:name="_Toc38443890"/>
      <w:bookmarkStart w:id="2342" w:name="_Toc38438358"/>
      <w:bookmarkStart w:id="2343" w:name="_Toc38438695"/>
      <w:bookmarkStart w:id="2344" w:name="_Toc38439032"/>
      <w:bookmarkStart w:id="2345" w:name="_Toc38439369"/>
      <w:bookmarkStart w:id="2346" w:name="_Toc38439706"/>
      <w:bookmarkStart w:id="2347" w:name="_Toc38440043"/>
      <w:bookmarkStart w:id="2348" w:name="_Toc38440380"/>
      <w:bookmarkStart w:id="2349" w:name="_Toc38440912"/>
      <w:bookmarkStart w:id="2350" w:name="_Toc38441244"/>
      <w:bookmarkStart w:id="2351" w:name="_Toc38441576"/>
      <w:bookmarkStart w:id="2352" w:name="_Toc38441904"/>
      <w:bookmarkStart w:id="2353" w:name="_Toc38442236"/>
      <w:bookmarkStart w:id="2354" w:name="_Toc38442568"/>
      <w:bookmarkStart w:id="2355" w:name="_Toc38442899"/>
      <w:bookmarkStart w:id="2356" w:name="_Toc38443230"/>
      <w:bookmarkStart w:id="2357" w:name="_Toc38443561"/>
      <w:bookmarkStart w:id="2358" w:name="_Toc38443891"/>
      <w:bookmarkStart w:id="2359" w:name="_Toc38438359"/>
      <w:bookmarkStart w:id="2360" w:name="_Toc38438696"/>
      <w:bookmarkStart w:id="2361" w:name="_Toc38439033"/>
      <w:bookmarkStart w:id="2362" w:name="_Toc38439370"/>
      <w:bookmarkStart w:id="2363" w:name="_Toc38439707"/>
      <w:bookmarkStart w:id="2364" w:name="_Toc38440044"/>
      <w:bookmarkStart w:id="2365" w:name="_Toc38440381"/>
      <w:bookmarkStart w:id="2366" w:name="_Toc38440913"/>
      <w:bookmarkStart w:id="2367" w:name="_Toc38441245"/>
      <w:bookmarkStart w:id="2368" w:name="_Toc38441577"/>
      <w:bookmarkStart w:id="2369" w:name="_Toc38441905"/>
      <w:bookmarkStart w:id="2370" w:name="_Toc38442237"/>
      <w:bookmarkStart w:id="2371" w:name="_Toc38442569"/>
      <w:bookmarkStart w:id="2372" w:name="_Toc38442900"/>
      <w:bookmarkStart w:id="2373" w:name="_Toc38443231"/>
      <w:bookmarkStart w:id="2374" w:name="_Toc38443562"/>
      <w:bookmarkStart w:id="2375" w:name="_Toc38443892"/>
      <w:bookmarkStart w:id="2376" w:name="_Toc38438360"/>
      <w:bookmarkStart w:id="2377" w:name="_Toc38438697"/>
      <w:bookmarkStart w:id="2378" w:name="_Toc38439034"/>
      <w:bookmarkStart w:id="2379" w:name="_Toc38439371"/>
      <w:bookmarkStart w:id="2380" w:name="_Toc38439708"/>
      <w:bookmarkStart w:id="2381" w:name="_Toc38440045"/>
      <w:bookmarkStart w:id="2382" w:name="_Toc38440382"/>
      <w:bookmarkStart w:id="2383" w:name="_Toc38440914"/>
      <w:bookmarkStart w:id="2384" w:name="_Toc38441246"/>
      <w:bookmarkStart w:id="2385" w:name="_Toc38441578"/>
      <w:bookmarkStart w:id="2386" w:name="_Toc38441906"/>
      <w:bookmarkStart w:id="2387" w:name="_Toc38442238"/>
      <w:bookmarkStart w:id="2388" w:name="_Toc38442570"/>
      <w:bookmarkStart w:id="2389" w:name="_Toc38442901"/>
      <w:bookmarkStart w:id="2390" w:name="_Toc38443232"/>
      <w:bookmarkStart w:id="2391" w:name="_Toc38443563"/>
      <w:bookmarkStart w:id="2392" w:name="_Toc38443893"/>
      <w:bookmarkStart w:id="2393" w:name="_Toc38438361"/>
      <w:bookmarkStart w:id="2394" w:name="_Toc38438698"/>
      <w:bookmarkStart w:id="2395" w:name="_Toc38439035"/>
      <w:bookmarkStart w:id="2396" w:name="_Toc38439372"/>
      <w:bookmarkStart w:id="2397" w:name="_Toc38439709"/>
      <w:bookmarkStart w:id="2398" w:name="_Toc38440046"/>
      <w:bookmarkStart w:id="2399" w:name="_Toc38440383"/>
      <w:bookmarkStart w:id="2400" w:name="_Toc38440915"/>
      <w:bookmarkStart w:id="2401" w:name="_Toc38441247"/>
      <w:bookmarkStart w:id="2402" w:name="_Toc38441579"/>
      <w:bookmarkStart w:id="2403" w:name="_Toc38441907"/>
      <w:bookmarkStart w:id="2404" w:name="_Toc38442239"/>
      <w:bookmarkStart w:id="2405" w:name="_Toc38442571"/>
      <w:bookmarkStart w:id="2406" w:name="_Toc38442902"/>
      <w:bookmarkStart w:id="2407" w:name="_Toc38443233"/>
      <w:bookmarkStart w:id="2408" w:name="_Toc38443564"/>
      <w:bookmarkStart w:id="2409" w:name="_Toc38443894"/>
      <w:bookmarkStart w:id="2410" w:name="_Toc38438362"/>
      <w:bookmarkStart w:id="2411" w:name="_Toc38438699"/>
      <w:bookmarkStart w:id="2412" w:name="_Toc38439036"/>
      <w:bookmarkStart w:id="2413" w:name="_Toc38439373"/>
      <w:bookmarkStart w:id="2414" w:name="_Toc38439710"/>
      <w:bookmarkStart w:id="2415" w:name="_Toc38440047"/>
      <w:bookmarkStart w:id="2416" w:name="_Toc38440384"/>
      <w:bookmarkStart w:id="2417" w:name="_Toc38440916"/>
      <w:bookmarkStart w:id="2418" w:name="_Toc38441248"/>
      <w:bookmarkStart w:id="2419" w:name="_Toc38441580"/>
      <w:bookmarkStart w:id="2420" w:name="_Toc38441908"/>
      <w:bookmarkStart w:id="2421" w:name="_Toc38442240"/>
      <w:bookmarkStart w:id="2422" w:name="_Toc38442572"/>
      <w:bookmarkStart w:id="2423" w:name="_Toc38442903"/>
      <w:bookmarkStart w:id="2424" w:name="_Toc38443234"/>
      <w:bookmarkStart w:id="2425" w:name="_Toc38443565"/>
      <w:bookmarkStart w:id="2426" w:name="_Toc38443895"/>
      <w:bookmarkStart w:id="2427" w:name="_Toc38438363"/>
      <w:bookmarkStart w:id="2428" w:name="_Toc38438700"/>
      <w:bookmarkStart w:id="2429" w:name="_Toc38439037"/>
      <w:bookmarkStart w:id="2430" w:name="_Toc38439374"/>
      <w:bookmarkStart w:id="2431" w:name="_Toc38439711"/>
      <w:bookmarkStart w:id="2432" w:name="_Toc38440048"/>
      <w:bookmarkStart w:id="2433" w:name="_Toc38440385"/>
      <w:bookmarkStart w:id="2434" w:name="_Toc38440917"/>
      <w:bookmarkStart w:id="2435" w:name="_Toc38441249"/>
      <w:bookmarkStart w:id="2436" w:name="_Toc38441581"/>
      <w:bookmarkStart w:id="2437" w:name="_Toc38441909"/>
      <w:bookmarkStart w:id="2438" w:name="_Toc38442241"/>
      <w:bookmarkStart w:id="2439" w:name="_Toc38442573"/>
      <w:bookmarkStart w:id="2440" w:name="_Toc38442904"/>
      <w:bookmarkStart w:id="2441" w:name="_Toc38443235"/>
      <w:bookmarkStart w:id="2442" w:name="_Toc38443566"/>
      <w:bookmarkStart w:id="2443" w:name="_Toc38443896"/>
      <w:bookmarkStart w:id="2444" w:name="_Toc38438364"/>
      <w:bookmarkStart w:id="2445" w:name="_Toc38438701"/>
      <w:bookmarkStart w:id="2446" w:name="_Toc38439038"/>
      <w:bookmarkStart w:id="2447" w:name="_Toc38439375"/>
      <w:bookmarkStart w:id="2448" w:name="_Toc38439712"/>
      <w:bookmarkStart w:id="2449" w:name="_Toc38440049"/>
      <w:bookmarkStart w:id="2450" w:name="_Toc38440386"/>
      <w:bookmarkStart w:id="2451" w:name="_Toc38440918"/>
      <w:bookmarkStart w:id="2452" w:name="_Toc38441250"/>
      <w:bookmarkStart w:id="2453" w:name="_Toc38441582"/>
      <w:bookmarkStart w:id="2454" w:name="_Toc38441910"/>
      <w:bookmarkStart w:id="2455" w:name="_Toc38442242"/>
      <w:bookmarkStart w:id="2456" w:name="_Toc38442574"/>
      <w:bookmarkStart w:id="2457" w:name="_Toc38442905"/>
      <w:bookmarkStart w:id="2458" w:name="_Toc38443236"/>
      <w:bookmarkStart w:id="2459" w:name="_Toc38443567"/>
      <w:bookmarkStart w:id="2460" w:name="_Toc38443897"/>
      <w:bookmarkStart w:id="2461" w:name="_Toc38438365"/>
      <w:bookmarkStart w:id="2462" w:name="_Toc38438702"/>
      <w:bookmarkStart w:id="2463" w:name="_Toc38439039"/>
      <w:bookmarkStart w:id="2464" w:name="_Toc38439376"/>
      <w:bookmarkStart w:id="2465" w:name="_Toc38439713"/>
      <w:bookmarkStart w:id="2466" w:name="_Toc38440050"/>
      <w:bookmarkStart w:id="2467" w:name="_Toc38440387"/>
      <w:bookmarkStart w:id="2468" w:name="_Toc38440919"/>
      <w:bookmarkStart w:id="2469" w:name="_Toc38441251"/>
      <w:bookmarkStart w:id="2470" w:name="_Toc38441583"/>
      <w:bookmarkStart w:id="2471" w:name="_Toc38441911"/>
      <w:bookmarkStart w:id="2472" w:name="_Toc38442243"/>
      <w:bookmarkStart w:id="2473" w:name="_Toc38442575"/>
      <w:bookmarkStart w:id="2474" w:name="_Toc38442906"/>
      <w:bookmarkStart w:id="2475" w:name="_Toc38443237"/>
      <w:bookmarkStart w:id="2476" w:name="_Toc38443568"/>
      <w:bookmarkStart w:id="2477" w:name="_Toc38443898"/>
      <w:bookmarkStart w:id="2478" w:name="_Toc38438366"/>
      <w:bookmarkStart w:id="2479" w:name="_Toc38438703"/>
      <w:bookmarkStart w:id="2480" w:name="_Toc38439040"/>
      <w:bookmarkStart w:id="2481" w:name="_Toc38439377"/>
      <w:bookmarkStart w:id="2482" w:name="_Toc38439714"/>
      <w:bookmarkStart w:id="2483" w:name="_Toc38440051"/>
      <w:bookmarkStart w:id="2484" w:name="_Toc38440388"/>
      <w:bookmarkStart w:id="2485" w:name="_Toc38440920"/>
      <w:bookmarkStart w:id="2486" w:name="_Toc38441252"/>
      <w:bookmarkStart w:id="2487" w:name="_Toc38441584"/>
      <w:bookmarkStart w:id="2488" w:name="_Toc38441912"/>
      <w:bookmarkStart w:id="2489" w:name="_Toc38442244"/>
      <w:bookmarkStart w:id="2490" w:name="_Toc38442576"/>
      <w:bookmarkStart w:id="2491" w:name="_Toc38442907"/>
      <w:bookmarkStart w:id="2492" w:name="_Toc38443238"/>
      <w:bookmarkStart w:id="2493" w:name="_Toc38443569"/>
      <w:bookmarkStart w:id="2494" w:name="_Toc38443899"/>
      <w:bookmarkStart w:id="2495" w:name="_Toc38438367"/>
      <w:bookmarkStart w:id="2496" w:name="_Toc38438704"/>
      <w:bookmarkStart w:id="2497" w:name="_Toc38439041"/>
      <w:bookmarkStart w:id="2498" w:name="_Toc38439378"/>
      <w:bookmarkStart w:id="2499" w:name="_Toc38439715"/>
      <w:bookmarkStart w:id="2500" w:name="_Toc38440052"/>
      <w:bookmarkStart w:id="2501" w:name="_Toc38440389"/>
      <w:bookmarkStart w:id="2502" w:name="_Toc38440921"/>
      <w:bookmarkStart w:id="2503" w:name="_Toc38441253"/>
      <w:bookmarkStart w:id="2504" w:name="_Toc38441585"/>
      <w:bookmarkStart w:id="2505" w:name="_Toc38441913"/>
      <w:bookmarkStart w:id="2506" w:name="_Toc38442245"/>
      <w:bookmarkStart w:id="2507" w:name="_Toc38442577"/>
      <w:bookmarkStart w:id="2508" w:name="_Toc38442908"/>
      <w:bookmarkStart w:id="2509" w:name="_Toc38443239"/>
      <w:bookmarkStart w:id="2510" w:name="_Toc38443570"/>
      <w:bookmarkStart w:id="2511" w:name="_Toc38443900"/>
      <w:bookmarkStart w:id="2512" w:name="_Toc38438368"/>
      <w:bookmarkStart w:id="2513" w:name="_Toc38438705"/>
      <w:bookmarkStart w:id="2514" w:name="_Toc38439042"/>
      <w:bookmarkStart w:id="2515" w:name="_Toc38439379"/>
      <w:bookmarkStart w:id="2516" w:name="_Toc38439716"/>
      <w:bookmarkStart w:id="2517" w:name="_Toc38440053"/>
      <w:bookmarkStart w:id="2518" w:name="_Toc38440390"/>
      <w:bookmarkStart w:id="2519" w:name="_Toc38440922"/>
      <w:bookmarkStart w:id="2520" w:name="_Toc38441254"/>
      <w:bookmarkStart w:id="2521" w:name="_Toc38441586"/>
      <w:bookmarkStart w:id="2522" w:name="_Toc38441914"/>
      <w:bookmarkStart w:id="2523" w:name="_Toc38442246"/>
      <w:bookmarkStart w:id="2524" w:name="_Toc38442578"/>
      <w:bookmarkStart w:id="2525" w:name="_Toc38442909"/>
      <w:bookmarkStart w:id="2526" w:name="_Toc38443240"/>
      <w:bookmarkStart w:id="2527" w:name="_Toc38443571"/>
      <w:bookmarkStart w:id="2528" w:name="_Toc38443901"/>
      <w:bookmarkStart w:id="2529" w:name="_Toc38438369"/>
      <w:bookmarkStart w:id="2530" w:name="_Toc38438706"/>
      <w:bookmarkStart w:id="2531" w:name="_Toc38439043"/>
      <w:bookmarkStart w:id="2532" w:name="_Toc38439380"/>
      <w:bookmarkStart w:id="2533" w:name="_Toc38439717"/>
      <w:bookmarkStart w:id="2534" w:name="_Toc38440054"/>
      <w:bookmarkStart w:id="2535" w:name="_Toc38440391"/>
      <w:bookmarkStart w:id="2536" w:name="_Toc38440923"/>
      <w:bookmarkStart w:id="2537" w:name="_Toc38441255"/>
      <w:bookmarkStart w:id="2538" w:name="_Toc38441587"/>
      <w:bookmarkStart w:id="2539" w:name="_Toc38441915"/>
      <w:bookmarkStart w:id="2540" w:name="_Toc38442247"/>
      <w:bookmarkStart w:id="2541" w:name="_Toc38442579"/>
      <w:bookmarkStart w:id="2542" w:name="_Toc38442910"/>
      <w:bookmarkStart w:id="2543" w:name="_Toc38443241"/>
      <w:bookmarkStart w:id="2544" w:name="_Toc38443572"/>
      <w:bookmarkStart w:id="2545" w:name="_Toc38443902"/>
      <w:bookmarkStart w:id="2546" w:name="_Toc38438371"/>
      <w:bookmarkStart w:id="2547" w:name="_Toc38438708"/>
      <w:bookmarkStart w:id="2548" w:name="_Toc38439045"/>
      <w:bookmarkStart w:id="2549" w:name="_Toc38439382"/>
      <w:bookmarkStart w:id="2550" w:name="_Toc38439719"/>
      <w:bookmarkStart w:id="2551" w:name="_Toc38440056"/>
      <w:bookmarkStart w:id="2552" w:name="_Toc38440393"/>
      <w:bookmarkStart w:id="2553" w:name="_Toc38440925"/>
      <w:bookmarkStart w:id="2554" w:name="_Toc38441257"/>
      <w:bookmarkStart w:id="2555" w:name="_Toc38441589"/>
      <w:bookmarkStart w:id="2556" w:name="_Toc38441917"/>
      <w:bookmarkStart w:id="2557" w:name="_Toc38442249"/>
      <w:bookmarkStart w:id="2558" w:name="_Toc38442581"/>
      <w:bookmarkStart w:id="2559" w:name="_Toc38442912"/>
      <w:bookmarkStart w:id="2560" w:name="_Toc38443243"/>
      <w:bookmarkStart w:id="2561" w:name="_Toc38443574"/>
      <w:bookmarkStart w:id="2562" w:name="_Toc38443904"/>
      <w:bookmarkStart w:id="2563" w:name="_Toc38438372"/>
      <w:bookmarkStart w:id="2564" w:name="_Toc38438709"/>
      <w:bookmarkStart w:id="2565" w:name="_Toc38439046"/>
      <w:bookmarkStart w:id="2566" w:name="_Toc38439383"/>
      <w:bookmarkStart w:id="2567" w:name="_Toc38439720"/>
      <w:bookmarkStart w:id="2568" w:name="_Toc38440057"/>
      <w:bookmarkStart w:id="2569" w:name="_Toc38440394"/>
      <w:bookmarkStart w:id="2570" w:name="_Toc38440926"/>
      <w:bookmarkStart w:id="2571" w:name="_Toc38441258"/>
      <w:bookmarkStart w:id="2572" w:name="_Toc38441590"/>
      <w:bookmarkStart w:id="2573" w:name="_Toc38441918"/>
      <w:bookmarkStart w:id="2574" w:name="_Toc38442250"/>
      <w:bookmarkStart w:id="2575" w:name="_Toc38442582"/>
      <w:bookmarkStart w:id="2576" w:name="_Toc38442913"/>
      <w:bookmarkStart w:id="2577" w:name="_Toc38443244"/>
      <w:bookmarkStart w:id="2578" w:name="_Toc38443575"/>
      <w:bookmarkStart w:id="2579" w:name="_Toc38443905"/>
      <w:bookmarkStart w:id="2580" w:name="_Toc38438373"/>
      <w:bookmarkStart w:id="2581" w:name="_Toc38438710"/>
      <w:bookmarkStart w:id="2582" w:name="_Toc38439047"/>
      <w:bookmarkStart w:id="2583" w:name="_Toc38439384"/>
      <w:bookmarkStart w:id="2584" w:name="_Toc38439721"/>
      <w:bookmarkStart w:id="2585" w:name="_Toc38440058"/>
      <w:bookmarkStart w:id="2586" w:name="_Toc38440395"/>
      <w:bookmarkStart w:id="2587" w:name="_Toc38440927"/>
      <w:bookmarkStart w:id="2588" w:name="_Toc38441259"/>
      <w:bookmarkStart w:id="2589" w:name="_Toc38441591"/>
      <w:bookmarkStart w:id="2590" w:name="_Toc38441919"/>
      <w:bookmarkStart w:id="2591" w:name="_Toc38442251"/>
      <w:bookmarkStart w:id="2592" w:name="_Toc38442583"/>
      <w:bookmarkStart w:id="2593" w:name="_Toc38442914"/>
      <w:bookmarkStart w:id="2594" w:name="_Toc38443245"/>
      <w:bookmarkStart w:id="2595" w:name="_Toc38443576"/>
      <w:bookmarkStart w:id="2596" w:name="_Toc38443906"/>
      <w:bookmarkStart w:id="2597" w:name="_Toc38438374"/>
      <w:bookmarkStart w:id="2598" w:name="_Toc38438711"/>
      <w:bookmarkStart w:id="2599" w:name="_Toc38439048"/>
      <w:bookmarkStart w:id="2600" w:name="_Toc38439385"/>
      <w:bookmarkStart w:id="2601" w:name="_Toc38439722"/>
      <w:bookmarkStart w:id="2602" w:name="_Toc38440059"/>
      <w:bookmarkStart w:id="2603" w:name="_Toc38440396"/>
      <w:bookmarkStart w:id="2604" w:name="_Toc38440928"/>
      <w:bookmarkStart w:id="2605" w:name="_Toc38441260"/>
      <w:bookmarkStart w:id="2606" w:name="_Toc38441592"/>
      <w:bookmarkStart w:id="2607" w:name="_Toc38441920"/>
      <w:bookmarkStart w:id="2608" w:name="_Toc38442252"/>
      <w:bookmarkStart w:id="2609" w:name="_Toc38442584"/>
      <w:bookmarkStart w:id="2610" w:name="_Toc38442915"/>
      <w:bookmarkStart w:id="2611" w:name="_Toc38443246"/>
      <w:bookmarkStart w:id="2612" w:name="_Toc38443577"/>
      <w:bookmarkStart w:id="2613" w:name="_Toc38443907"/>
      <w:bookmarkStart w:id="2614" w:name="_Toc38438375"/>
      <w:bookmarkStart w:id="2615" w:name="_Toc38438712"/>
      <w:bookmarkStart w:id="2616" w:name="_Toc38439049"/>
      <w:bookmarkStart w:id="2617" w:name="_Toc38439386"/>
      <w:bookmarkStart w:id="2618" w:name="_Toc38439723"/>
      <w:bookmarkStart w:id="2619" w:name="_Toc38440060"/>
      <w:bookmarkStart w:id="2620" w:name="_Toc38440397"/>
      <w:bookmarkStart w:id="2621" w:name="_Toc38440929"/>
      <w:bookmarkStart w:id="2622" w:name="_Toc38441261"/>
      <w:bookmarkStart w:id="2623" w:name="_Toc38441593"/>
      <w:bookmarkStart w:id="2624" w:name="_Toc38441921"/>
      <w:bookmarkStart w:id="2625" w:name="_Toc38442253"/>
      <w:bookmarkStart w:id="2626" w:name="_Toc38442585"/>
      <w:bookmarkStart w:id="2627" w:name="_Toc38442916"/>
      <w:bookmarkStart w:id="2628" w:name="_Toc38443247"/>
      <w:bookmarkStart w:id="2629" w:name="_Toc38443578"/>
      <w:bookmarkStart w:id="2630" w:name="_Toc38443908"/>
      <w:bookmarkStart w:id="2631" w:name="_Toc38438376"/>
      <w:bookmarkStart w:id="2632" w:name="_Toc38438713"/>
      <w:bookmarkStart w:id="2633" w:name="_Toc38439050"/>
      <w:bookmarkStart w:id="2634" w:name="_Toc38439387"/>
      <w:bookmarkStart w:id="2635" w:name="_Toc38439724"/>
      <w:bookmarkStart w:id="2636" w:name="_Toc38440061"/>
      <w:bookmarkStart w:id="2637" w:name="_Toc38440398"/>
      <w:bookmarkStart w:id="2638" w:name="_Toc38440930"/>
      <w:bookmarkStart w:id="2639" w:name="_Toc38441262"/>
      <w:bookmarkStart w:id="2640" w:name="_Toc38441594"/>
      <w:bookmarkStart w:id="2641" w:name="_Toc38441922"/>
      <w:bookmarkStart w:id="2642" w:name="_Toc38442254"/>
      <w:bookmarkStart w:id="2643" w:name="_Toc38442586"/>
      <w:bookmarkStart w:id="2644" w:name="_Toc38442917"/>
      <w:bookmarkStart w:id="2645" w:name="_Toc38443248"/>
      <w:bookmarkStart w:id="2646" w:name="_Toc38443579"/>
      <w:bookmarkStart w:id="2647" w:name="_Toc38443909"/>
      <w:bookmarkStart w:id="2648" w:name="_Toc38438377"/>
      <w:bookmarkStart w:id="2649" w:name="_Toc38438714"/>
      <w:bookmarkStart w:id="2650" w:name="_Toc38439051"/>
      <w:bookmarkStart w:id="2651" w:name="_Toc38439388"/>
      <w:bookmarkStart w:id="2652" w:name="_Toc38439725"/>
      <w:bookmarkStart w:id="2653" w:name="_Toc38440062"/>
      <w:bookmarkStart w:id="2654" w:name="_Toc38440399"/>
      <w:bookmarkStart w:id="2655" w:name="_Toc38440931"/>
      <w:bookmarkStart w:id="2656" w:name="_Toc38441263"/>
      <w:bookmarkStart w:id="2657" w:name="_Toc38441595"/>
      <w:bookmarkStart w:id="2658" w:name="_Toc38441923"/>
      <w:bookmarkStart w:id="2659" w:name="_Toc38442255"/>
      <w:bookmarkStart w:id="2660" w:name="_Toc38442587"/>
      <w:bookmarkStart w:id="2661" w:name="_Toc38442918"/>
      <w:bookmarkStart w:id="2662" w:name="_Toc38443249"/>
      <w:bookmarkStart w:id="2663" w:name="_Toc38443580"/>
      <w:bookmarkStart w:id="2664" w:name="_Toc38443910"/>
      <w:bookmarkStart w:id="2665" w:name="_Toc38438378"/>
      <w:bookmarkStart w:id="2666" w:name="_Toc38438715"/>
      <w:bookmarkStart w:id="2667" w:name="_Toc38439052"/>
      <w:bookmarkStart w:id="2668" w:name="_Toc38439389"/>
      <w:bookmarkStart w:id="2669" w:name="_Toc38439726"/>
      <w:bookmarkStart w:id="2670" w:name="_Toc38440063"/>
      <w:bookmarkStart w:id="2671" w:name="_Toc38440400"/>
      <w:bookmarkStart w:id="2672" w:name="_Toc38440932"/>
      <w:bookmarkStart w:id="2673" w:name="_Toc38441264"/>
      <w:bookmarkStart w:id="2674" w:name="_Toc38441596"/>
      <w:bookmarkStart w:id="2675" w:name="_Toc38441924"/>
      <w:bookmarkStart w:id="2676" w:name="_Toc38442256"/>
      <w:bookmarkStart w:id="2677" w:name="_Toc38442588"/>
      <w:bookmarkStart w:id="2678" w:name="_Toc38442919"/>
      <w:bookmarkStart w:id="2679" w:name="_Toc38443250"/>
      <w:bookmarkStart w:id="2680" w:name="_Toc38443581"/>
      <w:bookmarkStart w:id="2681" w:name="_Toc38443911"/>
      <w:bookmarkStart w:id="2682" w:name="_Toc38438379"/>
      <w:bookmarkStart w:id="2683" w:name="_Toc38438716"/>
      <w:bookmarkStart w:id="2684" w:name="_Toc38439053"/>
      <w:bookmarkStart w:id="2685" w:name="_Toc38439390"/>
      <w:bookmarkStart w:id="2686" w:name="_Toc38439727"/>
      <w:bookmarkStart w:id="2687" w:name="_Toc38440064"/>
      <w:bookmarkStart w:id="2688" w:name="_Toc38440401"/>
      <w:bookmarkStart w:id="2689" w:name="_Toc38440933"/>
      <w:bookmarkStart w:id="2690" w:name="_Toc38441265"/>
      <w:bookmarkStart w:id="2691" w:name="_Toc38441597"/>
      <w:bookmarkStart w:id="2692" w:name="_Toc38441925"/>
      <w:bookmarkStart w:id="2693" w:name="_Toc38442257"/>
      <w:bookmarkStart w:id="2694" w:name="_Toc38442589"/>
      <w:bookmarkStart w:id="2695" w:name="_Toc38442920"/>
      <w:bookmarkStart w:id="2696" w:name="_Toc38443251"/>
      <w:bookmarkStart w:id="2697" w:name="_Toc38443582"/>
      <w:bookmarkStart w:id="2698" w:name="_Toc38443912"/>
      <w:bookmarkStart w:id="2699" w:name="_Toc38438380"/>
      <w:bookmarkStart w:id="2700" w:name="_Toc38438717"/>
      <w:bookmarkStart w:id="2701" w:name="_Toc38439054"/>
      <w:bookmarkStart w:id="2702" w:name="_Toc38439391"/>
      <w:bookmarkStart w:id="2703" w:name="_Toc38439728"/>
      <w:bookmarkStart w:id="2704" w:name="_Toc38440065"/>
      <w:bookmarkStart w:id="2705" w:name="_Toc38440402"/>
      <w:bookmarkStart w:id="2706" w:name="_Toc38440934"/>
      <w:bookmarkStart w:id="2707" w:name="_Toc38441266"/>
      <w:bookmarkStart w:id="2708" w:name="_Toc38441598"/>
      <w:bookmarkStart w:id="2709" w:name="_Toc38441926"/>
      <w:bookmarkStart w:id="2710" w:name="_Toc38442258"/>
      <w:bookmarkStart w:id="2711" w:name="_Toc38442590"/>
      <w:bookmarkStart w:id="2712" w:name="_Toc38442921"/>
      <w:bookmarkStart w:id="2713" w:name="_Toc38443252"/>
      <w:bookmarkStart w:id="2714" w:name="_Toc38443583"/>
      <w:bookmarkStart w:id="2715" w:name="_Toc38443913"/>
      <w:bookmarkStart w:id="2716" w:name="_Toc38438381"/>
      <w:bookmarkStart w:id="2717" w:name="_Toc38438718"/>
      <w:bookmarkStart w:id="2718" w:name="_Toc38439055"/>
      <w:bookmarkStart w:id="2719" w:name="_Toc38439392"/>
      <w:bookmarkStart w:id="2720" w:name="_Toc38439729"/>
      <w:bookmarkStart w:id="2721" w:name="_Toc38440066"/>
      <w:bookmarkStart w:id="2722" w:name="_Toc38440403"/>
      <w:bookmarkStart w:id="2723" w:name="_Toc38440935"/>
      <w:bookmarkStart w:id="2724" w:name="_Toc38441267"/>
      <w:bookmarkStart w:id="2725" w:name="_Toc38441599"/>
      <w:bookmarkStart w:id="2726" w:name="_Toc38441927"/>
      <w:bookmarkStart w:id="2727" w:name="_Toc38442259"/>
      <w:bookmarkStart w:id="2728" w:name="_Toc38442591"/>
      <w:bookmarkStart w:id="2729" w:name="_Toc38442922"/>
      <w:bookmarkStart w:id="2730" w:name="_Toc38443253"/>
      <w:bookmarkStart w:id="2731" w:name="_Toc38443584"/>
      <w:bookmarkStart w:id="2732" w:name="_Toc38443914"/>
      <w:bookmarkStart w:id="2733" w:name="_Toc38438382"/>
      <w:bookmarkStart w:id="2734" w:name="_Toc38438719"/>
      <w:bookmarkStart w:id="2735" w:name="_Toc38439056"/>
      <w:bookmarkStart w:id="2736" w:name="_Toc38439393"/>
      <w:bookmarkStart w:id="2737" w:name="_Toc38439730"/>
      <w:bookmarkStart w:id="2738" w:name="_Toc38440067"/>
      <w:bookmarkStart w:id="2739" w:name="_Toc38440404"/>
      <w:bookmarkStart w:id="2740" w:name="_Toc38440936"/>
      <w:bookmarkStart w:id="2741" w:name="_Toc38441268"/>
      <w:bookmarkStart w:id="2742" w:name="_Toc38441600"/>
      <w:bookmarkStart w:id="2743" w:name="_Toc38441928"/>
      <w:bookmarkStart w:id="2744" w:name="_Toc38442260"/>
      <w:bookmarkStart w:id="2745" w:name="_Toc38442592"/>
      <w:bookmarkStart w:id="2746" w:name="_Toc38442923"/>
      <w:bookmarkStart w:id="2747" w:name="_Toc38443254"/>
      <w:bookmarkStart w:id="2748" w:name="_Toc38443585"/>
      <w:bookmarkStart w:id="2749" w:name="_Toc38443915"/>
      <w:bookmarkStart w:id="2750" w:name="_Toc38438383"/>
      <w:bookmarkStart w:id="2751" w:name="_Toc38438720"/>
      <w:bookmarkStart w:id="2752" w:name="_Toc38439057"/>
      <w:bookmarkStart w:id="2753" w:name="_Toc38439394"/>
      <w:bookmarkStart w:id="2754" w:name="_Toc38439731"/>
      <w:bookmarkStart w:id="2755" w:name="_Toc38440068"/>
      <w:bookmarkStart w:id="2756" w:name="_Toc38440405"/>
      <w:bookmarkStart w:id="2757" w:name="_Toc38440937"/>
      <w:bookmarkStart w:id="2758" w:name="_Toc38441269"/>
      <w:bookmarkStart w:id="2759" w:name="_Toc38441601"/>
      <w:bookmarkStart w:id="2760" w:name="_Toc38441929"/>
      <w:bookmarkStart w:id="2761" w:name="_Toc38442261"/>
      <w:bookmarkStart w:id="2762" w:name="_Toc38442593"/>
      <w:bookmarkStart w:id="2763" w:name="_Toc38442924"/>
      <w:bookmarkStart w:id="2764" w:name="_Toc38443255"/>
      <w:bookmarkStart w:id="2765" w:name="_Toc38443586"/>
      <w:bookmarkStart w:id="2766" w:name="_Toc38443916"/>
      <w:bookmarkStart w:id="2767" w:name="_Toc38438384"/>
      <w:bookmarkStart w:id="2768" w:name="_Toc38438721"/>
      <w:bookmarkStart w:id="2769" w:name="_Toc38439058"/>
      <w:bookmarkStart w:id="2770" w:name="_Toc38439395"/>
      <w:bookmarkStart w:id="2771" w:name="_Toc38439732"/>
      <w:bookmarkStart w:id="2772" w:name="_Toc38440069"/>
      <w:bookmarkStart w:id="2773" w:name="_Toc38440406"/>
      <w:bookmarkStart w:id="2774" w:name="_Toc38440938"/>
      <w:bookmarkStart w:id="2775" w:name="_Toc38441270"/>
      <w:bookmarkStart w:id="2776" w:name="_Toc38441602"/>
      <w:bookmarkStart w:id="2777" w:name="_Toc38441930"/>
      <w:bookmarkStart w:id="2778" w:name="_Toc38442262"/>
      <w:bookmarkStart w:id="2779" w:name="_Toc38442594"/>
      <w:bookmarkStart w:id="2780" w:name="_Toc38442925"/>
      <w:bookmarkStart w:id="2781" w:name="_Toc38443256"/>
      <w:bookmarkStart w:id="2782" w:name="_Toc38443587"/>
      <w:bookmarkStart w:id="2783" w:name="_Toc38443917"/>
      <w:bookmarkStart w:id="2784" w:name="_Toc38438385"/>
      <w:bookmarkStart w:id="2785" w:name="_Toc38438722"/>
      <w:bookmarkStart w:id="2786" w:name="_Toc38439059"/>
      <w:bookmarkStart w:id="2787" w:name="_Toc38439396"/>
      <w:bookmarkStart w:id="2788" w:name="_Toc38439733"/>
      <w:bookmarkStart w:id="2789" w:name="_Toc38440070"/>
      <w:bookmarkStart w:id="2790" w:name="_Toc38440407"/>
      <w:bookmarkStart w:id="2791" w:name="_Toc38440939"/>
      <w:bookmarkStart w:id="2792" w:name="_Toc38441271"/>
      <w:bookmarkStart w:id="2793" w:name="_Toc38441603"/>
      <w:bookmarkStart w:id="2794" w:name="_Toc38441931"/>
      <w:bookmarkStart w:id="2795" w:name="_Toc38442263"/>
      <w:bookmarkStart w:id="2796" w:name="_Toc38442595"/>
      <w:bookmarkStart w:id="2797" w:name="_Toc38442926"/>
      <w:bookmarkStart w:id="2798" w:name="_Toc38443257"/>
      <w:bookmarkStart w:id="2799" w:name="_Toc38443588"/>
      <w:bookmarkStart w:id="2800" w:name="_Toc38443918"/>
      <w:bookmarkStart w:id="2801" w:name="_Toc38438386"/>
      <w:bookmarkStart w:id="2802" w:name="_Toc38438723"/>
      <w:bookmarkStart w:id="2803" w:name="_Toc38439060"/>
      <w:bookmarkStart w:id="2804" w:name="_Toc38439397"/>
      <w:bookmarkStart w:id="2805" w:name="_Toc38439734"/>
      <w:bookmarkStart w:id="2806" w:name="_Toc38440071"/>
      <w:bookmarkStart w:id="2807" w:name="_Toc38440408"/>
      <w:bookmarkStart w:id="2808" w:name="_Toc38440940"/>
      <w:bookmarkStart w:id="2809" w:name="_Toc38441272"/>
      <w:bookmarkStart w:id="2810" w:name="_Toc38441604"/>
      <w:bookmarkStart w:id="2811" w:name="_Toc38441932"/>
      <w:bookmarkStart w:id="2812" w:name="_Toc38442264"/>
      <w:bookmarkStart w:id="2813" w:name="_Toc38442596"/>
      <w:bookmarkStart w:id="2814" w:name="_Toc38442927"/>
      <w:bookmarkStart w:id="2815" w:name="_Toc38443258"/>
      <w:bookmarkStart w:id="2816" w:name="_Toc38443589"/>
      <w:bookmarkStart w:id="2817" w:name="_Toc38443919"/>
      <w:bookmarkStart w:id="2818" w:name="_Toc38438387"/>
      <w:bookmarkStart w:id="2819" w:name="_Toc38438724"/>
      <w:bookmarkStart w:id="2820" w:name="_Toc38439061"/>
      <w:bookmarkStart w:id="2821" w:name="_Toc38439398"/>
      <w:bookmarkStart w:id="2822" w:name="_Toc38439735"/>
      <w:bookmarkStart w:id="2823" w:name="_Toc38440072"/>
      <w:bookmarkStart w:id="2824" w:name="_Toc38440409"/>
      <w:bookmarkStart w:id="2825" w:name="_Toc38440941"/>
      <w:bookmarkStart w:id="2826" w:name="_Toc38441273"/>
      <w:bookmarkStart w:id="2827" w:name="_Toc38441605"/>
      <w:bookmarkStart w:id="2828" w:name="_Toc38441933"/>
      <w:bookmarkStart w:id="2829" w:name="_Toc38442265"/>
      <w:bookmarkStart w:id="2830" w:name="_Toc38442597"/>
      <w:bookmarkStart w:id="2831" w:name="_Toc38442928"/>
      <w:bookmarkStart w:id="2832" w:name="_Toc38443259"/>
      <w:bookmarkStart w:id="2833" w:name="_Toc38443590"/>
      <w:bookmarkStart w:id="2834" w:name="_Toc38443920"/>
      <w:bookmarkStart w:id="2835" w:name="_Toc38438388"/>
      <w:bookmarkStart w:id="2836" w:name="_Toc38438725"/>
      <w:bookmarkStart w:id="2837" w:name="_Toc38439062"/>
      <w:bookmarkStart w:id="2838" w:name="_Toc38439399"/>
      <w:bookmarkStart w:id="2839" w:name="_Toc38439736"/>
      <w:bookmarkStart w:id="2840" w:name="_Toc38440073"/>
      <w:bookmarkStart w:id="2841" w:name="_Toc38440410"/>
      <w:bookmarkStart w:id="2842" w:name="_Toc38440942"/>
      <w:bookmarkStart w:id="2843" w:name="_Toc38441274"/>
      <w:bookmarkStart w:id="2844" w:name="_Toc38441606"/>
      <w:bookmarkStart w:id="2845" w:name="_Toc38441934"/>
      <w:bookmarkStart w:id="2846" w:name="_Toc38442266"/>
      <w:bookmarkStart w:id="2847" w:name="_Toc38442598"/>
      <w:bookmarkStart w:id="2848" w:name="_Toc38442929"/>
      <w:bookmarkStart w:id="2849" w:name="_Toc38443260"/>
      <w:bookmarkStart w:id="2850" w:name="_Toc38443591"/>
      <w:bookmarkStart w:id="2851" w:name="_Toc38443921"/>
      <w:bookmarkStart w:id="2852" w:name="_Toc38438389"/>
      <w:bookmarkStart w:id="2853" w:name="_Toc38438726"/>
      <w:bookmarkStart w:id="2854" w:name="_Toc38439063"/>
      <w:bookmarkStart w:id="2855" w:name="_Toc38439400"/>
      <w:bookmarkStart w:id="2856" w:name="_Toc38439737"/>
      <w:bookmarkStart w:id="2857" w:name="_Toc38440074"/>
      <w:bookmarkStart w:id="2858" w:name="_Toc38440411"/>
      <w:bookmarkStart w:id="2859" w:name="_Toc38440943"/>
      <w:bookmarkStart w:id="2860" w:name="_Toc38441275"/>
      <w:bookmarkStart w:id="2861" w:name="_Toc38441607"/>
      <w:bookmarkStart w:id="2862" w:name="_Toc38441935"/>
      <w:bookmarkStart w:id="2863" w:name="_Toc38442267"/>
      <w:bookmarkStart w:id="2864" w:name="_Toc38442599"/>
      <w:bookmarkStart w:id="2865" w:name="_Toc38442930"/>
      <w:bookmarkStart w:id="2866" w:name="_Toc38443261"/>
      <w:bookmarkStart w:id="2867" w:name="_Toc38443592"/>
      <w:bookmarkStart w:id="2868" w:name="_Toc38443922"/>
      <w:bookmarkStart w:id="2869" w:name="_Toc38438390"/>
      <w:bookmarkStart w:id="2870" w:name="_Toc38438727"/>
      <w:bookmarkStart w:id="2871" w:name="_Toc38439064"/>
      <w:bookmarkStart w:id="2872" w:name="_Toc38439401"/>
      <w:bookmarkStart w:id="2873" w:name="_Toc38439738"/>
      <w:bookmarkStart w:id="2874" w:name="_Toc38440075"/>
      <w:bookmarkStart w:id="2875" w:name="_Toc38440412"/>
      <w:bookmarkStart w:id="2876" w:name="_Toc38440944"/>
      <w:bookmarkStart w:id="2877" w:name="_Toc38441276"/>
      <w:bookmarkStart w:id="2878" w:name="_Toc38441608"/>
      <w:bookmarkStart w:id="2879" w:name="_Toc38441936"/>
      <w:bookmarkStart w:id="2880" w:name="_Toc38442268"/>
      <w:bookmarkStart w:id="2881" w:name="_Toc38442600"/>
      <w:bookmarkStart w:id="2882" w:name="_Toc38442931"/>
      <w:bookmarkStart w:id="2883" w:name="_Toc38443262"/>
      <w:bookmarkStart w:id="2884" w:name="_Toc38443593"/>
      <w:bookmarkStart w:id="2885" w:name="_Toc38443923"/>
      <w:bookmarkStart w:id="2886" w:name="_Toc38438391"/>
      <w:bookmarkStart w:id="2887" w:name="_Toc38438728"/>
      <w:bookmarkStart w:id="2888" w:name="_Toc38439065"/>
      <w:bookmarkStart w:id="2889" w:name="_Toc38439402"/>
      <w:bookmarkStart w:id="2890" w:name="_Toc38439739"/>
      <w:bookmarkStart w:id="2891" w:name="_Toc38440076"/>
      <w:bookmarkStart w:id="2892" w:name="_Toc38440413"/>
      <w:bookmarkStart w:id="2893" w:name="_Toc38440945"/>
      <w:bookmarkStart w:id="2894" w:name="_Toc38441277"/>
      <w:bookmarkStart w:id="2895" w:name="_Toc38441609"/>
      <w:bookmarkStart w:id="2896" w:name="_Toc38441937"/>
      <w:bookmarkStart w:id="2897" w:name="_Toc38442269"/>
      <w:bookmarkStart w:id="2898" w:name="_Toc38442601"/>
      <w:bookmarkStart w:id="2899" w:name="_Toc38442932"/>
      <w:bookmarkStart w:id="2900" w:name="_Toc38443263"/>
      <w:bookmarkStart w:id="2901" w:name="_Toc38443594"/>
      <w:bookmarkStart w:id="2902" w:name="_Toc38443924"/>
      <w:bookmarkStart w:id="2903" w:name="_Toc38438392"/>
      <w:bookmarkStart w:id="2904" w:name="_Toc38438729"/>
      <w:bookmarkStart w:id="2905" w:name="_Toc38439066"/>
      <w:bookmarkStart w:id="2906" w:name="_Toc38439403"/>
      <w:bookmarkStart w:id="2907" w:name="_Toc38439740"/>
      <w:bookmarkStart w:id="2908" w:name="_Toc38440077"/>
      <w:bookmarkStart w:id="2909" w:name="_Toc38440414"/>
      <w:bookmarkStart w:id="2910" w:name="_Toc38440946"/>
      <w:bookmarkStart w:id="2911" w:name="_Toc38441278"/>
      <w:bookmarkStart w:id="2912" w:name="_Toc38441610"/>
      <w:bookmarkStart w:id="2913" w:name="_Toc38441938"/>
      <w:bookmarkStart w:id="2914" w:name="_Toc38442270"/>
      <w:bookmarkStart w:id="2915" w:name="_Toc38442602"/>
      <w:bookmarkStart w:id="2916" w:name="_Toc38442933"/>
      <w:bookmarkStart w:id="2917" w:name="_Toc38443264"/>
      <w:bookmarkStart w:id="2918" w:name="_Toc38443595"/>
      <w:bookmarkStart w:id="2919" w:name="_Toc38443925"/>
      <w:bookmarkStart w:id="2920" w:name="_Toc38438393"/>
      <w:bookmarkStart w:id="2921" w:name="_Toc38438730"/>
      <w:bookmarkStart w:id="2922" w:name="_Toc38439067"/>
      <w:bookmarkStart w:id="2923" w:name="_Toc38439404"/>
      <w:bookmarkStart w:id="2924" w:name="_Toc38439741"/>
      <w:bookmarkStart w:id="2925" w:name="_Toc38440078"/>
      <w:bookmarkStart w:id="2926" w:name="_Toc38440415"/>
      <w:bookmarkStart w:id="2927" w:name="_Toc38440947"/>
      <w:bookmarkStart w:id="2928" w:name="_Toc38441279"/>
      <w:bookmarkStart w:id="2929" w:name="_Toc38441611"/>
      <w:bookmarkStart w:id="2930" w:name="_Toc38441939"/>
      <w:bookmarkStart w:id="2931" w:name="_Toc38442271"/>
      <w:bookmarkStart w:id="2932" w:name="_Toc38442603"/>
      <w:bookmarkStart w:id="2933" w:name="_Toc38442934"/>
      <w:bookmarkStart w:id="2934" w:name="_Toc38443265"/>
      <w:bookmarkStart w:id="2935" w:name="_Toc38443596"/>
      <w:bookmarkStart w:id="2936" w:name="_Toc38443926"/>
      <w:bookmarkStart w:id="2937" w:name="_Toc38438394"/>
      <w:bookmarkStart w:id="2938" w:name="_Toc38438731"/>
      <w:bookmarkStart w:id="2939" w:name="_Toc38439068"/>
      <w:bookmarkStart w:id="2940" w:name="_Toc38439405"/>
      <w:bookmarkStart w:id="2941" w:name="_Toc38439742"/>
      <w:bookmarkStart w:id="2942" w:name="_Toc38440079"/>
      <w:bookmarkStart w:id="2943" w:name="_Toc38440416"/>
      <w:bookmarkStart w:id="2944" w:name="_Toc38440948"/>
      <w:bookmarkStart w:id="2945" w:name="_Toc38441280"/>
      <w:bookmarkStart w:id="2946" w:name="_Toc38441612"/>
      <w:bookmarkStart w:id="2947" w:name="_Toc38441940"/>
      <w:bookmarkStart w:id="2948" w:name="_Toc38442272"/>
      <w:bookmarkStart w:id="2949" w:name="_Toc38442604"/>
      <w:bookmarkStart w:id="2950" w:name="_Toc38442935"/>
      <w:bookmarkStart w:id="2951" w:name="_Toc38443266"/>
      <w:bookmarkStart w:id="2952" w:name="_Toc38443597"/>
      <w:bookmarkStart w:id="2953" w:name="_Toc38443927"/>
      <w:bookmarkStart w:id="2954" w:name="_Toc38438395"/>
      <w:bookmarkStart w:id="2955" w:name="_Toc38438732"/>
      <w:bookmarkStart w:id="2956" w:name="_Toc38439069"/>
      <w:bookmarkStart w:id="2957" w:name="_Toc38439406"/>
      <w:bookmarkStart w:id="2958" w:name="_Toc38439743"/>
      <w:bookmarkStart w:id="2959" w:name="_Toc38440080"/>
      <w:bookmarkStart w:id="2960" w:name="_Toc38440417"/>
      <w:bookmarkStart w:id="2961" w:name="_Toc38440949"/>
      <w:bookmarkStart w:id="2962" w:name="_Toc38441281"/>
      <w:bookmarkStart w:id="2963" w:name="_Toc38441613"/>
      <w:bookmarkStart w:id="2964" w:name="_Toc38441941"/>
      <w:bookmarkStart w:id="2965" w:name="_Toc38442273"/>
      <w:bookmarkStart w:id="2966" w:name="_Toc38442605"/>
      <w:bookmarkStart w:id="2967" w:name="_Toc38442936"/>
      <w:bookmarkStart w:id="2968" w:name="_Toc38443267"/>
      <w:bookmarkStart w:id="2969" w:name="_Toc38443598"/>
      <w:bookmarkStart w:id="2970" w:name="_Toc38443928"/>
      <w:bookmarkStart w:id="2971" w:name="_Toc38438396"/>
      <w:bookmarkStart w:id="2972" w:name="_Toc38438733"/>
      <w:bookmarkStart w:id="2973" w:name="_Toc38439070"/>
      <w:bookmarkStart w:id="2974" w:name="_Toc38439407"/>
      <w:bookmarkStart w:id="2975" w:name="_Toc38439744"/>
      <w:bookmarkStart w:id="2976" w:name="_Toc38440081"/>
      <w:bookmarkStart w:id="2977" w:name="_Toc38440418"/>
      <w:bookmarkStart w:id="2978" w:name="_Toc38440950"/>
      <w:bookmarkStart w:id="2979" w:name="_Toc38441282"/>
      <w:bookmarkStart w:id="2980" w:name="_Toc38441614"/>
      <w:bookmarkStart w:id="2981" w:name="_Toc38441942"/>
      <w:bookmarkStart w:id="2982" w:name="_Toc38442274"/>
      <w:bookmarkStart w:id="2983" w:name="_Toc38442606"/>
      <w:bookmarkStart w:id="2984" w:name="_Toc38442937"/>
      <w:bookmarkStart w:id="2985" w:name="_Toc38443268"/>
      <w:bookmarkStart w:id="2986" w:name="_Toc38443599"/>
      <w:bookmarkStart w:id="2987" w:name="_Toc38443929"/>
      <w:bookmarkStart w:id="2988" w:name="_Toc38438397"/>
      <w:bookmarkStart w:id="2989" w:name="_Toc38438734"/>
      <w:bookmarkStart w:id="2990" w:name="_Toc38439071"/>
      <w:bookmarkStart w:id="2991" w:name="_Toc38439408"/>
      <w:bookmarkStart w:id="2992" w:name="_Toc38439745"/>
      <w:bookmarkStart w:id="2993" w:name="_Toc38440082"/>
      <w:bookmarkStart w:id="2994" w:name="_Toc38440419"/>
      <w:bookmarkStart w:id="2995" w:name="_Toc38440951"/>
      <w:bookmarkStart w:id="2996" w:name="_Toc38441283"/>
      <w:bookmarkStart w:id="2997" w:name="_Toc38441615"/>
      <w:bookmarkStart w:id="2998" w:name="_Toc38441943"/>
      <w:bookmarkStart w:id="2999" w:name="_Toc38442275"/>
      <w:bookmarkStart w:id="3000" w:name="_Toc38442607"/>
      <w:bookmarkStart w:id="3001" w:name="_Toc38442938"/>
      <w:bookmarkStart w:id="3002" w:name="_Toc38443269"/>
      <w:bookmarkStart w:id="3003" w:name="_Toc38443600"/>
      <w:bookmarkStart w:id="3004" w:name="_Toc38443930"/>
      <w:bookmarkStart w:id="3005" w:name="_Toc38438398"/>
      <w:bookmarkStart w:id="3006" w:name="_Toc38438735"/>
      <w:bookmarkStart w:id="3007" w:name="_Toc38439072"/>
      <w:bookmarkStart w:id="3008" w:name="_Toc38439409"/>
      <w:bookmarkStart w:id="3009" w:name="_Toc38439746"/>
      <w:bookmarkStart w:id="3010" w:name="_Toc38440083"/>
      <w:bookmarkStart w:id="3011" w:name="_Toc38440420"/>
      <w:bookmarkStart w:id="3012" w:name="_Toc38440952"/>
      <w:bookmarkStart w:id="3013" w:name="_Toc38441284"/>
      <w:bookmarkStart w:id="3014" w:name="_Toc38441616"/>
      <w:bookmarkStart w:id="3015" w:name="_Toc38441944"/>
      <w:bookmarkStart w:id="3016" w:name="_Toc38442276"/>
      <w:bookmarkStart w:id="3017" w:name="_Toc38442608"/>
      <w:bookmarkStart w:id="3018" w:name="_Toc38442939"/>
      <w:bookmarkStart w:id="3019" w:name="_Toc38443270"/>
      <w:bookmarkStart w:id="3020" w:name="_Toc38443601"/>
      <w:bookmarkStart w:id="3021" w:name="_Toc38443931"/>
      <w:bookmarkStart w:id="3022" w:name="_Toc38438400"/>
      <w:bookmarkStart w:id="3023" w:name="_Toc38438737"/>
      <w:bookmarkStart w:id="3024" w:name="_Toc38439074"/>
      <w:bookmarkStart w:id="3025" w:name="_Toc38439411"/>
      <w:bookmarkStart w:id="3026" w:name="_Toc38439748"/>
      <w:bookmarkStart w:id="3027" w:name="_Toc38440085"/>
      <w:bookmarkStart w:id="3028" w:name="_Toc38440422"/>
      <w:bookmarkStart w:id="3029" w:name="_Toc38440954"/>
      <w:bookmarkStart w:id="3030" w:name="_Toc38441286"/>
      <w:bookmarkStart w:id="3031" w:name="_Toc38441618"/>
      <w:bookmarkStart w:id="3032" w:name="_Toc38441946"/>
      <w:bookmarkStart w:id="3033" w:name="_Toc38442278"/>
      <w:bookmarkStart w:id="3034" w:name="_Toc38442610"/>
      <w:bookmarkStart w:id="3035" w:name="_Toc38442941"/>
      <w:bookmarkStart w:id="3036" w:name="_Toc38443272"/>
      <w:bookmarkStart w:id="3037" w:name="_Toc38443603"/>
      <w:bookmarkStart w:id="3038" w:name="_Toc38443933"/>
      <w:bookmarkStart w:id="3039" w:name="_Toc38438401"/>
      <w:bookmarkStart w:id="3040" w:name="_Toc38438738"/>
      <w:bookmarkStart w:id="3041" w:name="_Toc38439075"/>
      <w:bookmarkStart w:id="3042" w:name="_Toc38439412"/>
      <w:bookmarkStart w:id="3043" w:name="_Toc38439749"/>
      <w:bookmarkStart w:id="3044" w:name="_Toc38440086"/>
      <w:bookmarkStart w:id="3045" w:name="_Toc38440423"/>
      <w:bookmarkStart w:id="3046" w:name="_Toc38440955"/>
      <w:bookmarkStart w:id="3047" w:name="_Toc38441287"/>
      <w:bookmarkStart w:id="3048" w:name="_Toc38441619"/>
      <w:bookmarkStart w:id="3049" w:name="_Toc38441947"/>
      <w:bookmarkStart w:id="3050" w:name="_Toc38442279"/>
      <w:bookmarkStart w:id="3051" w:name="_Toc38442611"/>
      <w:bookmarkStart w:id="3052" w:name="_Toc38442942"/>
      <w:bookmarkStart w:id="3053" w:name="_Toc38443273"/>
      <w:bookmarkStart w:id="3054" w:name="_Toc38443604"/>
      <w:bookmarkStart w:id="3055" w:name="_Toc38443934"/>
      <w:bookmarkStart w:id="3056" w:name="_Toc38438402"/>
      <w:bookmarkStart w:id="3057" w:name="_Toc38438739"/>
      <w:bookmarkStart w:id="3058" w:name="_Toc38439076"/>
      <w:bookmarkStart w:id="3059" w:name="_Toc38439413"/>
      <w:bookmarkStart w:id="3060" w:name="_Toc38439750"/>
      <w:bookmarkStart w:id="3061" w:name="_Toc38440087"/>
      <w:bookmarkStart w:id="3062" w:name="_Toc38440424"/>
      <w:bookmarkStart w:id="3063" w:name="_Toc38440956"/>
      <w:bookmarkStart w:id="3064" w:name="_Toc38441288"/>
      <w:bookmarkStart w:id="3065" w:name="_Toc38441620"/>
      <w:bookmarkStart w:id="3066" w:name="_Toc38441948"/>
      <w:bookmarkStart w:id="3067" w:name="_Toc38442280"/>
      <w:bookmarkStart w:id="3068" w:name="_Toc38442612"/>
      <w:bookmarkStart w:id="3069" w:name="_Toc38442943"/>
      <w:bookmarkStart w:id="3070" w:name="_Toc38443274"/>
      <w:bookmarkStart w:id="3071" w:name="_Toc38443605"/>
      <w:bookmarkStart w:id="3072" w:name="_Toc38443935"/>
      <w:bookmarkStart w:id="3073" w:name="_Toc38438404"/>
      <w:bookmarkStart w:id="3074" w:name="_Toc38438741"/>
      <w:bookmarkStart w:id="3075" w:name="_Toc38439078"/>
      <w:bookmarkStart w:id="3076" w:name="_Toc38439415"/>
      <w:bookmarkStart w:id="3077" w:name="_Toc38439752"/>
      <w:bookmarkStart w:id="3078" w:name="_Toc38440089"/>
      <w:bookmarkStart w:id="3079" w:name="_Toc38440426"/>
      <w:bookmarkStart w:id="3080" w:name="_Toc38440958"/>
      <w:bookmarkStart w:id="3081" w:name="_Toc38441290"/>
      <w:bookmarkStart w:id="3082" w:name="_Toc38441622"/>
      <w:bookmarkStart w:id="3083" w:name="_Toc38441950"/>
      <w:bookmarkStart w:id="3084" w:name="_Toc38442282"/>
      <w:bookmarkStart w:id="3085" w:name="_Toc38442614"/>
      <w:bookmarkStart w:id="3086" w:name="_Toc38442945"/>
      <w:bookmarkStart w:id="3087" w:name="_Toc38443276"/>
      <w:bookmarkStart w:id="3088" w:name="_Toc38443607"/>
      <w:bookmarkStart w:id="3089" w:name="_Toc38443937"/>
      <w:bookmarkStart w:id="3090" w:name="_Toc38438405"/>
      <w:bookmarkStart w:id="3091" w:name="_Toc38438742"/>
      <w:bookmarkStart w:id="3092" w:name="_Toc38439079"/>
      <w:bookmarkStart w:id="3093" w:name="_Toc38439416"/>
      <w:bookmarkStart w:id="3094" w:name="_Toc38439753"/>
      <w:bookmarkStart w:id="3095" w:name="_Toc38440090"/>
      <w:bookmarkStart w:id="3096" w:name="_Toc38440427"/>
      <w:bookmarkStart w:id="3097" w:name="_Toc38440959"/>
      <w:bookmarkStart w:id="3098" w:name="_Toc38441291"/>
      <w:bookmarkStart w:id="3099" w:name="_Toc38441623"/>
      <w:bookmarkStart w:id="3100" w:name="_Toc38441951"/>
      <w:bookmarkStart w:id="3101" w:name="_Toc38442283"/>
      <w:bookmarkStart w:id="3102" w:name="_Toc38442615"/>
      <w:bookmarkStart w:id="3103" w:name="_Toc38442946"/>
      <w:bookmarkStart w:id="3104" w:name="_Toc38443277"/>
      <w:bookmarkStart w:id="3105" w:name="_Toc38443608"/>
      <w:bookmarkStart w:id="3106" w:name="_Toc38443938"/>
      <w:bookmarkStart w:id="3107" w:name="_Toc38438406"/>
      <w:bookmarkStart w:id="3108" w:name="_Toc38438743"/>
      <w:bookmarkStart w:id="3109" w:name="_Toc38439080"/>
      <w:bookmarkStart w:id="3110" w:name="_Toc38439417"/>
      <w:bookmarkStart w:id="3111" w:name="_Toc38439754"/>
      <w:bookmarkStart w:id="3112" w:name="_Toc38440091"/>
      <w:bookmarkStart w:id="3113" w:name="_Toc38440428"/>
      <w:bookmarkStart w:id="3114" w:name="_Toc38440960"/>
      <w:bookmarkStart w:id="3115" w:name="_Toc38441292"/>
      <w:bookmarkStart w:id="3116" w:name="_Toc38441624"/>
      <w:bookmarkStart w:id="3117" w:name="_Toc38441952"/>
      <w:bookmarkStart w:id="3118" w:name="_Toc38442284"/>
      <w:bookmarkStart w:id="3119" w:name="_Toc38442616"/>
      <w:bookmarkStart w:id="3120" w:name="_Toc38442947"/>
      <w:bookmarkStart w:id="3121" w:name="_Toc38443278"/>
      <w:bookmarkStart w:id="3122" w:name="_Toc38443609"/>
      <w:bookmarkStart w:id="3123" w:name="_Toc38443939"/>
      <w:bookmarkStart w:id="3124" w:name="_Toc38438407"/>
      <w:bookmarkStart w:id="3125" w:name="_Toc38438744"/>
      <w:bookmarkStart w:id="3126" w:name="_Toc38439081"/>
      <w:bookmarkStart w:id="3127" w:name="_Toc38439418"/>
      <w:bookmarkStart w:id="3128" w:name="_Toc38439755"/>
      <w:bookmarkStart w:id="3129" w:name="_Toc38440092"/>
      <w:bookmarkStart w:id="3130" w:name="_Toc38440429"/>
      <w:bookmarkStart w:id="3131" w:name="_Toc38440961"/>
      <w:bookmarkStart w:id="3132" w:name="_Toc38441293"/>
      <w:bookmarkStart w:id="3133" w:name="_Toc38441625"/>
      <w:bookmarkStart w:id="3134" w:name="_Toc38441953"/>
      <w:bookmarkStart w:id="3135" w:name="_Toc38442285"/>
      <w:bookmarkStart w:id="3136" w:name="_Toc38442617"/>
      <w:bookmarkStart w:id="3137" w:name="_Toc38442948"/>
      <w:bookmarkStart w:id="3138" w:name="_Toc38443279"/>
      <w:bookmarkStart w:id="3139" w:name="_Toc38443610"/>
      <w:bookmarkStart w:id="3140" w:name="_Toc38443940"/>
      <w:bookmarkStart w:id="3141" w:name="_Toc38438408"/>
      <w:bookmarkStart w:id="3142" w:name="_Toc38438745"/>
      <w:bookmarkStart w:id="3143" w:name="_Toc38439082"/>
      <w:bookmarkStart w:id="3144" w:name="_Toc38439419"/>
      <w:bookmarkStart w:id="3145" w:name="_Toc38439756"/>
      <w:bookmarkStart w:id="3146" w:name="_Toc38440093"/>
      <w:bookmarkStart w:id="3147" w:name="_Toc38440430"/>
      <w:bookmarkStart w:id="3148" w:name="_Toc38440962"/>
      <w:bookmarkStart w:id="3149" w:name="_Toc38441294"/>
      <w:bookmarkStart w:id="3150" w:name="_Toc38441626"/>
      <w:bookmarkStart w:id="3151" w:name="_Toc38441954"/>
      <w:bookmarkStart w:id="3152" w:name="_Toc38442286"/>
      <w:bookmarkStart w:id="3153" w:name="_Toc38442618"/>
      <w:bookmarkStart w:id="3154" w:name="_Toc38442949"/>
      <w:bookmarkStart w:id="3155" w:name="_Toc38443280"/>
      <w:bookmarkStart w:id="3156" w:name="_Toc38443611"/>
      <w:bookmarkStart w:id="3157" w:name="_Toc38443941"/>
      <w:bookmarkStart w:id="3158" w:name="_Toc38438409"/>
      <w:bookmarkStart w:id="3159" w:name="_Toc38438746"/>
      <w:bookmarkStart w:id="3160" w:name="_Toc38439083"/>
      <w:bookmarkStart w:id="3161" w:name="_Toc38439420"/>
      <w:bookmarkStart w:id="3162" w:name="_Toc38439757"/>
      <w:bookmarkStart w:id="3163" w:name="_Toc38440094"/>
      <w:bookmarkStart w:id="3164" w:name="_Toc38440431"/>
      <w:bookmarkStart w:id="3165" w:name="_Toc38440963"/>
      <w:bookmarkStart w:id="3166" w:name="_Toc38441295"/>
      <w:bookmarkStart w:id="3167" w:name="_Toc38441627"/>
      <w:bookmarkStart w:id="3168" w:name="_Toc38441955"/>
      <w:bookmarkStart w:id="3169" w:name="_Toc38442287"/>
      <w:bookmarkStart w:id="3170" w:name="_Toc38442619"/>
      <w:bookmarkStart w:id="3171" w:name="_Toc38442950"/>
      <w:bookmarkStart w:id="3172" w:name="_Toc38443281"/>
      <w:bookmarkStart w:id="3173" w:name="_Toc38443612"/>
      <w:bookmarkStart w:id="3174" w:name="_Toc38443942"/>
      <w:bookmarkStart w:id="3175" w:name="_Toc38438410"/>
      <w:bookmarkStart w:id="3176" w:name="_Toc38438747"/>
      <w:bookmarkStart w:id="3177" w:name="_Toc38439084"/>
      <w:bookmarkStart w:id="3178" w:name="_Toc38439421"/>
      <w:bookmarkStart w:id="3179" w:name="_Toc38439758"/>
      <w:bookmarkStart w:id="3180" w:name="_Toc38440095"/>
      <w:bookmarkStart w:id="3181" w:name="_Toc38440432"/>
      <w:bookmarkStart w:id="3182" w:name="_Toc38440964"/>
      <w:bookmarkStart w:id="3183" w:name="_Toc38441296"/>
      <w:bookmarkStart w:id="3184" w:name="_Toc38441628"/>
      <w:bookmarkStart w:id="3185" w:name="_Toc38441956"/>
      <w:bookmarkStart w:id="3186" w:name="_Toc38442288"/>
      <w:bookmarkStart w:id="3187" w:name="_Toc38442620"/>
      <w:bookmarkStart w:id="3188" w:name="_Toc38442951"/>
      <w:bookmarkStart w:id="3189" w:name="_Toc38443282"/>
      <w:bookmarkStart w:id="3190" w:name="_Toc38443613"/>
      <w:bookmarkStart w:id="3191" w:name="_Toc38443943"/>
      <w:bookmarkStart w:id="3192" w:name="_Toc38438411"/>
      <w:bookmarkStart w:id="3193" w:name="_Toc38438748"/>
      <w:bookmarkStart w:id="3194" w:name="_Toc38439085"/>
      <w:bookmarkStart w:id="3195" w:name="_Toc38439422"/>
      <w:bookmarkStart w:id="3196" w:name="_Toc38439759"/>
      <w:bookmarkStart w:id="3197" w:name="_Toc38440096"/>
      <w:bookmarkStart w:id="3198" w:name="_Toc38440433"/>
      <w:bookmarkStart w:id="3199" w:name="_Toc38440965"/>
      <w:bookmarkStart w:id="3200" w:name="_Toc38441297"/>
      <w:bookmarkStart w:id="3201" w:name="_Toc38441629"/>
      <w:bookmarkStart w:id="3202" w:name="_Toc38441957"/>
      <w:bookmarkStart w:id="3203" w:name="_Toc38442289"/>
      <w:bookmarkStart w:id="3204" w:name="_Toc38442621"/>
      <w:bookmarkStart w:id="3205" w:name="_Toc38442952"/>
      <w:bookmarkStart w:id="3206" w:name="_Toc38443283"/>
      <w:bookmarkStart w:id="3207" w:name="_Toc38443614"/>
      <w:bookmarkStart w:id="3208" w:name="_Toc38443944"/>
      <w:bookmarkStart w:id="3209" w:name="_Toc38438412"/>
      <w:bookmarkStart w:id="3210" w:name="_Toc38438749"/>
      <w:bookmarkStart w:id="3211" w:name="_Toc38439086"/>
      <w:bookmarkStart w:id="3212" w:name="_Toc38439423"/>
      <w:bookmarkStart w:id="3213" w:name="_Toc38439760"/>
      <w:bookmarkStart w:id="3214" w:name="_Toc38440097"/>
      <w:bookmarkStart w:id="3215" w:name="_Toc38440434"/>
      <w:bookmarkStart w:id="3216" w:name="_Toc38440966"/>
      <w:bookmarkStart w:id="3217" w:name="_Toc38441298"/>
      <w:bookmarkStart w:id="3218" w:name="_Toc38441630"/>
      <w:bookmarkStart w:id="3219" w:name="_Toc38441958"/>
      <w:bookmarkStart w:id="3220" w:name="_Toc38442290"/>
      <w:bookmarkStart w:id="3221" w:name="_Toc38442622"/>
      <w:bookmarkStart w:id="3222" w:name="_Toc38442953"/>
      <w:bookmarkStart w:id="3223" w:name="_Toc38443284"/>
      <w:bookmarkStart w:id="3224" w:name="_Toc38443615"/>
      <w:bookmarkStart w:id="3225" w:name="_Toc38443945"/>
      <w:bookmarkStart w:id="3226" w:name="_Toc38438413"/>
      <w:bookmarkStart w:id="3227" w:name="_Toc38438750"/>
      <w:bookmarkStart w:id="3228" w:name="_Toc38439087"/>
      <w:bookmarkStart w:id="3229" w:name="_Toc38439424"/>
      <w:bookmarkStart w:id="3230" w:name="_Toc38439761"/>
      <w:bookmarkStart w:id="3231" w:name="_Toc38440098"/>
      <w:bookmarkStart w:id="3232" w:name="_Toc38440435"/>
      <w:bookmarkStart w:id="3233" w:name="_Toc38440967"/>
      <w:bookmarkStart w:id="3234" w:name="_Toc38441299"/>
      <w:bookmarkStart w:id="3235" w:name="_Toc38441631"/>
      <w:bookmarkStart w:id="3236" w:name="_Toc38441959"/>
      <w:bookmarkStart w:id="3237" w:name="_Toc38442291"/>
      <w:bookmarkStart w:id="3238" w:name="_Toc38442623"/>
      <w:bookmarkStart w:id="3239" w:name="_Toc38442954"/>
      <w:bookmarkStart w:id="3240" w:name="_Toc38443285"/>
      <w:bookmarkStart w:id="3241" w:name="_Toc38443616"/>
      <w:bookmarkStart w:id="3242" w:name="_Toc38443946"/>
      <w:bookmarkStart w:id="3243" w:name="_Toc38438414"/>
      <w:bookmarkStart w:id="3244" w:name="_Toc38438751"/>
      <w:bookmarkStart w:id="3245" w:name="_Toc38439088"/>
      <w:bookmarkStart w:id="3246" w:name="_Toc38439425"/>
      <w:bookmarkStart w:id="3247" w:name="_Toc38439762"/>
      <w:bookmarkStart w:id="3248" w:name="_Toc38440099"/>
      <w:bookmarkStart w:id="3249" w:name="_Toc38440436"/>
      <w:bookmarkStart w:id="3250" w:name="_Toc38440968"/>
      <w:bookmarkStart w:id="3251" w:name="_Toc38441300"/>
      <w:bookmarkStart w:id="3252" w:name="_Toc38441632"/>
      <w:bookmarkStart w:id="3253" w:name="_Toc38441960"/>
      <w:bookmarkStart w:id="3254" w:name="_Toc38442292"/>
      <w:bookmarkStart w:id="3255" w:name="_Toc38442624"/>
      <w:bookmarkStart w:id="3256" w:name="_Toc38442955"/>
      <w:bookmarkStart w:id="3257" w:name="_Toc38443286"/>
      <w:bookmarkStart w:id="3258" w:name="_Toc38443617"/>
      <w:bookmarkStart w:id="3259" w:name="_Toc38443947"/>
      <w:bookmarkStart w:id="3260" w:name="_Toc38438415"/>
      <w:bookmarkStart w:id="3261" w:name="_Toc38438752"/>
      <w:bookmarkStart w:id="3262" w:name="_Toc38439089"/>
      <w:bookmarkStart w:id="3263" w:name="_Toc38439426"/>
      <w:bookmarkStart w:id="3264" w:name="_Toc38439763"/>
      <w:bookmarkStart w:id="3265" w:name="_Toc38440100"/>
      <w:bookmarkStart w:id="3266" w:name="_Toc38440437"/>
      <w:bookmarkStart w:id="3267" w:name="_Toc38440969"/>
      <w:bookmarkStart w:id="3268" w:name="_Toc38441301"/>
      <w:bookmarkStart w:id="3269" w:name="_Toc38441633"/>
      <w:bookmarkStart w:id="3270" w:name="_Toc38441961"/>
      <w:bookmarkStart w:id="3271" w:name="_Toc38442293"/>
      <w:bookmarkStart w:id="3272" w:name="_Toc38442625"/>
      <w:bookmarkStart w:id="3273" w:name="_Toc38442956"/>
      <w:bookmarkStart w:id="3274" w:name="_Toc38443287"/>
      <w:bookmarkStart w:id="3275" w:name="_Toc38443618"/>
      <w:bookmarkStart w:id="3276" w:name="_Toc38443948"/>
      <w:bookmarkStart w:id="3277" w:name="_Toc38438416"/>
      <w:bookmarkStart w:id="3278" w:name="_Toc38438753"/>
      <w:bookmarkStart w:id="3279" w:name="_Toc38439090"/>
      <w:bookmarkStart w:id="3280" w:name="_Toc38439427"/>
      <w:bookmarkStart w:id="3281" w:name="_Toc38439764"/>
      <w:bookmarkStart w:id="3282" w:name="_Toc38440101"/>
      <w:bookmarkStart w:id="3283" w:name="_Toc38440438"/>
      <w:bookmarkStart w:id="3284" w:name="_Toc38440970"/>
      <w:bookmarkStart w:id="3285" w:name="_Toc38441302"/>
      <w:bookmarkStart w:id="3286" w:name="_Toc38441634"/>
      <w:bookmarkStart w:id="3287" w:name="_Toc38441962"/>
      <w:bookmarkStart w:id="3288" w:name="_Toc38442294"/>
      <w:bookmarkStart w:id="3289" w:name="_Toc38442626"/>
      <w:bookmarkStart w:id="3290" w:name="_Toc38442957"/>
      <w:bookmarkStart w:id="3291" w:name="_Toc38443288"/>
      <w:bookmarkStart w:id="3292" w:name="_Toc38443619"/>
      <w:bookmarkStart w:id="3293" w:name="_Toc38443949"/>
      <w:bookmarkStart w:id="3294" w:name="_Toc38438417"/>
      <w:bookmarkStart w:id="3295" w:name="_Toc38438754"/>
      <w:bookmarkStart w:id="3296" w:name="_Toc38439091"/>
      <w:bookmarkStart w:id="3297" w:name="_Toc38439428"/>
      <w:bookmarkStart w:id="3298" w:name="_Toc38439765"/>
      <w:bookmarkStart w:id="3299" w:name="_Toc38440102"/>
      <w:bookmarkStart w:id="3300" w:name="_Toc38440439"/>
      <w:bookmarkStart w:id="3301" w:name="_Toc38440971"/>
      <w:bookmarkStart w:id="3302" w:name="_Toc38441303"/>
      <w:bookmarkStart w:id="3303" w:name="_Toc38441635"/>
      <w:bookmarkStart w:id="3304" w:name="_Toc38441963"/>
      <w:bookmarkStart w:id="3305" w:name="_Toc38442295"/>
      <w:bookmarkStart w:id="3306" w:name="_Toc38442627"/>
      <w:bookmarkStart w:id="3307" w:name="_Toc38442958"/>
      <w:bookmarkStart w:id="3308" w:name="_Toc38443289"/>
      <w:bookmarkStart w:id="3309" w:name="_Toc38443620"/>
      <w:bookmarkStart w:id="3310" w:name="_Toc38443950"/>
      <w:bookmarkStart w:id="3311" w:name="_Toc38438418"/>
      <w:bookmarkStart w:id="3312" w:name="_Toc38438755"/>
      <w:bookmarkStart w:id="3313" w:name="_Toc38439092"/>
      <w:bookmarkStart w:id="3314" w:name="_Toc38439429"/>
      <w:bookmarkStart w:id="3315" w:name="_Toc38439766"/>
      <w:bookmarkStart w:id="3316" w:name="_Toc38440103"/>
      <w:bookmarkStart w:id="3317" w:name="_Toc38440440"/>
      <w:bookmarkStart w:id="3318" w:name="_Toc38440972"/>
      <w:bookmarkStart w:id="3319" w:name="_Toc38441304"/>
      <w:bookmarkStart w:id="3320" w:name="_Toc38441636"/>
      <w:bookmarkStart w:id="3321" w:name="_Toc38441964"/>
      <w:bookmarkStart w:id="3322" w:name="_Toc38442296"/>
      <w:bookmarkStart w:id="3323" w:name="_Toc38442628"/>
      <w:bookmarkStart w:id="3324" w:name="_Toc38442959"/>
      <w:bookmarkStart w:id="3325" w:name="_Toc38443290"/>
      <w:bookmarkStart w:id="3326" w:name="_Toc38443621"/>
      <w:bookmarkStart w:id="3327" w:name="_Toc38443951"/>
      <w:bookmarkStart w:id="3328" w:name="_Toc38438419"/>
      <w:bookmarkStart w:id="3329" w:name="_Toc38438756"/>
      <w:bookmarkStart w:id="3330" w:name="_Toc38439093"/>
      <w:bookmarkStart w:id="3331" w:name="_Toc38439430"/>
      <w:bookmarkStart w:id="3332" w:name="_Toc38439767"/>
      <w:bookmarkStart w:id="3333" w:name="_Toc38440104"/>
      <w:bookmarkStart w:id="3334" w:name="_Toc38440441"/>
      <w:bookmarkStart w:id="3335" w:name="_Toc38440973"/>
      <w:bookmarkStart w:id="3336" w:name="_Toc38441305"/>
      <w:bookmarkStart w:id="3337" w:name="_Toc38441637"/>
      <w:bookmarkStart w:id="3338" w:name="_Toc38441965"/>
      <w:bookmarkStart w:id="3339" w:name="_Toc38442297"/>
      <w:bookmarkStart w:id="3340" w:name="_Toc38442629"/>
      <w:bookmarkStart w:id="3341" w:name="_Toc38442960"/>
      <w:bookmarkStart w:id="3342" w:name="_Toc38443291"/>
      <w:bookmarkStart w:id="3343" w:name="_Toc38443622"/>
      <w:bookmarkStart w:id="3344" w:name="_Toc38443952"/>
      <w:bookmarkStart w:id="3345" w:name="_Toc38438420"/>
      <w:bookmarkStart w:id="3346" w:name="_Toc38438757"/>
      <w:bookmarkStart w:id="3347" w:name="_Toc38439094"/>
      <w:bookmarkStart w:id="3348" w:name="_Toc38439431"/>
      <w:bookmarkStart w:id="3349" w:name="_Toc38439768"/>
      <w:bookmarkStart w:id="3350" w:name="_Toc38440105"/>
      <w:bookmarkStart w:id="3351" w:name="_Toc38440442"/>
      <w:bookmarkStart w:id="3352" w:name="_Toc38440974"/>
      <w:bookmarkStart w:id="3353" w:name="_Toc38441306"/>
      <w:bookmarkStart w:id="3354" w:name="_Toc38441638"/>
      <w:bookmarkStart w:id="3355" w:name="_Toc38441966"/>
      <w:bookmarkStart w:id="3356" w:name="_Toc38442298"/>
      <w:bookmarkStart w:id="3357" w:name="_Toc38442630"/>
      <w:bookmarkStart w:id="3358" w:name="_Toc38442961"/>
      <w:bookmarkStart w:id="3359" w:name="_Toc38443292"/>
      <w:bookmarkStart w:id="3360" w:name="_Toc38443623"/>
      <w:bookmarkStart w:id="3361" w:name="_Toc38443953"/>
      <w:bookmarkStart w:id="3362" w:name="_Toc38438421"/>
      <w:bookmarkStart w:id="3363" w:name="_Toc38438758"/>
      <w:bookmarkStart w:id="3364" w:name="_Toc38439095"/>
      <w:bookmarkStart w:id="3365" w:name="_Toc38439432"/>
      <w:bookmarkStart w:id="3366" w:name="_Toc38439769"/>
      <w:bookmarkStart w:id="3367" w:name="_Toc38440106"/>
      <w:bookmarkStart w:id="3368" w:name="_Toc38440443"/>
      <w:bookmarkStart w:id="3369" w:name="_Toc38440975"/>
      <w:bookmarkStart w:id="3370" w:name="_Toc38441307"/>
      <w:bookmarkStart w:id="3371" w:name="_Toc38441639"/>
      <w:bookmarkStart w:id="3372" w:name="_Toc38441967"/>
      <w:bookmarkStart w:id="3373" w:name="_Toc38442299"/>
      <w:bookmarkStart w:id="3374" w:name="_Toc38442631"/>
      <w:bookmarkStart w:id="3375" w:name="_Toc38442962"/>
      <w:bookmarkStart w:id="3376" w:name="_Toc38443293"/>
      <w:bookmarkStart w:id="3377" w:name="_Toc38443624"/>
      <w:bookmarkStart w:id="3378" w:name="_Toc38443954"/>
      <w:bookmarkStart w:id="3379" w:name="_Toc38438422"/>
      <w:bookmarkStart w:id="3380" w:name="_Toc38438759"/>
      <w:bookmarkStart w:id="3381" w:name="_Toc38439096"/>
      <w:bookmarkStart w:id="3382" w:name="_Toc38439433"/>
      <w:bookmarkStart w:id="3383" w:name="_Toc38439770"/>
      <w:bookmarkStart w:id="3384" w:name="_Toc38440107"/>
      <w:bookmarkStart w:id="3385" w:name="_Toc38440444"/>
      <w:bookmarkStart w:id="3386" w:name="_Toc38440976"/>
      <w:bookmarkStart w:id="3387" w:name="_Toc38441308"/>
      <w:bookmarkStart w:id="3388" w:name="_Toc38441640"/>
      <w:bookmarkStart w:id="3389" w:name="_Toc38441968"/>
      <w:bookmarkStart w:id="3390" w:name="_Toc38442300"/>
      <w:bookmarkStart w:id="3391" w:name="_Toc38442632"/>
      <w:bookmarkStart w:id="3392" w:name="_Toc38442963"/>
      <w:bookmarkStart w:id="3393" w:name="_Toc38443294"/>
      <w:bookmarkStart w:id="3394" w:name="_Toc38443625"/>
      <w:bookmarkStart w:id="3395" w:name="_Toc38443955"/>
      <w:bookmarkStart w:id="3396" w:name="_Toc38438423"/>
      <w:bookmarkStart w:id="3397" w:name="_Toc38438760"/>
      <w:bookmarkStart w:id="3398" w:name="_Toc38439097"/>
      <w:bookmarkStart w:id="3399" w:name="_Toc38439434"/>
      <w:bookmarkStart w:id="3400" w:name="_Toc38439771"/>
      <w:bookmarkStart w:id="3401" w:name="_Toc38440108"/>
      <w:bookmarkStart w:id="3402" w:name="_Toc38440445"/>
      <w:bookmarkStart w:id="3403" w:name="_Toc38440977"/>
      <w:bookmarkStart w:id="3404" w:name="_Toc38441309"/>
      <w:bookmarkStart w:id="3405" w:name="_Toc38441641"/>
      <w:bookmarkStart w:id="3406" w:name="_Toc38441969"/>
      <w:bookmarkStart w:id="3407" w:name="_Toc38442301"/>
      <w:bookmarkStart w:id="3408" w:name="_Toc38442633"/>
      <w:bookmarkStart w:id="3409" w:name="_Toc38442964"/>
      <w:bookmarkStart w:id="3410" w:name="_Toc38443295"/>
      <w:bookmarkStart w:id="3411" w:name="_Toc38443626"/>
      <w:bookmarkStart w:id="3412" w:name="_Toc38443956"/>
      <w:bookmarkStart w:id="3413" w:name="_Toc38438424"/>
      <w:bookmarkStart w:id="3414" w:name="_Toc38438761"/>
      <w:bookmarkStart w:id="3415" w:name="_Toc38439098"/>
      <w:bookmarkStart w:id="3416" w:name="_Toc38439435"/>
      <w:bookmarkStart w:id="3417" w:name="_Toc38439772"/>
      <w:bookmarkStart w:id="3418" w:name="_Toc38440109"/>
      <w:bookmarkStart w:id="3419" w:name="_Toc38440446"/>
      <w:bookmarkStart w:id="3420" w:name="_Toc38440978"/>
      <w:bookmarkStart w:id="3421" w:name="_Toc38441310"/>
      <w:bookmarkStart w:id="3422" w:name="_Toc38441642"/>
      <w:bookmarkStart w:id="3423" w:name="_Toc38441970"/>
      <w:bookmarkStart w:id="3424" w:name="_Toc38442302"/>
      <w:bookmarkStart w:id="3425" w:name="_Toc38442634"/>
      <w:bookmarkStart w:id="3426" w:name="_Toc38442965"/>
      <w:bookmarkStart w:id="3427" w:name="_Toc38443296"/>
      <w:bookmarkStart w:id="3428" w:name="_Toc38443627"/>
      <w:bookmarkStart w:id="3429" w:name="_Toc38443957"/>
      <w:bookmarkStart w:id="3430" w:name="_Toc38438425"/>
      <w:bookmarkStart w:id="3431" w:name="_Toc38438762"/>
      <w:bookmarkStart w:id="3432" w:name="_Toc38439099"/>
      <w:bookmarkStart w:id="3433" w:name="_Toc38439436"/>
      <w:bookmarkStart w:id="3434" w:name="_Toc38439773"/>
      <w:bookmarkStart w:id="3435" w:name="_Toc38440110"/>
      <w:bookmarkStart w:id="3436" w:name="_Toc38440447"/>
      <w:bookmarkStart w:id="3437" w:name="_Toc38440979"/>
      <w:bookmarkStart w:id="3438" w:name="_Toc38441311"/>
      <w:bookmarkStart w:id="3439" w:name="_Toc38441643"/>
      <w:bookmarkStart w:id="3440" w:name="_Toc38441971"/>
      <w:bookmarkStart w:id="3441" w:name="_Toc38442303"/>
      <w:bookmarkStart w:id="3442" w:name="_Toc38442635"/>
      <w:bookmarkStart w:id="3443" w:name="_Toc38442966"/>
      <w:bookmarkStart w:id="3444" w:name="_Toc38443297"/>
      <w:bookmarkStart w:id="3445" w:name="_Toc38443628"/>
      <w:bookmarkStart w:id="3446" w:name="_Toc38443958"/>
      <w:bookmarkStart w:id="3447" w:name="_Toc38438426"/>
      <w:bookmarkStart w:id="3448" w:name="_Toc38438763"/>
      <w:bookmarkStart w:id="3449" w:name="_Toc38439100"/>
      <w:bookmarkStart w:id="3450" w:name="_Toc38439437"/>
      <w:bookmarkStart w:id="3451" w:name="_Toc38439774"/>
      <w:bookmarkStart w:id="3452" w:name="_Toc38440111"/>
      <w:bookmarkStart w:id="3453" w:name="_Toc38440448"/>
      <w:bookmarkStart w:id="3454" w:name="_Toc38440980"/>
      <w:bookmarkStart w:id="3455" w:name="_Toc38441312"/>
      <w:bookmarkStart w:id="3456" w:name="_Toc38441644"/>
      <w:bookmarkStart w:id="3457" w:name="_Toc38441972"/>
      <w:bookmarkStart w:id="3458" w:name="_Toc38442304"/>
      <w:bookmarkStart w:id="3459" w:name="_Toc38442636"/>
      <w:bookmarkStart w:id="3460" w:name="_Toc38442967"/>
      <w:bookmarkStart w:id="3461" w:name="_Toc38443298"/>
      <w:bookmarkStart w:id="3462" w:name="_Toc38443629"/>
      <w:bookmarkStart w:id="3463" w:name="_Toc38443959"/>
      <w:bookmarkStart w:id="3464" w:name="_Toc38438427"/>
      <w:bookmarkStart w:id="3465" w:name="_Toc38438764"/>
      <w:bookmarkStart w:id="3466" w:name="_Toc38439101"/>
      <w:bookmarkStart w:id="3467" w:name="_Toc38439438"/>
      <w:bookmarkStart w:id="3468" w:name="_Toc38439775"/>
      <w:bookmarkStart w:id="3469" w:name="_Toc38440112"/>
      <w:bookmarkStart w:id="3470" w:name="_Toc38440449"/>
      <w:bookmarkStart w:id="3471" w:name="_Toc38440981"/>
      <w:bookmarkStart w:id="3472" w:name="_Toc38441313"/>
      <w:bookmarkStart w:id="3473" w:name="_Toc38441645"/>
      <w:bookmarkStart w:id="3474" w:name="_Toc38441973"/>
      <w:bookmarkStart w:id="3475" w:name="_Toc38442305"/>
      <w:bookmarkStart w:id="3476" w:name="_Toc38442637"/>
      <w:bookmarkStart w:id="3477" w:name="_Toc38442968"/>
      <w:bookmarkStart w:id="3478" w:name="_Toc38443299"/>
      <w:bookmarkStart w:id="3479" w:name="_Toc38443630"/>
      <w:bookmarkStart w:id="3480" w:name="_Toc38443960"/>
      <w:bookmarkStart w:id="3481" w:name="_Toc38438428"/>
      <w:bookmarkStart w:id="3482" w:name="_Toc38438765"/>
      <w:bookmarkStart w:id="3483" w:name="_Toc38439102"/>
      <w:bookmarkStart w:id="3484" w:name="_Toc38439439"/>
      <w:bookmarkStart w:id="3485" w:name="_Toc38439776"/>
      <w:bookmarkStart w:id="3486" w:name="_Toc38440113"/>
      <w:bookmarkStart w:id="3487" w:name="_Toc38440450"/>
      <w:bookmarkStart w:id="3488" w:name="_Toc38440982"/>
      <w:bookmarkStart w:id="3489" w:name="_Toc38441314"/>
      <w:bookmarkStart w:id="3490" w:name="_Toc38441646"/>
      <w:bookmarkStart w:id="3491" w:name="_Toc38441974"/>
      <w:bookmarkStart w:id="3492" w:name="_Toc38442306"/>
      <w:bookmarkStart w:id="3493" w:name="_Toc38442638"/>
      <w:bookmarkStart w:id="3494" w:name="_Toc38442969"/>
      <w:bookmarkStart w:id="3495" w:name="_Toc38443300"/>
      <w:bookmarkStart w:id="3496" w:name="_Toc38443631"/>
      <w:bookmarkStart w:id="3497" w:name="_Toc38443961"/>
      <w:bookmarkStart w:id="3498" w:name="_Toc38438429"/>
      <w:bookmarkStart w:id="3499" w:name="_Toc38438766"/>
      <w:bookmarkStart w:id="3500" w:name="_Toc38439103"/>
      <w:bookmarkStart w:id="3501" w:name="_Toc38439440"/>
      <w:bookmarkStart w:id="3502" w:name="_Toc38439777"/>
      <w:bookmarkStart w:id="3503" w:name="_Toc38440114"/>
      <w:bookmarkStart w:id="3504" w:name="_Toc38440451"/>
      <w:bookmarkStart w:id="3505" w:name="_Toc38440983"/>
      <w:bookmarkStart w:id="3506" w:name="_Toc38441315"/>
      <w:bookmarkStart w:id="3507" w:name="_Toc38441647"/>
      <w:bookmarkStart w:id="3508" w:name="_Toc38441975"/>
      <w:bookmarkStart w:id="3509" w:name="_Toc38442307"/>
      <w:bookmarkStart w:id="3510" w:name="_Toc38442639"/>
      <w:bookmarkStart w:id="3511" w:name="_Toc38442970"/>
      <w:bookmarkStart w:id="3512" w:name="_Toc38443301"/>
      <w:bookmarkStart w:id="3513" w:name="_Toc38443632"/>
      <w:bookmarkStart w:id="3514" w:name="_Toc38443962"/>
      <w:bookmarkStart w:id="3515" w:name="_Toc38438430"/>
      <w:bookmarkStart w:id="3516" w:name="_Toc38438767"/>
      <w:bookmarkStart w:id="3517" w:name="_Toc38439104"/>
      <w:bookmarkStart w:id="3518" w:name="_Toc38439441"/>
      <w:bookmarkStart w:id="3519" w:name="_Toc38439778"/>
      <w:bookmarkStart w:id="3520" w:name="_Toc38440115"/>
      <w:bookmarkStart w:id="3521" w:name="_Toc38440452"/>
      <w:bookmarkStart w:id="3522" w:name="_Toc38440984"/>
      <w:bookmarkStart w:id="3523" w:name="_Toc38441316"/>
      <w:bookmarkStart w:id="3524" w:name="_Toc38441648"/>
      <w:bookmarkStart w:id="3525" w:name="_Toc38441976"/>
      <w:bookmarkStart w:id="3526" w:name="_Toc38442308"/>
      <w:bookmarkStart w:id="3527" w:name="_Toc38442640"/>
      <w:bookmarkStart w:id="3528" w:name="_Toc38442971"/>
      <w:bookmarkStart w:id="3529" w:name="_Toc38443302"/>
      <w:bookmarkStart w:id="3530" w:name="_Toc38443633"/>
      <w:bookmarkStart w:id="3531" w:name="_Toc38443963"/>
      <w:bookmarkStart w:id="3532" w:name="_Toc38438431"/>
      <w:bookmarkStart w:id="3533" w:name="_Toc38438768"/>
      <w:bookmarkStart w:id="3534" w:name="_Toc38439105"/>
      <w:bookmarkStart w:id="3535" w:name="_Toc38439442"/>
      <w:bookmarkStart w:id="3536" w:name="_Toc38439779"/>
      <w:bookmarkStart w:id="3537" w:name="_Toc38440116"/>
      <w:bookmarkStart w:id="3538" w:name="_Toc38440453"/>
      <w:bookmarkStart w:id="3539" w:name="_Toc38440985"/>
      <w:bookmarkStart w:id="3540" w:name="_Toc38441317"/>
      <w:bookmarkStart w:id="3541" w:name="_Toc38441649"/>
      <w:bookmarkStart w:id="3542" w:name="_Toc38441977"/>
      <w:bookmarkStart w:id="3543" w:name="_Toc38442309"/>
      <w:bookmarkStart w:id="3544" w:name="_Toc38442641"/>
      <w:bookmarkStart w:id="3545" w:name="_Toc38442972"/>
      <w:bookmarkStart w:id="3546" w:name="_Toc38443303"/>
      <w:bookmarkStart w:id="3547" w:name="_Toc38443634"/>
      <w:bookmarkStart w:id="3548" w:name="_Toc38443964"/>
      <w:bookmarkStart w:id="3549" w:name="_Toc38438432"/>
      <w:bookmarkStart w:id="3550" w:name="_Toc38438769"/>
      <w:bookmarkStart w:id="3551" w:name="_Toc38439106"/>
      <w:bookmarkStart w:id="3552" w:name="_Toc38439443"/>
      <w:bookmarkStart w:id="3553" w:name="_Toc38439780"/>
      <w:bookmarkStart w:id="3554" w:name="_Toc38440117"/>
      <w:bookmarkStart w:id="3555" w:name="_Toc38440454"/>
      <w:bookmarkStart w:id="3556" w:name="_Toc38440986"/>
      <w:bookmarkStart w:id="3557" w:name="_Toc38441318"/>
      <w:bookmarkStart w:id="3558" w:name="_Toc38441650"/>
      <w:bookmarkStart w:id="3559" w:name="_Toc38441978"/>
      <w:bookmarkStart w:id="3560" w:name="_Toc38442310"/>
      <w:bookmarkStart w:id="3561" w:name="_Toc38442642"/>
      <w:bookmarkStart w:id="3562" w:name="_Toc38442973"/>
      <w:bookmarkStart w:id="3563" w:name="_Toc38443304"/>
      <w:bookmarkStart w:id="3564" w:name="_Toc38443635"/>
      <w:bookmarkStart w:id="3565" w:name="_Toc38443965"/>
      <w:bookmarkStart w:id="3566" w:name="_Toc38438433"/>
      <w:bookmarkStart w:id="3567" w:name="_Toc38438770"/>
      <w:bookmarkStart w:id="3568" w:name="_Toc38439107"/>
      <w:bookmarkStart w:id="3569" w:name="_Toc38439444"/>
      <w:bookmarkStart w:id="3570" w:name="_Toc38439781"/>
      <w:bookmarkStart w:id="3571" w:name="_Toc38440118"/>
      <w:bookmarkStart w:id="3572" w:name="_Toc38440455"/>
      <w:bookmarkStart w:id="3573" w:name="_Toc38440987"/>
      <w:bookmarkStart w:id="3574" w:name="_Toc38441319"/>
      <w:bookmarkStart w:id="3575" w:name="_Toc38441651"/>
      <w:bookmarkStart w:id="3576" w:name="_Toc38441979"/>
      <w:bookmarkStart w:id="3577" w:name="_Toc38442311"/>
      <w:bookmarkStart w:id="3578" w:name="_Toc38442643"/>
      <w:bookmarkStart w:id="3579" w:name="_Toc38442974"/>
      <w:bookmarkStart w:id="3580" w:name="_Toc38443305"/>
      <w:bookmarkStart w:id="3581" w:name="_Toc38443636"/>
      <w:bookmarkStart w:id="3582" w:name="_Toc38443966"/>
      <w:bookmarkStart w:id="3583" w:name="_Toc38438434"/>
      <w:bookmarkStart w:id="3584" w:name="_Toc38438771"/>
      <w:bookmarkStart w:id="3585" w:name="_Toc38439108"/>
      <w:bookmarkStart w:id="3586" w:name="_Toc38439445"/>
      <w:bookmarkStart w:id="3587" w:name="_Toc38439782"/>
      <w:bookmarkStart w:id="3588" w:name="_Toc38440119"/>
      <w:bookmarkStart w:id="3589" w:name="_Toc38440456"/>
      <w:bookmarkStart w:id="3590" w:name="_Toc38440988"/>
      <w:bookmarkStart w:id="3591" w:name="_Toc38441320"/>
      <w:bookmarkStart w:id="3592" w:name="_Toc38441652"/>
      <w:bookmarkStart w:id="3593" w:name="_Toc38441980"/>
      <w:bookmarkStart w:id="3594" w:name="_Toc38442312"/>
      <w:bookmarkStart w:id="3595" w:name="_Toc38442644"/>
      <w:bookmarkStart w:id="3596" w:name="_Toc38442975"/>
      <w:bookmarkStart w:id="3597" w:name="_Toc38443306"/>
      <w:bookmarkStart w:id="3598" w:name="_Toc38443637"/>
      <w:bookmarkStart w:id="3599" w:name="_Toc38443967"/>
      <w:bookmarkStart w:id="3600" w:name="_Toc38438435"/>
      <w:bookmarkStart w:id="3601" w:name="_Toc38438772"/>
      <w:bookmarkStart w:id="3602" w:name="_Toc38439109"/>
      <w:bookmarkStart w:id="3603" w:name="_Toc38439446"/>
      <w:bookmarkStart w:id="3604" w:name="_Toc38439783"/>
      <w:bookmarkStart w:id="3605" w:name="_Toc38440120"/>
      <w:bookmarkStart w:id="3606" w:name="_Toc38440457"/>
      <w:bookmarkStart w:id="3607" w:name="_Toc38440989"/>
      <w:bookmarkStart w:id="3608" w:name="_Toc38441321"/>
      <w:bookmarkStart w:id="3609" w:name="_Toc38441653"/>
      <w:bookmarkStart w:id="3610" w:name="_Toc38441981"/>
      <w:bookmarkStart w:id="3611" w:name="_Toc38442313"/>
      <w:bookmarkStart w:id="3612" w:name="_Toc38442645"/>
      <w:bookmarkStart w:id="3613" w:name="_Toc38442976"/>
      <w:bookmarkStart w:id="3614" w:name="_Toc38443307"/>
      <w:bookmarkStart w:id="3615" w:name="_Toc38443638"/>
      <w:bookmarkStart w:id="3616" w:name="_Toc38443968"/>
      <w:bookmarkStart w:id="3617" w:name="_Toc38438436"/>
      <w:bookmarkStart w:id="3618" w:name="_Toc38438773"/>
      <w:bookmarkStart w:id="3619" w:name="_Toc38439110"/>
      <w:bookmarkStart w:id="3620" w:name="_Toc38439447"/>
      <w:bookmarkStart w:id="3621" w:name="_Toc38439784"/>
      <w:bookmarkStart w:id="3622" w:name="_Toc38440121"/>
      <w:bookmarkStart w:id="3623" w:name="_Toc38440458"/>
      <w:bookmarkStart w:id="3624" w:name="_Toc38440990"/>
      <w:bookmarkStart w:id="3625" w:name="_Toc38441322"/>
      <w:bookmarkStart w:id="3626" w:name="_Toc38441654"/>
      <w:bookmarkStart w:id="3627" w:name="_Toc38441982"/>
      <w:bookmarkStart w:id="3628" w:name="_Toc38442314"/>
      <w:bookmarkStart w:id="3629" w:name="_Toc38442646"/>
      <w:bookmarkStart w:id="3630" w:name="_Toc38442977"/>
      <w:bookmarkStart w:id="3631" w:name="_Toc38443308"/>
      <w:bookmarkStart w:id="3632" w:name="_Toc38443639"/>
      <w:bookmarkStart w:id="3633" w:name="_Toc38443969"/>
      <w:bookmarkStart w:id="3634" w:name="_Toc38438437"/>
      <w:bookmarkStart w:id="3635" w:name="_Toc38438774"/>
      <w:bookmarkStart w:id="3636" w:name="_Toc38439111"/>
      <w:bookmarkStart w:id="3637" w:name="_Toc38439448"/>
      <w:bookmarkStart w:id="3638" w:name="_Toc38439785"/>
      <w:bookmarkStart w:id="3639" w:name="_Toc38440122"/>
      <w:bookmarkStart w:id="3640" w:name="_Toc38440459"/>
      <w:bookmarkStart w:id="3641" w:name="_Toc38440991"/>
      <w:bookmarkStart w:id="3642" w:name="_Toc38441323"/>
      <w:bookmarkStart w:id="3643" w:name="_Toc38441655"/>
      <w:bookmarkStart w:id="3644" w:name="_Toc38441983"/>
      <w:bookmarkStart w:id="3645" w:name="_Toc38442315"/>
      <w:bookmarkStart w:id="3646" w:name="_Toc38442647"/>
      <w:bookmarkStart w:id="3647" w:name="_Toc38442978"/>
      <w:bookmarkStart w:id="3648" w:name="_Toc38443309"/>
      <w:bookmarkStart w:id="3649" w:name="_Toc38443640"/>
      <w:bookmarkStart w:id="3650" w:name="_Toc38443970"/>
      <w:bookmarkStart w:id="3651" w:name="_Toc38438438"/>
      <w:bookmarkStart w:id="3652" w:name="_Toc38438775"/>
      <w:bookmarkStart w:id="3653" w:name="_Toc38439112"/>
      <w:bookmarkStart w:id="3654" w:name="_Toc38439449"/>
      <w:bookmarkStart w:id="3655" w:name="_Toc38439786"/>
      <w:bookmarkStart w:id="3656" w:name="_Toc38440123"/>
      <w:bookmarkStart w:id="3657" w:name="_Toc38440460"/>
      <w:bookmarkStart w:id="3658" w:name="_Toc38440992"/>
      <w:bookmarkStart w:id="3659" w:name="_Toc38441324"/>
      <w:bookmarkStart w:id="3660" w:name="_Toc38441656"/>
      <w:bookmarkStart w:id="3661" w:name="_Toc38441984"/>
      <w:bookmarkStart w:id="3662" w:name="_Toc38442316"/>
      <w:bookmarkStart w:id="3663" w:name="_Toc38442648"/>
      <w:bookmarkStart w:id="3664" w:name="_Toc38442979"/>
      <w:bookmarkStart w:id="3665" w:name="_Toc38443310"/>
      <w:bookmarkStart w:id="3666" w:name="_Toc38443641"/>
      <w:bookmarkStart w:id="3667" w:name="_Toc38443971"/>
      <w:bookmarkStart w:id="3668" w:name="_Toc38438439"/>
      <w:bookmarkStart w:id="3669" w:name="_Toc38438776"/>
      <w:bookmarkStart w:id="3670" w:name="_Toc38439113"/>
      <w:bookmarkStart w:id="3671" w:name="_Toc38439450"/>
      <w:bookmarkStart w:id="3672" w:name="_Toc38439787"/>
      <w:bookmarkStart w:id="3673" w:name="_Toc38440124"/>
      <w:bookmarkStart w:id="3674" w:name="_Toc38440461"/>
      <w:bookmarkStart w:id="3675" w:name="_Toc38440993"/>
      <w:bookmarkStart w:id="3676" w:name="_Toc38441325"/>
      <w:bookmarkStart w:id="3677" w:name="_Toc38441657"/>
      <w:bookmarkStart w:id="3678" w:name="_Toc38441985"/>
      <w:bookmarkStart w:id="3679" w:name="_Toc38442317"/>
      <w:bookmarkStart w:id="3680" w:name="_Toc38442649"/>
      <w:bookmarkStart w:id="3681" w:name="_Toc38442980"/>
      <w:bookmarkStart w:id="3682" w:name="_Toc38443311"/>
      <w:bookmarkStart w:id="3683" w:name="_Toc38443642"/>
      <w:bookmarkStart w:id="3684" w:name="_Toc38443972"/>
      <w:bookmarkStart w:id="3685" w:name="_Toc38438440"/>
      <w:bookmarkStart w:id="3686" w:name="_Toc38438777"/>
      <w:bookmarkStart w:id="3687" w:name="_Toc38439114"/>
      <w:bookmarkStart w:id="3688" w:name="_Toc38439451"/>
      <w:bookmarkStart w:id="3689" w:name="_Toc38439788"/>
      <w:bookmarkStart w:id="3690" w:name="_Toc38440125"/>
      <w:bookmarkStart w:id="3691" w:name="_Toc38440462"/>
      <w:bookmarkStart w:id="3692" w:name="_Toc38440994"/>
      <w:bookmarkStart w:id="3693" w:name="_Toc38441326"/>
      <w:bookmarkStart w:id="3694" w:name="_Toc38441658"/>
      <w:bookmarkStart w:id="3695" w:name="_Toc38441986"/>
      <w:bookmarkStart w:id="3696" w:name="_Toc38442318"/>
      <w:bookmarkStart w:id="3697" w:name="_Toc38442650"/>
      <w:bookmarkStart w:id="3698" w:name="_Toc38442981"/>
      <w:bookmarkStart w:id="3699" w:name="_Toc38443312"/>
      <w:bookmarkStart w:id="3700" w:name="_Toc38443643"/>
      <w:bookmarkStart w:id="3701" w:name="_Toc38443973"/>
      <w:bookmarkStart w:id="3702" w:name="_Toc38438441"/>
      <w:bookmarkStart w:id="3703" w:name="_Toc38438778"/>
      <w:bookmarkStart w:id="3704" w:name="_Toc38439115"/>
      <w:bookmarkStart w:id="3705" w:name="_Toc38439452"/>
      <w:bookmarkStart w:id="3706" w:name="_Toc38439789"/>
      <w:bookmarkStart w:id="3707" w:name="_Toc38440126"/>
      <w:bookmarkStart w:id="3708" w:name="_Toc38440463"/>
      <w:bookmarkStart w:id="3709" w:name="_Toc38440995"/>
      <w:bookmarkStart w:id="3710" w:name="_Toc38441327"/>
      <w:bookmarkStart w:id="3711" w:name="_Toc38441659"/>
      <w:bookmarkStart w:id="3712" w:name="_Toc38441987"/>
      <w:bookmarkStart w:id="3713" w:name="_Toc38442319"/>
      <w:bookmarkStart w:id="3714" w:name="_Toc38442651"/>
      <w:bookmarkStart w:id="3715" w:name="_Toc38442982"/>
      <w:bookmarkStart w:id="3716" w:name="_Toc38443313"/>
      <w:bookmarkStart w:id="3717" w:name="_Toc38443644"/>
      <w:bookmarkStart w:id="3718" w:name="_Toc38443974"/>
      <w:bookmarkStart w:id="3719" w:name="_Toc38438442"/>
      <w:bookmarkStart w:id="3720" w:name="_Toc38438779"/>
      <w:bookmarkStart w:id="3721" w:name="_Toc38439116"/>
      <w:bookmarkStart w:id="3722" w:name="_Toc38439453"/>
      <w:bookmarkStart w:id="3723" w:name="_Toc38439790"/>
      <w:bookmarkStart w:id="3724" w:name="_Toc38440127"/>
      <w:bookmarkStart w:id="3725" w:name="_Toc38440464"/>
      <w:bookmarkStart w:id="3726" w:name="_Toc38440996"/>
      <w:bookmarkStart w:id="3727" w:name="_Toc38441328"/>
      <w:bookmarkStart w:id="3728" w:name="_Toc38441660"/>
      <w:bookmarkStart w:id="3729" w:name="_Toc38441988"/>
      <w:bookmarkStart w:id="3730" w:name="_Toc38442320"/>
      <w:bookmarkStart w:id="3731" w:name="_Toc38442652"/>
      <w:bookmarkStart w:id="3732" w:name="_Toc38442983"/>
      <w:bookmarkStart w:id="3733" w:name="_Toc38443314"/>
      <w:bookmarkStart w:id="3734" w:name="_Toc38443645"/>
      <w:bookmarkStart w:id="3735" w:name="_Toc38443975"/>
      <w:bookmarkStart w:id="3736" w:name="_Toc38438443"/>
      <w:bookmarkStart w:id="3737" w:name="_Toc38438780"/>
      <w:bookmarkStart w:id="3738" w:name="_Toc38439117"/>
      <w:bookmarkStart w:id="3739" w:name="_Toc38439454"/>
      <w:bookmarkStart w:id="3740" w:name="_Toc38439791"/>
      <w:bookmarkStart w:id="3741" w:name="_Toc38440128"/>
      <w:bookmarkStart w:id="3742" w:name="_Toc38440465"/>
      <w:bookmarkStart w:id="3743" w:name="_Toc38440997"/>
      <w:bookmarkStart w:id="3744" w:name="_Toc38441329"/>
      <w:bookmarkStart w:id="3745" w:name="_Toc38441661"/>
      <w:bookmarkStart w:id="3746" w:name="_Toc38441989"/>
      <w:bookmarkStart w:id="3747" w:name="_Toc38442321"/>
      <w:bookmarkStart w:id="3748" w:name="_Toc38442653"/>
      <w:bookmarkStart w:id="3749" w:name="_Toc38442984"/>
      <w:bookmarkStart w:id="3750" w:name="_Toc38443315"/>
      <w:bookmarkStart w:id="3751" w:name="_Toc38443646"/>
      <w:bookmarkStart w:id="3752" w:name="_Toc38443976"/>
      <w:bookmarkStart w:id="3753" w:name="_Toc38438444"/>
      <w:bookmarkStart w:id="3754" w:name="_Toc38438781"/>
      <w:bookmarkStart w:id="3755" w:name="_Toc38439118"/>
      <w:bookmarkStart w:id="3756" w:name="_Toc38439455"/>
      <w:bookmarkStart w:id="3757" w:name="_Toc38439792"/>
      <w:bookmarkStart w:id="3758" w:name="_Toc38440129"/>
      <w:bookmarkStart w:id="3759" w:name="_Toc38440466"/>
      <w:bookmarkStart w:id="3760" w:name="_Toc38440998"/>
      <w:bookmarkStart w:id="3761" w:name="_Toc38441330"/>
      <w:bookmarkStart w:id="3762" w:name="_Toc38441662"/>
      <w:bookmarkStart w:id="3763" w:name="_Toc38441990"/>
      <w:bookmarkStart w:id="3764" w:name="_Toc38442322"/>
      <w:bookmarkStart w:id="3765" w:name="_Toc38442654"/>
      <w:bookmarkStart w:id="3766" w:name="_Toc38442985"/>
      <w:bookmarkStart w:id="3767" w:name="_Toc38443316"/>
      <w:bookmarkStart w:id="3768" w:name="_Toc38443647"/>
      <w:bookmarkStart w:id="3769" w:name="_Toc38443977"/>
      <w:bookmarkStart w:id="3770" w:name="_Toc38438445"/>
      <w:bookmarkStart w:id="3771" w:name="_Toc38438782"/>
      <w:bookmarkStart w:id="3772" w:name="_Toc38439119"/>
      <w:bookmarkStart w:id="3773" w:name="_Toc38439456"/>
      <w:bookmarkStart w:id="3774" w:name="_Toc38439793"/>
      <w:bookmarkStart w:id="3775" w:name="_Toc38440130"/>
      <w:bookmarkStart w:id="3776" w:name="_Toc38440467"/>
      <w:bookmarkStart w:id="3777" w:name="_Toc38440999"/>
      <w:bookmarkStart w:id="3778" w:name="_Toc38441331"/>
      <w:bookmarkStart w:id="3779" w:name="_Toc38441663"/>
      <w:bookmarkStart w:id="3780" w:name="_Toc38441991"/>
      <w:bookmarkStart w:id="3781" w:name="_Toc38442323"/>
      <w:bookmarkStart w:id="3782" w:name="_Toc38442655"/>
      <w:bookmarkStart w:id="3783" w:name="_Toc38442986"/>
      <w:bookmarkStart w:id="3784" w:name="_Toc38443317"/>
      <w:bookmarkStart w:id="3785" w:name="_Toc38443648"/>
      <w:bookmarkStart w:id="3786" w:name="_Toc38443978"/>
      <w:bookmarkStart w:id="3787" w:name="_Toc38438446"/>
      <w:bookmarkStart w:id="3788" w:name="_Toc38438783"/>
      <w:bookmarkStart w:id="3789" w:name="_Toc38439120"/>
      <w:bookmarkStart w:id="3790" w:name="_Toc38439457"/>
      <w:bookmarkStart w:id="3791" w:name="_Toc38439794"/>
      <w:bookmarkStart w:id="3792" w:name="_Toc38440131"/>
      <w:bookmarkStart w:id="3793" w:name="_Toc38440468"/>
      <w:bookmarkStart w:id="3794" w:name="_Toc38441000"/>
      <w:bookmarkStart w:id="3795" w:name="_Toc38441332"/>
      <w:bookmarkStart w:id="3796" w:name="_Toc38441664"/>
      <w:bookmarkStart w:id="3797" w:name="_Toc38441992"/>
      <w:bookmarkStart w:id="3798" w:name="_Toc38442324"/>
      <w:bookmarkStart w:id="3799" w:name="_Toc38442656"/>
      <w:bookmarkStart w:id="3800" w:name="_Toc38442987"/>
      <w:bookmarkStart w:id="3801" w:name="_Toc38443318"/>
      <w:bookmarkStart w:id="3802" w:name="_Toc38443649"/>
      <w:bookmarkStart w:id="3803" w:name="_Toc38443979"/>
      <w:bookmarkStart w:id="3804" w:name="_Toc38438447"/>
      <w:bookmarkStart w:id="3805" w:name="_Toc38438784"/>
      <w:bookmarkStart w:id="3806" w:name="_Toc38439121"/>
      <w:bookmarkStart w:id="3807" w:name="_Toc38439458"/>
      <w:bookmarkStart w:id="3808" w:name="_Toc38439795"/>
      <w:bookmarkStart w:id="3809" w:name="_Toc38440132"/>
      <w:bookmarkStart w:id="3810" w:name="_Toc38440469"/>
      <w:bookmarkStart w:id="3811" w:name="_Toc38441001"/>
      <w:bookmarkStart w:id="3812" w:name="_Toc38441333"/>
      <w:bookmarkStart w:id="3813" w:name="_Toc38441665"/>
      <w:bookmarkStart w:id="3814" w:name="_Toc38441993"/>
      <w:bookmarkStart w:id="3815" w:name="_Toc38442325"/>
      <w:bookmarkStart w:id="3816" w:name="_Toc38442657"/>
      <w:bookmarkStart w:id="3817" w:name="_Toc38442988"/>
      <w:bookmarkStart w:id="3818" w:name="_Toc38443319"/>
      <w:bookmarkStart w:id="3819" w:name="_Toc38443650"/>
      <w:bookmarkStart w:id="3820" w:name="_Toc38443980"/>
      <w:bookmarkStart w:id="3821" w:name="_Toc38438448"/>
      <w:bookmarkStart w:id="3822" w:name="_Toc38438785"/>
      <w:bookmarkStart w:id="3823" w:name="_Toc38439122"/>
      <w:bookmarkStart w:id="3824" w:name="_Toc38439459"/>
      <w:bookmarkStart w:id="3825" w:name="_Toc38439796"/>
      <w:bookmarkStart w:id="3826" w:name="_Toc38440133"/>
      <w:bookmarkStart w:id="3827" w:name="_Toc38440470"/>
      <w:bookmarkStart w:id="3828" w:name="_Toc38441002"/>
      <w:bookmarkStart w:id="3829" w:name="_Toc38441334"/>
      <w:bookmarkStart w:id="3830" w:name="_Toc38441666"/>
      <w:bookmarkStart w:id="3831" w:name="_Toc38441994"/>
      <w:bookmarkStart w:id="3832" w:name="_Toc38442326"/>
      <w:bookmarkStart w:id="3833" w:name="_Toc38442658"/>
      <w:bookmarkStart w:id="3834" w:name="_Toc38442989"/>
      <w:bookmarkStart w:id="3835" w:name="_Toc38443320"/>
      <w:bookmarkStart w:id="3836" w:name="_Toc38443651"/>
      <w:bookmarkStart w:id="3837" w:name="_Toc38443981"/>
      <w:bookmarkStart w:id="3838" w:name="_Toc38438449"/>
      <w:bookmarkStart w:id="3839" w:name="_Toc38438786"/>
      <w:bookmarkStart w:id="3840" w:name="_Toc38439123"/>
      <w:bookmarkStart w:id="3841" w:name="_Toc38439460"/>
      <w:bookmarkStart w:id="3842" w:name="_Toc38439797"/>
      <w:bookmarkStart w:id="3843" w:name="_Toc38440134"/>
      <w:bookmarkStart w:id="3844" w:name="_Toc38440471"/>
      <w:bookmarkStart w:id="3845" w:name="_Toc38441003"/>
      <w:bookmarkStart w:id="3846" w:name="_Toc38441335"/>
      <w:bookmarkStart w:id="3847" w:name="_Toc38441667"/>
      <w:bookmarkStart w:id="3848" w:name="_Toc38441995"/>
      <w:bookmarkStart w:id="3849" w:name="_Toc38442327"/>
      <w:bookmarkStart w:id="3850" w:name="_Toc38442659"/>
      <w:bookmarkStart w:id="3851" w:name="_Toc38442990"/>
      <w:bookmarkStart w:id="3852" w:name="_Toc38443321"/>
      <w:bookmarkStart w:id="3853" w:name="_Toc38443652"/>
      <w:bookmarkStart w:id="3854" w:name="_Toc38443982"/>
      <w:bookmarkStart w:id="3855" w:name="_Toc38438450"/>
      <w:bookmarkStart w:id="3856" w:name="_Toc38438787"/>
      <w:bookmarkStart w:id="3857" w:name="_Toc38439124"/>
      <w:bookmarkStart w:id="3858" w:name="_Toc38439461"/>
      <w:bookmarkStart w:id="3859" w:name="_Toc38439798"/>
      <w:bookmarkStart w:id="3860" w:name="_Toc38440135"/>
      <w:bookmarkStart w:id="3861" w:name="_Toc38440472"/>
      <w:bookmarkStart w:id="3862" w:name="_Toc38441004"/>
      <w:bookmarkStart w:id="3863" w:name="_Toc38441336"/>
      <w:bookmarkStart w:id="3864" w:name="_Toc38441668"/>
      <w:bookmarkStart w:id="3865" w:name="_Toc38441996"/>
      <w:bookmarkStart w:id="3866" w:name="_Toc38442328"/>
      <w:bookmarkStart w:id="3867" w:name="_Toc38442660"/>
      <w:bookmarkStart w:id="3868" w:name="_Toc38442991"/>
      <w:bookmarkStart w:id="3869" w:name="_Toc38443322"/>
      <w:bookmarkStart w:id="3870" w:name="_Toc38443653"/>
      <w:bookmarkStart w:id="3871" w:name="_Toc38443983"/>
      <w:bookmarkStart w:id="3872" w:name="_Toc38438451"/>
      <w:bookmarkStart w:id="3873" w:name="_Toc38438788"/>
      <w:bookmarkStart w:id="3874" w:name="_Toc38439125"/>
      <w:bookmarkStart w:id="3875" w:name="_Toc38439462"/>
      <w:bookmarkStart w:id="3876" w:name="_Toc38439799"/>
      <w:bookmarkStart w:id="3877" w:name="_Toc38440136"/>
      <w:bookmarkStart w:id="3878" w:name="_Toc38440473"/>
      <w:bookmarkStart w:id="3879" w:name="_Toc38441005"/>
      <w:bookmarkStart w:id="3880" w:name="_Toc38441337"/>
      <w:bookmarkStart w:id="3881" w:name="_Toc38441669"/>
      <w:bookmarkStart w:id="3882" w:name="_Toc38441997"/>
      <w:bookmarkStart w:id="3883" w:name="_Toc38442329"/>
      <w:bookmarkStart w:id="3884" w:name="_Toc38442661"/>
      <w:bookmarkStart w:id="3885" w:name="_Toc38442992"/>
      <w:bookmarkStart w:id="3886" w:name="_Toc38443323"/>
      <w:bookmarkStart w:id="3887" w:name="_Toc38443654"/>
      <w:bookmarkStart w:id="3888" w:name="_Toc38443984"/>
      <w:bookmarkStart w:id="3889" w:name="_Toc38438452"/>
      <w:bookmarkStart w:id="3890" w:name="_Toc38438789"/>
      <w:bookmarkStart w:id="3891" w:name="_Toc38439126"/>
      <w:bookmarkStart w:id="3892" w:name="_Toc38439463"/>
      <w:bookmarkStart w:id="3893" w:name="_Toc38439800"/>
      <w:bookmarkStart w:id="3894" w:name="_Toc38440137"/>
      <w:bookmarkStart w:id="3895" w:name="_Toc38440474"/>
      <w:bookmarkStart w:id="3896" w:name="_Toc38441006"/>
      <w:bookmarkStart w:id="3897" w:name="_Toc38441338"/>
      <w:bookmarkStart w:id="3898" w:name="_Toc38441670"/>
      <w:bookmarkStart w:id="3899" w:name="_Toc38441998"/>
      <w:bookmarkStart w:id="3900" w:name="_Toc38442330"/>
      <w:bookmarkStart w:id="3901" w:name="_Toc38442662"/>
      <w:bookmarkStart w:id="3902" w:name="_Toc38442993"/>
      <w:bookmarkStart w:id="3903" w:name="_Toc38443324"/>
      <w:bookmarkStart w:id="3904" w:name="_Toc38443655"/>
      <w:bookmarkStart w:id="3905" w:name="_Toc38443985"/>
      <w:bookmarkStart w:id="3906" w:name="_Toc38438453"/>
      <w:bookmarkStart w:id="3907" w:name="_Toc38438790"/>
      <w:bookmarkStart w:id="3908" w:name="_Toc38439127"/>
      <w:bookmarkStart w:id="3909" w:name="_Toc38439464"/>
      <w:bookmarkStart w:id="3910" w:name="_Toc38439801"/>
      <w:bookmarkStart w:id="3911" w:name="_Toc38440138"/>
      <w:bookmarkStart w:id="3912" w:name="_Toc38440475"/>
      <w:bookmarkStart w:id="3913" w:name="_Toc38441007"/>
      <w:bookmarkStart w:id="3914" w:name="_Toc38441339"/>
      <w:bookmarkStart w:id="3915" w:name="_Toc38441671"/>
      <w:bookmarkStart w:id="3916" w:name="_Toc38441999"/>
      <w:bookmarkStart w:id="3917" w:name="_Toc38442331"/>
      <w:bookmarkStart w:id="3918" w:name="_Toc38442663"/>
      <w:bookmarkStart w:id="3919" w:name="_Toc38442994"/>
      <w:bookmarkStart w:id="3920" w:name="_Toc38443325"/>
      <w:bookmarkStart w:id="3921" w:name="_Toc38443656"/>
      <w:bookmarkStart w:id="3922" w:name="_Toc38443986"/>
      <w:bookmarkStart w:id="3923" w:name="_Toc38438454"/>
      <w:bookmarkStart w:id="3924" w:name="_Toc38438791"/>
      <w:bookmarkStart w:id="3925" w:name="_Toc38439128"/>
      <w:bookmarkStart w:id="3926" w:name="_Toc38439465"/>
      <w:bookmarkStart w:id="3927" w:name="_Toc38439802"/>
      <w:bookmarkStart w:id="3928" w:name="_Toc38440139"/>
      <w:bookmarkStart w:id="3929" w:name="_Toc38440476"/>
      <w:bookmarkStart w:id="3930" w:name="_Toc38441008"/>
      <w:bookmarkStart w:id="3931" w:name="_Toc38441340"/>
      <w:bookmarkStart w:id="3932" w:name="_Toc38441672"/>
      <w:bookmarkStart w:id="3933" w:name="_Toc38442000"/>
      <w:bookmarkStart w:id="3934" w:name="_Toc38442332"/>
      <w:bookmarkStart w:id="3935" w:name="_Toc38442664"/>
      <w:bookmarkStart w:id="3936" w:name="_Toc38442995"/>
      <w:bookmarkStart w:id="3937" w:name="_Toc38443326"/>
      <w:bookmarkStart w:id="3938" w:name="_Toc38443657"/>
      <w:bookmarkStart w:id="3939" w:name="_Toc38443987"/>
      <w:bookmarkStart w:id="3940" w:name="_Toc38438455"/>
      <w:bookmarkStart w:id="3941" w:name="_Toc38438792"/>
      <w:bookmarkStart w:id="3942" w:name="_Toc38439129"/>
      <w:bookmarkStart w:id="3943" w:name="_Toc38439466"/>
      <w:bookmarkStart w:id="3944" w:name="_Toc38439803"/>
      <w:bookmarkStart w:id="3945" w:name="_Toc38440140"/>
      <w:bookmarkStart w:id="3946" w:name="_Toc38440477"/>
      <w:bookmarkStart w:id="3947" w:name="_Toc38441009"/>
      <w:bookmarkStart w:id="3948" w:name="_Toc38441341"/>
      <w:bookmarkStart w:id="3949" w:name="_Toc38441673"/>
      <w:bookmarkStart w:id="3950" w:name="_Toc38442001"/>
      <w:bookmarkStart w:id="3951" w:name="_Toc38442333"/>
      <w:bookmarkStart w:id="3952" w:name="_Toc38442665"/>
      <w:bookmarkStart w:id="3953" w:name="_Toc38442996"/>
      <w:bookmarkStart w:id="3954" w:name="_Toc38443327"/>
      <w:bookmarkStart w:id="3955" w:name="_Toc38443658"/>
      <w:bookmarkStart w:id="3956" w:name="_Toc38443988"/>
      <w:bookmarkStart w:id="3957" w:name="_Toc38438456"/>
      <w:bookmarkStart w:id="3958" w:name="_Toc38438793"/>
      <w:bookmarkStart w:id="3959" w:name="_Toc38439130"/>
      <w:bookmarkStart w:id="3960" w:name="_Toc38439467"/>
      <w:bookmarkStart w:id="3961" w:name="_Toc38439804"/>
      <w:bookmarkStart w:id="3962" w:name="_Toc38440141"/>
      <w:bookmarkStart w:id="3963" w:name="_Toc38440478"/>
      <w:bookmarkStart w:id="3964" w:name="_Toc38441010"/>
      <w:bookmarkStart w:id="3965" w:name="_Toc38441342"/>
      <w:bookmarkStart w:id="3966" w:name="_Toc38441674"/>
      <w:bookmarkStart w:id="3967" w:name="_Toc38442002"/>
      <w:bookmarkStart w:id="3968" w:name="_Toc38442334"/>
      <w:bookmarkStart w:id="3969" w:name="_Toc38442666"/>
      <w:bookmarkStart w:id="3970" w:name="_Toc38442997"/>
      <w:bookmarkStart w:id="3971" w:name="_Toc38443328"/>
      <w:bookmarkStart w:id="3972" w:name="_Toc38443659"/>
      <w:bookmarkStart w:id="3973" w:name="_Toc38443989"/>
      <w:bookmarkStart w:id="3974" w:name="_Toc38438457"/>
      <w:bookmarkStart w:id="3975" w:name="_Toc38438794"/>
      <w:bookmarkStart w:id="3976" w:name="_Toc38439131"/>
      <w:bookmarkStart w:id="3977" w:name="_Toc38439468"/>
      <w:bookmarkStart w:id="3978" w:name="_Toc38439805"/>
      <w:bookmarkStart w:id="3979" w:name="_Toc38440142"/>
      <w:bookmarkStart w:id="3980" w:name="_Toc38440479"/>
      <w:bookmarkStart w:id="3981" w:name="_Toc38441011"/>
      <w:bookmarkStart w:id="3982" w:name="_Toc38441343"/>
      <w:bookmarkStart w:id="3983" w:name="_Toc38441675"/>
      <w:bookmarkStart w:id="3984" w:name="_Toc38442003"/>
      <w:bookmarkStart w:id="3985" w:name="_Toc38442335"/>
      <w:bookmarkStart w:id="3986" w:name="_Toc38442667"/>
      <w:bookmarkStart w:id="3987" w:name="_Toc38442998"/>
      <w:bookmarkStart w:id="3988" w:name="_Toc38443329"/>
      <w:bookmarkStart w:id="3989" w:name="_Toc38443660"/>
      <w:bookmarkStart w:id="3990" w:name="_Toc38443990"/>
      <w:bookmarkStart w:id="3991" w:name="_Toc38438458"/>
      <w:bookmarkStart w:id="3992" w:name="_Toc38438795"/>
      <w:bookmarkStart w:id="3993" w:name="_Toc38439132"/>
      <w:bookmarkStart w:id="3994" w:name="_Toc38439469"/>
      <w:bookmarkStart w:id="3995" w:name="_Toc38439806"/>
      <w:bookmarkStart w:id="3996" w:name="_Toc38440143"/>
      <w:bookmarkStart w:id="3997" w:name="_Toc38440480"/>
      <w:bookmarkStart w:id="3998" w:name="_Toc38441012"/>
      <w:bookmarkStart w:id="3999" w:name="_Toc38441344"/>
      <w:bookmarkStart w:id="4000" w:name="_Toc38441676"/>
      <w:bookmarkStart w:id="4001" w:name="_Toc38442004"/>
      <w:bookmarkStart w:id="4002" w:name="_Toc38442336"/>
      <w:bookmarkStart w:id="4003" w:name="_Toc38442668"/>
      <w:bookmarkStart w:id="4004" w:name="_Toc38442999"/>
      <w:bookmarkStart w:id="4005" w:name="_Toc38443330"/>
      <w:bookmarkStart w:id="4006" w:name="_Toc38443661"/>
      <w:bookmarkStart w:id="4007" w:name="_Toc38443991"/>
      <w:bookmarkStart w:id="4008" w:name="_Toc96595126"/>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r w:rsidRPr="001C6480">
        <w:rPr>
          <w:rFonts w:asciiTheme="minorEastAsia" w:eastAsiaTheme="minorEastAsia" w:hAnsiTheme="minorEastAsia" w:cs="Arial" w:hint="eastAsia"/>
          <w:bCs/>
          <w:color w:val="000000" w:themeColor="text1"/>
        </w:rPr>
        <w:t>招募说明书存放及查阅方式</w:t>
      </w:r>
      <w:bookmarkEnd w:id="4008"/>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本《招募说明书》存放在基金管理人、基金托管人及基金</w:t>
      </w:r>
      <w:r w:rsidRPr="001C6480" w:rsidR="00E70AC3">
        <w:rPr>
          <w:rFonts w:asciiTheme="minorEastAsia" w:eastAsiaTheme="minorEastAsia" w:hAnsiTheme="minorEastAsia" w:cs="Arial" w:hint="eastAsia"/>
          <w:color w:val="000000" w:themeColor="text1"/>
        </w:rPr>
        <w:t>销售</w:t>
      </w:r>
      <w:r w:rsidRPr="001C6480">
        <w:rPr>
          <w:rFonts w:asciiTheme="minorEastAsia" w:eastAsiaTheme="minorEastAsia" w:hAnsiTheme="minorEastAsia" w:cs="Arial"/>
          <w:color w:val="000000" w:themeColor="text1"/>
        </w:rPr>
        <w:t>机构</w:t>
      </w:r>
      <w:r w:rsidRPr="001C6480" w:rsidR="006C0C36">
        <w:rPr>
          <w:rFonts w:asciiTheme="minorEastAsia" w:eastAsiaTheme="minorEastAsia" w:hAnsiTheme="minorEastAsia" w:cs="Arial" w:hint="eastAsia"/>
          <w:color w:val="000000" w:themeColor="text1"/>
        </w:rPr>
        <w:t>处</w:t>
      </w:r>
      <w:r w:rsidRPr="001C6480">
        <w:rPr>
          <w:rFonts w:asciiTheme="minorEastAsia" w:eastAsiaTheme="minorEastAsia" w:hAnsiTheme="minorEastAsia" w:cs="Arial"/>
          <w:color w:val="000000" w:themeColor="text1"/>
        </w:rPr>
        <w:t>，投资人可在营业时间免费查阅，也可按工本费购买复印件。基金管理人和基金托管人保证其所提供的文本的内容与所公告的内容完全一致。</w:t>
      </w:r>
    </w:p>
    <w:p w:rsidR="001A7CDB" w:rsidRPr="001C6480" w:rsidP="00F71D3B">
      <w:pPr>
        <w:pStyle w:val="1"/>
        <w:numPr>
          <w:ilvl w:val="0"/>
          <w:numId w:val="3"/>
        </w:numPr>
        <w:snapToGrid w:val="0"/>
        <w:spacing w:beforeLines="0" w:afterLines="0" w:line="360" w:lineRule="auto"/>
        <w:ind w:firstLineChars="0"/>
        <w:rPr>
          <w:rFonts w:asciiTheme="minorEastAsia" w:eastAsiaTheme="minorEastAsia" w:hAnsiTheme="minorEastAsia" w:cs="Arial"/>
          <w:color w:val="000000" w:themeColor="text1"/>
          <w:szCs w:val="21"/>
        </w:rPr>
      </w:pPr>
      <w:bookmarkStart w:id="4009" w:name="_Toc96595127"/>
      <w:r w:rsidRPr="001C6480">
        <w:rPr>
          <w:rFonts w:asciiTheme="minorEastAsia" w:eastAsiaTheme="minorEastAsia" w:hAnsiTheme="minorEastAsia" w:cs="Arial" w:hint="eastAsia"/>
          <w:color w:val="000000" w:themeColor="text1"/>
        </w:rPr>
        <w:t>备查文件</w:t>
      </w:r>
      <w:bookmarkEnd w:id="4009"/>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1、</w:t>
      </w:r>
      <w:r w:rsidRPr="001C6480">
        <w:rPr>
          <w:rFonts w:asciiTheme="minorEastAsia" w:eastAsiaTheme="minorEastAsia" w:hAnsiTheme="minorEastAsia" w:cs="Arial"/>
          <w:color w:val="000000" w:themeColor="text1"/>
        </w:rPr>
        <w:t>中国证监会</w:t>
      </w:r>
      <w:r w:rsidRPr="001C6480" w:rsidR="0025464A">
        <w:rPr>
          <w:rFonts w:asciiTheme="minorEastAsia" w:eastAsiaTheme="minorEastAsia" w:hAnsiTheme="minorEastAsia" w:hint="eastAsia"/>
          <w:color w:val="000000" w:themeColor="text1"/>
        </w:rPr>
        <w:t>《</w:t>
      </w:r>
      <w:r w:rsidRPr="001C6480" w:rsidR="00925D66">
        <w:rPr>
          <w:rFonts w:asciiTheme="minorEastAsia" w:eastAsiaTheme="minorEastAsia" w:hAnsiTheme="minorEastAsia" w:cs="Arial"/>
          <w:color w:val="000000" w:themeColor="text1"/>
        </w:rPr>
        <w:t>关于核准</w:t>
      </w:r>
      <w:r w:rsidRPr="001C6480" w:rsidR="00925D66">
        <w:rPr>
          <w:rFonts w:asciiTheme="minorEastAsia" w:eastAsiaTheme="minorEastAsia" w:hAnsiTheme="minorEastAsia" w:cs="Arial" w:hint="eastAsia"/>
          <w:color w:val="000000" w:themeColor="text1"/>
        </w:rPr>
        <w:t>易方达量化衍伸股票型证券投资基金基金份额持有人大会决议的批复</w:t>
      </w:r>
      <w:r w:rsidRPr="001C6480" w:rsidR="0025464A">
        <w:rPr>
          <w:rFonts w:asciiTheme="minorEastAsia" w:eastAsiaTheme="minorEastAsia" w:hAnsiTheme="minorEastAsia" w:cs="Arial" w:hint="eastAsia"/>
          <w:color w:val="000000" w:themeColor="text1"/>
        </w:rPr>
        <w:t>》</w:t>
      </w:r>
      <w:r w:rsidRPr="001C6480">
        <w:rPr>
          <w:rFonts w:asciiTheme="minorEastAsia" w:eastAsiaTheme="minorEastAsia" w:hAnsiTheme="minorEastAsia" w:cs="Arial"/>
          <w:color w:val="000000" w:themeColor="text1"/>
        </w:rPr>
        <w:t>；</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2、</w:t>
      </w:r>
      <w:r w:rsidRPr="001C6480">
        <w:rPr>
          <w:rFonts w:asciiTheme="minorEastAsia" w:eastAsiaTheme="minorEastAsia" w:hAnsiTheme="minorEastAsia" w:cs="Arial"/>
          <w:color w:val="000000" w:themeColor="text1"/>
        </w:rPr>
        <w:t>《</w:t>
      </w:r>
      <w:r w:rsidRPr="001C6480" w:rsidR="00A80737">
        <w:rPr>
          <w:rFonts w:asciiTheme="minorEastAsia" w:eastAsiaTheme="minorEastAsia" w:hAnsiTheme="minorEastAsia" w:cs="Arial"/>
          <w:color w:val="000000" w:themeColor="text1"/>
        </w:rPr>
        <w:t>易方达沪深300量化增强证券投资基金</w:t>
      </w:r>
      <w:r w:rsidRPr="001C6480">
        <w:rPr>
          <w:rFonts w:asciiTheme="minorEastAsia" w:eastAsiaTheme="minorEastAsia" w:hAnsiTheme="minorEastAsia" w:cs="Arial"/>
          <w:color w:val="000000" w:themeColor="text1"/>
        </w:rPr>
        <w:t>基金合同》；</w:t>
      </w:r>
    </w:p>
    <w:p w:rsidR="001A7CDB" w:rsidRPr="001C6480" w:rsidP="00F71D3B">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szCs w:val="21"/>
        </w:rPr>
        <w:t>3、</w:t>
      </w:r>
      <w:r w:rsidRPr="001C6480">
        <w:rPr>
          <w:rFonts w:asciiTheme="minorEastAsia" w:eastAsiaTheme="minorEastAsia" w:hAnsiTheme="minorEastAsia" w:cs="Arial"/>
          <w:color w:val="000000" w:themeColor="text1"/>
          <w:szCs w:val="21"/>
        </w:rPr>
        <w:t>《</w:t>
      </w:r>
      <w:r w:rsidRPr="001C6480">
        <w:rPr>
          <w:rFonts w:asciiTheme="minorEastAsia" w:eastAsiaTheme="minorEastAsia" w:hAnsiTheme="minorEastAsia" w:cs="Arial"/>
          <w:color w:val="000000" w:themeColor="text1"/>
        </w:rPr>
        <w:t>易方达基金管理有限公司开放式基金业务规则》；</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4、</w:t>
      </w:r>
      <w:r w:rsidRPr="001C6480">
        <w:rPr>
          <w:rFonts w:asciiTheme="minorEastAsia" w:eastAsiaTheme="minorEastAsia" w:hAnsiTheme="minorEastAsia" w:cs="Arial"/>
          <w:color w:val="000000" w:themeColor="text1"/>
        </w:rPr>
        <w:t>《</w:t>
      </w:r>
      <w:r w:rsidRPr="001C6480" w:rsidR="00A80737">
        <w:rPr>
          <w:rFonts w:asciiTheme="minorEastAsia" w:eastAsiaTheme="minorEastAsia" w:hAnsiTheme="minorEastAsia" w:cs="Arial"/>
          <w:color w:val="000000" w:themeColor="text1"/>
        </w:rPr>
        <w:t>易方达沪深300量化增强证券投资基金</w:t>
      </w:r>
      <w:r w:rsidRPr="001C6480">
        <w:rPr>
          <w:rFonts w:asciiTheme="minorEastAsia" w:eastAsiaTheme="minorEastAsia" w:hAnsiTheme="minorEastAsia" w:cs="Arial"/>
          <w:color w:val="000000" w:themeColor="text1"/>
        </w:rPr>
        <w:t>托管协议》；</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5、</w:t>
      </w:r>
      <w:r w:rsidRPr="001C6480">
        <w:rPr>
          <w:rFonts w:asciiTheme="minorEastAsia" w:eastAsiaTheme="minorEastAsia" w:hAnsiTheme="minorEastAsia" w:cs="Arial"/>
          <w:color w:val="000000" w:themeColor="text1"/>
        </w:rPr>
        <w:t>法律意见书；</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6、</w:t>
      </w:r>
      <w:r w:rsidRPr="001C6480">
        <w:rPr>
          <w:rFonts w:asciiTheme="minorEastAsia" w:eastAsiaTheme="minorEastAsia" w:hAnsiTheme="minorEastAsia" w:cs="Arial"/>
          <w:color w:val="000000" w:themeColor="text1"/>
        </w:rPr>
        <w:t>基金管理人业务资格批件和营业执照；</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hint="eastAsia"/>
          <w:color w:val="000000" w:themeColor="text1"/>
        </w:rPr>
        <w:t>7、</w:t>
      </w:r>
      <w:r w:rsidRPr="001C6480">
        <w:rPr>
          <w:rFonts w:asciiTheme="minorEastAsia" w:eastAsiaTheme="minorEastAsia" w:hAnsiTheme="minorEastAsia" w:cs="Arial"/>
          <w:color w:val="000000" w:themeColor="text1"/>
        </w:rPr>
        <w:t>基金托管人业务资格批件和营业执照。</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存放地点：基金管理人、基金托管人处</w:t>
      </w:r>
    </w:p>
    <w:p w:rsidR="001A7CDB" w:rsidRPr="001C6480" w:rsidP="00F71D3B">
      <w:pPr>
        <w:snapToGrid w:val="0"/>
        <w:spacing w:line="360" w:lineRule="auto"/>
        <w:ind w:firstLine="420" w:firstLineChars="200"/>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查阅方式：投资</w:t>
      </w:r>
      <w:r w:rsidRPr="001C6480" w:rsidR="00325EDA">
        <w:rPr>
          <w:rFonts w:asciiTheme="minorEastAsia" w:eastAsiaTheme="minorEastAsia" w:hAnsiTheme="minorEastAsia" w:cs="Arial" w:hint="eastAsia"/>
          <w:color w:val="000000" w:themeColor="text1"/>
        </w:rPr>
        <w:t>者</w:t>
      </w:r>
      <w:r w:rsidRPr="001C6480">
        <w:rPr>
          <w:rFonts w:asciiTheme="minorEastAsia" w:eastAsiaTheme="minorEastAsia" w:hAnsiTheme="minorEastAsia" w:cs="Arial"/>
          <w:color w:val="000000" w:themeColor="text1"/>
        </w:rPr>
        <w:t>可在营业时间免费查阅，也可按工本费购买复印件。</w:t>
      </w:r>
    </w:p>
    <w:p w:rsidR="001A7CDB" w:rsidRPr="001C6480" w:rsidP="00F71D3B">
      <w:pPr>
        <w:snapToGrid w:val="0"/>
        <w:spacing w:line="360" w:lineRule="auto"/>
        <w:rPr>
          <w:rFonts w:asciiTheme="minorEastAsia" w:eastAsiaTheme="minorEastAsia" w:hAnsiTheme="minorEastAsia" w:cs="Arial"/>
          <w:color w:val="000000" w:themeColor="text1"/>
        </w:rPr>
      </w:pPr>
    </w:p>
    <w:p w:rsidR="001A7CDB" w:rsidRPr="001C6480" w:rsidP="00F71D3B">
      <w:pPr>
        <w:snapToGrid w:val="0"/>
        <w:spacing w:line="360" w:lineRule="auto"/>
        <w:rPr>
          <w:rFonts w:asciiTheme="minorEastAsia" w:eastAsiaTheme="minorEastAsia" w:hAnsiTheme="minorEastAsia" w:cs="Arial"/>
          <w:color w:val="000000" w:themeColor="text1"/>
        </w:rPr>
      </w:pPr>
    </w:p>
    <w:p w:rsidR="001A7CDB" w:rsidRPr="001C6480" w:rsidP="00F71D3B">
      <w:pPr>
        <w:snapToGrid w:val="0"/>
        <w:spacing w:line="360" w:lineRule="auto"/>
        <w:ind w:firstLine="420" w:firstLineChars="200"/>
        <w:jc w:val="right"/>
        <w:rPr>
          <w:rFonts w:asciiTheme="minorEastAsia" w:eastAsiaTheme="minorEastAsia" w:hAnsiTheme="minorEastAsia" w:cs="Arial"/>
          <w:color w:val="000000" w:themeColor="text1"/>
        </w:rPr>
      </w:pPr>
      <w:r w:rsidRPr="001C6480">
        <w:rPr>
          <w:rFonts w:asciiTheme="minorEastAsia" w:eastAsiaTheme="minorEastAsia" w:hAnsiTheme="minorEastAsia" w:cs="Arial"/>
          <w:color w:val="000000" w:themeColor="text1"/>
        </w:rPr>
        <w:t>易方达基金管理有限公司</w:t>
      </w:r>
    </w:p>
    <w:p w:rsidR="00867F21" w:rsidRPr="001C6480" w:rsidP="00605548">
      <w:pPr>
        <w:wordWrap w:val="0"/>
        <w:snapToGrid w:val="0"/>
        <w:spacing w:line="360" w:lineRule="auto"/>
        <w:ind w:right="210"/>
        <w:jc w:val="right"/>
        <w:rPr>
          <w:rFonts w:asciiTheme="minorEastAsia" w:eastAsiaTheme="minorEastAsia" w:hAnsiTheme="minorEastAsia"/>
          <w:color w:val="000000" w:themeColor="text1"/>
        </w:rPr>
      </w:pPr>
      <w:r w:rsidRPr="001C6480">
        <w:rPr>
          <w:rFonts w:asciiTheme="minorEastAsia" w:eastAsiaTheme="minorEastAsia" w:hAnsiTheme="minorEastAsia"/>
          <w:color w:val="000000" w:themeColor="text1"/>
        </w:rPr>
        <w:t>2022年2月2</w:t>
      </w:r>
      <w:r w:rsidR="007A47F2">
        <w:rPr>
          <w:rFonts w:asciiTheme="minorEastAsia" w:eastAsiaTheme="minorEastAsia" w:hAnsiTheme="minorEastAsia"/>
          <w:color w:val="000000" w:themeColor="text1"/>
        </w:rPr>
        <w:t>6</w:t>
      </w:r>
      <w:bookmarkStart w:id="4010" w:name="_GoBack"/>
      <w:bookmarkEnd w:id="4010"/>
      <w:r w:rsidRPr="001C6480">
        <w:rPr>
          <w:rFonts w:asciiTheme="minorEastAsia" w:eastAsiaTheme="minorEastAsia" w:hAnsiTheme="minorEastAsia"/>
          <w:color w:val="000000" w:themeColor="text1"/>
        </w:rPr>
        <w:t>日</w:t>
      </w:r>
    </w:p>
    <w:sectPr w:rsidSect="00D648D0">
      <w:pgSz w:w="11907" w:h="16840" w:code="9"/>
      <w:pgMar w:top="1701" w:right="1814" w:bottom="1701" w:left="1814" w:header="1134" w:footer="1247"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880" w:rsidP="00781FDB">
    <w:pPr>
      <w:pStyle w:val="Footer"/>
      <w:spacing w:after="60"/>
      <w:ind w:firstLine="480"/>
      <w:jc w:val="center"/>
    </w:pPr>
  </w:p>
  <w:p w:rsidR="007A0880" w:rsidP="00992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880" w:rsidP="00D648D0">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880" w:rsidP="00781FDB">
    <w:pPr>
      <w:pStyle w:val="Footer"/>
      <w:spacing w:after="60"/>
      <w:ind w:firstLine="480"/>
      <w:jc w:val="center"/>
    </w:pPr>
    <w:r>
      <w:fldChar w:fldCharType="begin"/>
    </w:r>
    <w:r>
      <w:instrText xml:space="preserve"> PAGE   \* MERGEFORMAT </w:instrText>
    </w:r>
    <w:r>
      <w:fldChar w:fldCharType="separate"/>
    </w:r>
    <w:r w:rsidRPr="007A47F2" w:rsidR="007A47F2">
      <w:rPr>
        <w:noProof/>
        <w:lang w:val="zh-CN"/>
      </w:rPr>
      <w:t>114</w:t>
    </w:r>
    <w:r>
      <w:rPr>
        <w:noProof/>
        <w:lang w:val="zh-CN"/>
      </w:rPr>
      <w:fldChar w:fldCharType="end"/>
    </w:r>
  </w:p>
  <w:p w:rsidR="007A0880" w:rsidP="0099273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0880" w:rsidRPr="006779AA" w:rsidP="007E51C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61E68"/>
    <w:multiLevelType w:val="hybridMultilevel"/>
    <w:tmpl w:val="B270F6E2"/>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7922A58"/>
    <w:multiLevelType w:val="hybridMultilevel"/>
    <w:tmpl w:val="5C78C146"/>
    <w:lvl w:ilvl="0">
      <w:start w:val="1"/>
      <w:numFmt w:val="chineseCountingThousand"/>
      <w:lvlText w:val="（%1）"/>
      <w:lvlJc w:val="left"/>
      <w:pPr>
        <w:ind w:left="997"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nsid w:val="0B737187"/>
    <w:multiLevelType w:val="hybridMultilevel"/>
    <w:tmpl w:val="CEB6D58E"/>
    <w:lvl w:ilvl="0">
      <w:start w:val="1"/>
      <w:numFmt w:val="chineseCountingThousand"/>
      <w:lvlText w:val="（%1）"/>
      <w:lvlJc w:val="left"/>
      <w:pPr>
        <w:ind w:left="1275"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15D0017F"/>
    <w:multiLevelType w:val="hybridMultilevel"/>
    <w:tmpl w:val="E606FCA2"/>
    <w:lvl w:ilvl="0">
      <w:start w:val="1"/>
      <w:numFmt w:val="chineseCountingThousand"/>
      <w:lvlText w:val="（%1）"/>
      <w:lvlJc w:val="left"/>
      <w:pPr>
        <w:ind w:left="1275"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5">
    <w:nsid w:val="2FEB7643"/>
    <w:multiLevelType w:val="hybridMultilevel"/>
    <w:tmpl w:val="FD180FEE"/>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35E6D6A"/>
    <w:multiLevelType w:val="hybridMultilevel"/>
    <w:tmpl w:val="5580A806"/>
    <w:lvl w:ilvl="0">
      <w:start w:val="1"/>
      <w:numFmt w:val="chineseCountingThousand"/>
      <w:lvlText w:val="（%1）"/>
      <w:lvlJc w:val="left"/>
      <w:pPr>
        <w:ind w:left="1275"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4C0C1A6B"/>
    <w:multiLevelType w:val="hybridMultilevel"/>
    <w:tmpl w:val="E702C28E"/>
    <w:lvl w:ilvl="0">
      <w:start w:val="1"/>
      <w:numFmt w:val="chineseCountingThousand"/>
      <w:lvlText w:val="（%1）"/>
      <w:lvlJc w:val="left"/>
      <w:pPr>
        <w:ind w:left="1275"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
    <w:nsid w:val="4FFA74CD"/>
    <w:multiLevelType w:val="hybridMultilevel"/>
    <w:tmpl w:val="4B1CDACC"/>
    <w:lvl w:ilvl="0">
      <w:start w:val="1"/>
      <w:numFmt w:val="chineseCountingThousand"/>
      <w:lvlText w:val="（%1）"/>
      <w:lvlJc w:val="left"/>
      <w:pPr>
        <w:ind w:left="1275"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
    <w:nsid w:val="5EC86A51"/>
    <w:multiLevelType w:val="hybridMultilevel"/>
    <w:tmpl w:val="C2E67B9A"/>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61DE3CEF"/>
    <w:multiLevelType w:val="hybridMultilevel"/>
    <w:tmpl w:val="02ACCD30"/>
    <w:lvl w:ilvl="0">
      <w:start w:val="1"/>
      <w:numFmt w:val="chineseCountingThousand"/>
      <w:lvlText w:val="%1、"/>
      <w:lvlJc w:val="left"/>
      <w:pPr>
        <w:ind w:left="420" w:hanging="420"/>
      </w:pPr>
      <w:rPr>
        <w:rFonts w:asciiTheme="minorEastAsia" w:eastAsiaTheme="minorEastAsia" w:hAnsiTheme="minorEastAsia" w:hint="eastAsia"/>
        <w:sz w:val="32"/>
        <w:szCs w:val="32"/>
      </w:rPr>
    </w:lvl>
    <w:lvl w:ilvl="1">
      <w:start w:val="1"/>
      <w:numFmt w:val="japaneseCounting"/>
      <w:lvlText w:val="（%2）"/>
      <w:lvlJc w:val="left"/>
      <w:pPr>
        <w:ind w:left="997" w:hanging="855"/>
      </w:pPr>
      <w:rPr>
        <w:rFonts w:hint="default"/>
        <w:b w:val="0"/>
        <w:sz w:val="28"/>
        <w:szCs w:val="28"/>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2">
    <w:nsid w:val="711630D8"/>
    <w:multiLevelType w:val="hybridMultilevel"/>
    <w:tmpl w:val="B41041A4"/>
    <w:lvl w:ilvl="0">
      <w:start w:val="1"/>
      <w:numFmt w:val="chineseCountingThousand"/>
      <w:lvlText w:val="（%1）"/>
      <w:lvlJc w:val="left"/>
      <w:pPr>
        <w:ind w:left="855"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
    <w:nsid w:val="73EB5044"/>
    <w:multiLevelType w:val="hybridMultilevel"/>
    <w:tmpl w:val="B41041A4"/>
    <w:lvl w:ilvl="0">
      <w:start w:val="1"/>
      <w:numFmt w:val="chineseCountingThousand"/>
      <w:lvlText w:val="（%1）"/>
      <w:lvlJc w:val="left"/>
      <w:pPr>
        <w:ind w:left="855" w:hanging="855"/>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
    <w:nsid w:val="7A317F16"/>
    <w:multiLevelType w:val="hybridMultilevel"/>
    <w:tmpl w:val="184A1E66"/>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1"/>
  </w:num>
  <w:num w:numId="3">
    <w:abstractNumId w:val="10"/>
  </w:num>
  <w:num w:numId="4">
    <w:abstractNumId w:val="0"/>
  </w:num>
  <w:num w:numId="5">
    <w:abstractNumId w:val="9"/>
  </w:num>
  <w:num w:numId="6">
    <w:abstractNumId w:val="14"/>
  </w:num>
  <w:num w:numId="7">
    <w:abstractNumId w:val="5"/>
  </w:num>
  <w:num w:numId="8">
    <w:abstractNumId w:val="13"/>
  </w:num>
  <w:num w:numId="9">
    <w:abstractNumId w:val="1"/>
  </w:num>
  <w:num w:numId="10">
    <w:abstractNumId w:val="2"/>
  </w:num>
  <w:num w:numId="11">
    <w:abstractNumId w:val="3"/>
  </w:num>
  <w:num w:numId="12">
    <w:abstractNumId w:val="8"/>
  </w:num>
  <w:num w:numId="13">
    <w:abstractNumId w:val="6"/>
  </w:num>
  <w:num w:numId="14">
    <w:abstractNumId w:val="7"/>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8"/>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867F21"/>
    <w:rsid w:val="00002DCA"/>
    <w:rsid w:val="0000645E"/>
    <w:rsid w:val="000072F3"/>
    <w:rsid w:val="00007D1B"/>
    <w:rsid w:val="00010657"/>
    <w:rsid w:val="000112F0"/>
    <w:rsid w:val="000130B5"/>
    <w:rsid w:val="00017438"/>
    <w:rsid w:val="0002068E"/>
    <w:rsid w:val="00021D10"/>
    <w:rsid w:val="00022039"/>
    <w:rsid w:val="0002351B"/>
    <w:rsid w:val="00024C22"/>
    <w:rsid w:val="00025324"/>
    <w:rsid w:val="000257D4"/>
    <w:rsid w:val="0003103D"/>
    <w:rsid w:val="000325A4"/>
    <w:rsid w:val="000325D3"/>
    <w:rsid w:val="00034924"/>
    <w:rsid w:val="00034ADE"/>
    <w:rsid w:val="000356CF"/>
    <w:rsid w:val="00036FCB"/>
    <w:rsid w:val="00037207"/>
    <w:rsid w:val="000500EC"/>
    <w:rsid w:val="00050F80"/>
    <w:rsid w:val="0005129C"/>
    <w:rsid w:val="00051A06"/>
    <w:rsid w:val="0005365C"/>
    <w:rsid w:val="00055CAC"/>
    <w:rsid w:val="00060228"/>
    <w:rsid w:val="00061B20"/>
    <w:rsid w:val="00067213"/>
    <w:rsid w:val="00067B1B"/>
    <w:rsid w:val="0007078D"/>
    <w:rsid w:val="00072450"/>
    <w:rsid w:val="000733B6"/>
    <w:rsid w:val="0007458C"/>
    <w:rsid w:val="0008012C"/>
    <w:rsid w:val="000809BC"/>
    <w:rsid w:val="00082DBA"/>
    <w:rsid w:val="00084644"/>
    <w:rsid w:val="000853F1"/>
    <w:rsid w:val="00092810"/>
    <w:rsid w:val="00097784"/>
    <w:rsid w:val="000A1D2A"/>
    <w:rsid w:val="000A403D"/>
    <w:rsid w:val="000A45C4"/>
    <w:rsid w:val="000B4496"/>
    <w:rsid w:val="000B64F7"/>
    <w:rsid w:val="000B662C"/>
    <w:rsid w:val="000C099F"/>
    <w:rsid w:val="000C60EC"/>
    <w:rsid w:val="000C73F8"/>
    <w:rsid w:val="000D057F"/>
    <w:rsid w:val="000D2897"/>
    <w:rsid w:val="000D475E"/>
    <w:rsid w:val="000D5C3A"/>
    <w:rsid w:val="000D6F9B"/>
    <w:rsid w:val="000D7868"/>
    <w:rsid w:val="000E414E"/>
    <w:rsid w:val="000F2175"/>
    <w:rsid w:val="000F41F3"/>
    <w:rsid w:val="000F516E"/>
    <w:rsid w:val="000F64BA"/>
    <w:rsid w:val="001043DD"/>
    <w:rsid w:val="00104FE6"/>
    <w:rsid w:val="001056D8"/>
    <w:rsid w:val="00107BB2"/>
    <w:rsid w:val="00111447"/>
    <w:rsid w:val="00111E12"/>
    <w:rsid w:val="00112ABE"/>
    <w:rsid w:val="00112D45"/>
    <w:rsid w:val="001149C2"/>
    <w:rsid w:val="0011571B"/>
    <w:rsid w:val="001228B2"/>
    <w:rsid w:val="00123336"/>
    <w:rsid w:val="001237ED"/>
    <w:rsid w:val="0013194E"/>
    <w:rsid w:val="00131DA9"/>
    <w:rsid w:val="00132F42"/>
    <w:rsid w:val="00133308"/>
    <w:rsid w:val="0013636B"/>
    <w:rsid w:val="00140235"/>
    <w:rsid w:val="001412B6"/>
    <w:rsid w:val="0014479F"/>
    <w:rsid w:val="00146FC0"/>
    <w:rsid w:val="0014736A"/>
    <w:rsid w:val="001477B3"/>
    <w:rsid w:val="001500E4"/>
    <w:rsid w:val="00150FA7"/>
    <w:rsid w:val="001531E0"/>
    <w:rsid w:val="00155850"/>
    <w:rsid w:val="00155EFC"/>
    <w:rsid w:val="00156EA1"/>
    <w:rsid w:val="00163D2D"/>
    <w:rsid w:val="00164306"/>
    <w:rsid w:val="0016558F"/>
    <w:rsid w:val="00165C07"/>
    <w:rsid w:val="00167C38"/>
    <w:rsid w:val="00177BF5"/>
    <w:rsid w:val="0018280C"/>
    <w:rsid w:val="00187A7B"/>
    <w:rsid w:val="00191D9B"/>
    <w:rsid w:val="00192BD7"/>
    <w:rsid w:val="001936C1"/>
    <w:rsid w:val="001940B3"/>
    <w:rsid w:val="00195C31"/>
    <w:rsid w:val="001A0BBD"/>
    <w:rsid w:val="001A0E39"/>
    <w:rsid w:val="001A19F7"/>
    <w:rsid w:val="001A23BE"/>
    <w:rsid w:val="001A280A"/>
    <w:rsid w:val="001A67E6"/>
    <w:rsid w:val="001A770C"/>
    <w:rsid w:val="001A7CDB"/>
    <w:rsid w:val="001B012E"/>
    <w:rsid w:val="001B3973"/>
    <w:rsid w:val="001B62B0"/>
    <w:rsid w:val="001B67B0"/>
    <w:rsid w:val="001B6A3C"/>
    <w:rsid w:val="001C3549"/>
    <w:rsid w:val="001C6480"/>
    <w:rsid w:val="001C74A0"/>
    <w:rsid w:val="001C7E9C"/>
    <w:rsid w:val="001D031D"/>
    <w:rsid w:val="001D2B30"/>
    <w:rsid w:val="001D3F72"/>
    <w:rsid w:val="001D3FEB"/>
    <w:rsid w:val="001D4ACA"/>
    <w:rsid w:val="001E0A9B"/>
    <w:rsid w:val="001E0F45"/>
    <w:rsid w:val="001E21D4"/>
    <w:rsid w:val="001E4046"/>
    <w:rsid w:val="001E44D3"/>
    <w:rsid w:val="001E45D5"/>
    <w:rsid w:val="001E57DE"/>
    <w:rsid w:val="001E702F"/>
    <w:rsid w:val="001E78EE"/>
    <w:rsid w:val="001E7D48"/>
    <w:rsid w:val="001F0A16"/>
    <w:rsid w:val="001F6459"/>
    <w:rsid w:val="001F655B"/>
    <w:rsid w:val="00200AAB"/>
    <w:rsid w:val="00201A54"/>
    <w:rsid w:val="0020215D"/>
    <w:rsid w:val="00205465"/>
    <w:rsid w:val="00205E24"/>
    <w:rsid w:val="0020775B"/>
    <w:rsid w:val="002149A2"/>
    <w:rsid w:val="00214CA4"/>
    <w:rsid w:val="00221C99"/>
    <w:rsid w:val="002279D4"/>
    <w:rsid w:val="00230899"/>
    <w:rsid w:val="002411DD"/>
    <w:rsid w:val="0024471C"/>
    <w:rsid w:val="0024486D"/>
    <w:rsid w:val="0024486F"/>
    <w:rsid w:val="00246160"/>
    <w:rsid w:val="00246CD1"/>
    <w:rsid w:val="002542D0"/>
    <w:rsid w:val="0025464A"/>
    <w:rsid w:val="00255028"/>
    <w:rsid w:val="00255C98"/>
    <w:rsid w:val="00257CD7"/>
    <w:rsid w:val="00261591"/>
    <w:rsid w:val="002625C5"/>
    <w:rsid w:val="002638D9"/>
    <w:rsid w:val="0026467A"/>
    <w:rsid w:val="0026567C"/>
    <w:rsid w:val="00266534"/>
    <w:rsid w:val="00266619"/>
    <w:rsid w:val="002719AC"/>
    <w:rsid w:val="00275CCD"/>
    <w:rsid w:val="002829C7"/>
    <w:rsid w:val="00285695"/>
    <w:rsid w:val="00286323"/>
    <w:rsid w:val="00286A23"/>
    <w:rsid w:val="00286E4A"/>
    <w:rsid w:val="002909D2"/>
    <w:rsid w:val="00291D7E"/>
    <w:rsid w:val="00294FA6"/>
    <w:rsid w:val="00296749"/>
    <w:rsid w:val="002A0AC2"/>
    <w:rsid w:val="002A0E0E"/>
    <w:rsid w:val="002A2A0A"/>
    <w:rsid w:val="002A32CC"/>
    <w:rsid w:val="002A37F0"/>
    <w:rsid w:val="002A3E19"/>
    <w:rsid w:val="002A5C56"/>
    <w:rsid w:val="002A5DD0"/>
    <w:rsid w:val="002A6F2F"/>
    <w:rsid w:val="002A7F64"/>
    <w:rsid w:val="002B093C"/>
    <w:rsid w:val="002B163A"/>
    <w:rsid w:val="002B1953"/>
    <w:rsid w:val="002B3F76"/>
    <w:rsid w:val="002B5E93"/>
    <w:rsid w:val="002B65F7"/>
    <w:rsid w:val="002B7911"/>
    <w:rsid w:val="002B7D5F"/>
    <w:rsid w:val="002B7E4B"/>
    <w:rsid w:val="002C08C8"/>
    <w:rsid w:val="002C0A24"/>
    <w:rsid w:val="002C2476"/>
    <w:rsid w:val="002C264E"/>
    <w:rsid w:val="002D0243"/>
    <w:rsid w:val="002D07BE"/>
    <w:rsid w:val="002D0BAF"/>
    <w:rsid w:val="002D0D06"/>
    <w:rsid w:val="002D1404"/>
    <w:rsid w:val="002D5A0E"/>
    <w:rsid w:val="002D6BAD"/>
    <w:rsid w:val="002D774A"/>
    <w:rsid w:val="002E42ED"/>
    <w:rsid w:val="002E43D3"/>
    <w:rsid w:val="002E5E1A"/>
    <w:rsid w:val="002F0130"/>
    <w:rsid w:val="002F1D94"/>
    <w:rsid w:val="002F2806"/>
    <w:rsid w:val="002F2A85"/>
    <w:rsid w:val="002F2BD2"/>
    <w:rsid w:val="002F3CDE"/>
    <w:rsid w:val="002F4AB9"/>
    <w:rsid w:val="002F4DEA"/>
    <w:rsid w:val="002F531A"/>
    <w:rsid w:val="002F6F0D"/>
    <w:rsid w:val="002F7025"/>
    <w:rsid w:val="00300EE4"/>
    <w:rsid w:val="00300F54"/>
    <w:rsid w:val="00301A83"/>
    <w:rsid w:val="00307189"/>
    <w:rsid w:val="0031441B"/>
    <w:rsid w:val="00314CAF"/>
    <w:rsid w:val="00315640"/>
    <w:rsid w:val="00315A1F"/>
    <w:rsid w:val="00315BF7"/>
    <w:rsid w:val="00317B73"/>
    <w:rsid w:val="003207F8"/>
    <w:rsid w:val="003236CE"/>
    <w:rsid w:val="00324AFC"/>
    <w:rsid w:val="00325627"/>
    <w:rsid w:val="00325EDA"/>
    <w:rsid w:val="003260DD"/>
    <w:rsid w:val="00326C2B"/>
    <w:rsid w:val="0033341F"/>
    <w:rsid w:val="00337992"/>
    <w:rsid w:val="0034078B"/>
    <w:rsid w:val="003413F1"/>
    <w:rsid w:val="00341C51"/>
    <w:rsid w:val="003467CB"/>
    <w:rsid w:val="003467D2"/>
    <w:rsid w:val="00347BCE"/>
    <w:rsid w:val="003511F7"/>
    <w:rsid w:val="00351A62"/>
    <w:rsid w:val="00352BEF"/>
    <w:rsid w:val="003558ED"/>
    <w:rsid w:val="0035762C"/>
    <w:rsid w:val="00362F89"/>
    <w:rsid w:val="003638A4"/>
    <w:rsid w:val="00366460"/>
    <w:rsid w:val="00370B44"/>
    <w:rsid w:val="00371EA1"/>
    <w:rsid w:val="00375699"/>
    <w:rsid w:val="0038270C"/>
    <w:rsid w:val="00386B82"/>
    <w:rsid w:val="003872B4"/>
    <w:rsid w:val="003876D7"/>
    <w:rsid w:val="00387889"/>
    <w:rsid w:val="0039108B"/>
    <w:rsid w:val="003913BA"/>
    <w:rsid w:val="00393551"/>
    <w:rsid w:val="0039548A"/>
    <w:rsid w:val="00395502"/>
    <w:rsid w:val="00396FEA"/>
    <w:rsid w:val="00397462"/>
    <w:rsid w:val="0039746F"/>
    <w:rsid w:val="003A1B18"/>
    <w:rsid w:val="003A250D"/>
    <w:rsid w:val="003A4193"/>
    <w:rsid w:val="003A4E33"/>
    <w:rsid w:val="003A6114"/>
    <w:rsid w:val="003A6F89"/>
    <w:rsid w:val="003B0066"/>
    <w:rsid w:val="003B0135"/>
    <w:rsid w:val="003B030C"/>
    <w:rsid w:val="003B3070"/>
    <w:rsid w:val="003B38F5"/>
    <w:rsid w:val="003B739A"/>
    <w:rsid w:val="003B75EF"/>
    <w:rsid w:val="003B7EAF"/>
    <w:rsid w:val="003C0431"/>
    <w:rsid w:val="003C2551"/>
    <w:rsid w:val="003C2BD1"/>
    <w:rsid w:val="003C3F44"/>
    <w:rsid w:val="003C49A5"/>
    <w:rsid w:val="003D066D"/>
    <w:rsid w:val="003D542D"/>
    <w:rsid w:val="003E062B"/>
    <w:rsid w:val="003E2237"/>
    <w:rsid w:val="003E245A"/>
    <w:rsid w:val="003E307D"/>
    <w:rsid w:val="003E363D"/>
    <w:rsid w:val="003E3AD2"/>
    <w:rsid w:val="003E5700"/>
    <w:rsid w:val="003E636F"/>
    <w:rsid w:val="003F12AF"/>
    <w:rsid w:val="003F1E00"/>
    <w:rsid w:val="003F345F"/>
    <w:rsid w:val="003F391C"/>
    <w:rsid w:val="003F3EA7"/>
    <w:rsid w:val="003F4999"/>
    <w:rsid w:val="003F5435"/>
    <w:rsid w:val="003F55B5"/>
    <w:rsid w:val="003F70BF"/>
    <w:rsid w:val="004026EF"/>
    <w:rsid w:val="00404CBB"/>
    <w:rsid w:val="0040613F"/>
    <w:rsid w:val="00406615"/>
    <w:rsid w:val="004068F9"/>
    <w:rsid w:val="00410EFB"/>
    <w:rsid w:val="00424249"/>
    <w:rsid w:val="00427E66"/>
    <w:rsid w:val="004312A5"/>
    <w:rsid w:val="004361E5"/>
    <w:rsid w:val="004419C1"/>
    <w:rsid w:val="00442B16"/>
    <w:rsid w:val="00442B5E"/>
    <w:rsid w:val="004528E5"/>
    <w:rsid w:val="004533AA"/>
    <w:rsid w:val="00456977"/>
    <w:rsid w:val="00457200"/>
    <w:rsid w:val="00457584"/>
    <w:rsid w:val="004621F3"/>
    <w:rsid w:val="004646BE"/>
    <w:rsid w:val="004652B8"/>
    <w:rsid w:val="00466E77"/>
    <w:rsid w:val="0047103C"/>
    <w:rsid w:val="00471D5D"/>
    <w:rsid w:val="00475A84"/>
    <w:rsid w:val="00476452"/>
    <w:rsid w:val="00476CD1"/>
    <w:rsid w:val="00483134"/>
    <w:rsid w:val="00492048"/>
    <w:rsid w:val="00495215"/>
    <w:rsid w:val="004962AE"/>
    <w:rsid w:val="004A1F6F"/>
    <w:rsid w:val="004A3976"/>
    <w:rsid w:val="004A4E28"/>
    <w:rsid w:val="004B3604"/>
    <w:rsid w:val="004B70A4"/>
    <w:rsid w:val="004B766C"/>
    <w:rsid w:val="004C2863"/>
    <w:rsid w:val="004C4A3C"/>
    <w:rsid w:val="004D7718"/>
    <w:rsid w:val="004E0701"/>
    <w:rsid w:val="004E1B94"/>
    <w:rsid w:val="004E287D"/>
    <w:rsid w:val="004E6B2E"/>
    <w:rsid w:val="004E7C6A"/>
    <w:rsid w:val="004F2A85"/>
    <w:rsid w:val="004F4099"/>
    <w:rsid w:val="00501C25"/>
    <w:rsid w:val="00505107"/>
    <w:rsid w:val="005054A6"/>
    <w:rsid w:val="00507BC9"/>
    <w:rsid w:val="00511423"/>
    <w:rsid w:val="005157D7"/>
    <w:rsid w:val="005162D8"/>
    <w:rsid w:val="00521C7A"/>
    <w:rsid w:val="00523403"/>
    <w:rsid w:val="005250D9"/>
    <w:rsid w:val="0052525A"/>
    <w:rsid w:val="00530BD6"/>
    <w:rsid w:val="0054448E"/>
    <w:rsid w:val="00553A08"/>
    <w:rsid w:val="005548B2"/>
    <w:rsid w:val="00560A3F"/>
    <w:rsid w:val="00561860"/>
    <w:rsid w:val="00561B55"/>
    <w:rsid w:val="005630AC"/>
    <w:rsid w:val="005630EF"/>
    <w:rsid w:val="00564171"/>
    <w:rsid w:val="00564B98"/>
    <w:rsid w:val="0056659E"/>
    <w:rsid w:val="0056682B"/>
    <w:rsid w:val="00571D0E"/>
    <w:rsid w:val="00571F12"/>
    <w:rsid w:val="00572132"/>
    <w:rsid w:val="0057229C"/>
    <w:rsid w:val="00573E37"/>
    <w:rsid w:val="005777F7"/>
    <w:rsid w:val="00581149"/>
    <w:rsid w:val="005811F4"/>
    <w:rsid w:val="0058180B"/>
    <w:rsid w:val="00582E5E"/>
    <w:rsid w:val="0059186B"/>
    <w:rsid w:val="00591E0B"/>
    <w:rsid w:val="005921B7"/>
    <w:rsid w:val="00594357"/>
    <w:rsid w:val="005976AA"/>
    <w:rsid w:val="005A1AA0"/>
    <w:rsid w:val="005A2548"/>
    <w:rsid w:val="005A39D1"/>
    <w:rsid w:val="005A742E"/>
    <w:rsid w:val="005A7C0E"/>
    <w:rsid w:val="005B11A9"/>
    <w:rsid w:val="005B15CF"/>
    <w:rsid w:val="005B54E1"/>
    <w:rsid w:val="005C1925"/>
    <w:rsid w:val="005C246B"/>
    <w:rsid w:val="005C258B"/>
    <w:rsid w:val="005C6B27"/>
    <w:rsid w:val="005D1BF0"/>
    <w:rsid w:val="005D3C34"/>
    <w:rsid w:val="005D6703"/>
    <w:rsid w:val="005D6D62"/>
    <w:rsid w:val="005E0402"/>
    <w:rsid w:val="005E219C"/>
    <w:rsid w:val="005E257B"/>
    <w:rsid w:val="005E291A"/>
    <w:rsid w:val="005E35AC"/>
    <w:rsid w:val="005E42AD"/>
    <w:rsid w:val="005E4A51"/>
    <w:rsid w:val="005E6438"/>
    <w:rsid w:val="005F0E3E"/>
    <w:rsid w:val="005F157F"/>
    <w:rsid w:val="005F2BDB"/>
    <w:rsid w:val="005F37C9"/>
    <w:rsid w:val="005F5F9E"/>
    <w:rsid w:val="005F641C"/>
    <w:rsid w:val="006010D3"/>
    <w:rsid w:val="00601418"/>
    <w:rsid w:val="0060142B"/>
    <w:rsid w:val="00603787"/>
    <w:rsid w:val="006041B9"/>
    <w:rsid w:val="00605548"/>
    <w:rsid w:val="00607BAA"/>
    <w:rsid w:val="00613F66"/>
    <w:rsid w:val="00614F74"/>
    <w:rsid w:val="00614FCC"/>
    <w:rsid w:val="006150E1"/>
    <w:rsid w:val="006156B5"/>
    <w:rsid w:val="00615B17"/>
    <w:rsid w:val="00617BFB"/>
    <w:rsid w:val="00623693"/>
    <w:rsid w:val="0062785D"/>
    <w:rsid w:val="00631574"/>
    <w:rsid w:val="00631B4E"/>
    <w:rsid w:val="00635E37"/>
    <w:rsid w:val="00643369"/>
    <w:rsid w:val="006441E5"/>
    <w:rsid w:val="00644357"/>
    <w:rsid w:val="006447F2"/>
    <w:rsid w:val="006466D9"/>
    <w:rsid w:val="006466E7"/>
    <w:rsid w:val="00655057"/>
    <w:rsid w:val="006560A2"/>
    <w:rsid w:val="00663582"/>
    <w:rsid w:val="00664565"/>
    <w:rsid w:val="00665021"/>
    <w:rsid w:val="00666349"/>
    <w:rsid w:val="00666510"/>
    <w:rsid w:val="00666DFB"/>
    <w:rsid w:val="0067008D"/>
    <w:rsid w:val="00670133"/>
    <w:rsid w:val="006779AA"/>
    <w:rsid w:val="00683E3D"/>
    <w:rsid w:val="00686558"/>
    <w:rsid w:val="00693CEF"/>
    <w:rsid w:val="006A148D"/>
    <w:rsid w:val="006A7339"/>
    <w:rsid w:val="006A7E94"/>
    <w:rsid w:val="006B0467"/>
    <w:rsid w:val="006B04F6"/>
    <w:rsid w:val="006B10B1"/>
    <w:rsid w:val="006B150E"/>
    <w:rsid w:val="006B229D"/>
    <w:rsid w:val="006B3210"/>
    <w:rsid w:val="006B39CA"/>
    <w:rsid w:val="006B5456"/>
    <w:rsid w:val="006B5B4D"/>
    <w:rsid w:val="006B7EA8"/>
    <w:rsid w:val="006C09E7"/>
    <w:rsid w:val="006C0C36"/>
    <w:rsid w:val="006C4BBC"/>
    <w:rsid w:val="006C76BF"/>
    <w:rsid w:val="006C7E39"/>
    <w:rsid w:val="006D1D47"/>
    <w:rsid w:val="006D2DB3"/>
    <w:rsid w:val="006D355A"/>
    <w:rsid w:val="006D3A4B"/>
    <w:rsid w:val="006D451A"/>
    <w:rsid w:val="006D4A8D"/>
    <w:rsid w:val="006D54CD"/>
    <w:rsid w:val="006D636C"/>
    <w:rsid w:val="006D6582"/>
    <w:rsid w:val="006D6AC5"/>
    <w:rsid w:val="006E08B9"/>
    <w:rsid w:val="006E2B23"/>
    <w:rsid w:val="006F003F"/>
    <w:rsid w:val="006F11B4"/>
    <w:rsid w:val="006F4F31"/>
    <w:rsid w:val="006F6B75"/>
    <w:rsid w:val="00701C44"/>
    <w:rsid w:val="00703F56"/>
    <w:rsid w:val="007050FE"/>
    <w:rsid w:val="007103EE"/>
    <w:rsid w:val="0071297A"/>
    <w:rsid w:val="007134B9"/>
    <w:rsid w:val="00715BC2"/>
    <w:rsid w:val="00723994"/>
    <w:rsid w:val="00726333"/>
    <w:rsid w:val="00726B4E"/>
    <w:rsid w:val="00731289"/>
    <w:rsid w:val="007346E9"/>
    <w:rsid w:val="0073559D"/>
    <w:rsid w:val="00741565"/>
    <w:rsid w:val="00742F49"/>
    <w:rsid w:val="007454A5"/>
    <w:rsid w:val="00746023"/>
    <w:rsid w:val="00746B49"/>
    <w:rsid w:val="00750911"/>
    <w:rsid w:val="007534D9"/>
    <w:rsid w:val="00757445"/>
    <w:rsid w:val="0076156D"/>
    <w:rsid w:val="007617AD"/>
    <w:rsid w:val="00761F48"/>
    <w:rsid w:val="00764E22"/>
    <w:rsid w:val="00767890"/>
    <w:rsid w:val="00773A87"/>
    <w:rsid w:val="00781FDB"/>
    <w:rsid w:val="00785594"/>
    <w:rsid w:val="00785985"/>
    <w:rsid w:val="00787649"/>
    <w:rsid w:val="00791B71"/>
    <w:rsid w:val="0079218B"/>
    <w:rsid w:val="00792315"/>
    <w:rsid w:val="007949F4"/>
    <w:rsid w:val="00797AD8"/>
    <w:rsid w:val="007A0880"/>
    <w:rsid w:val="007A0DDB"/>
    <w:rsid w:val="007A202F"/>
    <w:rsid w:val="007A24F7"/>
    <w:rsid w:val="007A47F2"/>
    <w:rsid w:val="007B0E2B"/>
    <w:rsid w:val="007B53F2"/>
    <w:rsid w:val="007B75A9"/>
    <w:rsid w:val="007C1AAC"/>
    <w:rsid w:val="007C2A47"/>
    <w:rsid w:val="007C2B1B"/>
    <w:rsid w:val="007C365D"/>
    <w:rsid w:val="007C4910"/>
    <w:rsid w:val="007D04CB"/>
    <w:rsid w:val="007D1CCD"/>
    <w:rsid w:val="007D2D5C"/>
    <w:rsid w:val="007D54DC"/>
    <w:rsid w:val="007D6B5E"/>
    <w:rsid w:val="007E17B2"/>
    <w:rsid w:val="007E2377"/>
    <w:rsid w:val="007E4AF7"/>
    <w:rsid w:val="007E51C3"/>
    <w:rsid w:val="007E5EAE"/>
    <w:rsid w:val="007F0578"/>
    <w:rsid w:val="007F096F"/>
    <w:rsid w:val="007F4D02"/>
    <w:rsid w:val="007F521B"/>
    <w:rsid w:val="007F5C3E"/>
    <w:rsid w:val="007F66B4"/>
    <w:rsid w:val="007F6872"/>
    <w:rsid w:val="007F7903"/>
    <w:rsid w:val="007F7D16"/>
    <w:rsid w:val="008018E8"/>
    <w:rsid w:val="00802B4C"/>
    <w:rsid w:val="008045ED"/>
    <w:rsid w:val="008051E9"/>
    <w:rsid w:val="00811589"/>
    <w:rsid w:val="008127B2"/>
    <w:rsid w:val="00814615"/>
    <w:rsid w:val="00817B9A"/>
    <w:rsid w:val="0082293C"/>
    <w:rsid w:val="00823ADD"/>
    <w:rsid w:val="00823D5B"/>
    <w:rsid w:val="0082748F"/>
    <w:rsid w:val="0083138B"/>
    <w:rsid w:val="0083576F"/>
    <w:rsid w:val="00835817"/>
    <w:rsid w:val="008366BD"/>
    <w:rsid w:val="00837C7A"/>
    <w:rsid w:val="00842CBA"/>
    <w:rsid w:val="008448A4"/>
    <w:rsid w:val="00846686"/>
    <w:rsid w:val="00850CD2"/>
    <w:rsid w:val="00851BA7"/>
    <w:rsid w:val="00852AE0"/>
    <w:rsid w:val="00852C65"/>
    <w:rsid w:val="00853B92"/>
    <w:rsid w:val="008605B9"/>
    <w:rsid w:val="00860A40"/>
    <w:rsid w:val="00864177"/>
    <w:rsid w:val="008645AB"/>
    <w:rsid w:val="00864C6E"/>
    <w:rsid w:val="00867F21"/>
    <w:rsid w:val="008718BC"/>
    <w:rsid w:val="008726DC"/>
    <w:rsid w:val="0088528E"/>
    <w:rsid w:val="008854F3"/>
    <w:rsid w:val="00891A5C"/>
    <w:rsid w:val="00891A93"/>
    <w:rsid w:val="008978C4"/>
    <w:rsid w:val="008A2888"/>
    <w:rsid w:val="008A318E"/>
    <w:rsid w:val="008A6361"/>
    <w:rsid w:val="008A66EA"/>
    <w:rsid w:val="008B2DC5"/>
    <w:rsid w:val="008B61C8"/>
    <w:rsid w:val="008B7556"/>
    <w:rsid w:val="008C0314"/>
    <w:rsid w:val="008C04AA"/>
    <w:rsid w:val="008C0D55"/>
    <w:rsid w:val="008C15C1"/>
    <w:rsid w:val="008C3B0C"/>
    <w:rsid w:val="008C4EF2"/>
    <w:rsid w:val="008C520C"/>
    <w:rsid w:val="008C5309"/>
    <w:rsid w:val="008D30C9"/>
    <w:rsid w:val="008D5998"/>
    <w:rsid w:val="008D7542"/>
    <w:rsid w:val="008D7755"/>
    <w:rsid w:val="008E0212"/>
    <w:rsid w:val="008E65B2"/>
    <w:rsid w:val="008F1AE4"/>
    <w:rsid w:val="008F1DC3"/>
    <w:rsid w:val="008F1DF8"/>
    <w:rsid w:val="008F2159"/>
    <w:rsid w:val="008F3E49"/>
    <w:rsid w:val="00901428"/>
    <w:rsid w:val="00902164"/>
    <w:rsid w:val="0090229E"/>
    <w:rsid w:val="00903416"/>
    <w:rsid w:val="009042B5"/>
    <w:rsid w:val="0090433F"/>
    <w:rsid w:val="00907BEB"/>
    <w:rsid w:val="009148CD"/>
    <w:rsid w:val="0092220B"/>
    <w:rsid w:val="00925D66"/>
    <w:rsid w:val="00930680"/>
    <w:rsid w:val="00932557"/>
    <w:rsid w:val="00933C2B"/>
    <w:rsid w:val="00934149"/>
    <w:rsid w:val="00934684"/>
    <w:rsid w:val="00937FFA"/>
    <w:rsid w:val="009413B4"/>
    <w:rsid w:val="00942861"/>
    <w:rsid w:val="00946FEE"/>
    <w:rsid w:val="00947724"/>
    <w:rsid w:val="00947DCF"/>
    <w:rsid w:val="00950F27"/>
    <w:rsid w:val="009563C5"/>
    <w:rsid w:val="00956C33"/>
    <w:rsid w:val="00957855"/>
    <w:rsid w:val="00957F68"/>
    <w:rsid w:val="00964562"/>
    <w:rsid w:val="00965201"/>
    <w:rsid w:val="00971FF9"/>
    <w:rsid w:val="00975207"/>
    <w:rsid w:val="0097582F"/>
    <w:rsid w:val="00981E26"/>
    <w:rsid w:val="00982401"/>
    <w:rsid w:val="00991E84"/>
    <w:rsid w:val="00992738"/>
    <w:rsid w:val="00994622"/>
    <w:rsid w:val="00994659"/>
    <w:rsid w:val="009951BD"/>
    <w:rsid w:val="00995394"/>
    <w:rsid w:val="00995520"/>
    <w:rsid w:val="00995D94"/>
    <w:rsid w:val="00995EAD"/>
    <w:rsid w:val="00996A0D"/>
    <w:rsid w:val="009A3734"/>
    <w:rsid w:val="009A63EB"/>
    <w:rsid w:val="009B11BC"/>
    <w:rsid w:val="009B2E4D"/>
    <w:rsid w:val="009C2425"/>
    <w:rsid w:val="009C34EB"/>
    <w:rsid w:val="009C4045"/>
    <w:rsid w:val="009D2559"/>
    <w:rsid w:val="009D2FAF"/>
    <w:rsid w:val="009D7D87"/>
    <w:rsid w:val="009E3F80"/>
    <w:rsid w:val="009E5E02"/>
    <w:rsid w:val="009E75DD"/>
    <w:rsid w:val="009F5394"/>
    <w:rsid w:val="009F63BE"/>
    <w:rsid w:val="009F7545"/>
    <w:rsid w:val="00A01A0D"/>
    <w:rsid w:val="00A022DC"/>
    <w:rsid w:val="00A02D90"/>
    <w:rsid w:val="00A03877"/>
    <w:rsid w:val="00A03B15"/>
    <w:rsid w:val="00A04B5D"/>
    <w:rsid w:val="00A06440"/>
    <w:rsid w:val="00A1124C"/>
    <w:rsid w:val="00A14A69"/>
    <w:rsid w:val="00A1562C"/>
    <w:rsid w:val="00A20296"/>
    <w:rsid w:val="00A20ECA"/>
    <w:rsid w:val="00A21099"/>
    <w:rsid w:val="00A22162"/>
    <w:rsid w:val="00A226CA"/>
    <w:rsid w:val="00A24FE4"/>
    <w:rsid w:val="00A27045"/>
    <w:rsid w:val="00A3276E"/>
    <w:rsid w:val="00A41326"/>
    <w:rsid w:val="00A4318D"/>
    <w:rsid w:val="00A450AF"/>
    <w:rsid w:val="00A4570F"/>
    <w:rsid w:val="00A459CE"/>
    <w:rsid w:val="00A4622F"/>
    <w:rsid w:val="00A4786B"/>
    <w:rsid w:val="00A536A4"/>
    <w:rsid w:val="00A54408"/>
    <w:rsid w:val="00A560E3"/>
    <w:rsid w:val="00A563DD"/>
    <w:rsid w:val="00A56FD4"/>
    <w:rsid w:val="00A6239B"/>
    <w:rsid w:val="00A631D8"/>
    <w:rsid w:val="00A64800"/>
    <w:rsid w:val="00A654B6"/>
    <w:rsid w:val="00A71665"/>
    <w:rsid w:val="00A74C99"/>
    <w:rsid w:val="00A80737"/>
    <w:rsid w:val="00A80907"/>
    <w:rsid w:val="00A837EC"/>
    <w:rsid w:val="00A849CB"/>
    <w:rsid w:val="00A85C4B"/>
    <w:rsid w:val="00A86BB8"/>
    <w:rsid w:val="00A906BF"/>
    <w:rsid w:val="00A95A2D"/>
    <w:rsid w:val="00A96BCF"/>
    <w:rsid w:val="00A97916"/>
    <w:rsid w:val="00A97DD1"/>
    <w:rsid w:val="00A97F8C"/>
    <w:rsid w:val="00AA15B0"/>
    <w:rsid w:val="00AA1F53"/>
    <w:rsid w:val="00AA2402"/>
    <w:rsid w:val="00AA6385"/>
    <w:rsid w:val="00AA7BCD"/>
    <w:rsid w:val="00AA7FD3"/>
    <w:rsid w:val="00AB08B6"/>
    <w:rsid w:val="00AB3F46"/>
    <w:rsid w:val="00AC2559"/>
    <w:rsid w:val="00AC5A8E"/>
    <w:rsid w:val="00AC6F8E"/>
    <w:rsid w:val="00AC761E"/>
    <w:rsid w:val="00AC7E12"/>
    <w:rsid w:val="00AD20B7"/>
    <w:rsid w:val="00AD3BAC"/>
    <w:rsid w:val="00AD4252"/>
    <w:rsid w:val="00AD5A82"/>
    <w:rsid w:val="00AD5EC0"/>
    <w:rsid w:val="00AD72E8"/>
    <w:rsid w:val="00AE0004"/>
    <w:rsid w:val="00AE5342"/>
    <w:rsid w:val="00AE7048"/>
    <w:rsid w:val="00AE751B"/>
    <w:rsid w:val="00AF018F"/>
    <w:rsid w:val="00AF4368"/>
    <w:rsid w:val="00AF46A7"/>
    <w:rsid w:val="00AF501A"/>
    <w:rsid w:val="00AF5CC5"/>
    <w:rsid w:val="00B002BF"/>
    <w:rsid w:val="00B003CF"/>
    <w:rsid w:val="00B004B0"/>
    <w:rsid w:val="00B005B4"/>
    <w:rsid w:val="00B03B73"/>
    <w:rsid w:val="00B053A0"/>
    <w:rsid w:val="00B055A2"/>
    <w:rsid w:val="00B05C8C"/>
    <w:rsid w:val="00B0716D"/>
    <w:rsid w:val="00B103DB"/>
    <w:rsid w:val="00B1230F"/>
    <w:rsid w:val="00B12736"/>
    <w:rsid w:val="00B129E5"/>
    <w:rsid w:val="00B17F58"/>
    <w:rsid w:val="00B2018F"/>
    <w:rsid w:val="00B20AC2"/>
    <w:rsid w:val="00B2514D"/>
    <w:rsid w:val="00B26276"/>
    <w:rsid w:val="00B278FE"/>
    <w:rsid w:val="00B4061E"/>
    <w:rsid w:val="00B40ADA"/>
    <w:rsid w:val="00B43D89"/>
    <w:rsid w:val="00B461DD"/>
    <w:rsid w:val="00B47B50"/>
    <w:rsid w:val="00B518C7"/>
    <w:rsid w:val="00B51A63"/>
    <w:rsid w:val="00B52AA9"/>
    <w:rsid w:val="00B52E39"/>
    <w:rsid w:val="00B564D9"/>
    <w:rsid w:val="00B573B6"/>
    <w:rsid w:val="00B62605"/>
    <w:rsid w:val="00B62D8F"/>
    <w:rsid w:val="00B66166"/>
    <w:rsid w:val="00B72C68"/>
    <w:rsid w:val="00B73A84"/>
    <w:rsid w:val="00B741F4"/>
    <w:rsid w:val="00B751A9"/>
    <w:rsid w:val="00B757B9"/>
    <w:rsid w:val="00B75ED6"/>
    <w:rsid w:val="00B771CB"/>
    <w:rsid w:val="00B804E0"/>
    <w:rsid w:val="00B8058B"/>
    <w:rsid w:val="00B824C8"/>
    <w:rsid w:val="00B83D1B"/>
    <w:rsid w:val="00B84F53"/>
    <w:rsid w:val="00B865FB"/>
    <w:rsid w:val="00B94CA2"/>
    <w:rsid w:val="00B9632D"/>
    <w:rsid w:val="00B97DA1"/>
    <w:rsid w:val="00BA04C9"/>
    <w:rsid w:val="00BA4E4E"/>
    <w:rsid w:val="00BA6B78"/>
    <w:rsid w:val="00BA7E42"/>
    <w:rsid w:val="00BB3077"/>
    <w:rsid w:val="00BB4222"/>
    <w:rsid w:val="00BB442D"/>
    <w:rsid w:val="00BC288C"/>
    <w:rsid w:val="00BC2ECC"/>
    <w:rsid w:val="00BC3EF6"/>
    <w:rsid w:val="00BD0167"/>
    <w:rsid w:val="00BD0DC6"/>
    <w:rsid w:val="00BD2A0B"/>
    <w:rsid w:val="00BD5390"/>
    <w:rsid w:val="00BD7AD9"/>
    <w:rsid w:val="00BE03ED"/>
    <w:rsid w:val="00BE2474"/>
    <w:rsid w:val="00BE4346"/>
    <w:rsid w:val="00BE5D54"/>
    <w:rsid w:val="00BE6E71"/>
    <w:rsid w:val="00BF0A88"/>
    <w:rsid w:val="00BF57B1"/>
    <w:rsid w:val="00BF5A03"/>
    <w:rsid w:val="00C02086"/>
    <w:rsid w:val="00C049F2"/>
    <w:rsid w:val="00C061DD"/>
    <w:rsid w:val="00C127FE"/>
    <w:rsid w:val="00C13A19"/>
    <w:rsid w:val="00C15EE6"/>
    <w:rsid w:val="00C15F00"/>
    <w:rsid w:val="00C16544"/>
    <w:rsid w:val="00C174DD"/>
    <w:rsid w:val="00C17CD0"/>
    <w:rsid w:val="00C20073"/>
    <w:rsid w:val="00C2195A"/>
    <w:rsid w:val="00C22908"/>
    <w:rsid w:val="00C258EE"/>
    <w:rsid w:val="00C259B6"/>
    <w:rsid w:val="00C25F22"/>
    <w:rsid w:val="00C31116"/>
    <w:rsid w:val="00C31FDB"/>
    <w:rsid w:val="00C3688D"/>
    <w:rsid w:val="00C4032F"/>
    <w:rsid w:val="00C40C61"/>
    <w:rsid w:val="00C440F6"/>
    <w:rsid w:val="00C45019"/>
    <w:rsid w:val="00C46BF2"/>
    <w:rsid w:val="00C479C3"/>
    <w:rsid w:val="00C5052E"/>
    <w:rsid w:val="00C53147"/>
    <w:rsid w:val="00C545D5"/>
    <w:rsid w:val="00C54615"/>
    <w:rsid w:val="00C55C3D"/>
    <w:rsid w:val="00C560A0"/>
    <w:rsid w:val="00C61484"/>
    <w:rsid w:val="00C65E3F"/>
    <w:rsid w:val="00C706B9"/>
    <w:rsid w:val="00C70D90"/>
    <w:rsid w:val="00C74226"/>
    <w:rsid w:val="00C75357"/>
    <w:rsid w:val="00C75A4D"/>
    <w:rsid w:val="00C7627B"/>
    <w:rsid w:val="00C76446"/>
    <w:rsid w:val="00C81733"/>
    <w:rsid w:val="00C824FA"/>
    <w:rsid w:val="00C83D51"/>
    <w:rsid w:val="00C840E1"/>
    <w:rsid w:val="00C84203"/>
    <w:rsid w:val="00C874D8"/>
    <w:rsid w:val="00C949C8"/>
    <w:rsid w:val="00C973E8"/>
    <w:rsid w:val="00CA5B5E"/>
    <w:rsid w:val="00CA6B9D"/>
    <w:rsid w:val="00CA6C22"/>
    <w:rsid w:val="00CB1D87"/>
    <w:rsid w:val="00CB3F46"/>
    <w:rsid w:val="00CB57E3"/>
    <w:rsid w:val="00CC0508"/>
    <w:rsid w:val="00CC0951"/>
    <w:rsid w:val="00CD105A"/>
    <w:rsid w:val="00CD10C1"/>
    <w:rsid w:val="00CD4B3A"/>
    <w:rsid w:val="00CD5669"/>
    <w:rsid w:val="00CD7CDC"/>
    <w:rsid w:val="00CE6A4C"/>
    <w:rsid w:val="00CF1D11"/>
    <w:rsid w:val="00CF73AA"/>
    <w:rsid w:val="00D01EE8"/>
    <w:rsid w:val="00D01FAE"/>
    <w:rsid w:val="00D04529"/>
    <w:rsid w:val="00D06FF7"/>
    <w:rsid w:val="00D115A6"/>
    <w:rsid w:val="00D14871"/>
    <w:rsid w:val="00D15070"/>
    <w:rsid w:val="00D17263"/>
    <w:rsid w:val="00D2176A"/>
    <w:rsid w:val="00D25FFF"/>
    <w:rsid w:val="00D274F7"/>
    <w:rsid w:val="00D305FD"/>
    <w:rsid w:val="00D32E9B"/>
    <w:rsid w:val="00D34082"/>
    <w:rsid w:val="00D354A9"/>
    <w:rsid w:val="00D35881"/>
    <w:rsid w:val="00D40A9D"/>
    <w:rsid w:val="00D4354E"/>
    <w:rsid w:val="00D47511"/>
    <w:rsid w:val="00D51EB0"/>
    <w:rsid w:val="00D5372B"/>
    <w:rsid w:val="00D54799"/>
    <w:rsid w:val="00D54E89"/>
    <w:rsid w:val="00D55078"/>
    <w:rsid w:val="00D555CB"/>
    <w:rsid w:val="00D60B56"/>
    <w:rsid w:val="00D6151B"/>
    <w:rsid w:val="00D620B0"/>
    <w:rsid w:val="00D62121"/>
    <w:rsid w:val="00D62226"/>
    <w:rsid w:val="00D62E17"/>
    <w:rsid w:val="00D63B71"/>
    <w:rsid w:val="00D648D0"/>
    <w:rsid w:val="00D65290"/>
    <w:rsid w:val="00D65D70"/>
    <w:rsid w:val="00D731E1"/>
    <w:rsid w:val="00D75CA1"/>
    <w:rsid w:val="00D76311"/>
    <w:rsid w:val="00D803C4"/>
    <w:rsid w:val="00D82041"/>
    <w:rsid w:val="00D8340B"/>
    <w:rsid w:val="00D84DCA"/>
    <w:rsid w:val="00D858A7"/>
    <w:rsid w:val="00D87E0A"/>
    <w:rsid w:val="00D91182"/>
    <w:rsid w:val="00D92242"/>
    <w:rsid w:val="00D927A2"/>
    <w:rsid w:val="00D94DF9"/>
    <w:rsid w:val="00D965DA"/>
    <w:rsid w:val="00D97202"/>
    <w:rsid w:val="00D97FA7"/>
    <w:rsid w:val="00DA4C2E"/>
    <w:rsid w:val="00DA5E5B"/>
    <w:rsid w:val="00DA61CF"/>
    <w:rsid w:val="00DA7B71"/>
    <w:rsid w:val="00DB0267"/>
    <w:rsid w:val="00DB1256"/>
    <w:rsid w:val="00DB3336"/>
    <w:rsid w:val="00DB4B34"/>
    <w:rsid w:val="00DB75A6"/>
    <w:rsid w:val="00DB7D56"/>
    <w:rsid w:val="00DC238F"/>
    <w:rsid w:val="00DC34DE"/>
    <w:rsid w:val="00DC3CD1"/>
    <w:rsid w:val="00DC7A66"/>
    <w:rsid w:val="00DC7DD1"/>
    <w:rsid w:val="00DC7F9A"/>
    <w:rsid w:val="00DD4924"/>
    <w:rsid w:val="00DD5BCE"/>
    <w:rsid w:val="00DD69C0"/>
    <w:rsid w:val="00DD7D36"/>
    <w:rsid w:val="00DE22B9"/>
    <w:rsid w:val="00DE3C74"/>
    <w:rsid w:val="00DE6943"/>
    <w:rsid w:val="00DE6EB2"/>
    <w:rsid w:val="00DE797E"/>
    <w:rsid w:val="00DF089C"/>
    <w:rsid w:val="00DF349E"/>
    <w:rsid w:val="00DF35A0"/>
    <w:rsid w:val="00DF42F2"/>
    <w:rsid w:val="00DF55A7"/>
    <w:rsid w:val="00DF57D8"/>
    <w:rsid w:val="00DF5B15"/>
    <w:rsid w:val="00DF6DEC"/>
    <w:rsid w:val="00DF7902"/>
    <w:rsid w:val="00E0506E"/>
    <w:rsid w:val="00E103B6"/>
    <w:rsid w:val="00E10AC3"/>
    <w:rsid w:val="00E11F28"/>
    <w:rsid w:val="00E150D9"/>
    <w:rsid w:val="00E15153"/>
    <w:rsid w:val="00E16547"/>
    <w:rsid w:val="00E17E7F"/>
    <w:rsid w:val="00E24EE2"/>
    <w:rsid w:val="00E25512"/>
    <w:rsid w:val="00E27663"/>
    <w:rsid w:val="00E33E71"/>
    <w:rsid w:val="00E352C4"/>
    <w:rsid w:val="00E3682E"/>
    <w:rsid w:val="00E37F2E"/>
    <w:rsid w:val="00E41503"/>
    <w:rsid w:val="00E43240"/>
    <w:rsid w:val="00E46BA2"/>
    <w:rsid w:val="00E5095E"/>
    <w:rsid w:val="00E51DE9"/>
    <w:rsid w:val="00E56DA0"/>
    <w:rsid w:val="00E5755B"/>
    <w:rsid w:val="00E57E6E"/>
    <w:rsid w:val="00E57E81"/>
    <w:rsid w:val="00E606D5"/>
    <w:rsid w:val="00E62588"/>
    <w:rsid w:val="00E70AC3"/>
    <w:rsid w:val="00E75C1A"/>
    <w:rsid w:val="00E8042C"/>
    <w:rsid w:val="00E80743"/>
    <w:rsid w:val="00E81417"/>
    <w:rsid w:val="00E829BB"/>
    <w:rsid w:val="00E90164"/>
    <w:rsid w:val="00E909B5"/>
    <w:rsid w:val="00E90A4D"/>
    <w:rsid w:val="00E90AD4"/>
    <w:rsid w:val="00E92CA2"/>
    <w:rsid w:val="00E9505A"/>
    <w:rsid w:val="00E97402"/>
    <w:rsid w:val="00E97410"/>
    <w:rsid w:val="00EA1DFB"/>
    <w:rsid w:val="00EA4E05"/>
    <w:rsid w:val="00EA5252"/>
    <w:rsid w:val="00EA71A9"/>
    <w:rsid w:val="00EB15C0"/>
    <w:rsid w:val="00EB2D68"/>
    <w:rsid w:val="00EB2FEB"/>
    <w:rsid w:val="00EB4575"/>
    <w:rsid w:val="00EB68E0"/>
    <w:rsid w:val="00EC0772"/>
    <w:rsid w:val="00EC4B02"/>
    <w:rsid w:val="00ED0546"/>
    <w:rsid w:val="00ED52CD"/>
    <w:rsid w:val="00ED58DC"/>
    <w:rsid w:val="00ED7009"/>
    <w:rsid w:val="00ED7CEF"/>
    <w:rsid w:val="00EE070B"/>
    <w:rsid w:val="00EE4627"/>
    <w:rsid w:val="00EE51F3"/>
    <w:rsid w:val="00EE59FA"/>
    <w:rsid w:val="00EF0899"/>
    <w:rsid w:val="00EF2575"/>
    <w:rsid w:val="00EF3018"/>
    <w:rsid w:val="00EF48F0"/>
    <w:rsid w:val="00EF4B82"/>
    <w:rsid w:val="00EF7151"/>
    <w:rsid w:val="00F00A64"/>
    <w:rsid w:val="00F0325B"/>
    <w:rsid w:val="00F12249"/>
    <w:rsid w:val="00F129B5"/>
    <w:rsid w:val="00F12B4A"/>
    <w:rsid w:val="00F143B8"/>
    <w:rsid w:val="00F15452"/>
    <w:rsid w:val="00F1572C"/>
    <w:rsid w:val="00F17A2F"/>
    <w:rsid w:val="00F210E4"/>
    <w:rsid w:val="00F226E6"/>
    <w:rsid w:val="00F31274"/>
    <w:rsid w:val="00F34977"/>
    <w:rsid w:val="00F358F1"/>
    <w:rsid w:val="00F35A38"/>
    <w:rsid w:val="00F41D88"/>
    <w:rsid w:val="00F44109"/>
    <w:rsid w:val="00F46C32"/>
    <w:rsid w:val="00F47082"/>
    <w:rsid w:val="00F547A2"/>
    <w:rsid w:val="00F551F3"/>
    <w:rsid w:val="00F5531F"/>
    <w:rsid w:val="00F55B34"/>
    <w:rsid w:val="00F568B0"/>
    <w:rsid w:val="00F57AD5"/>
    <w:rsid w:val="00F57E28"/>
    <w:rsid w:val="00F61863"/>
    <w:rsid w:val="00F65105"/>
    <w:rsid w:val="00F71D3B"/>
    <w:rsid w:val="00F72A67"/>
    <w:rsid w:val="00F73D3C"/>
    <w:rsid w:val="00F765D5"/>
    <w:rsid w:val="00F76735"/>
    <w:rsid w:val="00F76EEB"/>
    <w:rsid w:val="00F921CC"/>
    <w:rsid w:val="00F942F0"/>
    <w:rsid w:val="00F97A77"/>
    <w:rsid w:val="00FA295D"/>
    <w:rsid w:val="00FA6000"/>
    <w:rsid w:val="00FB0EBA"/>
    <w:rsid w:val="00FB2342"/>
    <w:rsid w:val="00FB2737"/>
    <w:rsid w:val="00FC0D3C"/>
    <w:rsid w:val="00FC0D43"/>
    <w:rsid w:val="00FC1156"/>
    <w:rsid w:val="00FC300A"/>
    <w:rsid w:val="00FC3629"/>
    <w:rsid w:val="00FC3B9D"/>
    <w:rsid w:val="00FC5A24"/>
    <w:rsid w:val="00FD1246"/>
    <w:rsid w:val="00FD1294"/>
    <w:rsid w:val="00FE7499"/>
    <w:rsid w:val="00FE7B64"/>
    <w:rsid w:val="00FF0DED"/>
    <w:rsid w:val="00FF20D8"/>
    <w:rsid w:val="00FF2150"/>
    <w:rsid w:val="00FF237F"/>
    <w:rsid w:val="00FF24EB"/>
    <w:rsid w:val="00FF5483"/>
    <w:rsid w:val="00FF7132"/>
  </w:rsids>
  <w:docVars>
    <w:docVar w:name="KGWebUrl" w:val="http://idp.efunds.com.cn/api/v1/backend/docSyncController/downloadAnnFile.json?force=true&amp;fileName=61520220226110030%E6%98%93%E6%96%B9%E8%BE%BE%E6%B2%AA%E6%B7%B1300%E9%87%8F%E5%8C%96%E5%A2%9E%E5%BC%BA%E8%AF%81%E5%88%B8%E6%8A%95%E8%B5%84%E5%9F%BA%E9%87%91%E6%9B%B4%E6%96%B0%E7%9A%84%E6%8B%9B%E5%8B%9F%E8%AF%B4%E6%98%8E%E4%B9%A6.docx&amp;fileId=ANN_DOC_13621&amp;t=1645583339687"/>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1709C8B1-6A8A-43F5-AA72-E00A123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F21"/>
    <w:pPr>
      <w:jc w:val="both"/>
    </w:pPr>
    <w:rPr>
      <w:rFonts w:ascii="Calibri" w:hAnsi="Calibri" w:cs="宋体"/>
      <w:sz w:val="21"/>
      <w:szCs w:val="21"/>
    </w:rPr>
  </w:style>
  <w:style w:type="paragraph" w:styleId="Heading1">
    <w:name w:val="heading 1"/>
    <w:basedOn w:val="Normal"/>
    <w:next w:val="Normal"/>
    <w:link w:val="1Char"/>
    <w:qFormat/>
    <w:rsid w:val="001A7CDB"/>
    <w:pPr>
      <w:keepNext/>
      <w:widowControl w:val="0"/>
      <w:spacing w:beforeLines="100" w:afterLines="100"/>
      <w:ind w:firstLine="200" w:firstLineChars="200"/>
      <w:jc w:val="center"/>
      <w:outlineLvl w:val="0"/>
    </w:pPr>
    <w:rPr>
      <w:rFonts w:ascii="黑体" w:eastAsia="黑体" w:hAnsi="Times New Roman" w:cs="Times New Roman"/>
      <w:kern w:val="2"/>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link w:val="2Char"/>
    <w:qFormat/>
    <w:rsid w:val="001A7CDB"/>
    <w:pPr>
      <w:keepNext/>
      <w:keepLines/>
      <w:widowControl w:val="0"/>
      <w:spacing w:beforeLines="100" w:afterLines="100"/>
      <w:ind w:firstLine="200" w:firstLineChars="200"/>
      <w:outlineLvl w:val="1"/>
    </w:pPr>
    <w:rPr>
      <w:rFonts w:ascii="Arial" w:hAnsi="Arial" w:cs="Times New Roman"/>
      <w:b/>
      <w:kern w:val="2"/>
      <w:sz w:val="28"/>
      <w:szCs w:val="28"/>
    </w:rPr>
  </w:style>
  <w:style w:type="paragraph" w:styleId="Heading3">
    <w:name w:val="heading 3"/>
    <w:aliases w:val="- Maj Side,3,3heading,3rd level,Bold Head,CT,Fab-3,H3,H31,HeadC,Heading 3 - old,Heading 31,Heading 3under,Level 3 Head,Map,PIM 3,Title3,bh,h3,heading 3,l3,level_3,prop3,sect1.2.3,sect1.2.31,sect1.2.311,sect1.2.312,sect1.2.32,sect1.2.33,sl3,标题 4.1.1"/>
    <w:basedOn w:val="Normal"/>
    <w:next w:val="Normal"/>
    <w:link w:val="3Char"/>
    <w:qFormat/>
    <w:rsid w:val="001A7CDB"/>
    <w:pPr>
      <w:widowControl w:val="0"/>
      <w:numPr>
        <w:ilvl w:val="2"/>
        <w:numId w:val="2"/>
      </w:numPr>
      <w:spacing w:before="260" w:after="260" w:line="416" w:lineRule="auto"/>
      <w:outlineLvl w:val="2"/>
    </w:pPr>
    <w:rPr>
      <w:rFonts w:ascii="仿宋_GB2312" w:eastAsia="仿宋_GB2312" w:hAnsi="Times New Roman" w:cs="Times New Roman"/>
      <w:kern w:val="2"/>
      <w:sz w:val="24"/>
      <w:szCs w:val="20"/>
    </w:rPr>
  </w:style>
  <w:style w:type="paragraph" w:styleId="Heading4">
    <w:name w:val="heading 4"/>
    <w:aliases w:val="Fab-4,H4,Heading sql,PIM 4,Ref Heading 1,T5,h4,rh1,sect 1.2.3.4"/>
    <w:basedOn w:val="Normal"/>
    <w:next w:val="Normal"/>
    <w:link w:val="4Char"/>
    <w:qFormat/>
    <w:rsid w:val="001A7CDB"/>
    <w:pPr>
      <w:keepNext/>
      <w:keepLines/>
      <w:widowControl w:val="0"/>
      <w:numPr>
        <w:ilvl w:val="3"/>
        <w:numId w:val="1"/>
      </w:numPr>
      <w:spacing w:before="280" w:after="290" w:line="376" w:lineRule="auto"/>
      <w:outlineLvl w:val="3"/>
    </w:pPr>
    <w:rPr>
      <w:rFonts w:ascii="Arial" w:eastAsia="黑体" w:hAnsi="Arial" w:cs="Times New Roman"/>
      <w:b/>
      <w:bCs/>
      <w:kern w:val="2"/>
      <w:sz w:val="28"/>
      <w:szCs w:val="28"/>
    </w:rPr>
  </w:style>
  <w:style w:type="paragraph" w:styleId="Heading5">
    <w:name w:val="heading 5"/>
    <w:basedOn w:val="Normal"/>
    <w:next w:val="Normal"/>
    <w:link w:val="5Char"/>
    <w:qFormat/>
    <w:rsid w:val="001A7CDB"/>
    <w:pPr>
      <w:keepNext/>
      <w:keepLines/>
      <w:widowControl w:val="0"/>
      <w:numPr>
        <w:ilvl w:val="4"/>
        <w:numId w:val="1"/>
      </w:numPr>
      <w:spacing w:before="280" w:after="290" w:line="376" w:lineRule="auto"/>
      <w:ind w:firstLine="200" w:firstLineChars="200"/>
      <w:outlineLvl w:val="4"/>
    </w:pPr>
    <w:rPr>
      <w:rFonts w:ascii="Times New Roman" w:hAnsi="Times New Roman" w:cs="Times New Roman"/>
      <w:b/>
      <w:bCs/>
      <w:kern w:val="2"/>
      <w:sz w:val="28"/>
      <w:szCs w:val="28"/>
    </w:rPr>
  </w:style>
  <w:style w:type="paragraph" w:styleId="Heading6">
    <w:name w:val="heading 6"/>
    <w:basedOn w:val="Normal"/>
    <w:next w:val="Normal"/>
    <w:link w:val="6Char"/>
    <w:qFormat/>
    <w:rsid w:val="001A7CDB"/>
    <w:pPr>
      <w:keepNext/>
      <w:keepLines/>
      <w:widowControl w:val="0"/>
      <w:numPr>
        <w:ilvl w:val="5"/>
        <w:numId w:val="1"/>
      </w:numPr>
      <w:spacing w:before="240" w:after="64" w:line="320" w:lineRule="auto"/>
      <w:ind w:firstLine="200" w:firstLineChars="200"/>
      <w:outlineLvl w:val="5"/>
    </w:pPr>
    <w:rPr>
      <w:rFonts w:ascii="Arial" w:eastAsia="黑体" w:hAnsi="Arial" w:cs="Times New Roman"/>
      <w:b/>
      <w:bCs/>
      <w:kern w:val="2"/>
      <w:sz w:val="24"/>
      <w:szCs w:val="24"/>
    </w:rPr>
  </w:style>
  <w:style w:type="paragraph" w:styleId="Heading7">
    <w:name w:val="heading 7"/>
    <w:basedOn w:val="Normal"/>
    <w:next w:val="Normal"/>
    <w:link w:val="7Char"/>
    <w:qFormat/>
    <w:rsid w:val="001A7CDB"/>
    <w:pPr>
      <w:keepNext/>
      <w:keepLines/>
      <w:widowControl w:val="0"/>
      <w:numPr>
        <w:ilvl w:val="6"/>
        <w:numId w:val="1"/>
      </w:numPr>
      <w:spacing w:before="240" w:after="64" w:line="320" w:lineRule="auto"/>
      <w:ind w:firstLine="200" w:firstLineChars="200"/>
      <w:outlineLvl w:val="6"/>
    </w:pPr>
    <w:rPr>
      <w:rFonts w:ascii="Times New Roman" w:hAnsi="Times New Roman" w:cs="Times New Roman"/>
      <w:b/>
      <w:bCs/>
      <w:kern w:val="2"/>
      <w:sz w:val="24"/>
      <w:szCs w:val="24"/>
    </w:rPr>
  </w:style>
  <w:style w:type="paragraph" w:styleId="Heading8">
    <w:name w:val="heading 8"/>
    <w:basedOn w:val="Normal"/>
    <w:next w:val="Normal"/>
    <w:link w:val="8Char"/>
    <w:qFormat/>
    <w:rsid w:val="001A7CDB"/>
    <w:pPr>
      <w:keepNext/>
      <w:keepLines/>
      <w:widowControl w:val="0"/>
      <w:numPr>
        <w:ilvl w:val="7"/>
        <w:numId w:val="1"/>
      </w:numPr>
      <w:spacing w:before="240" w:after="64" w:line="320" w:lineRule="auto"/>
      <w:ind w:firstLine="200" w:firstLineChars="200"/>
      <w:outlineLvl w:val="7"/>
    </w:pPr>
    <w:rPr>
      <w:rFonts w:ascii="Arial" w:eastAsia="黑体" w:hAnsi="Arial" w:cs="Times New Roman"/>
      <w:kern w:val="2"/>
      <w:sz w:val="24"/>
      <w:szCs w:val="24"/>
    </w:rPr>
  </w:style>
  <w:style w:type="paragraph" w:styleId="Heading9">
    <w:name w:val="heading 9"/>
    <w:basedOn w:val="Normal"/>
    <w:next w:val="Normal"/>
    <w:link w:val="9Char"/>
    <w:qFormat/>
    <w:rsid w:val="001A7CDB"/>
    <w:pPr>
      <w:keepNext/>
      <w:keepLines/>
      <w:widowControl w:val="0"/>
      <w:numPr>
        <w:ilvl w:val="8"/>
        <w:numId w:val="1"/>
      </w:numPr>
      <w:spacing w:before="240" w:after="64" w:line="320" w:lineRule="auto"/>
      <w:ind w:firstLine="200" w:firstLineChars="200"/>
      <w:outlineLvl w:val="8"/>
    </w:pPr>
    <w:rPr>
      <w:rFonts w:ascii="Arial" w:eastAsia="黑体" w:hAnsi="Arial"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1A7CDB"/>
    <w:rPr>
      <w:rFonts w:ascii="黑体" w:eastAsia="黑体"/>
      <w:kern w:val="2"/>
      <w:sz w:val="32"/>
      <w:szCs w:val="32"/>
    </w:rPr>
  </w:style>
  <w:style w:type="character" w:customStyle="1" w:styleId="2Char">
    <w:name w:val="标题 2 Char"/>
    <w:aliases w:val="2 Char,2nd level Char,H2 Char,Header 2 Char,Heading 2 CCBS Char,Heading 2 Hidden Char,Level 2 Head Char,PIM2 Char,h2 Char,l2 Char,proj2 Char,proj21 Char,proj210 Char,proj211 Char,proj212 Char,proj22 Char,proj221 Char,proj23 Char,proj231 Char"/>
    <w:basedOn w:val="DefaultParagraphFont"/>
    <w:link w:val="Heading2"/>
    <w:rsid w:val="001A7CDB"/>
    <w:rPr>
      <w:rFonts w:ascii="Arial" w:hAnsi="Arial"/>
      <w:b/>
      <w:kern w:val="2"/>
      <w:sz w:val="28"/>
      <w:szCs w:val="28"/>
    </w:rPr>
  </w:style>
  <w:style w:type="character" w:customStyle="1" w:styleId="3Char">
    <w:name w:val="标题 3 Char"/>
    <w:aliases w:val="- Maj Side Char,3 Char,3heading Char,3rd level Char,Bold Head Char,CT Char,Fab-3 Char,H3 Char,H31 Char,HeadC Char,Heading 3 - old Char,Heading 31 Char,Heading 3under Char,Level 3 Head Char,Map Char,PIM 3 Char,Title3 Char,bh Char,h3 Char"/>
    <w:basedOn w:val="DefaultParagraphFont"/>
    <w:link w:val="Heading3"/>
    <w:rsid w:val="001A7CDB"/>
    <w:rPr>
      <w:rFonts w:ascii="仿宋_GB2312" w:eastAsia="仿宋_GB2312"/>
      <w:kern w:val="2"/>
      <w:sz w:val="24"/>
    </w:rPr>
  </w:style>
  <w:style w:type="character" w:customStyle="1" w:styleId="4Char">
    <w:name w:val="标题 4 Char"/>
    <w:aliases w:val="Fab-4 Char,H4 Char,Heading sql Char,PIM 4 Char,Ref Heading 1 Char,T5 Char,h4 Char,rh1 Char,sect 1.2.3.4 Char"/>
    <w:basedOn w:val="DefaultParagraphFont"/>
    <w:link w:val="Heading4"/>
    <w:rsid w:val="001A7CDB"/>
    <w:rPr>
      <w:rFonts w:ascii="Arial" w:eastAsia="黑体" w:hAnsi="Arial"/>
      <w:b/>
      <w:bCs/>
      <w:kern w:val="2"/>
      <w:sz w:val="28"/>
      <w:szCs w:val="28"/>
    </w:rPr>
  </w:style>
  <w:style w:type="character" w:customStyle="1" w:styleId="5Char">
    <w:name w:val="标题 5 Char"/>
    <w:basedOn w:val="DefaultParagraphFont"/>
    <w:link w:val="Heading5"/>
    <w:rsid w:val="001A7CDB"/>
    <w:rPr>
      <w:b/>
      <w:bCs/>
      <w:kern w:val="2"/>
      <w:sz w:val="28"/>
      <w:szCs w:val="28"/>
    </w:rPr>
  </w:style>
  <w:style w:type="character" w:customStyle="1" w:styleId="6Char">
    <w:name w:val="标题 6 Char"/>
    <w:basedOn w:val="DefaultParagraphFont"/>
    <w:link w:val="Heading6"/>
    <w:rsid w:val="001A7CDB"/>
    <w:rPr>
      <w:rFonts w:ascii="Arial" w:eastAsia="黑体" w:hAnsi="Arial"/>
      <w:b/>
      <w:bCs/>
      <w:kern w:val="2"/>
      <w:sz w:val="24"/>
      <w:szCs w:val="24"/>
    </w:rPr>
  </w:style>
  <w:style w:type="character" w:customStyle="1" w:styleId="7Char">
    <w:name w:val="标题 7 Char"/>
    <w:basedOn w:val="DefaultParagraphFont"/>
    <w:link w:val="Heading7"/>
    <w:rsid w:val="001A7CDB"/>
    <w:rPr>
      <w:b/>
      <w:bCs/>
      <w:kern w:val="2"/>
      <w:sz w:val="24"/>
      <w:szCs w:val="24"/>
    </w:rPr>
  </w:style>
  <w:style w:type="character" w:customStyle="1" w:styleId="8Char">
    <w:name w:val="标题 8 Char"/>
    <w:basedOn w:val="DefaultParagraphFont"/>
    <w:link w:val="Heading8"/>
    <w:rsid w:val="001A7CDB"/>
    <w:rPr>
      <w:rFonts w:ascii="Arial" w:eastAsia="黑体" w:hAnsi="Arial"/>
      <w:kern w:val="2"/>
      <w:sz w:val="24"/>
      <w:szCs w:val="24"/>
    </w:rPr>
  </w:style>
  <w:style w:type="character" w:customStyle="1" w:styleId="9Char">
    <w:name w:val="标题 9 Char"/>
    <w:basedOn w:val="DefaultParagraphFont"/>
    <w:link w:val="Heading9"/>
    <w:rsid w:val="001A7CDB"/>
    <w:rPr>
      <w:rFonts w:ascii="Arial" w:eastAsia="黑体" w:hAnsi="Arial"/>
      <w:kern w:val="2"/>
      <w:sz w:val="24"/>
      <w:szCs w:val="21"/>
    </w:rPr>
  </w:style>
  <w:style w:type="paragraph" w:styleId="Header">
    <w:name w:val="header"/>
    <w:basedOn w:val="Normal"/>
    <w:link w:val="Char"/>
    <w:uiPriority w:val="99"/>
    <w:rsid w:val="00A14A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14A69"/>
    <w:rPr>
      <w:rFonts w:ascii="Calibri" w:hAnsi="Calibri" w:cs="宋体"/>
      <w:sz w:val="18"/>
      <w:szCs w:val="18"/>
    </w:rPr>
  </w:style>
  <w:style w:type="paragraph" w:styleId="Footer">
    <w:name w:val="footer"/>
    <w:basedOn w:val="Normal"/>
    <w:link w:val="Char0"/>
    <w:uiPriority w:val="99"/>
    <w:rsid w:val="00A14A69"/>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A14A69"/>
    <w:rPr>
      <w:rFonts w:ascii="Calibri" w:hAnsi="Calibri" w:cs="宋体"/>
      <w:sz w:val="18"/>
      <w:szCs w:val="18"/>
    </w:rPr>
  </w:style>
  <w:style w:type="paragraph" w:styleId="BodyText3">
    <w:name w:val="Body Text 3"/>
    <w:basedOn w:val="Normal"/>
    <w:link w:val="3Char1"/>
    <w:rsid w:val="001A7CDB"/>
    <w:pPr>
      <w:widowControl w:val="0"/>
      <w:spacing w:after="120"/>
    </w:pPr>
    <w:rPr>
      <w:rFonts w:ascii="Times New Roman" w:hAnsi="Times New Roman" w:cs="Times New Roman"/>
      <w:kern w:val="2"/>
      <w:sz w:val="16"/>
      <w:szCs w:val="16"/>
    </w:rPr>
  </w:style>
  <w:style w:type="character" w:customStyle="1" w:styleId="3Char1">
    <w:name w:val="正文文本 3 Char"/>
    <w:basedOn w:val="DefaultParagraphFont"/>
    <w:link w:val="BodyText3"/>
    <w:rsid w:val="001A7CDB"/>
    <w:rPr>
      <w:kern w:val="2"/>
      <w:sz w:val="16"/>
      <w:szCs w:val="16"/>
    </w:rPr>
  </w:style>
  <w:style w:type="paragraph" w:styleId="TOC1">
    <w:name w:val="toc 1"/>
    <w:basedOn w:val="Normal"/>
    <w:next w:val="Normal"/>
    <w:autoRedefine/>
    <w:uiPriority w:val="39"/>
    <w:rsid w:val="00D14871"/>
    <w:pPr>
      <w:widowControl w:val="0"/>
      <w:tabs>
        <w:tab w:val="left" w:pos="1134"/>
        <w:tab w:val="right" w:leader="dot" w:pos="8296"/>
      </w:tabs>
      <w:ind w:left="141" w:leftChars="67"/>
      <w:jc w:val="left"/>
    </w:pPr>
    <w:rPr>
      <w:rFonts w:ascii="宋体" w:eastAsia="黑体" w:hAnsi="宋体" w:cs="Times New Roman"/>
      <w:b/>
      <w:caps/>
      <w:noProof/>
      <w:kern w:val="2"/>
      <w:sz w:val="24"/>
      <w:szCs w:val="28"/>
    </w:rPr>
  </w:style>
  <w:style w:type="paragraph" w:styleId="TOC2">
    <w:name w:val="toc 2"/>
    <w:basedOn w:val="Normal"/>
    <w:next w:val="Normal"/>
    <w:autoRedefine/>
    <w:uiPriority w:val="39"/>
    <w:rsid w:val="00CB57E3"/>
    <w:pPr>
      <w:widowControl w:val="0"/>
      <w:tabs>
        <w:tab w:val="left" w:pos="2100"/>
        <w:tab w:val="right" w:leader="dot" w:pos="8268"/>
      </w:tabs>
      <w:ind w:left="319" w:firstLine="731" w:leftChars="152" w:firstLineChars="348"/>
      <w:jc w:val="left"/>
    </w:pPr>
    <w:rPr>
      <w:rFonts w:ascii="Times New Roman" w:eastAsia="仿宋_GB2312" w:hAnsi="Times New Roman" w:cs="Times New Roman"/>
      <w:smallCaps/>
      <w:noProof/>
      <w:kern w:val="2"/>
      <w:szCs w:val="20"/>
    </w:rPr>
  </w:style>
  <w:style w:type="paragraph" w:customStyle="1" w:styleId="1">
    <w:name w:val="样式 标题 1 + 黑体 非加粗"/>
    <w:basedOn w:val="Heading1"/>
    <w:rsid w:val="001A7CDB"/>
    <w:pPr>
      <w:pageBreakBefore/>
    </w:pPr>
    <w:rPr>
      <w:rFonts w:hAnsi="黑体"/>
      <w:b/>
    </w:rPr>
  </w:style>
  <w:style w:type="character" w:styleId="PageNumber">
    <w:name w:val="page number"/>
    <w:basedOn w:val="DefaultParagraphFont"/>
    <w:rsid w:val="001A7CDB"/>
  </w:style>
  <w:style w:type="paragraph" w:styleId="Title">
    <w:name w:val="Title"/>
    <w:basedOn w:val="Normal"/>
    <w:link w:val="Char1"/>
    <w:qFormat/>
    <w:rsid w:val="001A7CDB"/>
    <w:pPr>
      <w:widowControl w:val="0"/>
      <w:spacing w:before="240" w:after="60"/>
      <w:jc w:val="center"/>
      <w:outlineLvl w:val="0"/>
    </w:pPr>
    <w:rPr>
      <w:rFonts w:ascii="Arial" w:hAnsi="Arial" w:cs="Arial"/>
      <w:b/>
      <w:bCs/>
      <w:kern w:val="2"/>
      <w:sz w:val="32"/>
      <w:szCs w:val="32"/>
    </w:rPr>
  </w:style>
  <w:style w:type="character" w:customStyle="1" w:styleId="Char1">
    <w:name w:val="标题 Char"/>
    <w:basedOn w:val="DefaultParagraphFont"/>
    <w:link w:val="Title"/>
    <w:rsid w:val="001A7CDB"/>
    <w:rPr>
      <w:rFonts w:ascii="Arial" w:hAnsi="Arial" w:cs="Arial"/>
      <w:b/>
      <w:bCs/>
      <w:kern w:val="2"/>
      <w:sz w:val="32"/>
      <w:szCs w:val="32"/>
    </w:rPr>
  </w:style>
  <w:style w:type="paragraph" w:styleId="Closing">
    <w:name w:val="Closing"/>
    <w:basedOn w:val="Normal"/>
    <w:link w:val="Char2"/>
    <w:rsid w:val="001A7CDB"/>
    <w:pPr>
      <w:widowControl w:val="0"/>
      <w:ind w:left="100" w:leftChars="2100"/>
    </w:pPr>
    <w:rPr>
      <w:rFonts w:ascii="Times New Roman" w:hAnsi="Times New Roman" w:cs="Times New Roman"/>
      <w:kern w:val="2"/>
      <w:szCs w:val="24"/>
    </w:rPr>
  </w:style>
  <w:style w:type="character" w:customStyle="1" w:styleId="Char2">
    <w:name w:val="结束语 Char"/>
    <w:basedOn w:val="DefaultParagraphFont"/>
    <w:link w:val="Closing"/>
    <w:rsid w:val="001A7CDB"/>
    <w:rPr>
      <w:kern w:val="2"/>
      <w:sz w:val="21"/>
      <w:szCs w:val="24"/>
    </w:rPr>
  </w:style>
  <w:style w:type="paragraph" w:styleId="ListNumber">
    <w:name w:val="List Number"/>
    <w:basedOn w:val="Normal"/>
    <w:rsid w:val="001A7CDB"/>
    <w:pPr>
      <w:widowControl w:val="0"/>
      <w:tabs>
        <w:tab w:val="num" w:pos="360"/>
      </w:tabs>
      <w:ind w:left="360" w:hanging="360" w:hangingChars="200"/>
    </w:pPr>
    <w:rPr>
      <w:rFonts w:ascii="Times New Roman" w:hAnsi="Times New Roman" w:cs="Times New Roman"/>
      <w:kern w:val="2"/>
      <w:szCs w:val="24"/>
    </w:rPr>
  </w:style>
  <w:style w:type="paragraph" w:styleId="ListNumber2">
    <w:name w:val="List Number 2"/>
    <w:basedOn w:val="Normal"/>
    <w:rsid w:val="001A7CDB"/>
    <w:pPr>
      <w:widowControl w:val="0"/>
      <w:tabs>
        <w:tab w:val="num" w:pos="780"/>
      </w:tabs>
      <w:ind w:left="780" w:hanging="360" w:leftChars="200" w:hangingChars="200"/>
    </w:pPr>
    <w:rPr>
      <w:rFonts w:ascii="Times New Roman" w:hAnsi="Times New Roman" w:cs="Times New Roman"/>
      <w:kern w:val="2"/>
      <w:szCs w:val="24"/>
    </w:rPr>
  </w:style>
  <w:style w:type="paragraph" w:styleId="ListNumber3">
    <w:name w:val="List Number 3"/>
    <w:basedOn w:val="Normal"/>
    <w:rsid w:val="001A7CDB"/>
    <w:pPr>
      <w:widowControl w:val="0"/>
      <w:tabs>
        <w:tab w:val="num" w:pos="1200"/>
      </w:tabs>
      <w:ind w:left="1200" w:hanging="360" w:leftChars="400" w:hangingChars="200"/>
    </w:pPr>
    <w:rPr>
      <w:rFonts w:ascii="Times New Roman" w:hAnsi="Times New Roman" w:cs="Times New Roman"/>
      <w:kern w:val="2"/>
      <w:szCs w:val="24"/>
    </w:rPr>
  </w:style>
  <w:style w:type="paragraph" w:styleId="ListNumber4">
    <w:name w:val="List Number 4"/>
    <w:basedOn w:val="Normal"/>
    <w:rsid w:val="001A7CDB"/>
    <w:pPr>
      <w:widowControl w:val="0"/>
      <w:tabs>
        <w:tab w:val="num" w:pos="1620"/>
      </w:tabs>
      <w:ind w:left="1620" w:hanging="360" w:leftChars="600" w:hangingChars="200"/>
    </w:pPr>
    <w:rPr>
      <w:rFonts w:ascii="Times New Roman" w:hAnsi="Times New Roman" w:cs="Times New Roman"/>
      <w:kern w:val="2"/>
      <w:szCs w:val="24"/>
    </w:rPr>
  </w:style>
  <w:style w:type="paragraph" w:styleId="ListNumber5">
    <w:name w:val="List Number 5"/>
    <w:basedOn w:val="Normal"/>
    <w:rsid w:val="001A7CDB"/>
    <w:pPr>
      <w:widowControl w:val="0"/>
      <w:tabs>
        <w:tab w:val="num" w:pos="2040"/>
      </w:tabs>
      <w:ind w:left="2040" w:hanging="360" w:leftChars="800" w:hangingChars="200"/>
    </w:pPr>
    <w:rPr>
      <w:rFonts w:ascii="Times New Roman" w:hAnsi="Times New Roman" w:cs="Times New Roman"/>
      <w:kern w:val="2"/>
      <w:szCs w:val="24"/>
    </w:rPr>
  </w:style>
  <w:style w:type="paragraph" w:styleId="ListBullet">
    <w:name w:val="List Bullet"/>
    <w:basedOn w:val="Normal"/>
    <w:autoRedefine/>
    <w:rsid w:val="001A7CDB"/>
    <w:pPr>
      <w:widowControl w:val="0"/>
      <w:tabs>
        <w:tab w:val="num" w:pos="360"/>
      </w:tabs>
      <w:ind w:left="360" w:hanging="360" w:hangingChars="200"/>
    </w:pPr>
    <w:rPr>
      <w:rFonts w:ascii="Times New Roman" w:hAnsi="Times New Roman" w:cs="Times New Roman"/>
      <w:kern w:val="2"/>
      <w:szCs w:val="24"/>
    </w:rPr>
  </w:style>
  <w:style w:type="paragraph" w:styleId="ListBullet2">
    <w:name w:val="List Bullet 2"/>
    <w:basedOn w:val="Normal"/>
    <w:autoRedefine/>
    <w:rsid w:val="001A7CDB"/>
    <w:pPr>
      <w:widowControl w:val="0"/>
      <w:tabs>
        <w:tab w:val="num" w:pos="780"/>
      </w:tabs>
      <w:ind w:left="780" w:hanging="360" w:leftChars="200" w:hangingChars="200"/>
    </w:pPr>
    <w:rPr>
      <w:rFonts w:ascii="Times New Roman" w:hAnsi="Times New Roman" w:cs="Times New Roman"/>
      <w:kern w:val="2"/>
      <w:szCs w:val="24"/>
    </w:rPr>
  </w:style>
  <w:style w:type="paragraph" w:styleId="ListBullet3">
    <w:name w:val="List Bullet 3"/>
    <w:basedOn w:val="Normal"/>
    <w:autoRedefine/>
    <w:rsid w:val="001A7CDB"/>
    <w:pPr>
      <w:widowControl w:val="0"/>
      <w:tabs>
        <w:tab w:val="num" w:pos="1200"/>
      </w:tabs>
      <w:ind w:left="1200" w:hanging="360" w:leftChars="400" w:hangingChars="200"/>
    </w:pPr>
    <w:rPr>
      <w:rFonts w:ascii="Times New Roman" w:hAnsi="Times New Roman" w:cs="Times New Roman"/>
      <w:kern w:val="2"/>
      <w:szCs w:val="24"/>
    </w:rPr>
  </w:style>
  <w:style w:type="paragraph" w:styleId="ListBullet4">
    <w:name w:val="List Bullet 4"/>
    <w:basedOn w:val="Normal"/>
    <w:autoRedefine/>
    <w:rsid w:val="001A7CDB"/>
    <w:pPr>
      <w:widowControl w:val="0"/>
      <w:tabs>
        <w:tab w:val="num" w:pos="1620"/>
      </w:tabs>
      <w:ind w:left="1620" w:hanging="360" w:leftChars="600" w:hangingChars="200"/>
    </w:pPr>
    <w:rPr>
      <w:rFonts w:ascii="Times New Roman" w:hAnsi="Times New Roman" w:cs="Times New Roman"/>
      <w:kern w:val="2"/>
      <w:szCs w:val="24"/>
    </w:rPr>
  </w:style>
  <w:style w:type="paragraph" w:styleId="ListBullet5">
    <w:name w:val="List Bullet 5"/>
    <w:basedOn w:val="Normal"/>
    <w:autoRedefine/>
    <w:rsid w:val="001A7CDB"/>
    <w:pPr>
      <w:widowControl w:val="0"/>
      <w:tabs>
        <w:tab w:val="num" w:pos="2040"/>
      </w:tabs>
      <w:ind w:left="2040" w:hanging="360" w:leftChars="800" w:hangingChars="200"/>
    </w:pPr>
    <w:rPr>
      <w:rFonts w:ascii="Times New Roman" w:hAnsi="Times New Roman" w:cs="Times New Roman"/>
      <w:kern w:val="2"/>
      <w:szCs w:val="24"/>
    </w:rPr>
  </w:style>
  <w:style w:type="paragraph" w:styleId="TableofFigures">
    <w:name w:val="table of figures"/>
    <w:basedOn w:val="Normal"/>
    <w:next w:val="Normal"/>
    <w:rsid w:val="001A7CDB"/>
    <w:pPr>
      <w:widowControl w:val="0"/>
      <w:ind w:left="840" w:hanging="420" w:leftChars="200" w:hangingChars="200"/>
    </w:pPr>
    <w:rPr>
      <w:rFonts w:ascii="Times New Roman" w:hAnsi="Times New Roman" w:cs="Times New Roman"/>
      <w:kern w:val="2"/>
      <w:szCs w:val="24"/>
    </w:rPr>
  </w:style>
  <w:style w:type="paragraph" w:styleId="BodyText">
    <w:name w:val="Body Text"/>
    <w:basedOn w:val="Normal"/>
    <w:link w:val="Char3"/>
    <w:rsid w:val="001A7CDB"/>
    <w:pPr>
      <w:widowControl w:val="0"/>
      <w:spacing w:after="120"/>
    </w:pPr>
    <w:rPr>
      <w:rFonts w:ascii="Times New Roman" w:hAnsi="Times New Roman" w:cs="Times New Roman"/>
      <w:kern w:val="2"/>
      <w:szCs w:val="24"/>
    </w:rPr>
  </w:style>
  <w:style w:type="character" w:customStyle="1" w:styleId="Char3">
    <w:name w:val="正文文本 Char"/>
    <w:basedOn w:val="DefaultParagraphFont"/>
    <w:link w:val="BodyText"/>
    <w:rsid w:val="001A7CDB"/>
    <w:rPr>
      <w:kern w:val="2"/>
      <w:sz w:val="21"/>
      <w:szCs w:val="24"/>
    </w:rPr>
  </w:style>
  <w:style w:type="paragraph" w:styleId="BodyTextFirstIndent">
    <w:name w:val="Body Text First Indent"/>
    <w:basedOn w:val="BodyText"/>
    <w:link w:val="Char4"/>
    <w:rsid w:val="001A7CDB"/>
    <w:pPr>
      <w:ind w:firstLine="420" w:firstLineChars="100"/>
    </w:pPr>
  </w:style>
  <w:style w:type="character" w:customStyle="1" w:styleId="Char4">
    <w:name w:val="正文首行缩进 Char"/>
    <w:basedOn w:val="Char3"/>
    <w:link w:val="BodyTextFirstIndent"/>
    <w:rsid w:val="001A7CDB"/>
    <w:rPr>
      <w:kern w:val="2"/>
      <w:sz w:val="21"/>
      <w:szCs w:val="24"/>
    </w:rPr>
  </w:style>
  <w:style w:type="paragraph" w:styleId="BodyTextIndent">
    <w:name w:val="Body Text Indent"/>
    <w:basedOn w:val="Normal"/>
    <w:link w:val="Char5"/>
    <w:rsid w:val="001A7CDB"/>
    <w:pPr>
      <w:widowControl w:val="0"/>
      <w:spacing w:after="120"/>
      <w:ind w:left="420"/>
    </w:pPr>
    <w:rPr>
      <w:rFonts w:ascii="Times New Roman" w:hAnsi="Times New Roman" w:cs="Times New Roman"/>
      <w:kern w:val="2"/>
      <w:szCs w:val="24"/>
    </w:rPr>
  </w:style>
  <w:style w:type="character" w:customStyle="1" w:styleId="Char5">
    <w:name w:val="正文文本缩进 Char"/>
    <w:basedOn w:val="DefaultParagraphFont"/>
    <w:link w:val="BodyTextIndent"/>
    <w:rsid w:val="001A7CDB"/>
    <w:rPr>
      <w:kern w:val="2"/>
      <w:sz w:val="21"/>
      <w:szCs w:val="24"/>
    </w:rPr>
  </w:style>
  <w:style w:type="paragraph" w:styleId="NoteHeading">
    <w:name w:val="Note Heading"/>
    <w:basedOn w:val="Normal"/>
    <w:next w:val="Normal"/>
    <w:link w:val="Char6"/>
    <w:rsid w:val="001A7CDB"/>
    <w:pPr>
      <w:widowControl w:val="0"/>
      <w:jc w:val="center"/>
    </w:pPr>
    <w:rPr>
      <w:rFonts w:ascii="Times New Roman" w:hAnsi="Times New Roman" w:cs="Times New Roman"/>
      <w:kern w:val="2"/>
      <w:szCs w:val="24"/>
    </w:rPr>
  </w:style>
  <w:style w:type="character" w:customStyle="1" w:styleId="Char6">
    <w:name w:val="注释标题 Char"/>
    <w:basedOn w:val="DefaultParagraphFont"/>
    <w:link w:val="NoteHeading"/>
    <w:rsid w:val="001A7CDB"/>
    <w:rPr>
      <w:kern w:val="2"/>
      <w:sz w:val="21"/>
      <w:szCs w:val="24"/>
    </w:rPr>
  </w:style>
  <w:style w:type="character" w:customStyle="1" w:styleId="da">
    <w:name w:val="da"/>
    <w:basedOn w:val="DefaultParagraphFont"/>
    <w:qFormat/>
    <w:rsid w:val="001A7CDB"/>
  </w:style>
  <w:style w:type="paragraph" w:customStyle="1" w:styleId="a">
    <w:name w:val="特点"/>
    <w:aliases w:val="正文非缩进,段1,表正文"/>
    <w:basedOn w:val="Normal"/>
    <w:next w:val="NormalIndent"/>
    <w:rsid w:val="001A7CDB"/>
    <w:pPr>
      <w:widowControl w:val="0"/>
      <w:ind w:firstLine="420"/>
    </w:pPr>
    <w:rPr>
      <w:rFonts w:ascii="Times New Roman" w:hAnsi="Times New Roman" w:cs="Times New Roman"/>
      <w:kern w:val="2"/>
      <w:szCs w:val="20"/>
    </w:rPr>
  </w:style>
  <w:style w:type="paragraph" w:styleId="NormalIndent">
    <w:name w:val="Normal Indent"/>
    <w:aliases w:val="ALT+Z,正文缩进1"/>
    <w:basedOn w:val="Normal"/>
    <w:rsid w:val="001A7CDB"/>
    <w:pPr>
      <w:widowControl w:val="0"/>
      <w:ind w:firstLine="420"/>
    </w:pPr>
    <w:rPr>
      <w:rFonts w:ascii="Times New Roman" w:hAnsi="Times New Roman" w:cs="Times New Roman"/>
      <w:kern w:val="2"/>
      <w:szCs w:val="24"/>
    </w:rPr>
  </w:style>
  <w:style w:type="paragraph" w:styleId="BodyTextIndent3">
    <w:name w:val="Body Text Indent 3"/>
    <w:basedOn w:val="Normal"/>
    <w:link w:val="3Char2"/>
    <w:rsid w:val="001A7CDB"/>
    <w:pPr>
      <w:widowControl w:val="0"/>
      <w:spacing w:after="120"/>
      <w:ind w:left="420"/>
    </w:pPr>
    <w:rPr>
      <w:rFonts w:ascii="Times New Roman" w:hAnsi="Times New Roman" w:cs="Times New Roman"/>
      <w:kern w:val="2"/>
      <w:sz w:val="16"/>
      <w:szCs w:val="16"/>
    </w:rPr>
  </w:style>
  <w:style w:type="character" w:customStyle="1" w:styleId="3Char2">
    <w:name w:val="正文文本缩进 3 Char"/>
    <w:basedOn w:val="DefaultParagraphFont"/>
    <w:link w:val="BodyTextIndent3"/>
    <w:rsid w:val="001A7CDB"/>
    <w:rPr>
      <w:kern w:val="2"/>
      <w:sz w:val="16"/>
      <w:szCs w:val="16"/>
    </w:rPr>
  </w:style>
  <w:style w:type="paragraph" w:styleId="PlainText">
    <w:name w:val="Plain Text"/>
    <w:basedOn w:val="Normal"/>
    <w:link w:val="Char7"/>
    <w:rsid w:val="001A7CDB"/>
    <w:pPr>
      <w:widowControl w:val="0"/>
    </w:pPr>
    <w:rPr>
      <w:rFonts w:ascii="宋体" w:hAnsi="Courier New" w:cs="Courier New"/>
      <w:kern w:val="2"/>
    </w:rPr>
  </w:style>
  <w:style w:type="character" w:customStyle="1" w:styleId="Char7">
    <w:name w:val="纯文本 Char"/>
    <w:basedOn w:val="DefaultParagraphFont"/>
    <w:link w:val="PlainText"/>
    <w:rsid w:val="001A7CDB"/>
    <w:rPr>
      <w:rFonts w:ascii="宋体" w:hAnsi="Courier New" w:cs="Courier New"/>
      <w:kern w:val="2"/>
      <w:sz w:val="21"/>
      <w:szCs w:val="21"/>
    </w:rPr>
  </w:style>
  <w:style w:type="character" w:styleId="Hyperlink">
    <w:name w:val="Hyperlink"/>
    <w:basedOn w:val="DefaultParagraphFont"/>
    <w:uiPriority w:val="99"/>
    <w:rsid w:val="001A7CDB"/>
    <w:rPr>
      <w:color w:val="0000FF"/>
      <w:u w:val="single"/>
    </w:rPr>
  </w:style>
  <w:style w:type="paragraph" w:styleId="BodyTextIndent2">
    <w:name w:val="Body Text Indent 2"/>
    <w:basedOn w:val="Normal"/>
    <w:link w:val="2Char1"/>
    <w:rsid w:val="001A7CDB"/>
    <w:pPr>
      <w:widowControl w:val="0"/>
      <w:spacing w:after="120" w:line="480" w:lineRule="auto"/>
      <w:ind w:left="420"/>
    </w:pPr>
    <w:rPr>
      <w:rFonts w:ascii="Times New Roman" w:hAnsi="Times New Roman" w:cs="Times New Roman"/>
      <w:kern w:val="2"/>
      <w:szCs w:val="24"/>
    </w:rPr>
  </w:style>
  <w:style w:type="character" w:customStyle="1" w:styleId="2Char1">
    <w:name w:val="正文文本缩进 2 Char"/>
    <w:basedOn w:val="DefaultParagraphFont"/>
    <w:link w:val="BodyTextIndent2"/>
    <w:rsid w:val="001A7CDB"/>
    <w:rPr>
      <w:kern w:val="2"/>
      <w:sz w:val="21"/>
      <w:szCs w:val="24"/>
    </w:rPr>
  </w:style>
  <w:style w:type="paragraph" w:styleId="BodyText2">
    <w:name w:val="Body Text 2"/>
    <w:basedOn w:val="Normal"/>
    <w:link w:val="2Char2"/>
    <w:rsid w:val="001A7CDB"/>
    <w:pPr>
      <w:widowControl w:val="0"/>
      <w:spacing w:after="120" w:line="480" w:lineRule="auto"/>
    </w:pPr>
    <w:rPr>
      <w:rFonts w:ascii="Times New Roman" w:hAnsi="Times New Roman" w:cs="Times New Roman"/>
      <w:kern w:val="2"/>
      <w:szCs w:val="24"/>
    </w:rPr>
  </w:style>
  <w:style w:type="character" w:customStyle="1" w:styleId="2Char2">
    <w:name w:val="正文文本 2 Char"/>
    <w:basedOn w:val="DefaultParagraphFont"/>
    <w:link w:val="BodyText2"/>
    <w:rsid w:val="001A7CDB"/>
    <w:rPr>
      <w:kern w:val="2"/>
      <w:sz w:val="21"/>
      <w:szCs w:val="24"/>
    </w:rPr>
  </w:style>
  <w:style w:type="paragraph" w:styleId="HTMLPreformatted">
    <w:name w:val="HTML Preformatted"/>
    <w:basedOn w:val="Normal"/>
    <w:link w:val="HTMLChar"/>
    <w:uiPriority w:val="99"/>
    <w:rsid w:val="001A7CDB"/>
    <w:pPr>
      <w:widowControl w:val="0"/>
    </w:pPr>
    <w:rPr>
      <w:rFonts w:ascii="Courier New" w:hAnsi="Courier New" w:cs="Courier New"/>
      <w:kern w:val="2"/>
      <w:sz w:val="20"/>
      <w:szCs w:val="20"/>
    </w:rPr>
  </w:style>
  <w:style w:type="character" w:customStyle="1" w:styleId="HTMLChar">
    <w:name w:val="HTML 预设格式 Char"/>
    <w:basedOn w:val="DefaultParagraphFont"/>
    <w:link w:val="HTMLPreformatted"/>
    <w:uiPriority w:val="99"/>
    <w:rsid w:val="001A7CDB"/>
    <w:rPr>
      <w:rFonts w:ascii="Courier New" w:hAnsi="Courier New" w:cs="Courier New"/>
      <w:kern w:val="2"/>
    </w:rPr>
  </w:style>
  <w:style w:type="paragraph" w:styleId="NormalWeb">
    <w:name w:val="Normal (Web)"/>
    <w:basedOn w:val="Normal"/>
    <w:rsid w:val="001A7CDB"/>
    <w:pPr>
      <w:widowControl w:val="0"/>
    </w:pPr>
    <w:rPr>
      <w:rFonts w:ascii="Times New Roman" w:hAnsi="Times New Roman" w:cs="Times New Roman"/>
      <w:kern w:val="2"/>
      <w:sz w:val="24"/>
      <w:szCs w:val="24"/>
    </w:rPr>
  </w:style>
  <w:style w:type="paragraph" w:styleId="Subtitle">
    <w:name w:val="Subtitle"/>
    <w:basedOn w:val="Normal"/>
    <w:link w:val="Char8"/>
    <w:qFormat/>
    <w:rsid w:val="001A7CDB"/>
    <w:pPr>
      <w:widowControl w:val="0"/>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DefaultParagraphFont"/>
    <w:link w:val="Subtitle"/>
    <w:rsid w:val="001A7CDB"/>
    <w:rPr>
      <w:rFonts w:ascii="Arial" w:hAnsi="Arial" w:cs="Arial"/>
      <w:b/>
      <w:bCs/>
      <w:kern w:val="28"/>
      <w:sz w:val="32"/>
      <w:szCs w:val="32"/>
    </w:rPr>
  </w:style>
  <w:style w:type="paragraph" w:styleId="BlockText">
    <w:name w:val="Block Text"/>
    <w:basedOn w:val="Normal"/>
    <w:rsid w:val="001A7CDB"/>
    <w:pPr>
      <w:widowControl w:val="0"/>
      <w:spacing w:after="120"/>
      <w:ind w:left="1440" w:right="1440"/>
    </w:pPr>
    <w:rPr>
      <w:rFonts w:ascii="Times New Roman" w:hAnsi="Times New Roman" w:cs="Times New Roman"/>
      <w:kern w:val="2"/>
      <w:szCs w:val="24"/>
    </w:rPr>
  </w:style>
  <w:style w:type="character" w:styleId="Strong">
    <w:name w:val="Strong"/>
    <w:basedOn w:val="DefaultParagraphFont"/>
    <w:qFormat/>
    <w:rsid w:val="001A7CDB"/>
    <w:rPr>
      <w:b/>
      <w:bCs/>
    </w:rPr>
  </w:style>
  <w:style w:type="paragraph" w:styleId="DocumentMap">
    <w:name w:val="Document Map"/>
    <w:basedOn w:val="Normal"/>
    <w:link w:val="Char9"/>
    <w:rsid w:val="001A7CDB"/>
    <w:pPr>
      <w:widowControl w:val="0"/>
      <w:shd w:val="clear" w:color="auto" w:fill="000080"/>
    </w:pPr>
    <w:rPr>
      <w:rFonts w:ascii="Times New Roman" w:hAnsi="Times New Roman" w:cs="Times New Roman"/>
      <w:kern w:val="2"/>
      <w:szCs w:val="24"/>
    </w:rPr>
  </w:style>
  <w:style w:type="character" w:customStyle="1" w:styleId="Char9">
    <w:name w:val="文档结构图 Char"/>
    <w:basedOn w:val="DefaultParagraphFont"/>
    <w:link w:val="DocumentMap"/>
    <w:rsid w:val="001A7CDB"/>
    <w:rPr>
      <w:kern w:val="2"/>
      <w:sz w:val="21"/>
      <w:szCs w:val="24"/>
      <w:shd w:val="clear" w:color="auto" w:fill="000080"/>
    </w:rPr>
  </w:style>
  <w:style w:type="paragraph" w:styleId="BalloonText">
    <w:name w:val="Balloon Text"/>
    <w:basedOn w:val="Normal"/>
    <w:link w:val="Char10"/>
    <w:rsid w:val="001A7CDB"/>
    <w:pPr>
      <w:widowControl w:val="0"/>
    </w:pPr>
    <w:rPr>
      <w:rFonts w:ascii="Times New Roman" w:hAnsi="Times New Roman" w:cs="Times New Roman"/>
      <w:kern w:val="2"/>
      <w:sz w:val="18"/>
      <w:szCs w:val="18"/>
    </w:rPr>
  </w:style>
  <w:style w:type="character" w:customStyle="1" w:styleId="Char10">
    <w:name w:val="批注框文本 Char"/>
    <w:basedOn w:val="DefaultParagraphFont"/>
    <w:link w:val="BalloonText"/>
    <w:rsid w:val="001A7CDB"/>
    <w:rPr>
      <w:kern w:val="2"/>
      <w:sz w:val="18"/>
      <w:szCs w:val="18"/>
    </w:rPr>
  </w:style>
  <w:style w:type="paragraph" w:styleId="CommentText">
    <w:name w:val="annotation text"/>
    <w:basedOn w:val="Normal"/>
    <w:link w:val="Char11"/>
    <w:rsid w:val="001A7CDB"/>
    <w:pPr>
      <w:jc w:val="left"/>
    </w:pPr>
  </w:style>
  <w:style w:type="character" w:customStyle="1" w:styleId="Char11">
    <w:name w:val="批注文字 Char"/>
    <w:basedOn w:val="DefaultParagraphFont"/>
    <w:link w:val="CommentText"/>
    <w:rsid w:val="001A7CDB"/>
    <w:rPr>
      <w:rFonts w:ascii="Calibri" w:hAnsi="Calibri" w:cs="宋体"/>
      <w:sz w:val="21"/>
      <w:szCs w:val="21"/>
    </w:rPr>
  </w:style>
  <w:style w:type="paragraph" w:styleId="CommentSubject">
    <w:name w:val="annotation subject"/>
    <w:basedOn w:val="CommentText"/>
    <w:next w:val="CommentText"/>
    <w:link w:val="Char12"/>
    <w:rsid w:val="001A7CDB"/>
    <w:pPr>
      <w:widowControl w:val="0"/>
    </w:pPr>
    <w:rPr>
      <w:rFonts w:ascii="Times New Roman" w:hAnsi="Times New Roman" w:cs="Times New Roman"/>
      <w:b/>
      <w:bCs/>
      <w:kern w:val="2"/>
      <w:szCs w:val="24"/>
    </w:rPr>
  </w:style>
  <w:style w:type="character" w:customStyle="1" w:styleId="Char12">
    <w:name w:val="批注主题 Char"/>
    <w:basedOn w:val="Char11"/>
    <w:link w:val="CommentSubject"/>
    <w:rsid w:val="001A7CDB"/>
    <w:rPr>
      <w:rFonts w:ascii="Calibri" w:hAnsi="Calibri" w:cs="宋体"/>
      <w:b/>
      <w:bCs/>
      <w:kern w:val="2"/>
      <w:sz w:val="21"/>
      <w:szCs w:val="24"/>
    </w:rPr>
  </w:style>
  <w:style w:type="character" w:styleId="FollowedHyperlink">
    <w:name w:val="FollowedHyperlink"/>
    <w:basedOn w:val="DefaultParagraphFont"/>
    <w:uiPriority w:val="99"/>
    <w:rsid w:val="001A7CDB"/>
    <w:rPr>
      <w:color w:val="800080"/>
      <w:u w:val="single"/>
    </w:rPr>
  </w:style>
  <w:style w:type="table" w:styleId="TableTheme">
    <w:name w:val="Table Theme"/>
    <w:basedOn w:val="TableNormal"/>
    <w:rsid w:val="001A7C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1A7CDB"/>
    <w:rPr>
      <w:rFonts w:ascii="宋体" w:eastAsia="宋体" w:hAnsi="宋体" w:cs="宋体"/>
      <w:sz w:val="24"/>
      <w:szCs w:val="24"/>
    </w:rPr>
  </w:style>
  <w:style w:type="paragraph" w:styleId="FootnoteText">
    <w:name w:val="footnote text"/>
    <w:basedOn w:val="Normal"/>
    <w:link w:val="Char13"/>
    <w:rsid w:val="001A7CDB"/>
    <w:pPr>
      <w:spacing w:beforeLines="50" w:afterLines="50" w:line="360" w:lineRule="auto"/>
      <w:ind w:left="500" w:leftChars="500"/>
      <w:jc w:val="left"/>
    </w:pPr>
    <w:rPr>
      <w:rFonts w:ascii="Times" w:eastAsia="Times New Roman" w:hAnsi="Times" w:cs="Times New Roman"/>
      <w:sz w:val="20"/>
      <w:szCs w:val="24"/>
    </w:rPr>
  </w:style>
  <w:style w:type="character" w:customStyle="1" w:styleId="Char13">
    <w:name w:val="脚注文本 Char"/>
    <w:basedOn w:val="DefaultParagraphFont"/>
    <w:link w:val="FootnoteText"/>
    <w:rsid w:val="001A7CDB"/>
    <w:rPr>
      <w:rFonts w:ascii="Times" w:eastAsia="Times New Roman" w:hAnsi="Times"/>
      <w:szCs w:val="24"/>
    </w:rPr>
  </w:style>
  <w:style w:type="paragraph" w:styleId="Date">
    <w:name w:val="Date"/>
    <w:basedOn w:val="Normal"/>
    <w:next w:val="Normal"/>
    <w:link w:val="Char14"/>
    <w:rsid w:val="001A7CDB"/>
    <w:pPr>
      <w:widowControl w:val="0"/>
      <w:ind w:left="100" w:leftChars="2500"/>
    </w:pPr>
    <w:rPr>
      <w:rFonts w:ascii="Times New Roman" w:hAnsi="Times New Roman" w:cs="Times New Roman"/>
      <w:kern w:val="2"/>
      <w:szCs w:val="24"/>
    </w:rPr>
  </w:style>
  <w:style w:type="character" w:customStyle="1" w:styleId="Char14">
    <w:name w:val="日期 Char"/>
    <w:basedOn w:val="DefaultParagraphFont"/>
    <w:link w:val="Date"/>
    <w:rsid w:val="001A7CDB"/>
    <w:rPr>
      <w:kern w:val="2"/>
      <w:sz w:val="21"/>
      <w:szCs w:val="24"/>
    </w:rPr>
  </w:style>
  <w:style w:type="paragraph" w:styleId="ListParagraph">
    <w:name w:val="List Paragraph"/>
    <w:basedOn w:val="Normal"/>
    <w:uiPriority w:val="34"/>
    <w:qFormat/>
    <w:rsid w:val="001A7CDB"/>
    <w:pPr>
      <w:widowControl w:val="0"/>
      <w:ind w:firstLine="420" w:firstLineChars="200"/>
    </w:pPr>
    <w:rPr>
      <w:rFonts w:cs="Times New Roman"/>
      <w:kern w:val="2"/>
      <w:szCs w:val="22"/>
    </w:rPr>
  </w:style>
  <w:style w:type="table" w:styleId="TableGrid">
    <w:name w:val="Table Grid"/>
    <w:basedOn w:val="TableNormal"/>
    <w:rsid w:val="001A7C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A7CDB"/>
    <w:rPr>
      <w:kern w:val="2"/>
      <w:sz w:val="21"/>
      <w:szCs w:val="24"/>
    </w:rPr>
  </w:style>
  <w:style w:type="character" w:styleId="CommentReference">
    <w:name w:val="annotation reference"/>
    <w:basedOn w:val="DefaultParagraphFont"/>
    <w:rsid w:val="00ED0546"/>
    <w:rPr>
      <w:sz w:val="21"/>
      <w:szCs w:val="21"/>
    </w:rPr>
  </w:style>
  <w:style w:type="paragraph" w:styleId="TOC3">
    <w:name w:val="toc 3"/>
    <w:basedOn w:val="Normal"/>
    <w:next w:val="Normal"/>
    <w:autoRedefine/>
    <w:uiPriority w:val="39"/>
    <w:unhideWhenUsed/>
    <w:rsid w:val="00B12736"/>
    <w:pPr>
      <w:widowControl w:val="0"/>
      <w:ind w:left="840" w:leftChars="400"/>
    </w:pPr>
    <w:rPr>
      <w:rFonts w:cs="Times New Roman"/>
      <w:kern w:val="2"/>
      <w:szCs w:val="22"/>
    </w:rPr>
  </w:style>
  <w:style w:type="paragraph" w:styleId="TOC4">
    <w:name w:val="toc 4"/>
    <w:basedOn w:val="Normal"/>
    <w:next w:val="Normal"/>
    <w:autoRedefine/>
    <w:uiPriority w:val="39"/>
    <w:unhideWhenUsed/>
    <w:rsid w:val="00B12736"/>
    <w:pPr>
      <w:widowControl w:val="0"/>
      <w:ind w:left="1260" w:leftChars="600"/>
    </w:pPr>
    <w:rPr>
      <w:rFonts w:cs="Times New Roman"/>
      <w:kern w:val="2"/>
      <w:szCs w:val="22"/>
    </w:rPr>
  </w:style>
  <w:style w:type="paragraph" w:styleId="TOC5">
    <w:name w:val="toc 5"/>
    <w:basedOn w:val="Normal"/>
    <w:next w:val="Normal"/>
    <w:autoRedefine/>
    <w:uiPriority w:val="39"/>
    <w:unhideWhenUsed/>
    <w:rsid w:val="00B12736"/>
    <w:pPr>
      <w:widowControl w:val="0"/>
      <w:ind w:left="1680" w:leftChars="800"/>
    </w:pPr>
    <w:rPr>
      <w:rFonts w:cs="Times New Roman"/>
      <w:kern w:val="2"/>
      <w:szCs w:val="22"/>
    </w:rPr>
  </w:style>
  <w:style w:type="paragraph" w:styleId="TOC6">
    <w:name w:val="toc 6"/>
    <w:basedOn w:val="Normal"/>
    <w:next w:val="Normal"/>
    <w:autoRedefine/>
    <w:uiPriority w:val="39"/>
    <w:unhideWhenUsed/>
    <w:rsid w:val="00B12736"/>
    <w:pPr>
      <w:widowControl w:val="0"/>
      <w:ind w:left="2100" w:leftChars="1000"/>
    </w:pPr>
    <w:rPr>
      <w:rFonts w:cs="Times New Roman"/>
      <w:kern w:val="2"/>
      <w:szCs w:val="22"/>
    </w:rPr>
  </w:style>
  <w:style w:type="paragraph" w:styleId="TOC7">
    <w:name w:val="toc 7"/>
    <w:basedOn w:val="Normal"/>
    <w:next w:val="Normal"/>
    <w:autoRedefine/>
    <w:uiPriority w:val="39"/>
    <w:unhideWhenUsed/>
    <w:rsid w:val="00B12736"/>
    <w:pPr>
      <w:widowControl w:val="0"/>
      <w:ind w:left="2520" w:leftChars="1200"/>
    </w:pPr>
    <w:rPr>
      <w:rFonts w:cs="Times New Roman"/>
      <w:kern w:val="2"/>
      <w:szCs w:val="22"/>
    </w:rPr>
  </w:style>
  <w:style w:type="paragraph" w:styleId="TOC8">
    <w:name w:val="toc 8"/>
    <w:basedOn w:val="Normal"/>
    <w:next w:val="Normal"/>
    <w:autoRedefine/>
    <w:uiPriority w:val="39"/>
    <w:unhideWhenUsed/>
    <w:rsid w:val="00B12736"/>
    <w:pPr>
      <w:widowControl w:val="0"/>
      <w:ind w:left="2940" w:leftChars="1400"/>
    </w:pPr>
    <w:rPr>
      <w:rFonts w:cs="Times New Roman"/>
      <w:kern w:val="2"/>
      <w:szCs w:val="22"/>
    </w:rPr>
  </w:style>
  <w:style w:type="paragraph" w:styleId="TOC9">
    <w:name w:val="toc 9"/>
    <w:basedOn w:val="Normal"/>
    <w:next w:val="Normal"/>
    <w:autoRedefine/>
    <w:uiPriority w:val="39"/>
    <w:unhideWhenUsed/>
    <w:rsid w:val="00B12736"/>
    <w:pPr>
      <w:widowControl w:val="0"/>
      <w:ind w:left="3360" w:leftChars="1600"/>
    </w:pPr>
    <w:rPr>
      <w:rFonts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ervice@efunds.com.cn"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http://www.efunds.com.cn"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1579D-7737-4339-A6BB-AFA889E0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118</Pages>
  <Words>14206</Words>
  <Characters>80976</Characters>
  <Application>Microsoft Office Word</Application>
  <DocSecurity>0</DocSecurity>
  <Lines>674</Lines>
  <Paragraphs>189</Paragraphs>
  <ScaleCrop>false</ScaleCrop>
  <Company>易方达基金管理有限公司</Company>
  <LinksUpToDate>false</LinksUpToDate>
  <CharactersWithSpaces>94993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雷颖瑶</dc:creator>
  <cp:lastModifiedBy>汤嘉欣</cp:lastModifiedBy>
  <cp:revision>7</cp:revision>
  <dcterms:created xsi:type="dcterms:W3CDTF">2022-02-23T02:31:00Z</dcterms:created>
  <dcterms:modified xsi:type="dcterms:W3CDTF">2022-02-25T02:33:00Z</dcterms:modified>
</cp:coreProperties>
</file>