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C97484" w:rsidP="00C97484">
      <w:pPr>
        <w:widowControl/>
        <w:jc w:val="center"/>
        <w:rPr>
          <w:rFonts w:asciiTheme="minorEastAsia" w:eastAsiaTheme="minorEastAsia" w:hAnsiTheme="minorEastAsia" w:cs="宋体"/>
          <w:b/>
          <w:kern w:val="0"/>
          <w:sz w:val="30"/>
          <w:szCs w:val="30"/>
        </w:rPr>
      </w:pPr>
      <w:r w:rsidRPr="003B2E1D">
        <w:rPr>
          <w:rFonts w:asciiTheme="minorEastAsia" w:eastAsiaTheme="minorEastAsia" w:hAnsiTheme="minorEastAsia" w:cs="宋体" w:hint="eastAsia"/>
          <w:b/>
          <w:kern w:val="0"/>
          <w:sz w:val="30"/>
          <w:szCs w:val="30"/>
        </w:rPr>
        <w:t>易方达信用债债券型证券投资基金</w:t>
      </w:r>
      <w:r w:rsidR="00D24BF3">
        <w:rPr>
          <w:rFonts w:asciiTheme="minorEastAsia" w:eastAsiaTheme="minorEastAsia" w:hAnsiTheme="minorEastAsia" w:cs="宋体" w:hint="eastAsia"/>
          <w:b/>
          <w:kern w:val="0"/>
          <w:sz w:val="30"/>
          <w:szCs w:val="30"/>
        </w:rPr>
        <w:t>恢复</w:t>
      </w:r>
      <w:r>
        <w:rPr>
          <w:rFonts w:asciiTheme="minorEastAsia" w:eastAsiaTheme="minorEastAsia" w:hAnsiTheme="minorEastAsia" w:cs="宋体" w:hint="eastAsia"/>
          <w:b/>
          <w:kern w:val="0"/>
          <w:sz w:val="30"/>
          <w:szCs w:val="30"/>
        </w:rPr>
        <w:t>机构客户</w:t>
      </w:r>
      <w:r>
        <w:rPr>
          <w:rFonts w:asciiTheme="minorEastAsia" w:eastAsiaTheme="minorEastAsia" w:hAnsiTheme="minorEastAsia" w:cs="宋体" w:hint="eastAsia"/>
          <w:b/>
          <w:kern w:val="0"/>
          <w:sz w:val="30"/>
          <w:szCs w:val="30"/>
        </w:rPr>
        <w:t>大额申购及大额转换转入业务的公告</w:t>
      </w:r>
    </w:p>
    <w:p w:rsidR="00C97484" w:rsidP="00C97484">
      <w:pPr>
        <w:spacing w:line="56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公告送出日期：</w:t>
      </w:r>
      <w:r w:rsidR="006D041B">
        <w:rPr>
          <w:rFonts w:asciiTheme="minorEastAsia" w:eastAsiaTheme="minorEastAsia" w:hAnsiTheme="minorEastAsia" w:hint="eastAsia"/>
          <w:b/>
          <w:color w:val="000000"/>
          <w:sz w:val="24"/>
          <w:szCs w:val="24"/>
        </w:rPr>
        <w:t>2022</w:t>
      </w:r>
      <w:r>
        <w:rPr>
          <w:rFonts w:asciiTheme="minorEastAsia" w:eastAsiaTheme="minorEastAsia" w:hAnsiTheme="minorEastAsia" w:hint="eastAsia"/>
          <w:b/>
          <w:color w:val="000000"/>
          <w:sz w:val="24"/>
          <w:szCs w:val="24"/>
        </w:rPr>
        <w:t>年</w:t>
      </w:r>
      <w:r w:rsidR="006D041B">
        <w:rPr>
          <w:rFonts w:asciiTheme="minorEastAsia" w:eastAsiaTheme="minorEastAsia" w:hAnsiTheme="minorEastAsia" w:hint="eastAsia"/>
          <w:b/>
          <w:color w:val="000000"/>
          <w:sz w:val="24"/>
          <w:szCs w:val="24"/>
        </w:rPr>
        <w:t>2</w:t>
      </w:r>
      <w:r>
        <w:rPr>
          <w:rFonts w:asciiTheme="minorEastAsia" w:eastAsiaTheme="minorEastAsia" w:hAnsiTheme="minorEastAsia" w:hint="eastAsia"/>
          <w:b/>
          <w:color w:val="000000"/>
          <w:sz w:val="24"/>
          <w:szCs w:val="24"/>
        </w:rPr>
        <w:t>月</w:t>
      </w:r>
      <w:r w:rsidR="006D041B">
        <w:rPr>
          <w:rFonts w:asciiTheme="minorEastAsia" w:eastAsiaTheme="minorEastAsia" w:hAnsiTheme="minorEastAsia" w:hint="eastAsia"/>
          <w:b/>
          <w:color w:val="000000"/>
          <w:sz w:val="24"/>
          <w:szCs w:val="24"/>
        </w:rPr>
        <w:t>9</w:t>
      </w:r>
      <w:r w:rsidR="0006640B">
        <w:rPr>
          <w:rFonts w:asciiTheme="minorEastAsia" w:eastAsiaTheme="minorEastAsia" w:hAnsiTheme="minorEastAsia" w:hint="eastAsia"/>
          <w:b/>
          <w:color w:val="000000"/>
          <w:sz w:val="24"/>
          <w:szCs w:val="24"/>
        </w:rPr>
        <w:t>日</w:t>
      </w:r>
    </w:p>
    <w:p w:rsidR="00C97484" w:rsidP="00C97484">
      <w:pPr>
        <w:pStyle w:val="Heading3"/>
        <w:keepNext w:val="0"/>
        <w:keepLines w:val="0"/>
        <w:spacing w:before="0" w:after="0" w:line="360" w:lineRule="auto"/>
        <w:rPr>
          <w:rFonts w:ascii="宋体" w:hAnsi="宋体"/>
          <w:bCs w:val="0"/>
          <w:sz w:val="24"/>
          <w:szCs w:val="24"/>
        </w:rPr>
      </w:pPr>
      <w:r>
        <w:rPr>
          <w:rFonts w:ascii="宋体" w:hAnsi="宋体" w:hint="eastAsia"/>
          <w:bCs w:val="0"/>
          <w:sz w:val="24"/>
          <w:szCs w:val="24"/>
        </w:rPr>
        <w:t>1.公告基本信息</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4"/>
        <w:gridCol w:w="2429"/>
        <w:gridCol w:w="2145"/>
        <w:gridCol w:w="2287"/>
      </w:tblGrid>
      <w:tr w:rsidTr="00984E0C">
        <w:tblPrEx>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2244" w:type="dxa"/>
            <w:tcBorders>
              <w:top w:val="single" w:sz="4" w:space="0" w:color="auto"/>
              <w:left w:val="single" w:sz="4" w:space="0" w:color="auto"/>
              <w:bottom w:val="single" w:sz="4" w:space="0" w:color="auto"/>
              <w:right w:val="single" w:sz="4" w:space="0" w:color="auto"/>
            </w:tcBorders>
            <w:hideMark/>
          </w:tcPr>
          <w:p w:rsidR="00A84B02" w:rsidP="00A84B02">
            <w:pPr>
              <w:rPr>
                <w:rFonts w:eastAsia="宋体"/>
                <w:sz w:val="24"/>
                <w:szCs w:val="24"/>
              </w:rPr>
            </w:pPr>
            <w:r>
              <w:rPr>
                <w:rFonts w:eastAsia="宋体" w:hint="eastAsia"/>
                <w:sz w:val="24"/>
                <w:szCs w:val="24"/>
              </w:rPr>
              <w:t>基金名称</w:t>
            </w:r>
          </w:p>
        </w:tc>
        <w:tc>
          <w:tcPr>
            <w:tcW w:w="6861" w:type="dxa"/>
            <w:gridSpan w:val="3"/>
            <w:tcBorders>
              <w:top w:val="single" w:sz="4" w:space="0" w:color="auto"/>
              <w:left w:val="single" w:sz="4" w:space="0" w:color="auto"/>
              <w:bottom w:val="single" w:sz="4" w:space="0" w:color="auto"/>
              <w:right w:val="single" w:sz="4" w:space="0" w:color="auto"/>
            </w:tcBorders>
            <w:hideMark/>
          </w:tcPr>
          <w:p w:rsidR="00A84B02" w:rsidP="003B2E1D">
            <w:pPr>
              <w:rPr>
                <w:rFonts w:eastAsia="宋体"/>
                <w:sz w:val="24"/>
                <w:szCs w:val="24"/>
              </w:rPr>
            </w:pPr>
            <w:r w:rsidRPr="003B2E1D">
              <w:rPr>
                <w:rFonts w:eastAsia="宋体" w:hint="eastAsia"/>
                <w:sz w:val="24"/>
                <w:szCs w:val="24"/>
              </w:rPr>
              <w:t>易方达信用债债券型证券投资基金</w:t>
            </w:r>
          </w:p>
        </w:tc>
      </w:tr>
      <w:tr w:rsidTr="00984E0C">
        <w:tblPrEx>
          <w:tblW w:w="9105" w:type="dxa"/>
          <w:jc w:val="center"/>
          <w:tblLayout w:type="fixed"/>
          <w:tblLook w:val="04A0"/>
        </w:tblPrEx>
        <w:trPr>
          <w:jc w:val="center"/>
        </w:trPr>
        <w:tc>
          <w:tcPr>
            <w:tcW w:w="2244" w:type="dxa"/>
            <w:tcBorders>
              <w:top w:val="single" w:sz="4" w:space="0" w:color="auto"/>
              <w:left w:val="single" w:sz="4" w:space="0" w:color="auto"/>
              <w:bottom w:val="single" w:sz="4" w:space="0" w:color="auto"/>
              <w:right w:val="single" w:sz="4" w:space="0" w:color="auto"/>
            </w:tcBorders>
            <w:hideMark/>
          </w:tcPr>
          <w:p w:rsidR="00A84B02" w:rsidP="00A84B02">
            <w:pPr>
              <w:rPr>
                <w:rFonts w:eastAsia="宋体"/>
                <w:sz w:val="24"/>
                <w:szCs w:val="24"/>
              </w:rPr>
            </w:pPr>
            <w:r>
              <w:rPr>
                <w:rFonts w:eastAsia="宋体" w:hint="eastAsia"/>
                <w:sz w:val="24"/>
                <w:szCs w:val="24"/>
              </w:rPr>
              <w:t>基金简称</w:t>
            </w:r>
          </w:p>
        </w:tc>
        <w:tc>
          <w:tcPr>
            <w:tcW w:w="6861" w:type="dxa"/>
            <w:gridSpan w:val="3"/>
            <w:tcBorders>
              <w:top w:val="single" w:sz="4" w:space="0" w:color="auto"/>
              <w:left w:val="single" w:sz="4" w:space="0" w:color="auto"/>
              <w:bottom w:val="single" w:sz="4" w:space="0" w:color="auto"/>
              <w:right w:val="single" w:sz="4" w:space="0" w:color="auto"/>
            </w:tcBorders>
            <w:hideMark/>
          </w:tcPr>
          <w:p w:rsidR="00A84B02" w:rsidP="00A84B02">
            <w:pPr>
              <w:rPr>
                <w:rFonts w:eastAsia="宋体"/>
                <w:sz w:val="24"/>
                <w:szCs w:val="24"/>
              </w:rPr>
            </w:pPr>
            <w:r w:rsidRPr="003B2E1D">
              <w:rPr>
                <w:rFonts w:eastAsia="宋体" w:hint="eastAsia"/>
                <w:sz w:val="24"/>
                <w:szCs w:val="24"/>
              </w:rPr>
              <w:t>易方达信用债债券</w:t>
            </w:r>
          </w:p>
        </w:tc>
      </w:tr>
      <w:tr w:rsidTr="00984E0C">
        <w:tblPrEx>
          <w:tblW w:w="9105" w:type="dxa"/>
          <w:jc w:val="center"/>
          <w:tblLayout w:type="fixed"/>
          <w:tblLook w:val="04A0"/>
        </w:tblPrEx>
        <w:trPr>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A84B02" w:rsidP="00A84B02">
            <w:pPr>
              <w:rPr>
                <w:rFonts w:eastAsia="宋体"/>
                <w:sz w:val="24"/>
                <w:szCs w:val="24"/>
              </w:rPr>
            </w:pPr>
            <w:r>
              <w:rPr>
                <w:rFonts w:eastAsia="宋体" w:hint="eastAsia"/>
                <w:sz w:val="24"/>
                <w:szCs w:val="24"/>
              </w:rPr>
              <w:t>基金主代码</w:t>
            </w:r>
          </w:p>
        </w:tc>
        <w:tc>
          <w:tcPr>
            <w:tcW w:w="6861" w:type="dxa"/>
            <w:gridSpan w:val="3"/>
            <w:tcBorders>
              <w:top w:val="single" w:sz="4" w:space="0" w:color="auto"/>
              <w:left w:val="single" w:sz="4" w:space="0" w:color="auto"/>
              <w:bottom w:val="single" w:sz="4" w:space="0" w:color="auto"/>
              <w:right w:val="single" w:sz="4" w:space="0" w:color="auto"/>
            </w:tcBorders>
            <w:vAlign w:val="center"/>
            <w:hideMark/>
          </w:tcPr>
          <w:p w:rsidR="00A84B02" w:rsidP="00A84B02">
            <w:pPr>
              <w:rPr>
                <w:rFonts w:eastAsia="宋体"/>
                <w:sz w:val="24"/>
                <w:szCs w:val="24"/>
              </w:rPr>
            </w:pPr>
            <w:r w:rsidRPr="003B2E1D">
              <w:rPr>
                <w:rFonts w:eastAsia="宋体"/>
                <w:sz w:val="24"/>
                <w:szCs w:val="24"/>
              </w:rPr>
              <w:t>000032</w:t>
            </w:r>
          </w:p>
        </w:tc>
      </w:tr>
      <w:tr w:rsidTr="00984E0C">
        <w:tblPrEx>
          <w:tblW w:w="9105" w:type="dxa"/>
          <w:jc w:val="center"/>
          <w:tblLayout w:type="fixed"/>
          <w:tblLook w:val="04A0"/>
        </w:tblPrEx>
        <w:trPr>
          <w:jc w:val="center"/>
        </w:trPr>
        <w:tc>
          <w:tcPr>
            <w:tcW w:w="2244" w:type="dxa"/>
            <w:tcBorders>
              <w:top w:val="single" w:sz="4" w:space="0" w:color="auto"/>
              <w:left w:val="single" w:sz="4" w:space="0" w:color="auto"/>
              <w:bottom w:val="single" w:sz="4" w:space="0" w:color="auto"/>
              <w:right w:val="single" w:sz="4" w:space="0" w:color="auto"/>
            </w:tcBorders>
            <w:hideMark/>
          </w:tcPr>
          <w:p w:rsidR="00A84B02" w:rsidP="00A84B02">
            <w:pPr>
              <w:rPr>
                <w:rFonts w:eastAsia="宋体"/>
                <w:sz w:val="24"/>
                <w:szCs w:val="24"/>
              </w:rPr>
            </w:pPr>
            <w:r>
              <w:rPr>
                <w:rFonts w:eastAsia="宋体" w:hint="eastAsia"/>
                <w:sz w:val="24"/>
                <w:szCs w:val="24"/>
              </w:rPr>
              <w:t>基金管理人名称</w:t>
            </w:r>
          </w:p>
        </w:tc>
        <w:tc>
          <w:tcPr>
            <w:tcW w:w="6861" w:type="dxa"/>
            <w:gridSpan w:val="3"/>
            <w:tcBorders>
              <w:top w:val="single" w:sz="4" w:space="0" w:color="auto"/>
              <w:left w:val="single" w:sz="4" w:space="0" w:color="auto"/>
              <w:bottom w:val="single" w:sz="4" w:space="0" w:color="auto"/>
              <w:right w:val="single" w:sz="4" w:space="0" w:color="auto"/>
            </w:tcBorders>
            <w:hideMark/>
          </w:tcPr>
          <w:p w:rsidR="00A84B02" w:rsidP="00A84B02">
            <w:pPr>
              <w:rPr>
                <w:rFonts w:eastAsia="宋体"/>
                <w:sz w:val="24"/>
                <w:szCs w:val="24"/>
              </w:rPr>
            </w:pPr>
            <w:r>
              <w:rPr>
                <w:rFonts w:eastAsia="宋体" w:hint="eastAsia"/>
                <w:sz w:val="24"/>
                <w:szCs w:val="24"/>
              </w:rPr>
              <w:t>易方达基金管理有限公司</w:t>
            </w:r>
          </w:p>
        </w:tc>
      </w:tr>
      <w:tr w:rsidTr="00984E0C">
        <w:tblPrEx>
          <w:tblW w:w="9105" w:type="dxa"/>
          <w:jc w:val="center"/>
          <w:tblLayout w:type="fixed"/>
          <w:tblLook w:val="04A0"/>
        </w:tblPrEx>
        <w:trPr>
          <w:jc w:val="center"/>
        </w:trPr>
        <w:tc>
          <w:tcPr>
            <w:tcW w:w="2244" w:type="dxa"/>
            <w:tcBorders>
              <w:top w:val="single" w:sz="4" w:space="0" w:color="auto"/>
              <w:left w:val="single" w:sz="4" w:space="0" w:color="auto"/>
              <w:bottom w:val="single" w:sz="4" w:space="0" w:color="auto"/>
              <w:right w:val="single" w:sz="4" w:space="0" w:color="auto"/>
            </w:tcBorders>
            <w:hideMark/>
          </w:tcPr>
          <w:p w:rsidR="00A84B02" w:rsidP="00A84B02">
            <w:pPr>
              <w:rPr>
                <w:rFonts w:eastAsia="宋体"/>
                <w:sz w:val="24"/>
                <w:szCs w:val="24"/>
              </w:rPr>
            </w:pPr>
            <w:r>
              <w:rPr>
                <w:rFonts w:eastAsia="宋体" w:hint="eastAsia"/>
                <w:sz w:val="24"/>
                <w:szCs w:val="24"/>
              </w:rPr>
              <w:t>公告依据</w:t>
            </w:r>
          </w:p>
        </w:tc>
        <w:tc>
          <w:tcPr>
            <w:tcW w:w="6861" w:type="dxa"/>
            <w:gridSpan w:val="3"/>
            <w:tcBorders>
              <w:top w:val="single" w:sz="4" w:space="0" w:color="auto"/>
              <w:left w:val="single" w:sz="4" w:space="0" w:color="auto"/>
              <w:bottom w:val="single" w:sz="4" w:space="0" w:color="auto"/>
              <w:right w:val="single" w:sz="4" w:space="0" w:color="auto"/>
            </w:tcBorders>
            <w:hideMark/>
          </w:tcPr>
          <w:p w:rsidR="00A84B02" w:rsidP="003B2E1D">
            <w:pPr>
              <w:rPr>
                <w:rFonts w:eastAsia="宋体"/>
                <w:sz w:val="24"/>
                <w:szCs w:val="24"/>
              </w:rPr>
            </w:pPr>
            <w:r>
              <w:rPr>
                <w:rFonts w:eastAsia="宋体" w:hint="eastAsia"/>
                <w:sz w:val="24"/>
                <w:szCs w:val="24"/>
              </w:rPr>
              <w:t>《</w:t>
            </w:r>
            <w:r w:rsidRPr="003B2E1D" w:rsidR="003B2E1D">
              <w:rPr>
                <w:rFonts w:eastAsia="宋体" w:hint="eastAsia"/>
                <w:sz w:val="24"/>
                <w:szCs w:val="24"/>
              </w:rPr>
              <w:t>易方达信用债债券型证券投资基金基金合同</w:t>
            </w:r>
            <w:r w:rsidR="00F621E7">
              <w:rPr>
                <w:rFonts w:eastAsia="宋体" w:hint="eastAsia"/>
                <w:sz w:val="24"/>
                <w:szCs w:val="24"/>
              </w:rPr>
              <w:t>》</w:t>
            </w:r>
            <w:r>
              <w:rPr>
                <w:rFonts w:eastAsia="宋体" w:hint="eastAsia"/>
                <w:sz w:val="24"/>
                <w:szCs w:val="24"/>
              </w:rPr>
              <w:t>《</w:t>
            </w:r>
            <w:r w:rsidRPr="003B2E1D" w:rsidR="003B2E1D">
              <w:rPr>
                <w:rFonts w:eastAsia="宋体" w:hint="eastAsia"/>
                <w:sz w:val="24"/>
                <w:szCs w:val="24"/>
              </w:rPr>
              <w:t>易方达信用债债券型证券投资基金更新的招募说明书</w:t>
            </w:r>
            <w:r>
              <w:rPr>
                <w:rFonts w:eastAsia="宋体" w:hint="eastAsia"/>
                <w:sz w:val="24"/>
                <w:szCs w:val="24"/>
              </w:rPr>
              <w:t>》</w:t>
            </w:r>
          </w:p>
        </w:tc>
      </w:tr>
      <w:tr w:rsidTr="002421A8">
        <w:tblPrEx>
          <w:tblW w:w="9105" w:type="dxa"/>
          <w:jc w:val="center"/>
          <w:tblLayout w:type="fixed"/>
          <w:tblLook w:val="04A0"/>
        </w:tblPrEx>
        <w:trPr>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tcPr>
          <w:p w:rsidR="00C97484" w:rsidP="005D2ADD">
            <w:r>
              <w:rPr>
                <w:rFonts w:eastAsia="宋体" w:hint="eastAsia"/>
                <w:sz w:val="24"/>
                <w:szCs w:val="24"/>
              </w:rPr>
              <w:t>恢复</w:t>
            </w:r>
            <w:r>
              <w:rPr>
                <w:rFonts w:eastAsia="宋体" w:hint="eastAsia"/>
                <w:sz w:val="24"/>
                <w:szCs w:val="24"/>
              </w:rPr>
              <w:t>相关业务的</w:t>
            </w:r>
            <w:r w:rsidR="005D2ADD">
              <w:rPr>
                <w:rFonts w:eastAsia="宋体" w:hint="eastAsia"/>
                <w:sz w:val="24"/>
                <w:szCs w:val="24"/>
              </w:rPr>
              <w:t>日期</w:t>
            </w:r>
            <w:r>
              <w:rPr>
                <w:rFonts w:eastAsia="宋体" w:hint="eastAsia"/>
                <w:sz w:val="24"/>
                <w:szCs w:val="24"/>
              </w:rPr>
              <w:t>及原因说明</w:t>
            </w:r>
          </w:p>
        </w:tc>
        <w:tc>
          <w:tcPr>
            <w:tcW w:w="2429" w:type="dxa"/>
            <w:tcBorders>
              <w:top w:val="single" w:sz="4" w:space="0" w:color="auto"/>
              <w:left w:val="single" w:sz="4" w:space="0" w:color="auto"/>
              <w:bottom w:val="single" w:sz="4" w:space="0" w:color="auto"/>
              <w:right w:val="single" w:sz="4" w:space="0" w:color="auto"/>
            </w:tcBorders>
            <w:hideMark/>
          </w:tcPr>
          <w:p w:rsidR="00C97484">
            <w:pPr>
              <w:rPr>
                <w:rFonts w:eastAsia="宋体"/>
                <w:sz w:val="24"/>
                <w:szCs w:val="24"/>
              </w:rPr>
            </w:pPr>
            <w:r>
              <w:rPr>
                <w:rFonts w:eastAsia="宋体" w:hint="eastAsia"/>
                <w:sz w:val="24"/>
                <w:szCs w:val="24"/>
              </w:rPr>
              <w:t>恢复大额申购</w:t>
            </w:r>
            <w:r>
              <w:rPr>
                <w:rFonts w:eastAsia="宋体" w:hint="eastAsia"/>
                <w:sz w:val="24"/>
                <w:szCs w:val="24"/>
              </w:rPr>
              <w:t>日</w:t>
            </w:r>
          </w:p>
        </w:tc>
        <w:tc>
          <w:tcPr>
            <w:tcW w:w="4432" w:type="dxa"/>
            <w:gridSpan w:val="2"/>
            <w:tcBorders>
              <w:top w:val="single" w:sz="4" w:space="0" w:color="auto"/>
              <w:left w:val="single" w:sz="4" w:space="0" w:color="auto"/>
              <w:bottom w:val="single" w:sz="4" w:space="0" w:color="auto"/>
              <w:right w:val="single" w:sz="4" w:space="0" w:color="auto"/>
            </w:tcBorders>
            <w:vAlign w:val="center"/>
            <w:hideMark/>
          </w:tcPr>
          <w:p w:rsidR="00C97484">
            <w:pPr>
              <w:rPr>
                <w:rFonts w:eastAsia="宋体"/>
                <w:sz w:val="24"/>
                <w:szCs w:val="24"/>
              </w:rPr>
            </w:pPr>
            <w:r>
              <w:rPr>
                <w:rFonts w:eastAsia="宋体"/>
                <w:sz w:val="24"/>
                <w:szCs w:val="24"/>
              </w:rPr>
              <w:t>2022</w:t>
            </w:r>
            <w:r>
              <w:rPr>
                <w:rFonts w:eastAsia="宋体" w:hint="eastAsia"/>
                <w:sz w:val="24"/>
                <w:szCs w:val="24"/>
              </w:rPr>
              <w:t>年</w:t>
            </w:r>
            <w:r>
              <w:rPr>
                <w:rFonts w:eastAsia="宋体" w:hint="eastAsia"/>
                <w:sz w:val="24"/>
                <w:szCs w:val="24"/>
              </w:rPr>
              <w:t>2</w:t>
            </w:r>
            <w:r>
              <w:rPr>
                <w:rFonts w:eastAsia="宋体" w:hint="eastAsia"/>
                <w:sz w:val="24"/>
                <w:szCs w:val="24"/>
              </w:rPr>
              <w:t>月</w:t>
            </w:r>
            <w:r>
              <w:rPr>
                <w:rFonts w:eastAsia="宋体" w:hint="eastAsia"/>
                <w:sz w:val="24"/>
                <w:szCs w:val="24"/>
              </w:rPr>
              <w:t>10</w:t>
            </w:r>
            <w:r>
              <w:rPr>
                <w:rFonts w:eastAsia="宋体" w:hint="eastAsia"/>
                <w:sz w:val="24"/>
                <w:szCs w:val="24"/>
              </w:rPr>
              <w:t>日</w:t>
            </w:r>
          </w:p>
        </w:tc>
      </w:tr>
      <w:tr w:rsidTr="002421A8">
        <w:tblPrEx>
          <w:tblW w:w="9105" w:type="dxa"/>
          <w:jc w:val="center"/>
          <w:tblLayout w:type="fixed"/>
          <w:tblLook w:val="04A0"/>
        </w:tblPrEx>
        <w:trPr>
          <w:jc w:val="center"/>
        </w:trPr>
        <w:tc>
          <w:tcPr>
            <w:tcW w:w="2244" w:type="dxa"/>
            <w:vMerge/>
            <w:tcBorders>
              <w:top w:val="single" w:sz="4" w:space="0" w:color="auto"/>
              <w:left w:val="single" w:sz="4" w:space="0" w:color="auto"/>
              <w:bottom w:val="single" w:sz="4" w:space="0" w:color="auto"/>
              <w:right w:val="single" w:sz="4" w:space="0" w:color="auto"/>
            </w:tcBorders>
            <w:vAlign w:val="center"/>
            <w:hideMark/>
          </w:tcPr>
          <w:p w:rsidR="006D041B" w:rsidP="006D041B">
            <w:pPr>
              <w:widowControl/>
              <w:jc w:val="left"/>
            </w:pPr>
          </w:p>
        </w:tc>
        <w:tc>
          <w:tcPr>
            <w:tcW w:w="2429" w:type="dxa"/>
            <w:tcBorders>
              <w:top w:val="single" w:sz="4" w:space="0" w:color="auto"/>
              <w:left w:val="single" w:sz="4" w:space="0" w:color="auto"/>
              <w:bottom w:val="single" w:sz="4" w:space="0" w:color="auto"/>
              <w:right w:val="single" w:sz="4" w:space="0" w:color="auto"/>
            </w:tcBorders>
            <w:hideMark/>
          </w:tcPr>
          <w:p w:rsidR="006D041B" w:rsidP="006D041B">
            <w:pPr>
              <w:rPr>
                <w:rFonts w:eastAsia="宋体"/>
                <w:sz w:val="24"/>
                <w:szCs w:val="24"/>
              </w:rPr>
            </w:pPr>
            <w:r>
              <w:rPr>
                <w:rFonts w:eastAsia="宋体" w:hint="eastAsia"/>
                <w:sz w:val="24"/>
                <w:szCs w:val="24"/>
              </w:rPr>
              <w:t>恢复大额转换转入日</w:t>
            </w:r>
          </w:p>
        </w:tc>
        <w:tc>
          <w:tcPr>
            <w:tcW w:w="4432" w:type="dxa"/>
            <w:gridSpan w:val="2"/>
            <w:tcBorders>
              <w:top w:val="single" w:sz="4" w:space="0" w:color="auto"/>
              <w:left w:val="single" w:sz="4" w:space="0" w:color="auto"/>
              <w:bottom w:val="single" w:sz="4" w:space="0" w:color="auto"/>
              <w:right w:val="single" w:sz="4" w:space="0" w:color="auto"/>
            </w:tcBorders>
            <w:vAlign w:val="center"/>
            <w:hideMark/>
          </w:tcPr>
          <w:p w:rsidR="006D041B" w:rsidP="006D041B">
            <w:pPr>
              <w:rPr>
                <w:rFonts w:eastAsia="宋体"/>
                <w:sz w:val="24"/>
                <w:szCs w:val="24"/>
              </w:rPr>
            </w:pPr>
            <w:r>
              <w:rPr>
                <w:rFonts w:eastAsia="宋体"/>
                <w:sz w:val="24"/>
                <w:szCs w:val="24"/>
              </w:rPr>
              <w:t>2022</w:t>
            </w:r>
            <w:r>
              <w:rPr>
                <w:rFonts w:eastAsia="宋体" w:hint="eastAsia"/>
                <w:sz w:val="24"/>
                <w:szCs w:val="24"/>
              </w:rPr>
              <w:t>年</w:t>
            </w:r>
            <w:r>
              <w:rPr>
                <w:rFonts w:eastAsia="宋体" w:hint="eastAsia"/>
                <w:sz w:val="24"/>
                <w:szCs w:val="24"/>
              </w:rPr>
              <w:t>2</w:t>
            </w:r>
            <w:r>
              <w:rPr>
                <w:rFonts w:eastAsia="宋体" w:hint="eastAsia"/>
                <w:sz w:val="24"/>
                <w:szCs w:val="24"/>
              </w:rPr>
              <w:t>月</w:t>
            </w:r>
            <w:r>
              <w:rPr>
                <w:rFonts w:eastAsia="宋体" w:hint="eastAsia"/>
                <w:sz w:val="24"/>
                <w:szCs w:val="24"/>
              </w:rPr>
              <w:t>10</w:t>
            </w:r>
            <w:r>
              <w:rPr>
                <w:rFonts w:eastAsia="宋体" w:hint="eastAsia"/>
                <w:sz w:val="24"/>
                <w:szCs w:val="24"/>
              </w:rPr>
              <w:t>日</w:t>
            </w:r>
          </w:p>
        </w:tc>
      </w:tr>
      <w:tr w:rsidTr="002421A8">
        <w:tblPrEx>
          <w:tblW w:w="9105" w:type="dxa"/>
          <w:jc w:val="center"/>
          <w:tblLayout w:type="fixed"/>
          <w:tblLook w:val="04A0"/>
        </w:tblPrEx>
        <w:trPr>
          <w:jc w:val="center"/>
        </w:trPr>
        <w:tc>
          <w:tcPr>
            <w:tcW w:w="2244" w:type="dxa"/>
            <w:vMerge/>
            <w:tcBorders>
              <w:top w:val="single" w:sz="4" w:space="0" w:color="auto"/>
              <w:left w:val="single" w:sz="4" w:space="0" w:color="auto"/>
              <w:bottom w:val="single" w:sz="4" w:space="0" w:color="auto"/>
              <w:right w:val="single" w:sz="4" w:space="0" w:color="auto"/>
            </w:tcBorders>
            <w:vAlign w:val="center"/>
            <w:hideMark/>
          </w:tcPr>
          <w:p w:rsidR="00DB7CA4" w:rsidP="00DB7CA4">
            <w:pPr>
              <w:widowControl/>
              <w:jc w:val="left"/>
            </w:pPr>
          </w:p>
        </w:tc>
        <w:tc>
          <w:tcPr>
            <w:tcW w:w="2429" w:type="dxa"/>
            <w:tcBorders>
              <w:top w:val="single" w:sz="4" w:space="0" w:color="auto"/>
              <w:left w:val="single" w:sz="4" w:space="0" w:color="auto"/>
              <w:bottom w:val="single" w:sz="4" w:space="0" w:color="auto"/>
              <w:right w:val="single" w:sz="4" w:space="0" w:color="auto"/>
            </w:tcBorders>
            <w:hideMark/>
          </w:tcPr>
          <w:p w:rsidR="00DB7CA4" w:rsidP="00DB7CA4">
            <w:pPr>
              <w:rPr>
                <w:rFonts w:eastAsia="宋体"/>
                <w:sz w:val="24"/>
                <w:szCs w:val="24"/>
              </w:rPr>
            </w:pPr>
            <w:r>
              <w:rPr>
                <w:rFonts w:eastAsia="宋体" w:hint="eastAsia"/>
                <w:sz w:val="24"/>
                <w:szCs w:val="24"/>
              </w:rPr>
              <w:t>恢复</w:t>
            </w:r>
            <w:r>
              <w:rPr>
                <w:rFonts w:eastAsia="宋体" w:hint="eastAsia"/>
                <w:sz w:val="24"/>
                <w:szCs w:val="24"/>
              </w:rPr>
              <w:t>大额申购、大额转换转入的原因说明</w:t>
            </w:r>
          </w:p>
        </w:tc>
        <w:tc>
          <w:tcPr>
            <w:tcW w:w="4432" w:type="dxa"/>
            <w:gridSpan w:val="2"/>
            <w:tcBorders>
              <w:top w:val="single" w:sz="4" w:space="0" w:color="auto"/>
              <w:left w:val="single" w:sz="4" w:space="0" w:color="auto"/>
              <w:bottom w:val="single" w:sz="4" w:space="0" w:color="auto"/>
              <w:right w:val="single" w:sz="4" w:space="0" w:color="auto"/>
            </w:tcBorders>
            <w:hideMark/>
          </w:tcPr>
          <w:p w:rsidR="00DB7CA4" w:rsidP="00DB7CA4">
            <w:pPr>
              <w:rPr>
                <w:rFonts w:eastAsia="宋体"/>
                <w:sz w:val="24"/>
                <w:szCs w:val="24"/>
              </w:rPr>
            </w:pPr>
            <w:r>
              <w:rPr>
                <w:rFonts w:eastAsia="宋体" w:hint="eastAsia"/>
                <w:sz w:val="24"/>
                <w:szCs w:val="24"/>
              </w:rPr>
              <w:t>为了</w:t>
            </w:r>
            <w:r w:rsidR="00F621E7">
              <w:rPr>
                <w:rFonts w:eastAsia="宋体" w:hint="eastAsia"/>
                <w:sz w:val="24"/>
                <w:szCs w:val="24"/>
              </w:rPr>
              <w:t>满足</w:t>
            </w:r>
            <w:r w:rsidR="002421A8">
              <w:rPr>
                <w:rFonts w:eastAsia="宋体" w:hint="eastAsia"/>
                <w:sz w:val="24"/>
                <w:szCs w:val="24"/>
              </w:rPr>
              <w:t>投资者的需求</w:t>
            </w:r>
          </w:p>
        </w:tc>
      </w:tr>
      <w:tr w:rsidTr="002421A8">
        <w:tblPrEx>
          <w:tblW w:w="9105" w:type="dxa"/>
          <w:jc w:val="center"/>
          <w:tblLayout w:type="fixed"/>
          <w:tblLook w:val="04A0"/>
        </w:tblPrEx>
        <w:trPr>
          <w:jc w:val="center"/>
        </w:trPr>
        <w:tc>
          <w:tcPr>
            <w:tcW w:w="4673" w:type="dxa"/>
            <w:gridSpan w:val="2"/>
            <w:tcBorders>
              <w:top w:val="single" w:sz="4" w:space="0" w:color="auto"/>
              <w:left w:val="single" w:sz="4" w:space="0" w:color="auto"/>
              <w:bottom w:val="single" w:sz="4" w:space="0" w:color="auto"/>
              <w:right w:val="single" w:sz="4" w:space="0" w:color="auto"/>
            </w:tcBorders>
            <w:vAlign w:val="center"/>
          </w:tcPr>
          <w:p w:rsidR="00A84B02" w:rsidP="00A84B02">
            <w:pPr>
              <w:rPr>
                <w:rFonts w:eastAsia="宋体"/>
                <w:sz w:val="24"/>
                <w:szCs w:val="24"/>
              </w:rPr>
            </w:pPr>
            <w:r>
              <w:rPr>
                <w:rFonts w:eastAsia="宋体" w:hint="eastAsia"/>
                <w:sz w:val="24"/>
                <w:szCs w:val="24"/>
              </w:rPr>
              <w:t>下属分级基金的基金简称</w:t>
            </w:r>
          </w:p>
        </w:tc>
        <w:tc>
          <w:tcPr>
            <w:tcW w:w="2145" w:type="dxa"/>
            <w:tcBorders>
              <w:top w:val="single" w:sz="4" w:space="0" w:color="auto"/>
              <w:left w:val="single" w:sz="4" w:space="0" w:color="auto"/>
              <w:right w:val="single" w:sz="4" w:space="0" w:color="auto"/>
            </w:tcBorders>
            <w:vAlign w:val="center"/>
          </w:tcPr>
          <w:p w:rsidR="00A84B02" w:rsidP="00A84B02">
            <w:pPr>
              <w:rPr>
                <w:rFonts w:eastAsia="宋体"/>
                <w:sz w:val="24"/>
                <w:szCs w:val="24"/>
              </w:rPr>
            </w:pPr>
            <w:r w:rsidRPr="003B2E1D">
              <w:rPr>
                <w:rFonts w:eastAsia="宋体" w:hint="eastAsia"/>
                <w:sz w:val="24"/>
                <w:szCs w:val="24"/>
              </w:rPr>
              <w:t>易方达信用债债券</w:t>
            </w:r>
            <w:r w:rsidRPr="003B2E1D">
              <w:rPr>
                <w:rFonts w:eastAsia="宋体" w:hint="eastAsia"/>
                <w:sz w:val="24"/>
                <w:szCs w:val="24"/>
              </w:rPr>
              <w:t>A</w:t>
            </w:r>
          </w:p>
        </w:tc>
        <w:tc>
          <w:tcPr>
            <w:tcW w:w="2287" w:type="dxa"/>
            <w:tcBorders>
              <w:top w:val="single" w:sz="4" w:space="0" w:color="auto"/>
              <w:left w:val="single" w:sz="4" w:space="0" w:color="auto"/>
              <w:right w:val="single" w:sz="4" w:space="0" w:color="auto"/>
            </w:tcBorders>
            <w:vAlign w:val="center"/>
          </w:tcPr>
          <w:p w:rsidR="00A84B02" w:rsidP="00A84B02">
            <w:pPr>
              <w:rPr>
                <w:rFonts w:eastAsia="宋体"/>
                <w:sz w:val="24"/>
                <w:szCs w:val="24"/>
              </w:rPr>
            </w:pPr>
            <w:r w:rsidRPr="003B2E1D">
              <w:rPr>
                <w:rFonts w:eastAsia="宋体" w:hint="eastAsia"/>
                <w:sz w:val="24"/>
                <w:szCs w:val="24"/>
              </w:rPr>
              <w:t>易方达信用债债券</w:t>
            </w:r>
            <w:r w:rsidRPr="003B2E1D">
              <w:rPr>
                <w:rFonts w:eastAsia="宋体" w:hint="eastAsia"/>
                <w:sz w:val="24"/>
                <w:szCs w:val="24"/>
              </w:rPr>
              <w:t>C</w:t>
            </w:r>
          </w:p>
        </w:tc>
      </w:tr>
      <w:tr w:rsidTr="002421A8">
        <w:tblPrEx>
          <w:tblW w:w="9105" w:type="dxa"/>
          <w:jc w:val="center"/>
          <w:tblLayout w:type="fixed"/>
          <w:tblLook w:val="04A0"/>
        </w:tblPrEx>
        <w:trPr>
          <w:jc w:val="center"/>
        </w:trPr>
        <w:tc>
          <w:tcPr>
            <w:tcW w:w="4673" w:type="dxa"/>
            <w:gridSpan w:val="2"/>
            <w:tcBorders>
              <w:top w:val="single" w:sz="4" w:space="0" w:color="auto"/>
              <w:left w:val="single" w:sz="4" w:space="0" w:color="auto"/>
              <w:bottom w:val="single" w:sz="4" w:space="0" w:color="auto"/>
              <w:right w:val="single" w:sz="4" w:space="0" w:color="auto"/>
            </w:tcBorders>
            <w:vAlign w:val="center"/>
          </w:tcPr>
          <w:p w:rsidR="00A84B02" w:rsidP="00A84B02">
            <w:pPr>
              <w:rPr>
                <w:rFonts w:eastAsia="宋体"/>
                <w:sz w:val="24"/>
                <w:szCs w:val="24"/>
              </w:rPr>
            </w:pPr>
            <w:r>
              <w:rPr>
                <w:rFonts w:eastAsia="宋体" w:hint="eastAsia"/>
                <w:sz w:val="24"/>
                <w:szCs w:val="24"/>
              </w:rPr>
              <w:t>下属分级基金的交易代码</w:t>
            </w:r>
          </w:p>
        </w:tc>
        <w:tc>
          <w:tcPr>
            <w:tcW w:w="2145" w:type="dxa"/>
            <w:tcBorders>
              <w:left w:val="single" w:sz="4" w:space="0" w:color="auto"/>
              <w:right w:val="single" w:sz="4" w:space="0" w:color="auto"/>
            </w:tcBorders>
            <w:vAlign w:val="center"/>
          </w:tcPr>
          <w:p w:rsidR="00A84B02" w:rsidP="00A84B02">
            <w:pPr>
              <w:rPr>
                <w:rFonts w:eastAsia="宋体"/>
                <w:sz w:val="24"/>
                <w:szCs w:val="24"/>
              </w:rPr>
            </w:pPr>
            <w:r w:rsidRPr="003B2E1D">
              <w:rPr>
                <w:rFonts w:eastAsia="宋体"/>
                <w:sz w:val="24"/>
                <w:szCs w:val="24"/>
              </w:rPr>
              <w:t>000032</w:t>
            </w:r>
          </w:p>
        </w:tc>
        <w:tc>
          <w:tcPr>
            <w:tcW w:w="2287" w:type="dxa"/>
            <w:tcBorders>
              <w:left w:val="single" w:sz="4" w:space="0" w:color="auto"/>
              <w:right w:val="single" w:sz="4" w:space="0" w:color="auto"/>
            </w:tcBorders>
            <w:vAlign w:val="center"/>
          </w:tcPr>
          <w:p w:rsidR="00A84B02" w:rsidP="00A84B02">
            <w:pPr>
              <w:rPr>
                <w:rFonts w:eastAsia="宋体"/>
                <w:sz w:val="24"/>
                <w:szCs w:val="24"/>
              </w:rPr>
            </w:pPr>
            <w:r w:rsidRPr="003B2E1D">
              <w:rPr>
                <w:rFonts w:eastAsia="宋体"/>
                <w:sz w:val="24"/>
                <w:szCs w:val="24"/>
              </w:rPr>
              <w:t>000033</w:t>
            </w:r>
          </w:p>
        </w:tc>
      </w:tr>
      <w:tr w:rsidTr="002421A8">
        <w:tblPrEx>
          <w:tblW w:w="9105" w:type="dxa"/>
          <w:jc w:val="center"/>
          <w:tblLayout w:type="fixed"/>
          <w:tblLook w:val="04A0"/>
        </w:tblPrEx>
        <w:trPr>
          <w:jc w:val="center"/>
        </w:trPr>
        <w:tc>
          <w:tcPr>
            <w:tcW w:w="4673" w:type="dxa"/>
            <w:gridSpan w:val="2"/>
            <w:tcBorders>
              <w:top w:val="single" w:sz="4" w:space="0" w:color="auto"/>
              <w:left w:val="single" w:sz="4" w:space="0" w:color="auto"/>
              <w:bottom w:val="single" w:sz="4" w:space="0" w:color="auto"/>
              <w:right w:val="single" w:sz="4" w:space="0" w:color="auto"/>
            </w:tcBorders>
          </w:tcPr>
          <w:p w:rsidR="00A84B02" w:rsidP="00A84B02">
            <w:pPr>
              <w:rPr>
                <w:rFonts w:eastAsia="宋体"/>
                <w:sz w:val="24"/>
                <w:szCs w:val="24"/>
              </w:rPr>
            </w:pPr>
            <w:r>
              <w:rPr>
                <w:rFonts w:eastAsia="宋体" w:hint="eastAsia"/>
                <w:sz w:val="24"/>
                <w:szCs w:val="24"/>
              </w:rPr>
              <w:t>该分级基金是否恢复大额申购、大额转换转入</w:t>
            </w:r>
          </w:p>
        </w:tc>
        <w:tc>
          <w:tcPr>
            <w:tcW w:w="2145" w:type="dxa"/>
            <w:tcBorders>
              <w:left w:val="single" w:sz="4" w:space="0" w:color="auto"/>
              <w:right w:val="single" w:sz="4" w:space="0" w:color="auto"/>
            </w:tcBorders>
            <w:vAlign w:val="center"/>
          </w:tcPr>
          <w:p w:rsidR="00A84B02" w:rsidP="00A84B02">
            <w:pPr>
              <w:rPr>
                <w:rFonts w:eastAsia="宋体"/>
                <w:sz w:val="24"/>
                <w:szCs w:val="24"/>
              </w:rPr>
            </w:pPr>
            <w:r>
              <w:rPr>
                <w:rFonts w:eastAsia="宋体" w:hint="eastAsia"/>
                <w:sz w:val="24"/>
                <w:szCs w:val="24"/>
              </w:rPr>
              <w:t>是</w:t>
            </w:r>
          </w:p>
        </w:tc>
        <w:tc>
          <w:tcPr>
            <w:tcW w:w="2287" w:type="dxa"/>
            <w:tcBorders>
              <w:left w:val="single" w:sz="4" w:space="0" w:color="auto"/>
              <w:right w:val="single" w:sz="4" w:space="0" w:color="auto"/>
            </w:tcBorders>
            <w:vAlign w:val="center"/>
          </w:tcPr>
          <w:p w:rsidR="00A84B02" w:rsidP="00A84B02">
            <w:pPr>
              <w:rPr>
                <w:rFonts w:eastAsia="宋体"/>
                <w:sz w:val="24"/>
                <w:szCs w:val="24"/>
              </w:rPr>
            </w:pPr>
            <w:r>
              <w:rPr>
                <w:rFonts w:eastAsia="宋体" w:hint="eastAsia"/>
                <w:sz w:val="24"/>
                <w:szCs w:val="24"/>
              </w:rPr>
              <w:t>是</w:t>
            </w:r>
          </w:p>
        </w:tc>
      </w:tr>
    </w:tbl>
    <w:p w:rsidR="00DB7CA4" w:rsidP="00370313">
      <w:pPr>
        <w:spacing w:line="360" w:lineRule="auto"/>
        <w:ind w:firstLine="4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注：</w:t>
      </w:r>
      <w:r w:rsidR="005C2D87">
        <w:rPr>
          <w:rFonts w:asciiTheme="minorEastAsia" w:eastAsiaTheme="minorEastAsia" w:hAnsiTheme="minorEastAsia" w:hint="eastAsia"/>
          <w:color w:val="000000"/>
          <w:sz w:val="24"/>
          <w:szCs w:val="24"/>
        </w:rPr>
        <w:t>（1）</w:t>
      </w:r>
      <w:r w:rsidRPr="00343071" w:rsidR="00343071">
        <w:rPr>
          <w:rFonts w:asciiTheme="minorEastAsia" w:eastAsiaTheme="minorEastAsia" w:hAnsiTheme="minorEastAsia" w:hint="eastAsia"/>
          <w:color w:val="000000"/>
          <w:sz w:val="24"/>
          <w:szCs w:val="24"/>
        </w:rPr>
        <w:t>根据法律法规和基金合同的相关规定，易方达基金管理有限公司（以下简称“本公司”）决定</w:t>
      </w:r>
      <w:r w:rsidRPr="003A1499">
        <w:rPr>
          <w:rFonts w:asciiTheme="minorEastAsia" w:eastAsiaTheme="minorEastAsia" w:hAnsiTheme="minorEastAsia" w:hint="eastAsia"/>
          <w:color w:val="000000"/>
          <w:sz w:val="24"/>
          <w:szCs w:val="24"/>
        </w:rPr>
        <w:t>自</w:t>
      </w:r>
      <w:r w:rsidR="006D041B">
        <w:rPr>
          <w:rFonts w:eastAsia="宋体"/>
          <w:sz w:val="24"/>
          <w:szCs w:val="24"/>
        </w:rPr>
        <w:t>2022</w:t>
      </w:r>
      <w:r w:rsidR="00D25529">
        <w:rPr>
          <w:rFonts w:eastAsia="宋体" w:hint="eastAsia"/>
          <w:sz w:val="24"/>
          <w:szCs w:val="24"/>
        </w:rPr>
        <w:t>年</w:t>
      </w:r>
      <w:r w:rsidR="006D041B">
        <w:rPr>
          <w:rFonts w:eastAsia="宋体" w:hint="eastAsia"/>
          <w:sz w:val="24"/>
          <w:szCs w:val="24"/>
        </w:rPr>
        <w:t>2</w:t>
      </w:r>
      <w:r w:rsidR="00D25529">
        <w:rPr>
          <w:rFonts w:eastAsia="宋体" w:hint="eastAsia"/>
          <w:sz w:val="24"/>
          <w:szCs w:val="24"/>
        </w:rPr>
        <w:t>月</w:t>
      </w:r>
      <w:r w:rsidR="006D041B">
        <w:rPr>
          <w:rFonts w:eastAsia="宋体" w:hint="eastAsia"/>
          <w:sz w:val="24"/>
          <w:szCs w:val="24"/>
        </w:rPr>
        <w:t>10</w:t>
      </w:r>
      <w:r w:rsidR="00D25529">
        <w:rPr>
          <w:rFonts w:eastAsia="宋体" w:hint="eastAsia"/>
          <w:sz w:val="24"/>
          <w:szCs w:val="24"/>
        </w:rPr>
        <w:t>日</w:t>
      </w:r>
      <w:r w:rsidRPr="003A1499">
        <w:rPr>
          <w:rFonts w:asciiTheme="minorEastAsia" w:eastAsiaTheme="minorEastAsia" w:hAnsiTheme="minorEastAsia" w:hint="eastAsia"/>
          <w:color w:val="000000"/>
          <w:sz w:val="24"/>
          <w:szCs w:val="24"/>
        </w:rPr>
        <w:t>起</w:t>
      </w:r>
      <w:r w:rsidR="002421A8">
        <w:rPr>
          <w:rFonts w:asciiTheme="minorEastAsia" w:eastAsiaTheme="minorEastAsia" w:hAnsiTheme="minorEastAsia" w:hint="eastAsia"/>
          <w:color w:val="000000"/>
          <w:sz w:val="24"/>
          <w:szCs w:val="24"/>
        </w:rPr>
        <w:t>，</w:t>
      </w:r>
      <w:r w:rsidRPr="003B2E1D" w:rsidR="003B2E1D">
        <w:rPr>
          <w:rFonts w:eastAsia="宋体" w:hint="eastAsia"/>
          <w:sz w:val="24"/>
          <w:szCs w:val="24"/>
        </w:rPr>
        <w:t>易方达信用债债券型证券投资基金</w:t>
      </w:r>
      <w:r w:rsidRPr="00343071" w:rsidR="00343071">
        <w:rPr>
          <w:rFonts w:asciiTheme="minorEastAsia" w:eastAsiaTheme="minorEastAsia" w:hAnsiTheme="minorEastAsia" w:hint="eastAsia"/>
          <w:color w:val="000000"/>
          <w:sz w:val="24"/>
          <w:szCs w:val="24"/>
        </w:rPr>
        <w:t>（以下简称“本基金”）</w:t>
      </w:r>
      <w:r w:rsidR="002421A8">
        <w:rPr>
          <w:rFonts w:asciiTheme="minorEastAsia" w:eastAsiaTheme="minorEastAsia" w:hAnsiTheme="minorEastAsia" w:hint="eastAsia"/>
          <w:color w:val="000000"/>
          <w:sz w:val="24"/>
          <w:szCs w:val="24"/>
        </w:rPr>
        <w:t>取消</w:t>
      </w:r>
      <w:r w:rsidR="003B2E1D">
        <w:rPr>
          <w:rFonts w:asciiTheme="minorEastAsia" w:eastAsiaTheme="minorEastAsia" w:hAnsiTheme="minorEastAsia" w:hint="eastAsia"/>
          <w:color w:val="000000"/>
          <w:sz w:val="24"/>
          <w:szCs w:val="24"/>
        </w:rPr>
        <w:t>机构客户</w:t>
      </w:r>
      <w:r w:rsidR="002421A8">
        <w:rPr>
          <w:rFonts w:asciiTheme="minorEastAsia" w:eastAsiaTheme="minorEastAsia" w:hAnsiTheme="minorEastAsia" w:hint="eastAsia"/>
          <w:color w:val="000000"/>
          <w:sz w:val="24"/>
          <w:szCs w:val="24"/>
        </w:rPr>
        <w:t>单日单个基金账户在全部销售机构累计申购（含定期定额投资及</w:t>
      </w:r>
      <w:r w:rsidRPr="003A1499" w:rsidR="002421A8">
        <w:rPr>
          <w:rFonts w:asciiTheme="minorEastAsia" w:eastAsiaTheme="minorEastAsia" w:hAnsiTheme="minorEastAsia" w:hint="eastAsia"/>
          <w:color w:val="000000"/>
          <w:sz w:val="24"/>
          <w:szCs w:val="24"/>
        </w:rPr>
        <w:t>转换</w:t>
      </w:r>
      <w:r w:rsidR="002421A8">
        <w:rPr>
          <w:rFonts w:asciiTheme="minorEastAsia" w:eastAsiaTheme="minorEastAsia" w:hAnsiTheme="minorEastAsia" w:hint="eastAsia"/>
          <w:color w:val="000000"/>
          <w:sz w:val="24"/>
          <w:szCs w:val="24"/>
        </w:rPr>
        <w:t>转</w:t>
      </w:r>
      <w:r w:rsidRPr="003A1499" w:rsidR="002421A8">
        <w:rPr>
          <w:rFonts w:asciiTheme="minorEastAsia" w:eastAsiaTheme="minorEastAsia" w:hAnsiTheme="minorEastAsia" w:hint="eastAsia"/>
          <w:color w:val="000000"/>
          <w:sz w:val="24"/>
          <w:szCs w:val="24"/>
        </w:rPr>
        <w:t>入）</w:t>
      </w:r>
      <w:r w:rsidR="002421A8">
        <w:rPr>
          <w:rFonts w:asciiTheme="minorEastAsia" w:eastAsiaTheme="minorEastAsia" w:hAnsiTheme="minorEastAsia" w:hint="eastAsia"/>
          <w:color w:val="000000"/>
          <w:sz w:val="24"/>
          <w:szCs w:val="24"/>
        </w:rPr>
        <w:t>本基金</w:t>
      </w:r>
      <w:r w:rsidR="00370313">
        <w:rPr>
          <w:rFonts w:asciiTheme="minorEastAsia" w:eastAsiaTheme="minorEastAsia" w:hAnsiTheme="minorEastAsia" w:hint="eastAsia"/>
          <w:color w:val="000000"/>
          <w:sz w:val="24"/>
          <w:szCs w:val="24"/>
        </w:rPr>
        <w:t>A类基金份额</w:t>
      </w:r>
      <w:r w:rsidR="00843759">
        <w:rPr>
          <w:rFonts w:asciiTheme="minorEastAsia" w:eastAsiaTheme="minorEastAsia" w:hAnsiTheme="minorEastAsia" w:hint="eastAsia"/>
          <w:color w:val="000000"/>
          <w:sz w:val="24"/>
          <w:szCs w:val="24"/>
        </w:rPr>
        <w:t>或</w:t>
      </w:r>
      <w:r w:rsidR="00370313">
        <w:rPr>
          <w:rFonts w:asciiTheme="minorEastAsia" w:eastAsiaTheme="minorEastAsia" w:hAnsiTheme="minorEastAsia" w:hint="eastAsia"/>
          <w:color w:val="000000"/>
          <w:sz w:val="24"/>
          <w:szCs w:val="24"/>
        </w:rPr>
        <w:t>C类基金份额</w:t>
      </w:r>
      <w:r w:rsidR="00343071">
        <w:rPr>
          <w:rFonts w:asciiTheme="minorEastAsia" w:eastAsiaTheme="minorEastAsia" w:hAnsiTheme="minorEastAsia" w:hint="eastAsia"/>
          <w:color w:val="000000"/>
          <w:sz w:val="24"/>
          <w:szCs w:val="24"/>
        </w:rPr>
        <w:t>的</w:t>
      </w:r>
      <w:r w:rsidR="00D25529">
        <w:rPr>
          <w:rFonts w:asciiTheme="minorEastAsia" w:eastAsiaTheme="minorEastAsia" w:hAnsiTheme="minorEastAsia" w:hint="eastAsia"/>
          <w:color w:val="000000"/>
          <w:sz w:val="24"/>
          <w:szCs w:val="24"/>
        </w:rPr>
        <w:t>金额不</w:t>
      </w:r>
      <w:r w:rsidR="002421A8">
        <w:rPr>
          <w:rFonts w:asciiTheme="minorEastAsia" w:eastAsiaTheme="minorEastAsia" w:hAnsiTheme="minorEastAsia" w:hint="eastAsia"/>
          <w:color w:val="000000"/>
          <w:sz w:val="24"/>
          <w:szCs w:val="24"/>
        </w:rPr>
        <w:t>超过250万元</w:t>
      </w:r>
      <w:r w:rsidR="00FD7F5E">
        <w:rPr>
          <w:rFonts w:asciiTheme="minorEastAsia" w:eastAsiaTheme="minorEastAsia" w:hAnsiTheme="minorEastAsia" w:hint="eastAsia"/>
          <w:color w:val="000000"/>
          <w:sz w:val="24"/>
          <w:szCs w:val="24"/>
        </w:rPr>
        <w:t>（含）</w:t>
      </w:r>
      <w:r w:rsidR="002421A8">
        <w:rPr>
          <w:rFonts w:asciiTheme="minorEastAsia" w:eastAsiaTheme="minorEastAsia" w:hAnsiTheme="minorEastAsia" w:hint="eastAsia"/>
          <w:color w:val="000000"/>
          <w:sz w:val="24"/>
          <w:szCs w:val="24"/>
        </w:rPr>
        <w:t>的限制，恢复办理</w:t>
      </w:r>
      <w:r w:rsidRPr="003A1499">
        <w:rPr>
          <w:rFonts w:asciiTheme="minorEastAsia" w:eastAsiaTheme="minorEastAsia" w:hAnsiTheme="minorEastAsia" w:hint="eastAsia"/>
          <w:color w:val="000000"/>
          <w:sz w:val="24"/>
          <w:szCs w:val="24"/>
        </w:rPr>
        <w:t>大额申购</w:t>
      </w:r>
      <w:r>
        <w:rPr>
          <w:rFonts w:asciiTheme="minorEastAsia" w:eastAsiaTheme="minorEastAsia" w:hAnsiTheme="minorEastAsia" w:hint="eastAsia"/>
          <w:color w:val="000000"/>
          <w:sz w:val="24"/>
          <w:szCs w:val="24"/>
        </w:rPr>
        <w:t>、大额转换转入</w:t>
      </w:r>
      <w:r w:rsidRPr="003A1499">
        <w:rPr>
          <w:rFonts w:asciiTheme="minorEastAsia" w:eastAsiaTheme="minorEastAsia" w:hAnsiTheme="minorEastAsia" w:hint="eastAsia"/>
          <w:color w:val="000000"/>
          <w:sz w:val="24"/>
          <w:szCs w:val="24"/>
        </w:rPr>
        <w:t>业务。</w:t>
      </w:r>
    </w:p>
    <w:p w:rsidR="005C2D87" w:rsidRPr="003A1499" w:rsidP="00370313">
      <w:pPr>
        <w:spacing w:line="360" w:lineRule="auto"/>
        <w:ind w:firstLine="420"/>
        <w:rPr>
          <w:rFonts w:asciiTheme="minorEastAsia" w:eastAsiaTheme="minorEastAsia" w:hAnsiTheme="minorEastAsia"/>
          <w:color w:val="000000"/>
          <w:sz w:val="24"/>
          <w:szCs w:val="24"/>
        </w:rPr>
      </w:pPr>
      <w:r>
        <w:rPr>
          <w:rFonts w:asciiTheme="minorEastAsia" w:eastAsiaTheme="minorEastAsia" w:hAnsiTheme="minorEastAsia" w:hint="eastAsia"/>
          <w:color w:val="000000"/>
          <w:kern w:val="0"/>
          <w:sz w:val="24"/>
          <w:szCs w:val="24"/>
        </w:rPr>
        <w:t>（2）</w:t>
      </w:r>
      <w:r w:rsidR="00766E7C">
        <w:rPr>
          <w:rFonts w:asciiTheme="minorEastAsia" w:eastAsiaTheme="minorEastAsia" w:hAnsiTheme="minorEastAsia" w:hint="eastAsia"/>
          <w:color w:val="000000"/>
          <w:kern w:val="0"/>
          <w:sz w:val="24"/>
          <w:szCs w:val="24"/>
        </w:rPr>
        <w:t>根据相关公告，</w:t>
      </w:r>
      <w:r>
        <w:rPr>
          <w:rFonts w:asciiTheme="minorEastAsia" w:hAnsiTheme="minorEastAsia" w:hint="eastAsia"/>
          <w:color w:val="000000"/>
          <w:sz w:val="24"/>
          <w:szCs w:val="24"/>
        </w:rPr>
        <w:t>如果</w:t>
      </w:r>
      <w:r w:rsidRPr="00FF6C87">
        <w:rPr>
          <w:rFonts w:asciiTheme="minorEastAsia" w:hAnsiTheme="minorEastAsia" w:hint="eastAsia"/>
          <w:color w:val="000000"/>
          <w:sz w:val="24"/>
          <w:szCs w:val="24"/>
        </w:rPr>
        <w:t>单日单个基金账户</w:t>
      </w:r>
      <w:r w:rsidR="00CA26D3">
        <w:rPr>
          <w:rFonts w:asciiTheme="minorEastAsia" w:hAnsiTheme="minorEastAsia" w:hint="eastAsia"/>
          <w:color w:val="000000"/>
          <w:sz w:val="24"/>
          <w:szCs w:val="24"/>
        </w:rPr>
        <w:t>在本公司直销中心</w:t>
      </w:r>
      <w:r w:rsidRPr="00FF6C87">
        <w:rPr>
          <w:rFonts w:asciiTheme="minorEastAsia" w:hAnsiTheme="minorEastAsia" w:hint="eastAsia"/>
          <w:color w:val="000000"/>
          <w:sz w:val="24"/>
          <w:szCs w:val="24"/>
        </w:rPr>
        <w:t>累计申购和转换转入本基金</w:t>
      </w:r>
      <w:r>
        <w:rPr>
          <w:rFonts w:asciiTheme="minorEastAsia" w:hAnsiTheme="minorEastAsia" w:hint="eastAsia"/>
          <w:color w:val="000000"/>
          <w:sz w:val="24"/>
          <w:szCs w:val="24"/>
        </w:rPr>
        <w:t>A</w:t>
      </w:r>
      <w:r w:rsidRPr="00FF6C87">
        <w:rPr>
          <w:rFonts w:asciiTheme="minorEastAsia" w:hAnsiTheme="minorEastAsia" w:hint="eastAsia"/>
          <w:color w:val="000000"/>
          <w:sz w:val="24"/>
          <w:szCs w:val="24"/>
        </w:rPr>
        <w:t>类基金份额或</w:t>
      </w:r>
      <w:r>
        <w:rPr>
          <w:rFonts w:asciiTheme="minorEastAsia" w:hAnsiTheme="minorEastAsia" w:hint="eastAsia"/>
          <w:color w:val="000000"/>
          <w:sz w:val="24"/>
          <w:szCs w:val="24"/>
        </w:rPr>
        <w:t>C</w:t>
      </w:r>
      <w:r w:rsidRPr="00FF6C87">
        <w:rPr>
          <w:rFonts w:asciiTheme="minorEastAsia" w:hAnsiTheme="minorEastAsia" w:hint="eastAsia"/>
          <w:color w:val="000000"/>
          <w:sz w:val="24"/>
          <w:szCs w:val="24"/>
        </w:rPr>
        <w:t>类基金份额的金额超过</w:t>
      </w:r>
      <w:r>
        <w:rPr>
          <w:rFonts w:asciiTheme="minorEastAsia" w:hAnsiTheme="minorEastAsia" w:hint="eastAsia"/>
          <w:color w:val="000000"/>
          <w:sz w:val="24"/>
          <w:szCs w:val="24"/>
        </w:rPr>
        <w:t>5</w:t>
      </w:r>
      <w:r w:rsidRPr="00FF6C87">
        <w:rPr>
          <w:rFonts w:asciiTheme="minorEastAsia" w:hAnsiTheme="minorEastAsia" w:hint="eastAsia"/>
          <w:color w:val="000000"/>
          <w:sz w:val="24"/>
          <w:szCs w:val="24"/>
        </w:rPr>
        <w:t>00</w:t>
      </w:r>
      <w:r w:rsidRPr="00FF6C87">
        <w:rPr>
          <w:rFonts w:asciiTheme="minorEastAsia" w:hAnsiTheme="minorEastAsia" w:hint="eastAsia"/>
          <w:color w:val="000000"/>
          <w:sz w:val="24"/>
          <w:szCs w:val="24"/>
        </w:rPr>
        <w:t>万元（不含），本基金</w:t>
      </w:r>
      <w:r>
        <w:rPr>
          <w:rFonts w:asciiTheme="minorEastAsia" w:hAnsiTheme="minorEastAsia" w:hint="eastAsia"/>
          <w:color w:val="000000"/>
          <w:sz w:val="24"/>
          <w:szCs w:val="24"/>
        </w:rPr>
        <w:t>仍</w:t>
      </w:r>
      <w:r w:rsidRPr="00FF6C87">
        <w:rPr>
          <w:rFonts w:asciiTheme="minorEastAsia" w:hAnsiTheme="minorEastAsia" w:hint="eastAsia"/>
          <w:color w:val="000000"/>
          <w:sz w:val="24"/>
          <w:szCs w:val="24"/>
        </w:rPr>
        <w:t>有权根据保护基金份额持有人利益的原则全部或部分拒绝该类份额的申请。</w:t>
      </w:r>
    </w:p>
    <w:p w:rsidR="00C97484" w:rsidRPr="002421A8" w:rsidP="00C97484">
      <w:pPr>
        <w:spacing w:line="560" w:lineRule="exact"/>
        <w:rPr>
          <w:rFonts w:asciiTheme="minorEastAsia" w:eastAsiaTheme="minorEastAsia" w:hAnsiTheme="minorEastAsia"/>
          <w:sz w:val="21"/>
          <w:szCs w:val="21"/>
        </w:rPr>
      </w:pPr>
    </w:p>
    <w:p w:rsidR="00C97484" w:rsidP="00C97484">
      <w:pPr>
        <w:pStyle w:val="Heading3"/>
        <w:keepNext w:val="0"/>
        <w:keepLines w:val="0"/>
        <w:spacing w:before="0" w:after="0" w:line="360" w:lineRule="auto"/>
        <w:rPr>
          <w:rFonts w:ascii="宋体" w:hAnsi="宋体"/>
          <w:bCs w:val="0"/>
          <w:sz w:val="24"/>
          <w:szCs w:val="24"/>
        </w:rPr>
      </w:pPr>
      <w:r>
        <w:rPr>
          <w:rFonts w:ascii="宋体" w:hAnsi="宋体" w:hint="eastAsia"/>
          <w:bCs w:val="0"/>
          <w:sz w:val="24"/>
          <w:szCs w:val="24"/>
        </w:rPr>
        <w:t>2.其他需要提示的事项</w:t>
      </w:r>
    </w:p>
    <w:p w:rsidR="00C97484" w:rsidP="00C97484">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如有疑问，请拨打本公司客户服务热线400 881 8088，或登陆本公司网站www.efunds.com.cn获取相关信息。</w:t>
      </w:r>
    </w:p>
    <w:p w:rsidR="00C97484" w:rsidP="00C97484">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特此公告。</w:t>
      </w:r>
    </w:p>
    <w:p w:rsidR="00C97484" w:rsidP="00C97484">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易方达基金管理有限公司</w:t>
      </w:r>
    </w:p>
    <w:p w:rsidR="00364C2A" w:rsidRPr="00C97484" w:rsidP="00390DA4">
      <w:pPr>
        <w:spacing w:line="360" w:lineRule="auto"/>
        <w:ind w:firstLine="480" w:firstLineChars="200"/>
      </w:pPr>
      <w:r>
        <w:rPr>
          <w:rFonts w:asciiTheme="minorEastAsia" w:eastAsiaTheme="minorEastAsia" w:hAnsiTheme="minorEastAsia" w:hint="eastAsia"/>
          <w:color w:val="000000"/>
          <w:sz w:val="24"/>
          <w:szCs w:val="24"/>
        </w:rPr>
        <w:t xml:space="preserve">                    </w:t>
      </w:r>
      <w:r w:rsidR="00F621E7">
        <w:rPr>
          <w:rFonts w:asciiTheme="minorEastAsia" w:eastAsiaTheme="minorEastAsia" w:hAnsiTheme="minorEastAsia" w:hint="eastAsia"/>
          <w:color w:val="000000"/>
          <w:sz w:val="24"/>
          <w:szCs w:val="24"/>
        </w:rPr>
        <w:t xml:space="preserve">                           </w:t>
      </w:r>
      <w:r w:rsidR="006D041B">
        <w:rPr>
          <w:rFonts w:eastAsia="宋体"/>
          <w:sz w:val="24"/>
          <w:szCs w:val="24"/>
        </w:rPr>
        <w:t>2022</w:t>
      </w:r>
      <w:r w:rsidR="00D25529">
        <w:rPr>
          <w:rFonts w:eastAsia="宋体" w:hint="eastAsia"/>
          <w:sz w:val="24"/>
          <w:szCs w:val="24"/>
        </w:rPr>
        <w:t>年</w:t>
      </w:r>
      <w:r w:rsidR="006D041B">
        <w:rPr>
          <w:rFonts w:eastAsia="宋体" w:hint="eastAsia"/>
          <w:sz w:val="24"/>
          <w:szCs w:val="24"/>
        </w:rPr>
        <w:t>2</w:t>
      </w:r>
      <w:r w:rsidR="00D25529">
        <w:rPr>
          <w:rFonts w:eastAsia="宋体" w:hint="eastAsia"/>
          <w:sz w:val="24"/>
          <w:szCs w:val="24"/>
        </w:rPr>
        <w:t>月</w:t>
      </w:r>
      <w:r w:rsidR="006D041B">
        <w:rPr>
          <w:rFonts w:eastAsia="宋体" w:hint="eastAsia"/>
          <w:sz w:val="24"/>
          <w:szCs w:val="24"/>
        </w:rPr>
        <w:t>9</w:t>
      </w:r>
      <w:bookmarkStart w:id="0" w:name="_GoBack"/>
      <w:bookmarkEnd w:id="0"/>
      <w:r w:rsidR="00D25529">
        <w:rPr>
          <w:rFonts w:eastAsia="宋体" w:hint="eastAsia"/>
          <w:sz w:val="24"/>
          <w:szCs w:val="24"/>
        </w:rPr>
        <w:t>日</w:t>
      </w:r>
    </w:p>
    <w:sectPr w:rsidSect="00956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1EA8"/>
    <w:rsid w:val="00020378"/>
    <w:rsid w:val="00036A29"/>
    <w:rsid w:val="00041353"/>
    <w:rsid w:val="0006640B"/>
    <w:rsid w:val="000668AD"/>
    <w:rsid w:val="00070E76"/>
    <w:rsid w:val="000772A0"/>
    <w:rsid w:val="000A140B"/>
    <w:rsid w:val="000E26B9"/>
    <w:rsid w:val="000E4CBF"/>
    <w:rsid w:val="000F7509"/>
    <w:rsid w:val="0010156B"/>
    <w:rsid w:val="001169BB"/>
    <w:rsid w:val="00156481"/>
    <w:rsid w:val="001627C0"/>
    <w:rsid w:val="00180DA3"/>
    <w:rsid w:val="00195EB4"/>
    <w:rsid w:val="001B4F9F"/>
    <w:rsid w:val="001E3B22"/>
    <w:rsid w:val="002120B0"/>
    <w:rsid w:val="002153C6"/>
    <w:rsid w:val="002421A8"/>
    <w:rsid w:val="00245724"/>
    <w:rsid w:val="00281D00"/>
    <w:rsid w:val="002935EF"/>
    <w:rsid w:val="00297148"/>
    <w:rsid w:val="002A6E5B"/>
    <w:rsid w:val="002A7373"/>
    <w:rsid w:val="002F7241"/>
    <w:rsid w:val="00300F55"/>
    <w:rsid w:val="00327DA7"/>
    <w:rsid w:val="00333624"/>
    <w:rsid w:val="0033513C"/>
    <w:rsid w:val="00336BE6"/>
    <w:rsid w:val="00343071"/>
    <w:rsid w:val="00364C2A"/>
    <w:rsid w:val="0036784E"/>
    <w:rsid w:val="00370313"/>
    <w:rsid w:val="00390DA4"/>
    <w:rsid w:val="003A1499"/>
    <w:rsid w:val="003B2E1D"/>
    <w:rsid w:val="003B5DF1"/>
    <w:rsid w:val="003E1151"/>
    <w:rsid w:val="004638F8"/>
    <w:rsid w:val="004966BA"/>
    <w:rsid w:val="004D6346"/>
    <w:rsid w:val="004F0521"/>
    <w:rsid w:val="004F51E8"/>
    <w:rsid w:val="00513021"/>
    <w:rsid w:val="00540FB0"/>
    <w:rsid w:val="00564298"/>
    <w:rsid w:val="005A1251"/>
    <w:rsid w:val="005B490D"/>
    <w:rsid w:val="005B7F1C"/>
    <w:rsid w:val="005C2D87"/>
    <w:rsid w:val="005D2ADD"/>
    <w:rsid w:val="00646522"/>
    <w:rsid w:val="00682A87"/>
    <w:rsid w:val="006A7043"/>
    <w:rsid w:val="006D041B"/>
    <w:rsid w:val="006F0327"/>
    <w:rsid w:val="00704299"/>
    <w:rsid w:val="00714E8D"/>
    <w:rsid w:val="00766E7C"/>
    <w:rsid w:val="00770DB7"/>
    <w:rsid w:val="00783BC2"/>
    <w:rsid w:val="007B1D31"/>
    <w:rsid w:val="007B5A9D"/>
    <w:rsid w:val="007C1351"/>
    <w:rsid w:val="00803658"/>
    <w:rsid w:val="008151E4"/>
    <w:rsid w:val="00821E69"/>
    <w:rsid w:val="00827D4A"/>
    <w:rsid w:val="0083445C"/>
    <w:rsid w:val="00841AFE"/>
    <w:rsid w:val="00843759"/>
    <w:rsid w:val="00844AD4"/>
    <w:rsid w:val="008472DB"/>
    <w:rsid w:val="00847CC8"/>
    <w:rsid w:val="008D3261"/>
    <w:rsid w:val="008F225D"/>
    <w:rsid w:val="008F7275"/>
    <w:rsid w:val="008F730D"/>
    <w:rsid w:val="0090631A"/>
    <w:rsid w:val="009315D0"/>
    <w:rsid w:val="00934D7A"/>
    <w:rsid w:val="009443F5"/>
    <w:rsid w:val="00956B0F"/>
    <w:rsid w:val="00984E0C"/>
    <w:rsid w:val="009A340C"/>
    <w:rsid w:val="009A4452"/>
    <w:rsid w:val="009A5FDB"/>
    <w:rsid w:val="009C5503"/>
    <w:rsid w:val="009C5858"/>
    <w:rsid w:val="00A516C4"/>
    <w:rsid w:val="00A57013"/>
    <w:rsid w:val="00A817D7"/>
    <w:rsid w:val="00A84B02"/>
    <w:rsid w:val="00AD6759"/>
    <w:rsid w:val="00B101F7"/>
    <w:rsid w:val="00B32F58"/>
    <w:rsid w:val="00B47264"/>
    <w:rsid w:val="00B5053A"/>
    <w:rsid w:val="00B533B1"/>
    <w:rsid w:val="00BA5F76"/>
    <w:rsid w:val="00BA6967"/>
    <w:rsid w:val="00BA7E5C"/>
    <w:rsid w:val="00BD601B"/>
    <w:rsid w:val="00BD6D93"/>
    <w:rsid w:val="00C077AD"/>
    <w:rsid w:val="00C077CF"/>
    <w:rsid w:val="00C267E3"/>
    <w:rsid w:val="00C5297E"/>
    <w:rsid w:val="00C63304"/>
    <w:rsid w:val="00C97484"/>
    <w:rsid w:val="00CA26D3"/>
    <w:rsid w:val="00CA2A00"/>
    <w:rsid w:val="00CA70AA"/>
    <w:rsid w:val="00CC5C72"/>
    <w:rsid w:val="00CF3C9B"/>
    <w:rsid w:val="00D114B7"/>
    <w:rsid w:val="00D24BF3"/>
    <w:rsid w:val="00D25529"/>
    <w:rsid w:val="00D327FA"/>
    <w:rsid w:val="00D33E60"/>
    <w:rsid w:val="00D7660C"/>
    <w:rsid w:val="00DA577D"/>
    <w:rsid w:val="00DB7CA4"/>
    <w:rsid w:val="00DF65FD"/>
    <w:rsid w:val="00E16F8B"/>
    <w:rsid w:val="00E22D25"/>
    <w:rsid w:val="00E33F1D"/>
    <w:rsid w:val="00E72255"/>
    <w:rsid w:val="00EC2C28"/>
    <w:rsid w:val="00EE1823"/>
    <w:rsid w:val="00F050DD"/>
    <w:rsid w:val="00F330B8"/>
    <w:rsid w:val="00F43740"/>
    <w:rsid w:val="00F5252D"/>
    <w:rsid w:val="00F6020D"/>
    <w:rsid w:val="00F621E7"/>
    <w:rsid w:val="00F629FC"/>
    <w:rsid w:val="00F6405B"/>
    <w:rsid w:val="00F64447"/>
    <w:rsid w:val="00F72B77"/>
    <w:rsid w:val="00F87AEB"/>
    <w:rsid w:val="00F95610"/>
    <w:rsid w:val="00FA1E5C"/>
    <w:rsid w:val="00FD7428"/>
    <w:rsid w:val="00FD7F5E"/>
    <w:rsid w:val="00FF6C87"/>
    <w:rsid w:val="00FF7B6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6EF459F6-6D02-4FE2-9BC3-C7553FFE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7FA"/>
    <w:pPr>
      <w:widowControl w:val="0"/>
      <w:jc w:val="both"/>
    </w:pPr>
    <w:rPr>
      <w:rFonts w:ascii="Times New Roman" w:eastAsia="方正仿宋简体" w:hAnsi="Times New Roman" w:cs="Times New Roman"/>
      <w:sz w:val="32"/>
      <w:szCs w:val="20"/>
    </w:rPr>
  </w:style>
  <w:style w:type="paragraph" w:styleId="Heading1">
    <w:name w:val="heading 1"/>
    <w:basedOn w:val="Normal"/>
    <w:next w:val="Normal"/>
    <w:link w:val="1Char"/>
    <w:qFormat/>
    <w:rsid w:val="00D327FA"/>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2Char"/>
    <w:qFormat/>
    <w:rsid w:val="00D327FA"/>
    <w:pPr>
      <w:keepNext/>
      <w:keepLines/>
      <w:spacing w:before="260" w:after="260" w:line="416" w:lineRule="auto"/>
      <w:outlineLvl w:val="1"/>
    </w:pPr>
    <w:rPr>
      <w:rFonts w:ascii="Arial" w:eastAsia="黑体" w:hAnsi="Arial"/>
      <w:b/>
      <w:bCs/>
      <w:szCs w:val="32"/>
    </w:rPr>
  </w:style>
  <w:style w:type="paragraph" w:styleId="Heading3">
    <w:name w:val="heading 3"/>
    <w:basedOn w:val="Normal"/>
    <w:next w:val="Normal"/>
    <w:link w:val="3Char"/>
    <w:qFormat/>
    <w:rsid w:val="000F7509"/>
    <w:pPr>
      <w:keepNext/>
      <w:keepLines/>
      <w:spacing w:before="260" w:after="260" w:line="416" w:lineRule="auto"/>
      <w:outlineLvl w:val="2"/>
    </w:pPr>
    <w:rPr>
      <w:rFonts w:eastAsia="宋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rsid w:val="00D327FA"/>
    <w:rPr>
      <w:rFonts w:ascii="Times New Roman" w:eastAsia="宋体" w:hAnsi="Times New Roman" w:cs="Times New Roman"/>
      <w:b/>
      <w:bCs/>
      <w:kern w:val="44"/>
      <w:sz w:val="44"/>
      <w:szCs w:val="44"/>
    </w:rPr>
  </w:style>
  <w:style w:type="character" w:customStyle="1" w:styleId="2Char">
    <w:name w:val="标题 2 Char"/>
    <w:basedOn w:val="DefaultParagraphFont"/>
    <w:link w:val="Heading2"/>
    <w:rsid w:val="00D327FA"/>
    <w:rPr>
      <w:rFonts w:ascii="Arial" w:eastAsia="黑体" w:hAnsi="Arial" w:cs="Times New Roman"/>
      <w:b/>
      <w:bCs/>
      <w:sz w:val="32"/>
      <w:szCs w:val="32"/>
    </w:rPr>
  </w:style>
  <w:style w:type="character" w:styleId="FootnoteReference">
    <w:name w:val="footnote reference"/>
    <w:basedOn w:val="DefaultParagraphFont"/>
    <w:rsid w:val="00D327FA"/>
    <w:rPr>
      <w:vertAlign w:val="superscript"/>
    </w:rPr>
  </w:style>
  <w:style w:type="paragraph" w:styleId="FootnoteText">
    <w:name w:val="footnote text"/>
    <w:basedOn w:val="Normal"/>
    <w:link w:val="Char"/>
    <w:rsid w:val="00D327FA"/>
    <w:pPr>
      <w:snapToGrid w:val="0"/>
      <w:jc w:val="left"/>
    </w:pPr>
    <w:rPr>
      <w:rFonts w:eastAsia="宋体"/>
      <w:sz w:val="18"/>
    </w:rPr>
  </w:style>
  <w:style w:type="character" w:customStyle="1" w:styleId="Char">
    <w:name w:val="脚注文本 Char"/>
    <w:basedOn w:val="DefaultParagraphFont"/>
    <w:link w:val="FootnoteText"/>
    <w:rsid w:val="00D327FA"/>
    <w:rPr>
      <w:rFonts w:ascii="Times New Roman" w:eastAsia="宋体" w:hAnsi="Times New Roman" w:cs="Times New Roman"/>
      <w:sz w:val="18"/>
      <w:szCs w:val="20"/>
    </w:rPr>
  </w:style>
  <w:style w:type="paragraph" w:styleId="BalloonText">
    <w:name w:val="Balloon Text"/>
    <w:basedOn w:val="Normal"/>
    <w:link w:val="Char0"/>
    <w:uiPriority w:val="99"/>
    <w:semiHidden/>
    <w:unhideWhenUsed/>
    <w:rsid w:val="00F64447"/>
    <w:rPr>
      <w:sz w:val="18"/>
      <w:szCs w:val="18"/>
    </w:rPr>
  </w:style>
  <w:style w:type="character" w:customStyle="1" w:styleId="Char0">
    <w:name w:val="批注框文本 Char"/>
    <w:basedOn w:val="DefaultParagraphFont"/>
    <w:link w:val="BalloonText"/>
    <w:uiPriority w:val="99"/>
    <w:semiHidden/>
    <w:rsid w:val="00F64447"/>
    <w:rPr>
      <w:rFonts w:ascii="Times New Roman" w:eastAsia="方正仿宋简体" w:hAnsi="Times New Roman" w:cs="Times New Roman"/>
      <w:sz w:val="18"/>
      <w:szCs w:val="18"/>
    </w:rPr>
  </w:style>
  <w:style w:type="paragraph" w:styleId="Header">
    <w:name w:val="header"/>
    <w:basedOn w:val="Normal"/>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DefaultParagraphFont"/>
    <w:link w:val="Header"/>
    <w:uiPriority w:val="99"/>
    <w:rsid w:val="00B101F7"/>
    <w:rPr>
      <w:rFonts w:ascii="Times New Roman" w:eastAsia="方正仿宋简体" w:hAnsi="Times New Roman" w:cs="Times New Roman"/>
      <w:sz w:val="18"/>
      <w:szCs w:val="18"/>
    </w:rPr>
  </w:style>
  <w:style w:type="paragraph" w:styleId="Footer">
    <w:name w:val="footer"/>
    <w:basedOn w:val="Normal"/>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DefaultParagraphFont"/>
    <w:link w:val="Footer"/>
    <w:uiPriority w:val="99"/>
    <w:rsid w:val="00B101F7"/>
    <w:rPr>
      <w:rFonts w:ascii="Times New Roman" w:eastAsia="方正仿宋简体" w:hAnsi="Times New Roman" w:cs="Times New Roman"/>
      <w:sz w:val="18"/>
      <w:szCs w:val="18"/>
    </w:rPr>
  </w:style>
  <w:style w:type="paragraph" w:styleId="DocumentMap">
    <w:name w:val="Document Map"/>
    <w:basedOn w:val="Normal"/>
    <w:link w:val="Char3"/>
    <w:uiPriority w:val="99"/>
    <w:semiHidden/>
    <w:unhideWhenUsed/>
    <w:rsid w:val="000F7509"/>
    <w:rPr>
      <w:rFonts w:ascii="宋体" w:eastAsia="宋体"/>
      <w:sz w:val="18"/>
      <w:szCs w:val="18"/>
    </w:rPr>
  </w:style>
  <w:style w:type="character" w:customStyle="1" w:styleId="Char3">
    <w:name w:val="文档结构图 Char"/>
    <w:basedOn w:val="DefaultParagraphFont"/>
    <w:link w:val="DocumentMap"/>
    <w:uiPriority w:val="99"/>
    <w:semiHidden/>
    <w:rsid w:val="000F7509"/>
    <w:rPr>
      <w:rFonts w:ascii="宋体" w:eastAsia="宋体" w:hAnsi="Times New Roman" w:cs="Times New Roman"/>
      <w:sz w:val="18"/>
      <w:szCs w:val="18"/>
    </w:rPr>
  </w:style>
  <w:style w:type="character" w:customStyle="1" w:styleId="3Char">
    <w:name w:val="标题 3 Char"/>
    <w:basedOn w:val="DefaultParagraphFont"/>
    <w:link w:val="Heading3"/>
    <w:rsid w:val="000F7509"/>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125</Words>
  <Characters>716</Characters>
  <Application>Microsoft Office Word</Application>
  <DocSecurity>0</DocSecurity>
  <Lines>5</Lines>
  <Paragraphs>1</Paragraphs>
  <ScaleCrop>false</ScaleCrop>
  <Company>微软中国</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谷立</cp:lastModifiedBy>
  <cp:revision>8</cp:revision>
  <dcterms:created xsi:type="dcterms:W3CDTF">2020-07-07T05:49:00Z</dcterms:created>
  <dcterms:modified xsi:type="dcterms:W3CDTF">2022-02-07T01:35:00Z</dcterms:modified>
</cp:coreProperties>
</file>