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7228CC" w:rsidRPr="00054588" w:rsidP="0071223F">
      <w:pPr>
        <w:snapToGrid w:val="0"/>
        <w:spacing w:line="360" w:lineRule="auto"/>
        <w:ind w:firstLine="881"/>
        <w:jc w:val="center"/>
        <w:rPr>
          <w:rFonts w:asciiTheme="minorEastAsia" w:eastAsiaTheme="minorEastAsia" w:hAnsiTheme="minorEastAsia"/>
          <w:b/>
          <w:color w:val="000000" w:themeColor="text1"/>
          <w:sz w:val="44"/>
        </w:rPr>
      </w:pPr>
    </w:p>
    <w:p w:rsidR="007228CC" w:rsidRPr="00054588" w:rsidP="0071223F">
      <w:pPr>
        <w:snapToGrid w:val="0"/>
        <w:spacing w:line="360" w:lineRule="auto"/>
        <w:ind w:firstLine="881"/>
        <w:jc w:val="center"/>
        <w:rPr>
          <w:rFonts w:asciiTheme="minorEastAsia" w:eastAsiaTheme="minorEastAsia" w:hAnsiTheme="minorEastAsia"/>
          <w:b/>
          <w:color w:val="000000" w:themeColor="text1"/>
          <w:sz w:val="44"/>
        </w:rPr>
      </w:pPr>
    </w:p>
    <w:p w:rsidR="007228CC" w:rsidRPr="00054588" w:rsidP="0071223F">
      <w:pPr>
        <w:snapToGrid w:val="0"/>
        <w:spacing w:line="360" w:lineRule="auto"/>
        <w:ind w:firstLine="881"/>
        <w:jc w:val="center"/>
        <w:rPr>
          <w:rFonts w:asciiTheme="minorEastAsia" w:eastAsiaTheme="minorEastAsia" w:hAnsiTheme="minorEastAsia"/>
          <w:b/>
          <w:color w:val="000000" w:themeColor="text1"/>
          <w:sz w:val="44"/>
        </w:rPr>
      </w:pPr>
    </w:p>
    <w:p w:rsidR="007228CC" w:rsidRPr="00054588" w:rsidP="0071223F">
      <w:pPr>
        <w:snapToGrid w:val="0"/>
        <w:spacing w:line="360" w:lineRule="auto"/>
        <w:jc w:val="center"/>
        <w:rPr>
          <w:rFonts w:asciiTheme="minorEastAsia" w:eastAsiaTheme="minorEastAsia" w:hAnsiTheme="minorEastAsia"/>
          <w:color w:val="000000" w:themeColor="text1"/>
          <w:sz w:val="44"/>
          <w:szCs w:val="44"/>
        </w:rPr>
      </w:pPr>
      <w:r w:rsidRPr="00054588">
        <w:rPr>
          <w:rFonts w:asciiTheme="minorEastAsia" w:eastAsiaTheme="minorEastAsia" w:hAnsiTheme="minorEastAsia" w:hint="eastAsia"/>
          <w:color w:val="000000" w:themeColor="text1"/>
          <w:sz w:val="44"/>
          <w:szCs w:val="44"/>
        </w:rPr>
        <w:t>易方达增强回报债券型证券投资基金</w:t>
      </w:r>
    </w:p>
    <w:p w:rsidR="007228CC" w:rsidRPr="00054588" w:rsidP="0071223F">
      <w:pPr>
        <w:snapToGrid w:val="0"/>
        <w:spacing w:line="360" w:lineRule="auto"/>
        <w:jc w:val="center"/>
        <w:rPr>
          <w:rFonts w:asciiTheme="minorEastAsia" w:eastAsiaTheme="minorEastAsia" w:hAnsiTheme="minorEastAsia"/>
          <w:color w:val="000000" w:themeColor="text1"/>
          <w:sz w:val="44"/>
          <w:szCs w:val="44"/>
        </w:rPr>
      </w:pPr>
      <w:r w:rsidRPr="00054588">
        <w:rPr>
          <w:rFonts w:asciiTheme="minorEastAsia" w:eastAsiaTheme="minorEastAsia" w:hAnsiTheme="minorEastAsia" w:hint="eastAsia"/>
          <w:color w:val="000000" w:themeColor="text1"/>
          <w:sz w:val="44"/>
          <w:szCs w:val="44"/>
        </w:rPr>
        <w:t>更新的招募说明书</w:t>
      </w:r>
    </w:p>
    <w:p w:rsidR="007228CC" w:rsidRPr="00054588" w:rsidP="0071223F">
      <w:pPr>
        <w:snapToGrid w:val="0"/>
        <w:spacing w:line="360" w:lineRule="auto"/>
        <w:jc w:val="center"/>
        <w:rPr>
          <w:rFonts w:asciiTheme="minorEastAsia" w:eastAsiaTheme="minorEastAsia" w:hAnsiTheme="minorEastAsia"/>
          <w:b/>
          <w:color w:val="000000" w:themeColor="text1"/>
          <w:sz w:val="32"/>
          <w:szCs w:val="32"/>
        </w:rPr>
      </w:pPr>
    </w:p>
    <w:p w:rsidR="007228CC" w:rsidRPr="00054588" w:rsidP="0071223F">
      <w:pPr>
        <w:snapToGrid w:val="0"/>
        <w:spacing w:line="360" w:lineRule="auto"/>
        <w:ind w:left="360" w:right="26"/>
        <w:jc w:val="center"/>
        <w:rPr>
          <w:rFonts w:asciiTheme="minorEastAsia" w:eastAsiaTheme="minorEastAsia" w:hAnsiTheme="minorEastAsia"/>
          <w:b/>
          <w:color w:val="000000" w:themeColor="text1"/>
          <w:sz w:val="44"/>
        </w:rPr>
      </w:pPr>
    </w:p>
    <w:p w:rsidR="007228CC" w:rsidRPr="00054588" w:rsidP="0071223F">
      <w:pPr>
        <w:snapToGrid w:val="0"/>
        <w:spacing w:line="360" w:lineRule="auto"/>
        <w:ind w:left="360" w:right="26"/>
        <w:jc w:val="center"/>
        <w:rPr>
          <w:rFonts w:asciiTheme="minorEastAsia" w:eastAsiaTheme="minorEastAsia" w:hAnsiTheme="minorEastAsia"/>
          <w:b/>
          <w:color w:val="000000" w:themeColor="text1"/>
          <w:sz w:val="44"/>
        </w:rPr>
      </w:pPr>
    </w:p>
    <w:p w:rsidR="007228CC" w:rsidRPr="00054588" w:rsidP="0071223F">
      <w:pPr>
        <w:snapToGrid w:val="0"/>
        <w:spacing w:line="360" w:lineRule="auto"/>
        <w:ind w:firstLine="600"/>
        <w:jc w:val="center"/>
        <w:rPr>
          <w:rFonts w:asciiTheme="minorEastAsia" w:eastAsiaTheme="minorEastAsia" w:hAnsiTheme="minorEastAsia"/>
          <w:color w:val="000000" w:themeColor="text1"/>
          <w:sz w:val="24"/>
        </w:rPr>
      </w:pPr>
    </w:p>
    <w:p w:rsidR="007228CC" w:rsidRPr="00054588" w:rsidP="0071223F">
      <w:pPr>
        <w:snapToGrid w:val="0"/>
        <w:spacing w:line="360" w:lineRule="auto"/>
        <w:ind w:left="1680" w:leftChars="800"/>
        <w:rPr>
          <w:rFonts w:asciiTheme="minorEastAsia" w:eastAsiaTheme="minorEastAsia" w:hAnsiTheme="minorEastAsia"/>
          <w:color w:val="000000" w:themeColor="text1"/>
          <w:sz w:val="30"/>
          <w:szCs w:val="30"/>
        </w:rPr>
      </w:pPr>
    </w:p>
    <w:p w:rsidR="0071223F" w:rsidRPr="00054588" w:rsidP="0071223F">
      <w:pPr>
        <w:snapToGrid w:val="0"/>
        <w:spacing w:line="360" w:lineRule="auto"/>
        <w:ind w:left="1680" w:leftChars="800"/>
        <w:rPr>
          <w:rFonts w:asciiTheme="minorEastAsia" w:eastAsiaTheme="minorEastAsia" w:hAnsiTheme="minorEastAsia"/>
          <w:color w:val="000000" w:themeColor="text1"/>
          <w:sz w:val="30"/>
          <w:szCs w:val="30"/>
        </w:rPr>
      </w:pPr>
    </w:p>
    <w:p w:rsidR="0071223F" w:rsidRPr="00054588" w:rsidP="0071223F">
      <w:pPr>
        <w:snapToGrid w:val="0"/>
        <w:spacing w:line="360" w:lineRule="auto"/>
        <w:ind w:left="1680" w:leftChars="800"/>
        <w:rPr>
          <w:rFonts w:asciiTheme="minorEastAsia" w:eastAsiaTheme="minorEastAsia" w:hAnsiTheme="minorEastAsia"/>
          <w:color w:val="000000" w:themeColor="text1"/>
          <w:sz w:val="30"/>
          <w:szCs w:val="30"/>
        </w:rPr>
      </w:pPr>
    </w:p>
    <w:p w:rsidR="007228CC" w:rsidRPr="00054588" w:rsidP="0071223F">
      <w:pPr>
        <w:snapToGrid w:val="0"/>
        <w:spacing w:line="360" w:lineRule="auto"/>
        <w:ind w:left="1680" w:leftChars="800"/>
        <w:rPr>
          <w:rFonts w:asciiTheme="minorEastAsia" w:eastAsiaTheme="minorEastAsia" w:hAnsiTheme="minorEastAsia"/>
          <w:color w:val="000000" w:themeColor="text1"/>
          <w:sz w:val="30"/>
          <w:szCs w:val="30"/>
        </w:rPr>
      </w:pPr>
    </w:p>
    <w:p w:rsidR="007228CC" w:rsidRPr="00054588" w:rsidP="0071223F">
      <w:pPr>
        <w:snapToGrid w:val="0"/>
        <w:spacing w:line="360" w:lineRule="auto"/>
        <w:ind w:left="1680" w:leftChars="800"/>
        <w:rPr>
          <w:rFonts w:asciiTheme="minorEastAsia" w:eastAsiaTheme="minorEastAsia" w:hAnsiTheme="minorEastAsia"/>
          <w:color w:val="000000" w:themeColor="text1"/>
          <w:sz w:val="30"/>
          <w:szCs w:val="30"/>
        </w:rPr>
      </w:pPr>
    </w:p>
    <w:p w:rsidR="007228CC" w:rsidRPr="00054588" w:rsidP="0071223F">
      <w:pPr>
        <w:snapToGrid w:val="0"/>
        <w:spacing w:line="360" w:lineRule="auto"/>
        <w:jc w:val="center"/>
        <w:rPr>
          <w:rFonts w:asciiTheme="minorEastAsia" w:eastAsiaTheme="minorEastAsia" w:hAnsiTheme="minorEastAsia"/>
          <w:color w:val="000000" w:themeColor="text1"/>
          <w:sz w:val="30"/>
          <w:szCs w:val="30"/>
        </w:rPr>
      </w:pPr>
      <w:r w:rsidRPr="00054588">
        <w:rPr>
          <w:rFonts w:asciiTheme="minorEastAsia" w:eastAsiaTheme="minorEastAsia" w:hAnsiTheme="minorEastAsia" w:hint="eastAsia"/>
          <w:color w:val="000000" w:themeColor="text1"/>
          <w:sz w:val="30"/>
          <w:szCs w:val="30"/>
        </w:rPr>
        <w:t>基金管理人：易方达基金管理有限公司</w:t>
      </w:r>
    </w:p>
    <w:p w:rsidR="002A7F91" w:rsidRPr="00054588" w:rsidP="009D2370">
      <w:pPr>
        <w:snapToGrid w:val="0"/>
        <w:spacing w:line="360" w:lineRule="auto"/>
        <w:jc w:val="center"/>
        <w:rPr>
          <w:rFonts w:asciiTheme="minorEastAsia" w:eastAsiaTheme="minorEastAsia" w:hAnsiTheme="minorEastAsia"/>
          <w:color w:val="000000" w:themeColor="text1"/>
          <w:sz w:val="30"/>
          <w:szCs w:val="30"/>
        </w:rPr>
      </w:pPr>
      <w:r w:rsidRPr="00054588">
        <w:rPr>
          <w:rFonts w:asciiTheme="minorEastAsia" w:eastAsiaTheme="minorEastAsia" w:hAnsiTheme="minorEastAsia" w:hint="eastAsia"/>
          <w:color w:val="000000" w:themeColor="text1"/>
          <w:sz w:val="30"/>
          <w:szCs w:val="30"/>
        </w:rPr>
        <w:t>基金托管人：中国建设银行股份有限公司</w:t>
      </w:r>
    </w:p>
    <w:p w:rsidR="000329F7" w:rsidRPr="00054588" w:rsidP="009D2370">
      <w:pPr>
        <w:snapToGrid w:val="0"/>
        <w:spacing w:line="360" w:lineRule="auto"/>
        <w:jc w:val="center"/>
        <w:rPr>
          <w:rFonts w:asciiTheme="minorEastAsia" w:eastAsiaTheme="minorEastAsia" w:hAnsiTheme="minorEastAsia"/>
          <w:color w:val="000000" w:themeColor="text1"/>
          <w:sz w:val="30"/>
          <w:szCs w:val="30"/>
        </w:rPr>
      </w:pPr>
    </w:p>
    <w:p w:rsidR="008B03AC" w:rsidRPr="00054588" w:rsidP="0071223F">
      <w:pPr>
        <w:snapToGrid w:val="0"/>
        <w:spacing w:line="360" w:lineRule="auto"/>
        <w:jc w:val="center"/>
        <w:rPr>
          <w:rFonts w:asciiTheme="minorEastAsia" w:eastAsiaTheme="minorEastAsia" w:hAnsiTheme="minorEastAsia"/>
          <w:color w:val="000000" w:themeColor="text1"/>
          <w:sz w:val="30"/>
          <w:szCs w:val="30"/>
        </w:rPr>
      </w:pPr>
      <w:r w:rsidRPr="00054588">
        <w:rPr>
          <w:rFonts w:asciiTheme="minorEastAsia" w:eastAsiaTheme="minorEastAsia" w:hAnsiTheme="minorEastAsia"/>
          <w:color w:val="000000" w:themeColor="text1"/>
          <w:sz w:val="30"/>
        </w:rPr>
        <w:t>二〇二二年十二月</w:t>
      </w:r>
    </w:p>
    <w:p w:rsidR="007228CC" w:rsidRPr="00054588" w:rsidP="0071223F">
      <w:pPr>
        <w:snapToGrid w:val="0"/>
        <w:spacing w:line="360" w:lineRule="auto"/>
        <w:jc w:val="center"/>
        <w:rPr>
          <w:rFonts w:asciiTheme="minorEastAsia" w:eastAsiaTheme="minorEastAsia" w:hAnsiTheme="minorEastAsia"/>
          <w:color w:val="000000" w:themeColor="text1"/>
          <w:sz w:val="30"/>
          <w:szCs w:val="30"/>
        </w:rPr>
      </w:pPr>
    </w:p>
    <w:p w:rsidR="001363DB" w:rsidRPr="00054588" w:rsidP="0071223F">
      <w:pPr>
        <w:snapToGrid w:val="0"/>
        <w:spacing w:line="360" w:lineRule="auto"/>
        <w:jc w:val="center"/>
        <w:rPr>
          <w:rFonts w:asciiTheme="minorEastAsia" w:eastAsiaTheme="minorEastAsia" w:hAnsiTheme="minorEastAsia"/>
          <w:color w:val="000000" w:themeColor="text1"/>
          <w:sz w:val="30"/>
          <w:szCs w:val="30"/>
        </w:rPr>
      </w:pPr>
    </w:p>
    <w:p w:rsidR="007228CC" w:rsidRPr="00054588" w:rsidP="0071223F">
      <w:pPr>
        <w:snapToGrid w:val="0"/>
        <w:spacing w:line="360" w:lineRule="auto"/>
        <w:ind w:firstLine="561"/>
        <w:jc w:val="center"/>
        <w:rPr>
          <w:rFonts w:asciiTheme="minorEastAsia" w:eastAsiaTheme="minorEastAsia" w:hAnsiTheme="minorEastAsia"/>
          <w:b/>
          <w:color w:val="000000" w:themeColor="text1"/>
          <w:sz w:val="28"/>
          <w:szCs w:val="28"/>
        </w:rPr>
      </w:pPr>
      <w:r w:rsidRPr="00054588">
        <w:rPr>
          <w:rFonts w:asciiTheme="minorEastAsia" w:eastAsiaTheme="minorEastAsia" w:hAnsiTheme="minorEastAsia" w:hint="eastAsia"/>
          <w:b/>
          <w:color w:val="000000" w:themeColor="text1"/>
          <w:sz w:val="28"/>
          <w:szCs w:val="28"/>
        </w:rPr>
        <w:t>重要提示</w:t>
      </w:r>
    </w:p>
    <w:p w:rsidR="007228CC" w:rsidRPr="00054588" w:rsidP="0071223F">
      <w:pPr>
        <w:adjustRightInd w:val="0"/>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本基金根据2008年2月3日中国证券监督管理委员会《关于核准易方达增强回报债券型证券投资基金募集的批复》（证监</w:t>
      </w:r>
      <w:r w:rsidRPr="00054588" w:rsidR="00E21266">
        <w:rPr>
          <w:rFonts w:asciiTheme="minorEastAsia" w:eastAsiaTheme="minorEastAsia" w:hAnsiTheme="minorEastAsia" w:hint="eastAsia"/>
          <w:color w:val="000000" w:themeColor="text1"/>
          <w:szCs w:val="21"/>
        </w:rPr>
        <w:t>许可</w:t>
      </w:r>
      <w:r w:rsidRPr="00054588">
        <w:rPr>
          <w:rFonts w:asciiTheme="minorEastAsia" w:eastAsiaTheme="minorEastAsia" w:hAnsiTheme="minorEastAsia"/>
          <w:color w:val="000000" w:themeColor="text1"/>
          <w:szCs w:val="21"/>
        </w:rPr>
        <w:t>[200</w:t>
      </w:r>
      <w:r w:rsidRPr="00054588">
        <w:rPr>
          <w:rFonts w:asciiTheme="minorEastAsia" w:eastAsiaTheme="minorEastAsia" w:hAnsiTheme="minorEastAsia" w:hint="eastAsia"/>
          <w:color w:val="000000" w:themeColor="text1"/>
          <w:szCs w:val="21"/>
        </w:rPr>
        <w:t>8]226号）和</w:t>
      </w:r>
      <w:r w:rsidRPr="00054588">
        <w:rPr>
          <w:rFonts w:asciiTheme="minorEastAsia" w:eastAsiaTheme="minorEastAsia" w:hAnsiTheme="minorEastAsia"/>
          <w:color w:val="000000" w:themeColor="text1"/>
          <w:szCs w:val="21"/>
        </w:rPr>
        <w:t>200</w:t>
      </w:r>
      <w:r w:rsidRPr="00054588">
        <w:rPr>
          <w:rFonts w:asciiTheme="minorEastAsia" w:eastAsiaTheme="minorEastAsia" w:hAnsiTheme="minorEastAsia" w:hint="eastAsia"/>
          <w:color w:val="000000" w:themeColor="text1"/>
          <w:szCs w:val="21"/>
        </w:rPr>
        <w:t>8年2月21日《关于易方达增强回报债券型证券投资基金募集时间安排的确认函》（基金部函</w:t>
      </w:r>
      <w:r w:rsidRPr="00054588">
        <w:rPr>
          <w:rFonts w:asciiTheme="minorEastAsia" w:eastAsiaTheme="minorEastAsia" w:hAnsiTheme="minorEastAsia"/>
          <w:color w:val="000000" w:themeColor="text1"/>
          <w:szCs w:val="21"/>
        </w:rPr>
        <w:t>[200</w:t>
      </w:r>
      <w:r w:rsidRPr="00054588">
        <w:rPr>
          <w:rFonts w:asciiTheme="minorEastAsia" w:eastAsiaTheme="minorEastAsia" w:hAnsiTheme="minorEastAsia" w:hint="eastAsia"/>
          <w:color w:val="000000" w:themeColor="text1"/>
          <w:szCs w:val="21"/>
        </w:rPr>
        <w:t>8]44号）的核准，进行募集。</w:t>
      </w:r>
      <w:r w:rsidRPr="00054588">
        <w:rPr>
          <w:rFonts w:asciiTheme="minorEastAsia" w:eastAsiaTheme="minorEastAsia" w:hAnsiTheme="minorEastAsia" w:hint="eastAsia"/>
          <w:color w:val="000000" w:themeColor="text1"/>
        </w:rPr>
        <w:t>本基金的基金合同于2008年3月19日正式生效。</w:t>
      </w:r>
    </w:p>
    <w:p w:rsidR="007228CC" w:rsidRPr="00054588" w:rsidP="0071223F">
      <w:pPr>
        <w:adjustRightInd w:val="0"/>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基金管理人保证《招募说明书》的内容真实、准确、完整。</w:t>
      </w:r>
    </w:p>
    <w:p w:rsidR="007228CC" w:rsidRPr="00054588" w:rsidP="0071223F">
      <w:pPr>
        <w:adjustRightInd w:val="0"/>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本《招募说明书》经中国证监会核准，但中国证监会对本基金募集的核准，并不表明其对本基金的价值和收益作出实质性判断或保证，也不表明投资于本基金没有风险。</w:t>
      </w:r>
    </w:p>
    <w:p w:rsidR="007228CC" w:rsidRPr="00054588" w:rsidP="0071223F">
      <w:pPr>
        <w:adjustRightInd w:val="0"/>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基金的过往业绩并不预示其未来表现。</w:t>
      </w:r>
    </w:p>
    <w:p w:rsidR="007228CC" w:rsidRPr="00054588" w:rsidP="0071223F">
      <w:pPr>
        <w:adjustRightInd w:val="0"/>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基金管理人依照恪尽职守、诚实信用、谨慎勤勉的原则管理和运用基金财产，但不保证基金一定盈利，也不保证最低收益。</w:t>
      </w:r>
    </w:p>
    <w:p w:rsidR="007228CC" w:rsidRPr="00054588" w:rsidP="0071223F">
      <w:pPr>
        <w:adjustRightInd w:val="0"/>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本基金主要投资于固定收益品种并参与新股申购（含增发）和套利性机会投资，投资者在投资本基金前，需充分了解本基金的产品特性，并承担基金投资中出现的各类风险，投资风险，包括</w:t>
      </w:r>
      <w:r w:rsidRPr="00054588" w:rsidR="000C2537">
        <w:rPr>
          <w:rFonts w:asciiTheme="minorEastAsia" w:eastAsiaTheme="minorEastAsia" w:hAnsiTheme="minorEastAsia" w:hint="eastAsia"/>
          <w:color w:val="000000" w:themeColor="text1"/>
        </w:rPr>
        <w:t>因整体政治、经济、社会等环境因素对证券市场价格产生影响的市场风险，基金管理人在基金管理实施过程中产生的基金管理风险，流动性风险</w:t>
      </w:r>
      <w:r w:rsidRPr="00054588">
        <w:rPr>
          <w:rFonts w:asciiTheme="minorEastAsia" w:eastAsiaTheme="minorEastAsia" w:hAnsiTheme="minorEastAsia" w:hint="eastAsia"/>
          <w:color w:val="000000" w:themeColor="text1"/>
          <w:szCs w:val="21"/>
        </w:rPr>
        <w:t>，</w:t>
      </w:r>
      <w:r w:rsidRPr="00054588" w:rsidR="00A939EB">
        <w:rPr>
          <w:rFonts w:asciiTheme="minorEastAsia" w:eastAsiaTheme="minorEastAsia" w:hAnsiTheme="minorEastAsia" w:hint="eastAsia"/>
          <w:color w:val="000000" w:themeColor="text1"/>
          <w:szCs w:val="21"/>
        </w:rPr>
        <w:t>本基金的投资范围包括资产支持证券、存托凭证等品种，可能给本基金带来额外风险；</w:t>
      </w:r>
      <w:r w:rsidRPr="00054588" w:rsidR="00E028D5">
        <w:rPr>
          <w:rFonts w:asciiTheme="minorEastAsia" w:eastAsiaTheme="minorEastAsia" w:hAnsiTheme="minorEastAsia" w:hint="eastAsia"/>
          <w:color w:val="000000" w:themeColor="text1"/>
        </w:rPr>
        <w:t>以及</w:t>
      </w:r>
      <w:r w:rsidRPr="00054588" w:rsidR="00E028D5">
        <w:rPr>
          <w:rFonts w:asciiTheme="minorEastAsia" w:eastAsiaTheme="minorEastAsia" w:hAnsiTheme="minorEastAsia" w:hint="eastAsia"/>
          <w:color w:val="000000" w:themeColor="text1"/>
          <w:szCs w:val="21"/>
        </w:rPr>
        <w:t>本基金法律文件中涉及基金风险特征的表述与销售机构对基金的风险评级可能不一致的风险，</w:t>
      </w:r>
      <w:r w:rsidRPr="00054588">
        <w:rPr>
          <w:rFonts w:asciiTheme="minorEastAsia" w:eastAsiaTheme="minorEastAsia" w:hAnsiTheme="minorEastAsia" w:hint="eastAsia"/>
          <w:color w:val="000000" w:themeColor="text1"/>
          <w:szCs w:val="21"/>
        </w:rPr>
        <w:t>等等。此外，本基金以1元初始面值进行募集，在市场波动等因素的影响下，存在单位份额净值跌破1元初始面值的风险。</w:t>
      </w:r>
    </w:p>
    <w:p w:rsidR="007228CC" w:rsidRPr="00054588" w:rsidP="0071223F">
      <w:pPr>
        <w:adjustRightInd w:val="0"/>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基金不同于银行储蓄，基金投资者有可能获得较高的收益，也有可能损失本金。投资者在进行投资决策前，请仔细阅读本基金的</w:t>
      </w:r>
      <w:r w:rsidRPr="00054588" w:rsidR="00DB3139">
        <w:rPr>
          <w:rFonts w:asciiTheme="minorEastAsia" w:eastAsiaTheme="minorEastAsia" w:hAnsiTheme="minorEastAsia" w:hint="eastAsia"/>
          <w:color w:val="000000" w:themeColor="text1"/>
          <w:szCs w:val="21"/>
        </w:rPr>
        <w:t>招募说明书、基金合同和基金产品资料概要等信息披露文件</w:t>
      </w:r>
      <w:r w:rsidRPr="00054588">
        <w:rPr>
          <w:rFonts w:asciiTheme="minorEastAsia" w:eastAsiaTheme="minorEastAsia" w:hAnsiTheme="minorEastAsia" w:hint="eastAsia"/>
          <w:color w:val="000000" w:themeColor="text1"/>
          <w:szCs w:val="21"/>
        </w:rPr>
        <w:t>。基金管理人提醒投资者基金投资的“买者自负”原则，在投资者作出投资决策后，基金运营状况与基金净值变化引致的投资风险，由投资者自行负责。</w:t>
      </w:r>
    </w:p>
    <w:p w:rsidR="007228CC" w:rsidRPr="00054588" w:rsidP="0071223F">
      <w:pPr>
        <w:adjustRightInd w:val="0"/>
        <w:snapToGrid w:val="0"/>
        <w:spacing w:line="360" w:lineRule="auto"/>
        <w:ind w:firstLine="420" w:firstLineChars="200"/>
        <w:rPr>
          <w:rFonts w:asciiTheme="minorEastAsia" w:eastAsiaTheme="minorEastAsia" w:hAnsiTheme="minorEastAsia"/>
          <w:b/>
          <w:color w:val="000000" w:themeColor="text1"/>
          <w:sz w:val="28"/>
          <w:szCs w:val="28"/>
        </w:rPr>
      </w:pPr>
      <w:r w:rsidRPr="00054588">
        <w:rPr>
          <w:rFonts w:asciiTheme="minorEastAsia" w:eastAsiaTheme="minorEastAsia" w:hAnsiTheme="minorEastAsia"/>
          <w:color w:val="000000" w:themeColor="text1"/>
        </w:rPr>
        <w:t>本基金有关财务数据截止日为2022年9月30日，净值表现截止日为2021年12月31日，主要人员情况截止日为2022年12月</w:t>
      </w:r>
      <w:r w:rsidRPr="00054588" w:rsidR="00A41B05">
        <w:rPr>
          <w:rFonts w:asciiTheme="minorEastAsia" w:eastAsiaTheme="minorEastAsia" w:hAnsiTheme="minorEastAsia"/>
          <w:color w:val="000000" w:themeColor="text1"/>
        </w:rPr>
        <w:t>30</w:t>
      </w:r>
      <w:r w:rsidRPr="00054588">
        <w:rPr>
          <w:rFonts w:asciiTheme="minorEastAsia" w:eastAsiaTheme="minorEastAsia" w:hAnsiTheme="minorEastAsia"/>
          <w:color w:val="000000" w:themeColor="text1"/>
        </w:rPr>
        <w:t>日，除非另有说明，本招募说明书其他所载内容截止日为2022年11月16日。（本报告中财务数据未经审计）</w:t>
      </w:r>
    </w:p>
    <w:p w:rsidR="007228CC" w:rsidRPr="00054588" w:rsidP="0071223F">
      <w:pPr>
        <w:adjustRightInd w:val="0"/>
        <w:snapToGrid w:val="0"/>
        <w:spacing w:line="360" w:lineRule="auto"/>
        <w:jc w:val="center"/>
        <w:rPr>
          <w:rFonts w:asciiTheme="minorEastAsia" w:eastAsiaTheme="minorEastAsia" w:hAnsiTheme="minorEastAsia"/>
          <w:b/>
          <w:color w:val="000000" w:themeColor="text1"/>
          <w:sz w:val="28"/>
          <w:szCs w:val="28"/>
        </w:rPr>
        <w:sectPr w:rsidSect="002A7F91">
          <w:headerReference w:type="even" r:id="rId5"/>
          <w:headerReference w:type="default" r:id="rId6"/>
          <w:footerReference w:type="even" r:id="rId7"/>
          <w:footerReference w:type="default" r:id="rId8"/>
          <w:headerReference w:type="first" r:id="rId9"/>
          <w:footerReference w:type="first" r:id="rId10"/>
          <w:type w:val="continuous"/>
          <w:pgSz w:w="11906" w:h="16838" w:code="9"/>
          <w:pgMar w:top="1701" w:right="1814" w:bottom="1701" w:left="1814" w:header="1134" w:footer="1247" w:gutter="0"/>
          <w:pgNumType w:fmt="upperRoman" w:start="1"/>
          <w:cols w:space="425"/>
          <w:titlePg/>
          <w:docGrid w:type="lines" w:linePitch="447"/>
        </w:sectPr>
      </w:pPr>
    </w:p>
    <w:p w:rsidR="007228CC" w:rsidRPr="00054588" w:rsidP="0071223F">
      <w:pPr>
        <w:adjustRightInd w:val="0"/>
        <w:snapToGrid w:val="0"/>
        <w:spacing w:line="360" w:lineRule="auto"/>
        <w:jc w:val="center"/>
        <w:rPr>
          <w:rFonts w:asciiTheme="minorEastAsia" w:eastAsiaTheme="minorEastAsia" w:hAnsiTheme="minorEastAsia"/>
          <w:b/>
          <w:color w:val="000000" w:themeColor="text1"/>
          <w:sz w:val="28"/>
          <w:szCs w:val="28"/>
        </w:rPr>
      </w:pPr>
      <w:r w:rsidRPr="00054588">
        <w:rPr>
          <w:rFonts w:asciiTheme="minorEastAsia" w:eastAsiaTheme="minorEastAsia" w:hAnsiTheme="minorEastAsia" w:hint="eastAsia"/>
          <w:b/>
          <w:color w:val="000000" w:themeColor="text1"/>
          <w:sz w:val="28"/>
          <w:szCs w:val="28"/>
        </w:rPr>
        <w:t>目录</w:t>
      </w:r>
    </w:p>
    <w:p w:rsidR="00530605">
      <w:pPr>
        <w:pStyle w:val="TOC1"/>
        <w:rPr>
          <w:rFonts w:asciiTheme="minorHAnsi" w:eastAsiaTheme="minorEastAsia" w:hAnsiTheme="minorHAnsi" w:cstheme="minorBidi"/>
          <w:caps w:val="0"/>
          <w:sz w:val="21"/>
          <w:szCs w:val="22"/>
        </w:rPr>
      </w:pPr>
      <w:r w:rsidRPr="00054588">
        <w:rPr>
          <w:rFonts w:asciiTheme="minorEastAsia" w:eastAsiaTheme="minorEastAsia" w:hAnsiTheme="minorEastAsia"/>
          <w:color w:val="000000" w:themeColor="text1"/>
        </w:rPr>
        <w:fldChar w:fldCharType="begin"/>
      </w:r>
      <w:r w:rsidRPr="00054588" w:rsidR="007228CC">
        <w:rPr>
          <w:rFonts w:asciiTheme="minorEastAsia" w:eastAsiaTheme="minorEastAsia" w:hAnsiTheme="minorEastAsia"/>
          <w:color w:val="000000" w:themeColor="text1"/>
        </w:rPr>
        <w:instrText xml:space="preserve"> TOC \o "1-2" \h \z \u </w:instrText>
      </w:r>
      <w:r w:rsidRPr="00054588">
        <w:rPr>
          <w:rFonts w:asciiTheme="minorEastAsia" w:eastAsiaTheme="minorEastAsia" w:hAnsiTheme="minorEastAsia"/>
          <w:color w:val="000000" w:themeColor="text1"/>
        </w:rPr>
        <w:fldChar w:fldCharType="separate"/>
      </w:r>
      <w:hyperlink w:anchor="_Toc123296400" w:history="1">
        <w:r w:rsidRPr="00B65184">
          <w:rPr>
            <w:rStyle w:val="Hyperlink"/>
            <w:rFonts w:asciiTheme="minorEastAsia" w:hAnsiTheme="minorEastAsia" w:hint="eastAsia"/>
            <w:b/>
          </w:rPr>
          <w:t>一、</w:t>
        </w:r>
        <w:r>
          <w:rPr>
            <w:rFonts w:asciiTheme="minorHAnsi" w:eastAsiaTheme="minorEastAsia" w:hAnsiTheme="minorHAnsi" w:cstheme="minorBidi"/>
            <w:caps w:val="0"/>
            <w:sz w:val="21"/>
            <w:szCs w:val="22"/>
          </w:rPr>
          <w:tab/>
        </w:r>
        <w:r w:rsidRPr="00B65184">
          <w:rPr>
            <w:rStyle w:val="Hyperlink"/>
            <w:rFonts w:asciiTheme="minorEastAsia" w:hAnsiTheme="minorEastAsia" w:hint="eastAsia"/>
            <w:b/>
          </w:rPr>
          <w:t>绪言</w:t>
        </w:r>
        <w:r>
          <w:rPr>
            <w:webHidden/>
          </w:rPr>
          <w:tab/>
        </w:r>
        <w:r>
          <w:rPr>
            <w:webHidden/>
          </w:rPr>
          <w:fldChar w:fldCharType="begin"/>
        </w:r>
        <w:r>
          <w:rPr>
            <w:webHidden/>
          </w:rPr>
          <w:instrText xml:space="preserve"> PAGEREF _Toc123296400 \h </w:instrText>
        </w:r>
        <w:r>
          <w:rPr>
            <w:webHidden/>
          </w:rPr>
          <w:fldChar w:fldCharType="separate"/>
        </w:r>
        <w:r>
          <w:rPr>
            <w:webHidden/>
          </w:rPr>
          <w:t>1</w:t>
        </w:r>
        <w:r>
          <w:rPr>
            <w:webHidden/>
          </w:rPr>
          <w:fldChar w:fldCharType="end"/>
        </w:r>
      </w:hyperlink>
    </w:p>
    <w:p w:rsidR="00530605">
      <w:pPr>
        <w:pStyle w:val="TOC1"/>
        <w:rPr>
          <w:rFonts w:asciiTheme="minorHAnsi" w:eastAsiaTheme="minorEastAsia" w:hAnsiTheme="minorHAnsi" w:cstheme="minorBidi"/>
          <w:caps w:val="0"/>
          <w:sz w:val="21"/>
          <w:szCs w:val="22"/>
        </w:rPr>
      </w:pPr>
      <w:hyperlink w:anchor="_Toc123296401" w:history="1">
        <w:r w:rsidRPr="00B65184">
          <w:rPr>
            <w:rStyle w:val="Hyperlink"/>
            <w:rFonts w:asciiTheme="minorEastAsia" w:hAnsiTheme="minorEastAsia" w:hint="eastAsia"/>
            <w:b/>
          </w:rPr>
          <w:t>二、</w:t>
        </w:r>
        <w:r>
          <w:rPr>
            <w:rFonts w:asciiTheme="minorHAnsi" w:eastAsiaTheme="minorEastAsia" w:hAnsiTheme="minorHAnsi" w:cstheme="minorBidi"/>
            <w:caps w:val="0"/>
            <w:sz w:val="21"/>
            <w:szCs w:val="22"/>
          </w:rPr>
          <w:tab/>
        </w:r>
        <w:r w:rsidRPr="00B65184">
          <w:rPr>
            <w:rStyle w:val="Hyperlink"/>
            <w:rFonts w:asciiTheme="minorEastAsia" w:hAnsiTheme="minorEastAsia" w:hint="eastAsia"/>
            <w:b/>
          </w:rPr>
          <w:t>释义</w:t>
        </w:r>
        <w:r>
          <w:rPr>
            <w:webHidden/>
          </w:rPr>
          <w:tab/>
        </w:r>
        <w:r>
          <w:rPr>
            <w:webHidden/>
          </w:rPr>
          <w:fldChar w:fldCharType="begin"/>
        </w:r>
        <w:r>
          <w:rPr>
            <w:webHidden/>
          </w:rPr>
          <w:instrText xml:space="preserve"> PAGEREF _Toc123296401 \h </w:instrText>
        </w:r>
        <w:r>
          <w:rPr>
            <w:webHidden/>
          </w:rPr>
          <w:fldChar w:fldCharType="separate"/>
        </w:r>
        <w:r>
          <w:rPr>
            <w:webHidden/>
          </w:rPr>
          <w:t>2</w:t>
        </w:r>
        <w:r>
          <w:rPr>
            <w:webHidden/>
          </w:rPr>
          <w:fldChar w:fldCharType="end"/>
        </w:r>
      </w:hyperlink>
    </w:p>
    <w:p w:rsidR="00530605">
      <w:pPr>
        <w:pStyle w:val="TOC1"/>
        <w:rPr>
          <w:rFonts w:asciiTheme="minorHAnsi" w:eastAsiaTheme="minorEastAsia" w:hAnsiTheme="minorHAnsi" w:cstheme="minorBidi"/>
          <w:caps w:val="0"/>
          <w:sz w:val="21"/>
          <w:szCs w:val="22"/>
        </w:rPr>
      </w:pPr>
      <w:hyperlink w:anchor="_Toc123296402" w:history="1">
        <w:r w:rsidRPr="00B65184">
          <w:rPr>
            <w:rStyle w:val="Hyperlink"/>
            <w:rFonts w:asciiTheme="minorEastAsia" w:hAnsiTheme="minorEastAsia" w:hint="eastAsia"/>
            <w:b/>
          </w:rPr>
          <w:t>三、</w:t>
        </w:r>
        <w:r>
          <w:rPr>
            <w:rFonts w:asciiTheme="minorHAnsi" w:eastAsiaTheme="minorEastAsia" w:hAnsiTheme="minorHAnsi" w:cstheme="minorBidi"/>
            <w:caps w:val="0"/>
            <w:sz w:val="21"/>
            <w:szCs w:val="22"/>
          </w:rPr>
          <w:tab/>
        </w:r>
        <w:r w:rsidRPr="00B65184">
          <w:rPr>
            <w:rStyle w:val="Hyperlink"/>
            <w:rFonts w:asciiTheme="minorEastAsia" w:hAnsiTheme="minorEastAsia" w:hint="eastAsia"/>
            <w:b/>
          </w:rPr>
          <w:t>基金管理人</w:t>
        </w:r>
        <w:r>
          <w:rPr>
            <w:webHidden/>
          </w:rPr>
          <w:tab/>
        </w:r>
        <w:r>
          <w:rPr>
            <w:webHidden/>
          </w:rPr>
          <w:fldChar w:fldCharType="begin"/>
        </w:r>
        <w:r>
          <w:rPr>
            <w:webHidden/>
          </w:rPr>
          <w:instrText xml:space="preserve"> PAGEREF _Toc123296402 \h </w:instrText>
        </w:r>
        <w:r>
          <w:rPr>
            <w:webHidden/>
          </w:rPr>
          <w:fldChar w:fldCharType="separate"/>
        </w:r>
        <w:r>
          <w:rPr>
            <w:webHidden/>
          </w:rPr>
          <w:t>6</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03" w:history="1">
        <w:r w:rsidRPr="00B65184">
          <w:rPr>
            <w:rStyle w:val="Hyperlink"/>
            <w:rFonts w:asciiTheme="minorEastAsia" w:hAnsiTheme="minorEastAsia" w:cs="仿宋_GB2312" w:hint="eastAsia"/>
            <w:bCs/>
            <w:kern w:val="0"/>
          </w:rPr>
          <w:t>（一）基金管理人基本情况</w:t>
        </w:r>
        <w:r>
          <w:rPr>
            <w:webHidden/>
          </w:rPr>
          <w:tab/>
        </w:r>
        <w:r>
          <w:rPr>
            <w:webHidden/>
          </w:rPr>
          <w:fldChar w:fldCharType="begin"/>
        </w:r>
        <w:r>
          <w:rPr>
            <w:webHidden/>
          </w:rPr>
          <w:instrText xml:space="preserve"> PAGEREF _Toc123296403 \h </w:instrText>
        </w:r>
        <w:r>
          <w:rPr>
            <w:webHidden/>
          </w:rPr>
          <w:fldChar w:fldCharType="separate"/>
        </w:r>
        <w:r>
          <w:rPr>
            <w:webHidden/>
          </w:rPr>
          <w:t>6</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04" w:history="1">
        <w:r w:rsidRPr="00B65184">
          <w:rPr>
            <w:rStyle w:val="Hyperlink"/>
            <w:rFonts w:asciiTheme="minorEastAsia" w:hAnsiTheme="minorEastAsia" w:hint="eastAsia"/>
            <w:bCs/>
          </w:rPr>
          <w:t>（二）主要人员情况</w:t>
        </w:r>
        <w:r>
          <w:rPr>
            <w:webHidden/>
          </w:rPr>
          <w:tab/>
        </w:r>
        <w:r>
          <w:rPr>
            <w:webHidden/>
          </w:rPr>
          <w:fldChar w:fldCharType="begin"/>
        </w:r>
        <w:r>
          <w:rPr>
            <w:webHidden/>
          </w:rPr>
          <w:instrText xml:space="preserve"> PAGEREF _Toc123296404 \h </w:instrText>
        </w:r>
        <w:r>
          <w:rPr>
            <w:webHidden/>
          </w:rPr>
          <w:fldChar w:fldCharType="separate"/>
        </w:r>
        <w:r>
          <w:rPr>
            <w:webHidden/>
          </w:rPr>
          <w:t>6</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05" w:history="1">
        <w:r w:rsidRPr="00B65184">
          <w:rPr>
            <w:rStyle w:val="Hyperlink"/>
            <w:rFonts w:asciiTheme="minorEastAsia" w:hAnsiTheme="minorEastAsia" w:hint="eastAsia"/>
            <w:bCs/>
          </w:rPr>
          <w:t>（三）基金管理人的职责</w:t>
        </w:r>
        <w:r>
          <w:rPr>
            <w:webHidden/>
          </w:rPr>
          <w:tab/>
        </w:r>
        <w:r>
          <w:rPr>
            <w:webHidden/>
          </w:rPr>
          <w:fldChar w:fldCharType="begin"/>
        </w:r>
        <w:r>
          <w:rPr>
            <w:webHidden/>
          </w:rPr>
          <w:instrText xml:space="preserve"> PAGEREF _Toc123296405 \h </w:instrText>
        </w:r>
        <w:r>
          <w:rPr>
            <w:webHidden/>
          </w:rPr>
          <w:fldChar w:fldCharType="separate"/>
        </w:r>
        <w:r>
          <w:rPr>
            <w:webHidden/>
          </w:rPr>
          <w:t>14</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06" w:history="1">
        <w:r w:rsidRPr="00B65184">
          <w:rPr>
            <w:rStyle w:val="Hyperlink"/>
            <w:rFonts w:asciiTheme="minorEastAsia" w:hAnsiTheme="minorEastAsia" w:hint="eastAsia"/>
            <w:bCs/>
          </w:rPr>
          <w:t>（四）基金管理人的承诺</w:t>
        </w:r>
        <w:r>
          <w:rPr>
            <w:webHidden/>
          </w:rPr>
          <w:tab/>
        </w:r>
        <w:r>
          <w:rPr>
            <w:webHidden/>
          </w:rPr>
          <w:fldChar w:fldCharType="begin"/>
        </w:r>
        <w:r>
          <w:rPr>
            <w:webHidden/>
          </w:rPr>
          <w:instrText xml:space="preserve"> PAGEREF _Toc123296406 \h </w:instrText>
        </w:r>
        <w:r>
          <w:rPr>
            <w:webHidden/>
          </w:rPr>
          <w:fldChar w:fldCharType="separate"/>
        </w:r>
        <w:r>
          <w:rPr>
            <w:webHidden/>
          </w:rPr>
          <w:t>14</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07" w:history="1">
        <w:r w:rsidRPr="00B65184">
          <w:rPr>
            <w:rStyle w:val="Hyperlink"/>
            <w:rFonts w:asciiTheme="minorEastAsia" w:hAnsiTheme="minorEastAsia" w:hint="eastAsia"/>
            <w:bCs/>
          </w:rPr>
          <w:t>（五）基金管理人的内部控制制度</w:t>
        </w:r>
        <w:r>
          <w:rPr>
            <w:webHidden/>
          </w:rPr>
          <w:tab/>
        </w:r>
        <w:r>
          <w:rPr>
            <w:webHidden/>
          </w:rPr>
          <w:fldChar w:fldCharType="begin"/>
        </w:r>
        <w:r>
          <w:rPr>
            <w:webHidden/>
          </w:rPr>
          <w:instrText xml:space="preserve"> PAGEREF _Toc123296407 \h </w:instrText>
        </w:r>
        <w:r>
          <w:rPr>
            <w:webHidden/>
          </w:rPr>
          <w:fldChar w:fldCharType="separate"/>
        </w:r>
        <w:r>
          <w:rPr>
            <w:webHidden/>
          </w:rPr>
          <w:t>16</w:t>
        </w:r>
        <w:r>
          <w:rPr>
            <w:webHidden/>
          </w:rPr>
          <w:fldChar w:fldCharType="end"/>
        </w:r>
      </w:hyperlink>
    </w:p>
    <w:p w:rsidR="00530605">
      <w:pPr>
        <w:pStyle w:val="TOC1"/>
        <w:rPr>
          <w:rFonts w:asciiTheme="minorHAnsi" w:eastAsiaTheme="minorEastAsia" w:hAnsiTheme="minorHAnsi" w:cstheme="minorBidi"/>
          <w:caps w:val="0"/>
          <w:sz w:val="21"/>
          <w:szCs w:val="22"/>
        </w:rPr>
      </w:pPr>
      <w:hyperlink w:anchor="_Toc123296408" w:history="1">
        <w:r w:rsidRPr="00B65184">
          <w:rPr>
            <w:rStyle w:val="Hyperlink"/>
            <w:rFonts w:asciiTheme="minorEastAsia" w:hAnsiTheme="minorEastAsia" w:hint="eastAsia"/>
            <w:b/>
          </w:rPr>
          <w:t>四、</w:t>
        </w:r>
        <w:r>
          <w:rPr>
            <w:rFonts w:asciiTheme="minorHAnsi" w:eastAsiaTheme="minorEastAsia" w:hAnsiTheme="minorHAnsi" w:cstheme="minorBidi"/>
            <w:caps w:val="0"/>
            <w:sz w:val="21"/>
            <w:szCs w:val="22"/>
          </w:rPr>
          <w:tab/>
        </w:r>
        <w:r w:rsidRPr="00B65184">
          <w:rPr>
            <w:rStyle w:val="Hyperlink"/>
            <w:rFonts w:asciiTheme="minorEastAsia" w:hAnsiTheme="minorEastAsia" w:hint="eastAsia"/>
            <w:b/>
          </w:rPr>
          <w:t>基金托管人</w:t>
        </w:r>
        <w:r>
          <w:rPr>
            <w:webHidden/>
          </w:rPr>
          <w:tab/>
        </w:r>
        <w:r>
          <w:rPr>
            <w:webHidden/>
          </w:rPr>
          <w:fldChar w:fldCharType="begin"/>
        </w:r>
        <w:r>
          <w:rPr>
            <w:webHidden/>
          </w:rPr>
          <w:instrText xml:space="preserve"> PAGEREF _Toc123296408 \h </w:instrText>
        </w:r>
        <w:r>
          <w:rPr>
            <w:webHidden/>
          </w:rPr>
          <w:fldChar w:fldCharType="separate"/>
        </w:r>
        <w:r>
          <w:rPr>
            <w:webHidden/>
          </w:rPr>
          <w:t>19</w:t>
        </w:r>
        <w:r>
          <w:rPr>
            <w:webHidden/>
          </w:rPr>
          <w:fldChar w:fldCharType="end"/>
        </w:r>
      </w:hyperlink>
    </w:p>
    <w:p w:rsidR="00530605">
      <w:pPr>
        <w:pStyle w:val="TOC1"/>
        <w:rPr>
          <w:rFonts w:asciiTheme="minorHAnsi" w:eastAsiaTheme="minorEastAsia" w:hAnsiTheme="minorHAnsi" w:cstheme="minorBidi"/>
          <w:caps w:val="0"/>
          <w:sz w:val="21"/>
          <w:szCs w:val="22"/>
        </w:rPr>
      </w:pPr>
      <w:hyperlink w:anchor="_Toc123296409" w:history="1">
        <w:r w:rsidRPr="00B65184">
          <w:rPr>
            <w:rStyle w:val="Hyperlink"/>
            <w:rFonts w:asciiTheme="minorEastAsia" w:hAnsiTheme="minorEastAsia" w:hint="eastAsia"/>
            <w:b/>
          </w:rPr>
          <w:t>五、</w:t>
        </w:r>
        <w:r>
          <w:rPr>
            <w:rFonts w:asciiTheme="minorHAnsi" w:eastAsiaTheme="minorEastAsia" w:hAnsiTheme="minorHAnsi" w:cstheme="minorBidi"/>
            <w:caps w:val="0"/>
            <w:sz w:val="21"/>
            <w:szCs w:val="22"/>
          </w:rPr>
          <w:tab/>
        </w:r>
        <w:r w:rsidRPr="00B65184">
          <w:rPr>
            <w:rStyle w:val="Hyperlink"/>
            <w:rFonts w:asciiTheme="minorEastAsia" w:hAnsiTheme="minorEastAsia" w:hint="eastAsia"/>
            <w:b/>
          </w:rPr>
          <w:t>相关服务机构</w:t>
        </w:r>
        <w:r>
          <w:rPr>
            <w:webHidden/>
          </w:rPr>
          <w:tab/>
        </w:r>
        <w:r>
          <w:rPr>
            <w:webHidden/>
          </w:rPr>
          <w:fldChar w:fldCharType="begin"/>
        </w:r>
        <w:r>
          <w:rPr>
            <w:webHidden/>
          </w:rPr>
          <w:instrText xml:space="preserve"> PAGEREF _Toc123296409 \h </w:instrText>
        </w:r>
        <w:r>
          <w:rPr>
            <w:webHidden/>
          </w:rPr>
          <w:fldChar w:fldCharType="separate"/>
        </w:r>
        <w:r>
          <w:rPr>
            <w:webHidden/>
          </w:rPr>
          <w:t>22</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10" w:history="1">
        <w:r w:rsidRPr="00B65184">
          <w:rPr>
            <w:rStyle w:val="Hyperlink"/>
            <w:rFonts w:asciiTheme="minorEastAsia" w:hAnsiTheme="minorEastAsia" w:hint="eastAsia"/>
            <w:bCs/>
          </w:rPr>
          <w:t>（一）基金份额销售机构</w:t>
        </w:r>
        <w:r>
          <w:rPr>
            <w:webHidden/>
          </w:rPr>
          <w:tab/>
        </w:r>
        <w:r>
          <w:rPr>
            <w:webHidden/>
          </w:rPr>
          <w:fldChar w:fldCharType="begin"/>
        </w:r>
        <w:r>
          <w:rPr>
            <w:webHidden/>
          </w:rPr>
          <w:instrText xml:space="preserve"> PAGEREF _Toc123296410 \h </w:instrText>
        </w:r>
        <w:r>
          <w:rPr>
            <w:webHidden/>
          </w:rPr>
          <w:fldChar w:fldCharType="separate"/>
        </w:r>
        <w:r>
          <w:rPr>
            <w:webHidden/>
          </w:rPr>
          <w:t>22</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11" w:history="1">
        <w:r w:rsidRPr="00B65184">
          <w:rPr>
            <w:rStyle w:val="Hyperlink"/>
            <w:rFonts w:asciiTheme="minorEastAsia" w:hAnsiTheme="minorEastAsia" w:hint="eastAsia"/>
            <w:bCs/>
          </w:rPr>
          <w:t>（二）基金注册登记机构</w:t>
        </w:r>
        <w:r>
          <w:rPr>
            <w:webHidden/>
          </w:rPr>
          <w:tab/>
        </w:r>
        <w:r>
          <w:rPr>
            <w:webHidden/>
          </w:rPr>
          <w:fldChar w:fldCharType="begin"/>
        </w:r>
        <w:r>
          <w:rPr>
            <w:webHidden/>
          </w:rPr>
          <w:instrText xml:space="preserve"> PAGEREF _Toc123296411 \h </w:instrText>
        </w:r>
        <w:r>
          <w:rPr>
            <w:webHidden/>
          </w:rPr>
          <w:fldChar w:fldCharType="separate"/>
        </w:r>
        <w:r>
          <w:rPr>
            <w:webHidden/>
          </w:rPr>
          <w:t>22</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12" w:history="1">
        <w:r w:rsidRPr="00B65184">
          <w:rPr>
            <w:rStyle w:val="Hyperlink"/>
            <w:rFonts w:asciiTheme="minorEastAsia" w:hAnsiTheme="minorEastAsia" w:hint="eastAsia"/>
          </w:rPr>
          <w:t>（三）律师事务所和经办律师</w:t>
        </w:r>
        <w:r>
          <w:rPr>
            <w:webHidden/>
          </w:rPr>
          <w:tab/>
        </w:r>
        <w:r>
          <w:rPr>
            <w:webHidden/>
          </w:rPr>
          <w:fldChar w:fldCharType="begin"/>
        </w:r>
        <w:r>
          <w:rPr>
            <w:webHidden/>
          </w:rPr>
          <w:instrText xml:space="preserve"> PAGEREF _Toc123296412 \h </w:instrText>
        </w:r>
        <w:r>
          <w:rPr>
            <w:webHidden/>
          </w:rPr>
          <w:fldChar w:fldCharType="separate"/>
        </w:r>
        <w:r>
          <w:rPr>
            <w:webHidden/>
          </w:rPr>
          <w:t>22</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13" w:history="1">
        <w:r w:rsidRPr="00B65184">
          <w:rPr>
            <w:rStyle w:val="Hyperlink"/>
            <w:rFonts w:asciiTheme="minorEastAsia" w:hAnsiTheme="minorEastAsia" w:hint="eastAsia"/>
          </w:rPr>
          <w:t>（四）会计师事务所和经办注册会计师</w:t>
        </w:r>
        <w:r>
          <w:rPr>
            <w:webHidden/>
          </w:rPr>
          <w:tab/>
        </w:r>
        <w:r>
          <w:rPr>
            <w:webHidden/>
          </w:rPr>
          <w:fldChar w:fldCharType="begin"/>
        </w:r>
        <w:r>
          <w:rPr>
            <w:webHidden/>
          </w:rPr>
          <w:instrText xml:space="preserve"> PAGEREF _Toc123296413 \h </w:instrText>
        </w:r>
        <w:r>
          <w:rPr>
            <w:webHidden/>
          </w:rPr>
          <w:fldChar w:fldCharType="separate"/>
        </w:r>
        <w:r>
          <w:rPr>
            <w:webHidden/>
          </w:rPr>
          <w:t>23</w:t>
        </w:r>
        <w:r>
          <w:rPr>
            <w:webHidden/>
          </w:rPr>
          <w:fldChar w:fldCharType="end"/>
        </w:r>
      </w:hyperlink>
    </w:p>
    <w:p w:rsidR="00530605">
      <w:pPr>
        <w:pStyle w:val="TOC1"/>
        <w:rPr>
          <w:rFonts w:asciiTheme="minorHAnsi" w:eastAsiaTheme="minorEastAsia" w:hAnsiTheme="minorHAnsi" w:cstheme="minorBidi"/>
          <w:caps w:val="0"/>
          <w:sz w:val="21"/>
          <w:szCs w:val="22"/>
        </w:rPr>
      </w:pPr>
      <w:hyperlink w:anchor="_Toc123296414" w:history="1">
        <w:r w:rsidRPr="00B65184">
          <w:rPr>
            <w:rStyle w:val="Hyperlink"/>
            <w:rFonts w:asciiTheme="minorEastAsia" w:hAnsiTheme="minorEastAsia" w:hint="eastAsia"/>
            <w:b/>
          </w:rPr>
          <w:t>六、</w:t>
        </w:r>
        <w:r>
          <w:rPr>
            <w:rFonts w:asciiTheme="minorHAnsi" w:eastAsiaTheme="minorEastAsia" w:hAnsiTheme="minorHAnsi" w:cstheme="minorBidi"/>
            <w:caps w:val="0"/>
            <w:sz w:val="21"/>
            <w:szCs w:val="22"/>
          </w:rPr>
          <w:tab/>
        </w:r>
        <w:r w:rsidRPr="00B65184">
          <w:rPr>
            <w:rStyle w:val="Hyperlink"/>
            <w:rFonts w:asciiTheme="minorEastAsia" w:hAnsiTheme="minorEastAsia" w:hint="eastAsia"/>
            <w:b/>
          </w:rPr>
          <w:t>基金的募集</w:t>
        </w:r>
        <w:r>
          <w:rPr>
            <w:webHidden/>
          </w:rPr>
          <w:tab/>
        </w:r>
        <w:r>
          <w:rPr>
            <w:webHidden/>
          </w:rPr>
          <w:fldChar w:fldCharType="begin"/>
        </w:r>
        <w:r>
          <w:rPr>
            <w:webHidden/>
          </w:rPr>
          <w:instrText xml:space="preserve"> PAGEREF _Toc123296414 \h </w:instrText>
        </w:r>
        <w:r>
          <w:rPr>
            <w:webHidden/>
          </w:rPr>
          <w:fldChar w:fldCharType="separate"/>
        </w:r>
        <w:r>
          <w:rPr>
            <w:webHidden/>
          </w:rPr>
          <w:t>24</w:t>
        </w:r>
        <w:r>
          <w:rPr>
            <w:webHidden/>
          </w:rPr>
          <w:fldChar w:fldCharType="end"/>
        </w:r>
      </w:hyperlink>
    </w:p>
    <w:p w:rsidR="00530605">
      <w:pPr>
        <w:pStyle w:val="TOC1"/>
        <w:rPr>
          <w:rFonts w:asciiTheme="minorHAnsi" w:eastAsiaTheme="minorEastAsia" w:hAnsiTheme="minorHAnsi" w:cstheme="minorBidi"/>
          <w:caps w:val="0"/>
          <w:sz w:val="21"/>
          <w:szCs w:val="22"/>
        </w:rPr>
      </w:pPr>
      <w:hyperlink w:anchor="_Toc123296415" w:history="1">
        <w:r w:rsidRPr="00B65184">
          <w:rPr>
            <w:rStyle w:val="Hyperlink"/>
            <w:rFonts w:asciiTheme="minorEastAsia" w:hAnsiTheme="minorEastAsia" w:hint="eastAsia"/>
            <w:b/>
          </w:rPr>
          <w:t>七、</w:t>
        </w:r>
        <w:r>
          <w:rPr>
            <w:rFonts w:asciiTheme="minorHAnsi" w:eastAsiaTheme="minorEastAsia" w:hAnsiTheme="minorHAnsi" w:cstheme="minorBidi"/>
            <w:caps w:val="0"/>
            <w:sz w:val="21"/>
            <w:szCs w:val="22"/>
          </w:rPr>
          <w:tab/>
        </w:r>
        <w:r w:rsidRPr="00B65184">
          <w:rPr>
            <w:rStyle w:val="Hyperlink"/>
            <w:rFonts w:asciiTheme="minorEastAsia" w:hAnsiTheme="minorEastAsia" w:hint="eastAsia"/>
            <w:b/>
          </w:rPr>
          <w:t>基金合同的生效</w:t>
        </w:r>
        <w:r>
          <w:rPr>
            <w:webHidden/>
          </w:rPr>
          <w:tab/>
        </w:r>
        <w:r>
          <w:rPr>
            <w:webHidden/>
          </w:rPr>
          <w:fldChar w:fldCharType="begin"/>
        </w:r>
        <w:r>
          <w:rPr>
            <w:webHidden/>
          </w:rPr>
          <w:instrText xml:space="preserve"> PAGEREF _Toc123296415 \h </w:instrText>
        </w:r>
        <w:r>
          <w:rPr>
            <w:webHidden/>
          </w:rPr>
          <w:fldChar w:fldCharType="separate"/>
        </w:r>
        <w:r>
          <w:rPr>
            <w:webHidden/>
          </w:rPr>
          <w:t>25</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16" w:history="1">
        <w:r w:rsidRPr="00B65184">
          <w:rPr>
            <w:rStyle w:val="Hyperlink"/>
            <w:rFonts w:asciiTheme="minorEastAsia" w:hAnsiTheme="minorEastAsia" w:hint="eastAsia"/>
          </w:rPr>
          <w:t>（一）基金合同的生效</w:t>
        </w:r>
        <w:r>
          <w:rPr>
            <w:webHidden/>
          </w:rPr>
          <w:tab/>
        </w:r>
        <w:r>
          <w:rPr>
            <w:webHidden/>
          </w:rPr>
          <w:fldChar w:fldCharType="begin"/>
        </w:r>
        <w:r>
          <w:rPr>
            <w:webHidden/>
          </w:rPr>
          <w:instrText xml:space="preserve"> PAGEREF _Toc123296416 \h </w:instrText>
        </w:r>
        <w:r>
          <w:rPr>
            <w:webHidden/>
          </w:rPr>
          <w:fldChar w:fldCharType="separate"/>
        </w:r>
        <w:r>
          <w:rPr>
            <w:webHidden/>
          </w:rPr>
          <w:t>25</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17" w:history="1">
        <w:r w:rsidRPr="00B65184">
          <w:rPr>
            <w:rStyle w:val="Hyperlink"/>
            <w:rFonts w:asciiTheme="minorEastAsia" w:hAnsiTheme="minorEastAsia" w:hint="eastAsia"/>
          </w:rPr>
          <w:t>（二）基金存续期内的基金份额持有人数量和资产规模</w:t>
        </w:r>
        <w:r>
          <w:rPr>
            <w:webHidden/>
          </w:rPr>
          <w:tab/>
        </w:r>
        <w:r>
          <w:rPr>
            <w:webHidden/>
          </w:rPr>
          <w:fldChar w:fldCharType="begin"/>
        </w:r>
        <w:r>
          <w:rPr>
            <w:webHidden/>
          </w:rPr>
          <w:instrText xml:space="preserve"> PAGEREF _Toc123296417 \h </w:instrText>
        </w:r>
        <w:r>
          <w:rPr>
            <w:webHidden/>
          </w:rPr>
          <w:fldChar w:fldCharType="separate"/>
        </w:r>
        <w:r>
          <w:rPr>
            <w:webHidden/>
          </w:rPr>
          <w:t>25</w:t>
        </w:r>
        <w:r>
          <w:rPr>
            <w:webHidden/>
          </w:rPr>
          <w:fldChar w:fldCharType="end"/>
        </w:r>
      </w:hyperlink>
    </w:p>
    <w:p w:rsidR="00530605">
      <w:pPr>
        <w:pStyle w:val="TOC1"/>
        <w:rPr>
          <w:rFonts w:asciiTheme="minorHAnsi" w:eastAsiaTheme="minorEastAsia" w:hAnsiTheme="minorHAnsi" w:cstheme="minorBidi"/>
          <w:caps w:val="0"/>
          <w:sz w:val="21"/>
          <w:szCs w:val="22"/>
        </w:rPr>
      </w:pPr>
      <w:hyperlink w:anchor="_Toc123296418" w:history="1">
        <w:r w:rsidRPr="00B65184">
          <w:rPr>
            <w:rStyle w:val="Hyperlink"/>
            <w:rFonts w:asciiTheme="minorEastAsia" w:hAnsiTheme="minorEastAsia" w:hint="eastAsia"/>
            <w:b/>
          </w:rPr>
          <w:t>八、</w:t>
        </w:r>
        <w:r>
          <w:rPr>
            <w:rFonts w:asciiTheme="minorHAnsi" w:eastAsiaTheme="minorEastAsia" w:hAnsiTheme="minorHAnsi" w:cstheme="minorBidi"/>
            <w:caps w:val="0"/>
            <w:sz w:val="21"/>
            <w:szCs w:val="22"/>
          </w:rPr>
          <w:tab/>
        </w:r>
        <w:r w:rsidRPr="00B65184">
          <w:rPr>
            <w:rStyle w:val="Hyperlink"/>
            <w:rFonts w:asciiTheme="minorEastAsia" w:hAnsiTheme="minorEastAsia" w:hint="eastAsia"/>
            <w:b/>
          </w:rPr>
          <w:t>基金份额的申购、赎回</w:t>
        </w:r>
        <w:r>
          <w:rPr>
            <w:webHidden/>
          </w:rPr>
          <w:tab/>
        </w:r>
        <w:r>
          <w:rPr>
            <w:webHidden/>
          </w:rPr>
          <w:fldChar w:fldCharType="begin"/>
        </w:r>
        <w:r>
          <w:rPr>
            <w:webHidden/>
          </w:rPr>
          <w:instrText xml:space="preserve"> PAGEREF _Toc123296418 \h </w:instrText>
        </w:r>
        <w:r>
          <w:rPr>
            <w:webHidden/>
          </w:rPr>
          <w:fldChar w:fldCharType="separate"/>
        </w:r>
        <w:r>
          <w:rPr>
            <w:webHidden/>
          </w:rPr>
          <w:t>26</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19" w:history="1">
        <w:r w:rsidRPr="00B65184">
          <w:rPr>
            <w:rStyle w:val="Hyperlink"/>
            <w:rFonts w:asciiTheme="minorEastAsia" w:hAnsiTheme="minorEastAsia" w:hint="eastAsia"/>
          </w:rPr>
          <w:t>（一）基金投资者范围</w:t>
        </w:r>
        <w:r>
          <w:rPr>
            <w:webHidden/>
          </w:rPr>
          <w:tab/>
        </w:r>
        <w:r>
          <w:rPr>
            <w:webHidden/>
          </w:rPr>
          <w:fldChar w:fldCharType="begin"/>
        </w:r>
        <w:r>
          <w:rPr>
            <w:webHidden/>
          </w:rPr>
          <w:instrText xml:space="preserve"> PAGEREF _Toc123296419 \h </w:instrText>
        </w:r>
        <w:r>
          <w:rPr>
            <w:webHidden/>
          </w:rPr>
          <w:fldChar w:fldCharType="separate"/>
        </w:r>
        <w:r>
          <w:rPr>
            <w:webHidden/>
          </w:rPr>
          <w:t>26</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20" w:history="1">
        <w:r w:rsidRPr="00B65184">
          <w:rPr>
            <w:rStyle w:val="Hyperlink"/>
            <w:rFonts w:asciiTheme="minorEastAsia" w:hAnsiTheme="minorEastAsia" w:hint="eastAsia"/>
          </w:rPr>
          <w:t>（二）申购和赎回办理的场所</w:t>
        </w:r>
        <w:r>
          <w:rPr>
            <w:webHidden/>
          </w:rPr>
          <w:tab/>
        </w:r>
        <w:r>
          <w:rPr>
            <w:webHidden/>
          </w:rPr>
          <w:fldChar w:fldCharType="begin"/>
        </w:r>
        <w:r>
          <w:rPr>
            <w:webHidden/>
          </w:rPr>
          <w:instrText xml:space="preserve"> PAGEREF _Toc123296420 \h </w:instrText>
        </w:r>
        <w:r>
          <w:rPr>
            <w:webHidden/>
          </w:rPr>
          <w:fldChar w:fldCharType="separate"/>
        </w:r>
        <w:r>
          <w:rPr>
            <w:webHidden/>
          </w:rPr>
          <w:t>26</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21" w:history="1">
        <w:r w:rsidRPr="00B65184">
          <w:rPr>
            <w:rStyle w:val="Hyperlink"/>
            <w:rFonts w:asciiTheme="minorEastAsia" w:hAnsiTheme="minorEastAsia" w:hint="eastAsia"/>
          </w:rPr>
          <w:t>（三）申购与赎回办理的开放日及时间</w:t>
        </w:r>
        <w:r>
          <w:rPr>
            <w:webHidden/>
          </w:rPr>
          <w:tab/>
        </w:r>
        <w:r>
          <w:rPr>
            <w:webHidden/>
          </w:rPr>
          <w:fldChar w:fldCharType="begin"/>
        </w:r>
        <w:r>
          <w:rPr>
            <w:webHidden/>
          </w:rPr>
          <w:instrText xml:space="preserve"> PAGEREF _Toc123296421 \h </w:instrText>
        </w:r>
        <w:r>
          <w:rPr>
            <w:webHidden/>
          </w:rPr>
          <w:fldChar w:fldCharType="separate"/>
        </w:r>
        <w:r>
          <w:rPr>
            <w:webHidden/>
          </w:rPr>
          <w:t>26</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22" w:history="1">
        <w:r w:rsidRPr="00B65184">
          <w:rPr>
            <w:rStyle w:val="Hyperlink"/>
            <w:rFonts w:asciiTheme="minorEastAsia" w:hAnsiTheme="minorEastAsia" w:hint="eastAsia"/>
            <w:bCs/>
          </w:rPr>
          <w:t>（四）申购与赎回的原则</w:t>
        </w:r>
        <w:r>
          <w:rPr>
            <w:webHidden/>
          </w:rPr>
          <w:tab/>
        </w:r>
        <w:r>
          <w:rPr>
            <w:webHidden/>
          </w:rPr>
          <w:fldChar w:fldCharType="begin"/>
        </w:r>
        <w:r>
          <w:rPr>
            <w:webHidden/>
          </w:rPr>
          <w:instrText xml:space="preserve"> PAGEREF _Toc123296422 \h </w:instrText>
        </w:r>
        <w:r>
          <w:rPr>
            <w:webHidden/>
          </w:rPr>
          <w:fldChar w:fldCharType="separate"/>
        </w:r>
        <w:r>
          <w:rPr>
            <w:webHidden/>
          </w:rPr>
          <w:t>26</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23" w:history="1">
        <w:r w:rsidRPr="00B65184">
          <w:rPr>
            <w:rStyle w:val="Hyperlink"/>
            <w:rFonts w:asciiTheme="minorEastAsia" w:hAnsiTheme="minorEastAsia" w:hint="eastAsia"/>
          </w:rPr>
          <w:t>（五）申购与赎回的程序</w:t>
        </w:r>
        <w:r>
          <w:rPr>
            <w:webHidden/>
          </w:rPr>
          <w:tab/>
        </w:r>
        <w:r>
          <w:rPr>
            <w:webHidden/>
          </w:rPr>
          <w:fldChar w:fldCharType="begin"/>
        </w:r>
        <w:r>
          <w:rPr>
            <w:webHidden/>
          </w:rPr>
          <w:instrText xml:space="preserve"> PAGEREF _Toc123296423 \h </w:instrText>
        </w:r>
        <w:r>
          <w:rPr>
            <w:webHidden/>
          </w:rPr>
          <w:fldChar w:fldCharType="separate"/>
        </w:r>
        <w:r>
          <w:rPr>
            <w:webHidden/>
          </w:rPr>
          <w:t>27</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24" w:history="1">
        <w:r w:rsidRPr="00B65184">
          <w:rPr>
            <w:rStyle w:val="Hyperlink"/>
            <w:rFonts w:asciiTheme="minorEastAsia" w:hAnsiTheme="minorEastAsia" w:hint="eastAsia"/>
          </w:rPr>
          <w:t>（六）申购和赎回的数额限制</w:t>
        </w:r>
        <w:r>
          <w:rPr>
            <w:webHidden/>
          </w:rPr>
          <w:tab/>
        </w:r>
        <w:r>
          <w:rPr>
            <w:webHidden/>
          </w:rPr>
          <w:fldChar w:fldCharType="begin"/>
        </w:r>
        <w:r>
          <w:rPr>
            <w:webHidden/>
          </w:rPr>
          <w:instrText xml:space="preserve"> PAGEREF _Toc123296424 \h </w:instrText>
        </w:r>
        <w:r>
          <w:rPr>
            <w:webHidden/>
          </w:rPr>
          <w:fldChar w:fldCharType="separate"/>
        </w:r>
        <w:r>
          <w:rPr>
            <w:webHidden/>
          </w:rPr>
          <w:t>27</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25" w:history="1">
        <w:r w:rsidRPr="00B65184">
          <w:rPr>
            <w:rStyle w:val="Hyperlink"/>
            <w:rFonts w:asciiTheme="minorEastAsia" w:hAnsiTheme="minorEastAsia" w:hint="eastAsia"/>
          </w:rPr>
          <w:t>（七）申购与赎回的费率</w:t>
        </w:r>
        <w:r>
          <w:rPr>
            <w:webHidden/>
          </w:rPr>
          <w:tab/>
        </w:r>
        <w:r>
          <w:rPr>
            <w:webHidden/>
          </w:rPr>
          <w:fldChar w:fldCharType="begin"/>
        </w:r>
        <w:r>
          <w:rPr>
            <w:webHidden/>
          </w:rPr>
          <w:instrText xml:space="preserve"> PAGEREF _Toc123296425 \h </w:instrText>
        </w:r>
        <w:r>
          <w:rPr>
            <w:webHidden/>
          </w:rPr>
          <w:fldChar w:fldCharType="separate"/>
        </w:r>
        <w:r>
          <w:rPr>
            <w:webHidden/>
          </w:rPr>
          <w:t>28</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26" w:history="1">
        <w:r w:rsidRPr="00B65184">
          <w:rPr>
            <w:rStyle w:val="Hyperlink"/>
            <w:rFonts w:asciiTheme="minorEastAsia" w:hAnsiTheme="minorEastAsia" w:hint="eastAsia"/>
          </w:rPr>
          <w:t>（八）申购份额与赎回金额的计算方式</w:t>
        </w:r>
        <w:r>
          <w:rPr>
            <w:webHidden/>
          </w:rPr>
          <w:tab/>
        </w:r>
        <w:r>
          <w:rPr>
            <w:webHidden/>
          </w:rPr>
          <w:fldChar w:fldCharType="begin"/>
        </w:r>
        <w:r>
          <w:rPr>
            <w:webHidden/>
          </w:rPr>
          <w:instrText xml:space="preserve"> PAGEREF _Toc123296426 \h </w:instrText>
        </w:r>
        <w:r>
          <w:rPr>
            <w:webHidden/>
          </w:rPr>
          <w:fldChar w:fldCharType="separate"/>
        </w:r>
        <w:r>
          <w:rPr>
            <w:webHidden/>
          </w:rPr>
          <w:t>29</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27" w:history="1">
        <w:r w:rsidRPr="00B65184">
          <w:rPr>
            <w:rStyle w:val="Hyperlink"/>
            <w:rFonts w:asciiTheme="minorEastAsia" w:hAnsiTheme="minorEastAsia" w:hint="eastAsia"/>
          </w:rPr>
          <w:t>（九）申购、赎回的注册登记</w:t>
        </w:r>
        <w:r>
          <w:rPr>
            <w:webHidden/>
          </w:rPr>
          <w:tab/>
        </w:r>
        <w:r>
          <w:rPr>
            <w:webHidden/>
          </w:rPr>
          <w:fldChar w:fldCharType="begin"/>
        </w:r>
        <w:r>
          <w:rPr>
            <w:webHidden/>
          </w:rPr>
          <w:instrText xml:space="preserve"> PAGEREF _Toc123296427 \h </w:instrText>
        </w:r>
        <w:r>
          <w:rPr>
            <w:webHidden/>
          </w:rPr>
          <w:fldChar w:fldCharType="separate"/>
        </w:r>
        <w:r>
          <w:rPr>
            <w:webHidden/>
          </w:rPr>
          <w:t>31</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28" w:history="1">
        <w:r w:rsidRPr="00B65184">
          <w:rPr>
            <w:rStyle w:val="Hyperlink"/>
            <w:rFonts w:asciiTheme="minorEastAsia" w:hAnsiTheme="minorEastAsia" w:hint="eastAsia"/>
          </w:rPr>
          <w:t>（十）巨额赎回的认定及处理方式</w:t>
        </w:r>
        <w:r>
          <w:rPr>
            <w:webHidden/>
          </w:rPr>
          <w:tab/>
        </w:r>
        <w:r>
          <w:rPr>
            <w:webHidden/>
          </w:rPr>
          <w:fldChar w:fldCharType="begin"/>
        </w:r>
        <w:r>
          <w:rPr>
            <w:webHidden/>
          </w:rPr>
          <w:instrText xml:space="preserve"> PAGEREF _Toc123296428 \h </w:instrText>
        </w:r>
        <w:r>
          <w:rPr>
            <w:webHidden/>
          </w:rPr>
          <w:fldChar w:fldCharType="separate"/>
        </w:r>
        <w:r>
          <w:rPr>
            <w:webHidden/>
          </w:rPr>
          <w:t>31</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29" w:history="1">
        <w:r w:rsidRPr="00B65184">
          <w:rPr>
            <w:rStyle w:val="Hyperlink"/>
            <w:rFonts w:asciiTheme="minorEastAsia" w:hAnsiTheme="minorEastAsia" w:hint="eastAsia"/>
          </w:rPr>
          <w:t>（十一）拒绝或暂停申购、赎回的情形及处理方式</w:t>
        </w:r>
        <w:r>
          <w:rPr>
            <w:webHidden/>
          </w:rPr>
          <w:tab/>
        </w:r>
        <w:r>
          <w:rPr>
            <w:webHidden/>
          </w:rPr>
          <w:fldChar w:fldCharType="begin"/>
        </w:r>
        <w:r>
          <w:rPr>
            <w:webHidden/>
          </w:rPr>
          <w:instrText xml:space="preserve"> PAGEREF _Toc123296429 \h </w:instrText>
        </w:r>
        <w:r>
          <w:rPr>
            <w:webHidden/>
          </w:rPr>
          <w:fldChar w:fldCharType="separate"/>
        </w:r>
        <w:r>
          <w:rPr>
            <w:webHidden/>
          </w:rPr>
          <w:t>32</w:t>
        </w:r>
        <w:r>
          <w:rPr>
            <w:webHidden/>
          </w:rPr>
          <w:fldChar w:fldCharType="end"/>
        </w:r>
      </w:hyperlink>
    </w:p>
    <w:p w:rsidR="00530605">
      <w:pPr>
        <w:pStyle w:val="TOC1"/>
        <w:rPr>
          <w:rFonts w:asciiTheme="minorHAnsi" w:eastAsiaTheme="minorEastAsia" w:hAnsiTheme="minorHAnsi" w:cstheme="minorBidi"/>
          <w:caps w:val="0"/>
          <w:sz w:val="21"/>
          <w:szCs w:val="22"/>
        </w:rPr>
      </w:pPr>
      <w:hyperlink w:anchor="_Toc123296430" w:history="1">
        <w:r w:rsidRPr="00B65184">
          <w:rPr>
            <w:rStyle w:val="Hyperlink"/>
            <w:rFonts w:asciiTheme="minorEastAsia" w:hAnsiTheme="minorEastAsia" w:hint="eastAsia"/>
            <w:b/>
          </w:rPr>
          <w:t>九、</w:t>
        </w:r>
        <w:r>
          <w:rPr>
            <w:rFonts w:asciiTheme="minorHAnsi" w:eastAsiaTheme="minorEastAsia" w:hAnsiTheme="minorHAnsi" w:cstheme="minorBidi"/>
            <w:caps w:val="0"/>
            <w:sz w:val="21"/>
            <w:szCs w:val="22"/>
          </w:rPr>
          <w:tab/>
        </w:r>
        <w:r w:rsidRPr="00B65184">
          <w:rPr>
            <w:rStyle w:val="Hyperlink"/>
            <w:rFonts w:asciiTheme="minorEastAsia" w:hAnsiTheme="minorEastAsia" w:hint="eastAsia"/>
            <w:b/>
          </w:rPr>
          <w:t>基金转换</w:t>
        </w:r>
        <w:r>
          <w:rPr>
            <w:webHidden/>
          </w:rPr>
          <w:tab/>
        </w:r>
        <w:r>
          <w:rPr>
            <w:webHidden/>
          </w:rPr>
          <w:fldChar w:fldCharType="begin"/>
        </w:r>
        <w:r>
          <w:rPr>
            <w:webHidden/>
          </w:rPr>
          <w:instrText xml:space="preserve"> PAGEREF _Toc123296430 \h </w:instrText>
        </w:r>
        <w:r>
          <w:rPr>
            <w:webHidden/>
          </w:rPr>
          <w:fldChar w:fldCharType="separate"/>
        </w:r>
        <w:r>
          <w:rPr>
            <w:webHidden/>
          </w:rPr>
          <w:t>35</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31" w:history="1">
        <w:r w:rsidRPr="00B65184">
          <w:rPr>
            <w:rStyle w:val="Hyperlink"/>
            <w:rFonts w:asciiTheme="minorEastAsia" w:hAnsiTheme="minorEastAsia" w:hint="eastAsia"/>
          </w:rPr>
          <w:t>（一）基金转换开始日及时间</w:t>
        </w:r>
        <w:r>
          <w:rPr>
            <w:webHidden/>
          </w:rPr>
          <w:tab/>
        </w:r>
        <w:r>
          <w:rPr>
            <w:webHidden/>
          </w:rPr>
          <w:fldChar w:fldCharType="begin"/>
        </w:r>
        <w:r>
          <w:rPr>
            <w:webHidden/>
          </w:rPr>
          <w:instrText xml:space="preserve"> PAGEREF _Toc123296431 \h </w:instrText>
        </w:r>
        <w:r>
          <w:rPr>
            <w:webHidden/>
          </w:rPr>
          <w:fldChar w:fldCharType="separate"/>
        </w:r>
        <w:r>
          <w:rPr>
            <w:webHidden/>
          </w:rPr>
          <w:t>35</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32" w:history="1">
        <w:r w:rsidRPr="00B65184">
          <w:rPr>
            <w:rStyle w:val="Hyperlink"/>
            <w:rFonts w:asciiTheme="minorEastAsia" w:hAnsiTheme="minorEastAsia" w:hint="eastAsia"/>
          </w:rPr>
          <w:t>（二）基金转换的原则</w:t>
        </w:r>
        <w:r>
          <w:rPr>
            <w:webHidden/>
          </w:rPr>
          <w:tab/>
        </w:r>
        <w:r>
          <w:rPr>
            <w:webHidden/>
          </w:rPr>
          <w:fldChar w:fldCharType="begin"/>
        </w:r>
        <w:r>
          <w:rPr>
            <w:webHidden/>
          </w:rPr>
          <w:instrText xml:space="preserve"> PAGEREF _Toc123296432 \h </w:instrText>
        </w:r>
        <w:r>
          <w:rPr>
            <w:webHidden/>
          </w:rPr>
          <w:fldChar w:fldCharType="separate"/>
        </w:r>
        <w:r>
          <w:rPr>
            <w:webHidden/>
          </w:rPr>
          <w:t>35</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33" w:history="1">
        <w:r w:rsidRPr="00B65184">
          <w:rPr>
            <w:rStyle w:val="Hyperlink"/>
            <w:rFonts w:asciiTheme="minorEastAsia" w:hAnsiTheme="minorEastAsia" w:hint="eastAsia"/>
          </w:rPr>
          <w:t>（三）基金转换的程序</w:t>
        </w:r>
        <w:r>
          <w:rPr>
            <w:webHidden/>
          </w:rPr>
          <w:tab/>
        </w:r>
        <w:r>
          <w:rPr>
            <w:webHidden/>
          </w:rPr>
          <w:fldChar w:fldCharType="begin"/>
        </w:r>
        <w:r>
          <w:rPr>
            <w:webHidden/>
          </w:rPr>
          <w:instrText xml:space="preserve"> PAGEREF _Toc123296433 \h </w:instrText>
        </w:r>
        <w:r>
          <w:rPr>
            <w:webHidden/>
          </w:rPr>
          <w:fldChar w:fldCharType="separate"/>
        </w:r>
        <w:r>
          <w:rPr>
            <w:webHidden/>
          </w:rPr>
          <w:t>35</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34" w:history="1">
        <w:r w:rsidRPr="00B65184">
          <w:rPr>
            <w:rStyle w:val="Hyperlink"/>
            <w:rFonts w:asciiTheme="minorEastAsia" w:hAnsiTheme="minorEastAsia" w:hint="eastAsia"/>
          </w:rPr>
          <w:t>（四）基金转换的数额限制</w:t>
        </w:r>
        <w:r>
          <w:rPr>
            <w:webHidden/>
          </w:rPr>
          <w:tab/>
        </w:r>
        <w:r>
          <w:rPr>
            <w:webHidden/>
          </w:rPr>
          <w:fldChar w:fldCharType="begin"/>
        </w:r>
        <w:r>
          <w:rPr>
            <w:webHidden/>
          </w:rPr>
          <w:instrText xml:space="preserve"> PAGEREF _Toc123296434 \h </w:instrText>
        </w:r>
        <w:r>
          <w:rPr>
            <w:webHidden/>
          </w:rPr>
          <w:fldChar w:fldCharType="separate"/>
        </w:r>
        <w:r>
          <w:rPr>
            <w:webHidden/>
          </w:rPr>
          <w:t>36</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35" w:history="1">
        <w:r w:rsidRPr="00B65184">
          <w:rPr>
            <w:rStyle w:val="Hyperlink"/>
            <w:rFonts w:asciiTheme="minorEastAsia" w:hAnsiTheme="minorEastAsia" w:hint="eastAsia"/>
          </w:rPr>
          <w:t>（五）基金转换费率</w:t>
        </w:r>
        <w:r>
          <w:rPr>
            <w:webHidden/>
          </w:rPr>
          <w:tab/>
        </w:r>
        <w:r>
          <w:rPr>
            <w:webHidden/>
          </w:rPr>
          <w:fldChar w:fldCharType="begin"/>
        </w:r>
        <w:r>
          <w:rPr>
            <w:webHidden/>
          </w:rPr>
          <w:instrText xml:space="preserve"> PAGEREF _Toc123296435 \h </w:instrText>
        </w:r>
        <w:r>
          <w:rPr>
            <w:webHidden/>
          </w:rPr>
          <w:fldChar w:fldCharType="separate"/>
        </w:r>
        <w:r>
          <w:rPr>
            <w:webHidden/>
          </w:rPr>
          <w:t>36</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36" w:history="1">
        <w:r w:rsidRPr="00B65184">
          <w:rPr>
            <w:rStyle w:val="Hyperlink"/>
            <w:rFonts w:asciiTheme="minorEastAsia" w:hAnsiTheme="minorEastAsia" w:hint="eastAsia"/>
          </w:rPr>
          <w:t>（六）基金转换份额的计算方式</w:t>
        </w:r>
        <w:r>
          <w:rPr>
            <w:webHidden/>
          </w:rPr>
          <w:tab/>
        </w:r>
        <w:r>
          <w:rPr>
            <w:webHidden/>
          </w:rPr>
          <w:fldChar w:fldCharType="begin"/>
        </w:r>
        <w:r>
          <w:rPr>
            <w:webHidden/>
          </w:rPr>
          <w:instrText xml:space="preserve"> PAGEREF _Toc123296436 \h </w:instrText>
        </w:r>
        <w:r>
          <w:rPr>
            <w:webHidden/>
          </w:rPr>
          <w:fldChar w:fldCharType="separate"/>
        </w:r>
        <w:r>
          <w:rPr>
            <w:webHidden/>
          </w:rPr>
          <w:t>36</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37" w:history="1">
        <w:r w:rsidRPr="00B65184">
          <w:rPr>
            <w:rStyle w:val="Hyperlink"/>
            <w:rFonts w:asciiTheme="minorEastAsia" w:hAnsiTheme="minorEastAsia" w:hint="eastAsia"/>
          </w:rPr>
          <w:t>（七）基金转换的注册登记</w:t>
        </w:r>
        <w:r>
          <w:rPr>
            <w:webHidden/>
          </w:rPr>
          <w:tab/>
        </w:r>
        <w:r>
          <w:rPr>
            <w:webHidden/>
          </w:rPr>
          <w:fldChar w:fldCharType="begin"/>
        </w:r>
        <w:r>
          <w:rPr>
            <w:webHidden/>
          </w:rPr>
          <w:instrText xml:space="preserve"> PAGEREF _Toc123296437 \h </w:instrText>
        </w:r>
        <w:r>
          <w:rPr>
            <w:webHidden/>
          </w:rPr>
          <w:fldChar w:fldCharType="separate"/>
        </w:r>
        <w:r>
          <w:rPr>
            <w:webHidden/>
          </w:rPr>
          <w:t>38</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38" w:history="1">
        <w:r w:rsidRPr="00B65184">
          <w:rPr>
            <w:rStyle w:val="Hyperlink"/>
            <w:rFonts w:asciiTheme="minorEastAsia" w:hAnsiTheme="minorEastAsia" w:hint="eastAsia"/>
          </w:rPr>
          <w:t>（八）基金转换与巨额赎回</w:t>
        </w:r>
        <w:r>
          <w:rPr>
            <w:webHidden/>
          </w:rPr>
          <w:tab/>
        </w:r>
        <w:r>
          <w:rPr>
            <w:webHidden/>
          </w:rPr>
          <w:fldChar w:fldCharType="begin"/>
        </w:r>
        <w:r>
          <w:rPr>
            <w:webHidden/>
          </w:rPr>
          <w:instrText xml:space="preserve"> PAGEREF _Toc123296438 \h </w:instrText>
        </w:r>
        <w:r>
          <w:rPr>
            <w:webHidden/>
          </w:rPr>
          <w:fldChar w:fldCharType="separate"/>
        </w:r>
        <w:r>
          <w:rPr>
            <w:webHidden/>
          </w:rPr>
          <w:t>38</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39" w:history="1">
        <w:r w:rsidRPr="00B65184">
          <w:rPr>
            <w:rStyle w:val="Hyperlink"/>
            <w:rFonts w:asciiTheme="minorEastAsia" w:hAnsiTheme="minorEastAsia" w:hint="eastAsia"/>
          </w:rPr>
          <w:t>（九）拒绝或暂停基金转换的情形</w:t>
        </w:r>
        <w:r>
          <w:rPr>
            <w:webHidden/>
          </w:rPr>
          <w:tab/>
        </w:r>
        <w:r>
          <w:rPr>
            <w:webHidden/>
          </w:rPr>
          <w:fldChar w:fldCharType="begin"/>
        </w:r>
        <w:r>
          <w:rPr>
            <w:webHidden/>
          </w:rPr>
          <w:instrText xml:space="preserve"> PAGEREF _Toc123296439 \h </w:instrText>
        </w:r>
        <w:r>
          <w:rPr>
            <w:webHidden/>
          </w:rPr>
          <w:fldChar w:fldCharType="separate"/>
        </w:r>
        <w:r>
          <w:rPr>
            <w:webHidden/>
          </w:rPr>
          <w:t>38</w:t>
        </w:r>
        <w:r>
          <w:rPr>
            <w:webHidden/>
          </w:rPr>
          <w:fldChar w:fldCharType="end"/>
        </w:r>
      </w:hyperlink>
    </w:p>
    <w:p w:rsidR="00530605">
      <w:pPr>
        <w:pStyle w:val="TOC1"/>
        <w:rPr>
          <w:rFonts w:asciiTheme="minorHAnsi" w:eastAsiaTheme="minorEastAsia" w:hAnsiTheme="minorHAnsi" w:cstheme="minorBidi"/>
          <w:caps w:val="0"/>
          <w:sz w:val="21"/>
          <w:szCs w:val="22"/>
        </w:rPr>
      </w:pPr>
      <w:hyperlink w:anchor="_Toc123296440" w:history="1">
        <w:r w:rsidRPr="00B65184">
          <w:rPr>
            <w:rStyle w:val="Hyperlink"/>
            <w:rFonts w:asciiTheme="minorEastAsia" w:hAnsiTheme="minorEastAsia" w:hint="eastAsia"/>
            <w:b/>
          </w:rPr>
          <w:t>十、</w:t>
        </w:r>
        <w:r>
          <w:rPr>
            <w:rFonts w:asciiTheme="minorHAnsi" w:eastAsiaTheme="minorEastAsia" w:hAnsiTheme="minorHAnsi" w:cstheme="minorBidi"/>
            <w:caps w:val="0"/>
            <w:sz w:val="21"/>
            <w:szCs w:val="22"/>
          </w:rPr>
          <w:tab/>
        </w:r>
        <w:r w:rsidRPr="00B65184">
          <w:rPr>
            <w:rStyle w:val="Hyperlink"/>
            <w:rFonts w:asciiTheme="minorEastAsia" w:hAnsiTheme="minorEastAsia" w:hint="eastAsia"/>
            <w:b/>
          </w:rPr>
          <w:t>定期定额投资计划</w:t>
        </w:r>
        <w:r>
          <w:rPr>
            <w:webHidden/>
          </w:rPr>
          <w:tab/>
        </w:r>
        <w:r>
          <w:rPr>
            <w:webHidden/>
          </w:rPr>
          <w:fldChar w:fldCharType="begin"/>
        </w:r>
        <w:r>
          <w:rPr>
            <w:webHidden/>
          </w:rPr>
          <w:instrText xml:space="preserve"> PAGEREF _Toc123296440 \h </w:instrText>
        </w:r>
        <w:r>
          <w:rPr>
            <w:webHidden/>
          </w:rPr>
          <w:fldChar w:fldCharType="separate"/>
        </w:r>
        <w:r>
          <w:rPr>
            <w:webHidden/>
          </w:rPr>
          <w:t>40</w:t>
        </w:r>
        <w:r>
          <w:rPr>
            <w:webHidden/>
          </w:rPr>
          <w:fldChar w:fldCharType="end"/>
        </w:r>
      </w:hyperlink>
    </w:p>
    <w:p w:rsidR="00530605">
      <w:pPr>
        <w:pStyle w:val="TOC1"/>
        <w:rPr>
          <w:rFonts w:asciiTheme="minorHAnsi" w:eastAsiaTheme="minorEastAsia" w:hAnsiTheme="minorHAnsi" w:cstheme="minorBidi"/>
          <w:caps w:val="0"/>
          <w:sz w:val="21"/>
          <w:szCs w:val="22"/>
        </w:rPr>
      </w:pPr>
      <w:hyperlink w:anchor="_Toc123296441" w:history="1">
        <w:r w:rsidRPr="00B65184">
          <w:rPr>
            <w:rStyle w:val="Hyperlink"/>
            <w:rFonts w:asciiTheme="minorEastAsia" w:hAnsiTheme="minorEastAsia" w:hint="eastAsia"/>
            <w:b/>
          </w:rPr>
          <w:t>十一、</w:t>
        </w:r>
        <w:r>
          <w:rPr>
            <w:rFonts w:asciiTheme="minorHAnsi" w:eastAsiaTheme="minorEastAsia" w:hAnsiTheme="minorHAnsi" w:cstheme="minorBidi"/>
            <w:caps w:val="0"/>
            <w:sz w:val="21"/>
            <w:szCs w:val="22"/>
          </w:rPr>
          <w:tab/>
        </w:r>
        <w:r w:rsidRPr="00B65184">
          <w:rPr>
            <w:rStyle w:val="Hyperlink"/>
            <w:rFonts w:asciiTheme="minorEastAsia" w:hAnsiTheme="minorEastAsia" w:hint="eastAsia"/>
            <w:b/>
          </w:rPr>
          <w:t>基金的非交易过户、转托管、冻结与解冻</w:t>
        </w:r>
        <w:r>
          <w:rPr>
            <w:webHidden/>
          </w:rPr>
          <w:tab/>
        </w:r>
        <w:r>
          <w:rPr>
            <w:webHidden/>
          </w:rPr>
          <w:fldChar w:fldCharType="begin"/>
        </w:r>
        <w:r>
          <w:rPr>
            <w:webHidden/>
          </w:rPr>
          <w:instrText xml:space="preserve"> PAGEREF _Toc123296441 \h </w:instrText>
        </w:r>
        <w:r>
          <w:rPr>
            <w:webHidden/>
          </w:rPr>
          <w:fldChar w:fldCharType="separate"/>
        </w:r>
        <w:r>
          <w:rPr>
            <w:webHidden/>
          </w:rPr>
          <w:t>41</w:t>
        </w:r>
        <w:r>
          <w:rPr>
            <w:webHidden/>
          </w:rPr>
          <w:fldChar w:fldCharType="end"/>
        </w:r>
      </w:hyperlink>
    </w:p>
    <w:p w:rsidR="00530605">
      <w:pPr>
        <w:pStyle w:val="TOC1"/>
        <w:rPr>
          <w:rFonts w:asciiTheme="minorHAnsi" w:eastAsiaTheme="minorEastAsia" w:hAnsiTheme="minorHAnsi" w:cstheme="minorBidi"/>
          <w:caps w:val="0"/>
          <w:sz w:val="21"/>
          <w:szCs w:val="22"/>
        </w:rPr>
      </w:pPr>
      <w:hyperlink w:anchor="_Toc123296442" w:history="1">
        <w:r w:rsidRPr="00B65184">
          <w:rPr>
            <w:rStyle w:val="Hyperlink"/>
            <w:rFonts w:asciiTheme="minorEastAsia" w:hAnsiTheme="minorEastAsia" w:hint="eastAsia"/>
            <w:b/>
          </w:rPr>
          <w:t>十二、</w:t>
        </w:r>
        <w:r>
          <w:rPr>
            <w:rFonts w:asciiTheme="minorHAnsi" w:eastAsiaTheme="minorEastAsia" w:hAnsiTheme="minorHAnsi" w:cstheme="minorBidi"/>
            <w:caps w:val="0"/>
            <w:sz w:val="21"/>
            <w:szCs w:val="22"/>
          </w:rPr>
          <w:tab/>
        </w:r>
        <w:r w:rsidRPr="00B65184">
          <w:rPr>
            <w:rStyle w:val="Hyperlink"/>
            <w:rFonts w:asciiTheme="minorEastAsia" w:hAnsiTheme="minorEastAsia" w:hint="eastAsia"/>
            <w:b/>
          </w:rPr>
          <w:t>基金的投资</w:t>
        </w:r>
        <w:r>
          <w:rPr>
            <w:webHidden/>
          </w:rPr>
          <w:tab/>
        </w:r>
        <w:r>
          <w:rPr>
            <w:webHidden/>
          </w:rPr>
          <w:fldChar w:fldCharType="begin"/>
        </w:r>
        <w:r>
          <w:rPr>
            <w:webHidden/>
          </w:rPr>
          <w:instrText xml:space="preserve"> PAGEREF _Toc123296442 \h </w:instrText>
        </w:r>
        <w:r>
          <w:rPr>
            <w:webHidden/>
          </w:rPr>
          <w:fldChar w:fldCharType="separate"/>
        </w:r>
        <w:r>
          <w:rPr>
            <w:webHidden/>
          </w:rPr>
          <w:t>42</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43" w:history="1">
        <w:r w:rsidRPr="00B65184">
          <w:rPr>
            <w:rStyle w:val="Hyperlink"/>
            <w:rFonts w:asciiTheme="minorEastAsia" w:hAnsiTheme="minorEastAsia" w:hint="eastAsia"/>
          </w:rPr>
          <w:t>（一）投资目标</w:t>
        </w:r>
        <w:r>
          <w:rPr>
            <w:webHidden/>
          </w:rPr>
          <w:tab/>
        </w:r>
        <w:r>
          <w:rPr>
            <w:webHidden/>
          </w:rPr>
          <w:fldChar w:fldCharType="begin"/>
        </w:r>
        <w:r>
          <w:rPr>
            <w:webHidden/>
          </w:rPr>
          <w:instrText xml:space="preserve"> PAGEREF _Toc123296443 \h </w:instrText>
        </w:r>
        <w:r>
          <w:rPr>
            <w:webHidden/>
          </w:rPr>
          <w:fldChar w:fldCharType="separate"/>
        </w:r>
        <w:r>
          <w:rPr>
            <w:webHidden/>
          </w:rPr>
          <w:t>42</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44" w:history="1">
        <w:r w:rsidRPr="00B65184">
          <w:rPr>
            <w:rStyle w:val="Hyperlink"/>
            <w:rFonts w:asciiTheme="minorEastAsia" w:hAnsiTheme="minorEastAsia" w:hint="eastAsia"/>
          </w:rPr>
          <w:t>（二）投资范围</w:t>
        </w:r>
        <w:r>
          <w:rPr>
            <w:webHidden/>
          </w:rPr>
          <w:tab/>
        </w:r>
        <w:r>
          <w:rPr>
            <w:webHidden/>
          </w:rPr>
          <w:fldChar w:fldCharType="begin"/>
        </w:r>
        <w:r>
          <w:rPr>
            <w:webHidden/>
          </w:rPr>
          <w:instrText xml:space="preserve"> PAGEREF _Toc123296444 \h </w:instrText>
        </w:r>
        <w:r>
          <w:rPr>
            <w:webHidden/>
          </w:rPr>
          <w:fldChar w:fldCharType="separate"/>
        </w:r>
        <w:r>
          <w:rPr>
            <w:webHidden/>
          </w:rPr>
          <w:t>42</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45" w:history="1">
        <w:r w:rsidRPr="00B65184">
          <w:rPr>
            <w:rStyle w:val="Hyperlink"/>
            <w:rFonts w:asciiTheme="minorEastAsia" w:hAnsiTheme="minorEastAsia" w:hint="eastAsia"/>
          </w:rPr>
          <w:t>（三）投资理念</w:t>
        </w:r>
        <w:r>
          <w:rPr>
            <w:webHidden/>
          </w:rPr>
          <w:tab/>
        </w:r>
        <w:r>
          <w:rPr>
            <w:webHidden/>
          </w:rPr>
          <w:fldChar w:fldCharType="begin"/>
        </w:r>
        <w:r>
          <w:rPr>
            <w:webHidden/>
          </w:rPr>
          <w:instrText xml:space="preserve"> PAGEREF _Toc123296445 \h </w:instrText>
        </w:r>
        <w:r>
          <w:rPr>
            <w:webHidden/>
          </w:rPr>
          <w:fldChar w:fldCharType="separate"/>
        </w:r>
        <w:r>
          <w:rPr>
            <w:webHidden/>
          </w:rPr>
          <w:t>42</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46" w:history="1">
        <w:r w:rsidRPr="00B65184">
          <w:rPr>
            <w:rStyle w:val="Hyperlink"/>
            <w:rFonts w:asciiTheme="minorEastAsia" w:hAnsiTheme="minorEastAsia" w:hint="eastAsia"/>
          </w:rPr>
          <w:t>（四）投资策略</w:t>
        </w:r>
        <w:r>
          <w:rPr>
            <w:webHidden/>
          </w:rPr>
          <w:tab/>
        </w:r>
        <w:r>
          <w:rPr>
            <w:webHidden/>
          </w:rPr>
          <w:fldChar w:fldCharType="begin"/>
        </w:r>
        <w:r>
          <w:rPr>
            <w:webHidden/>
          </w:rPr>
          <w:instrText xml:space="preserve"> PAGEREF _Toc123296446 \h </w:instrText>
        </w:r>
        <w:r>
          <w:rPr>
            <w:webHidden/>
          </w:rPr>
          <w:fldChar w:fldCharType="separate"/>
        </w:r>
        <w:r>
          <w:rPr>
            <w:webHidden/>
          </w:rPr>
          <w:t>42</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47" w:history="1">
        <w:r w:rsidRPr="00B65184">
          <w:rPr>
            <w:rStyle w:val="Hyperlink"/>
            <w:rFonts w:asciiTheme="minorEastAsia" w:hAnsiTheme="minorEastAsia" w:hint="eastAsia"/>
          </w:rPr>
          <w:t>（五）业绩比较基准</w:t>
        </w:r>
        <w:r>
          <w:rPr>
            <w:webHidden/>
          </w:rPr>
          <w:tab/>
        </w:r>
        <w:r>
          <w:rPr>
            <w:webHidden/>
          </w:rPr>
          <w:fldChar w:fldCharType="begin"/>
        </w:r>
        <w:r>
          <w:rPr>
            <w:webHidden/>
          </w:rPr>
          <w:instrText xml:space="preserve"> PAGEREF _Toc123296447 \h </w:instrText>
        </w:r>
        <w:r>
          <w:rPr>
            <w:webHidden/>
          </w:rPr>
          <w:fldChar w:fldCharType="separate"/>
        </w:r>
        <w:r>
          <w:rPr>
            <w:webHidden/>
          </w:rPr>
          <w:t>45</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48" w:history="1">
        <w:r w:rsidRPr="00B65184">
          <w:rPr>
            <w:rStyle w:val="Hyperlink"/>
            <w:rFonts w:asciiTheme="minorEastAsia" w:hAnsiTheme="minorEastAsia" w:hint="eastAsia"/>
          </w:rPr>
          <w:t>（六）风险收益特征</w:t>
        </w:r>
        <w:r>
          <w:rPr>
            <w:webHidden/>
          </w:rPr>
          <w:tab/>
        </w:r>
        <w:r>
          <w:rPr>
            <w:webHidden/>
          </w:rPr>
          <w:fldChar w:fldCharType="begin"/>
        </w:r>
        <w:r>
          <w:rPr>
            <w:webHidden/>
          </w:rPr>
          <w:instrText xml:space="preserve"> PAGEREF _Toc123296448 \h </w:instrText>
        </w:r>
        <w:r>
          <w:rPr>
            <w:webHidden/>
          </w:rPr>
          <w:fldChar w:fldCharType="separate"/>
        </w:r>
        <w:r>
          <w:rPr>
            <w:webHidden/>
          </w:rPr>
          <w:t>45</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49" w:history="1">
        <w:r w:rsidRPr="00B65184">
          <w:rPr>
            <w:rStyle w:val="Hyperlink"/>
            <w:rFonts w:asciiTheme="minorEastAsia" w:hAnsiTheme="minorEastAsia" w:hint="eastAsia"/>
          </w:rPr>
          <w:t>（七）投资决策</w:t>
        </w:r>
        <w:r>
          <w:rPr>
            <w:webHidden/>
          </w:rPr>
          <w:tab/>
        </w:r>
        <w:r>
          <w:rPr>
            <w:webHidden/>
          </w:rPr>
          <w:fldChar w:fldCharType="begin"/>
        </w:r>
        <w:r>
          <w:rPr>
            <w:webHidden/>
          </w:rPr>
          <w:instrText xml:space="preserve"> PAGEREF _Toc123296449 \h </w:instrText>
        </w:r>
        <w:r>
          <w:rPr>
            <w:webHidden/>
          </w:rPr>
          <w:fldChar w:fldCharType="separate"/>
        </w:r>
        <w:r>
          <w:rPr>
            <w:webHidden/>
          </w:rPr>
          <w:t>45</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50" w:history="1">
        <w:r w:rsidRPr="00B65184">
          <w:rPr>
            <w:rStyle w:val="Hyperlink"/>
            <w:rFonts w:asciiTheme="minorEastAsia" w:hAnsiTheme="minorEastAsia" w:hint="eastAsia"/>
          </w:rPr>
          <w:t>（八）投资组合限制</w:t>
        </w:r>
        <w:r>
          <w:rPr>
            <w:webHidden/>
          </w:rPr>
          <w:tab/>
        </w:r>
        <w:r>
          <w:rPr>
            <w:webHidden/>
          </w:rPr>
          <w:fldChar w:fldCharType="begin"/>
        </w:r>
        <w:r>
          <w:rPr>
            <w:webHidden/>
          </w:rPr>
          <w:instrText xml:space="preserve"> PAGEREF _Toc123296450 \h </w:instrText>
        </w:r>
        <w:r>
          <w:rPr>
            <w:webHidden/>
          </w:rPr>
          <w:fldChar w:fldCharType="separate"/>
        </w:r>
        <w:r>
          <w:rPr>
            <w:webHidden/>
          </w:rPr>
          <w:t>45</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51" w:history="1">
        <w:r w:rsidRPr="00B65184">
          <w:rPr>
            <w:rStyle w:val="Hyperlink"/>
            <w:rFonts w:asciiTheme="minorEastAsia" w:hAnsiTheme="minorEastAsia" w:hint="eastAsia"/>
          </w:rPr>
          <w:t>（九）禁止行为</w:t>
        </w:r>
        <w:r>
          <w:rPr>
            <w:webHidden/>
          </w:rPr>
          <w:tab/>
        </w:r>
        <w:r>
          <w:rPr>
            <w:webHidden/>
          </w:rPr>
          <w:fldChar w:fldCharType="begin"/>
        </w:r>
        <w:r>
          <w:rPr>
            <w:webHidden/>
          </w:rPr>
          <w:instrText xml:space="preserve"> PAGEREF _Toc123296451 \h </w:instrText>
        </w:r>
        <w:r>
          <w:rPr>
            <w:webHidden/>
          </w:rPr>
          <w:fldChar w:fldCharType="separate"/>
        </w:r>
        <w:r>
          <w:rPr>
            <w:webHidden/>
          </w:rPr>
          <w:t>47</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52" w:history="1">
        <w:r w:rsidRPr="00B65184">
          <w:rPr>
            <w:rStyle w:val="Hyperlink"/>
            <w:rFonts w:asciiTheme="minorEastAsia" w:hAnsiTheme="minorEastAsia" w:hint="eastAsia"/>
          </w:rPr>
          <w:t>（十）基金管理人代表基金行使所投资证券产生权利的处理原则及方法</w:t>
        </w:r>
        <w:r>
          <w:rPr>
            <w:webHidden/>
          </w:rPr>
          <w:tab/>
        </w:r>
        <w:r>
          <w:rPr>
            <w:webHidden/>
          </w:rPr>
          <w:fldChar w:fldCharType="begin"/>
        </w:r>
        <w:r>
          <w:rPr>
            <w:webHidden/>
          </w:rPr>
          <w:instrText xml:space="preserve"> PAGEREF _Toc123296452 \h </w:instrText>
        </w:r>
        <w:r>
          <w:rPr>
            <w:webHidden/>
          </w:rPr>
          <w:fldChar w:fldCharType="separate"/>
        </w:r>
        <w:r>
          <w:rPr>
            <w:webHidden/>
          </w:rPr>
          <w:t>47</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53" w:history="1">
        <w:r w:rsidRPr="00B65184">
          <w:rPr>
            <w:rStyle w:val="Hyperlink"/>
            <w:rFonts w:asciiTheme="minorEastAsia" w:hAnsiTheme="minorEastAsia" w:hint="eastAsia"/>
          </w:rPr>
          <w:t>（十一）基金的融资、融券</w:t>
        </w:r>
        <w:r>
          <w:rPr>
            <w:webHidden/>
          </w:rPr>
          <w:tab/>
        </w:r>
        <w:r>
          <w:rPr>
            <w:webHidden/>
          </w:rPr>
          <w:fldChar w:fldCharType="begin"/>
        </w:r>
        <w:r>
          <w:rPr>
            <w:webHidden/>
          </w:rPr>
          <w:instrText xml:space="preserve"> PAGEREF _Toc123296453 \h </w:instrText>
        </w:r>
        <w:r>
          <w:rPr>
            <w:webHidden/>
          </w:rPr>
          <w:fldChar w:fldCharType="separate"/>
        </w:r>
        <w:r>
          <w:rPr>
            <w:webHidden/>
          </w:rPr>
          <w:t>47</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54" w:history="1">
        <w:r w:rsidRPr="00B65184">
          <w:rPr>
            <w:rStyle w:val="Hyperlink"/>
            <w:rFonts w:asciiTheme="minorEastAsia" w:hAnsiTheme="minorEastAsia" w:hint="eastAsia"/>
          </w:rPr>
          <w:t>（十二）侧袋机制的实施和投资运作安排</w:t>
        </w:r>
        <w:r>
          <w:rPr>
            <w:webHidden/>
          </w:rPr>
          <w:tab/>
        </w:r>
        <w:r>
          <w:rPr>
            <w:webHidden/>
          </w:rPr>
          <w:fldChar w:fldCharType="begin"/>
        </w:r>
        <w:r>
          <w:rPr>
            <w:webHidden/>
          </w:rPr>
          <w:instrText xml:space="preserve"> PAGEREF _Toc123296454 \h </w:instrText>
        </w:r>
        <w:r>
          <w:rPr>
            <w:webHidden/>
          </w:rPr>
          <w:fldChar w:fldCharType="separate"/>
        </w:r>
        <w:r>
          <w:rPr>
            <w:webHidden/>
          </w:rPr>
          <w:t>47</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55" w:history="1">
        <w:r w:rsidRPr="00B65184">
          <w:rPr>
            <w:rStyle w:val="Hyperlink"/>
            <w:rFonts w:asciiTheme="minorEastAsia" w:hAnsiTheme="minorEastAsia" w:hint="eastAsia"/>
          </w:rPr>
          <w:t>（十三）基金投资组合报告（未经审计）</w:t>
        </w:r>
        <w:r>
          <w:rPr>
            <w:webHidden/>
          </w:rPr>
          <w:tab/>
        </w:r>
        <w:r>
          <w:rPr>
            <w:webHidden/>
          </w:rPr>
          <w:fldChar w:fldCharType="begin"/>
        </w:r>
        <w:r>
          <w:rPr>
            <w:webHidden/>
          </w:rPr>
          <w:instrText xml:space="preserve"> PAGEREF _Toc123296455 \h </w:instrText>
        </w:r>
        <w:r>
          <w:rPr>
            <w:webHidden/>
          </w:rPr>
          <w:fldChar w:fldCharType="separate"/>
        </w:r>
        <w:r>
          <w:rPr>
            <w:webHidden/>
          </w:rPr>
          <w:t>48</w:t>
        </w:r>
        <w:r>
          <w:rPr>
            <w:webHidden/>
          </w:rPr>
          <w:fldChar w:fldCharType="end"/>
        </w:r>
      </w:hyperlink>
    </w:p>
    <w:p w:rsidR="00530605">
      <w:pPr>
        <w:pStyle w:val="TOC1"/>
        <w:rPr>
          <w:rFonts w:asciiTheme="minorHAnsi" w:eastAsiaTheme="minorEastAsia" w:hAnsiTheme="minorHAnsi" w:cstheme="minorBidi"/>
          <w:caps w:val="0"/>
          <w:sz w:val="21"/>
          <w:szCs w:val="22"/>
        </w:rPr>
      </w:pPr>
      <w:hyperlink w:anchor="_Toc123296456" w:history="1">
        <w:r w:rsidRPr="00B65184">
          <w:rPr>
            <w:rStyle w:val="Hyperlink"/>
            <w:rFonts w:asciiTheme="minorEastAsia" w:hAnsiTheme="minorEastAsia" w:hint="eastAsia"/>
            <w:b/>
          </w:rPr>
          <w:t>十三、</w:t>
        </w:r>
        <w:r>
          <w:rPr>
            <w:rFonts w:asciiTheme="minorHAnsi" w:eastAsiaTheme="minorEastAsia" w:hAnsiTheme="minorHAnsi" w:cstheme="minorBidi"/>
            <w:caps w:val="0"/>
            <w:sz w:val="21"/>
            <w:szCs w:val="22"/>
          </w:rPr>
          <w:tab/>
        </w:r>
        <w:r w:rsidRPr="00B65184">
          <w:rPr>
            <w:rStyle w:val="Hyperlink"/>
            <w:rFonts w:asciiTheme="minorEastAsia" w:hAnsiTheme="minorEastAsia" w:hint="eastAsia"/>
            <w:b/>
          </w:rPr>
          <w:t>基金的业绩</w:t>
        </w:r>
        <w:r>
          <w:rPr>
            <w:webHidden/>
          </w:rPr>
          <w:tab/>
        </w:r>
        <w:r>
          <w:rPr>
            <w:webHidden/>
          </w:rPr>
          <w:fldChar w:fldCharType="begin"/>
        </w:r>
        <w:r>
          <w:rPr>
            <w:webHidden/>
          </w:rPr>
          <w:instrText xml:space="preserve"> PAGEREF _Toc123296456 \h </w:instrText>
        </w:r>
        <w:r>
          <w:rPr>
            <w:webHidden/>
          </w:rPr>
          <w:fldChar w:fldCharType="separate"/>
        </w:r>
        <w:r>
          <w:rPr>
            <w:webHidden/>
          </w:rPr>
          <w:t>53</w:t>
        </w:r>
        <w:r>
          <w:rPr>
            <w:webHidden/>
          </w:rPr>
          <w:fldChar w:fldCharType="end"/>
        </w:r>
      </w:hyperlink>
    </w:p>
    <w:p w:rsidR="00530605">
      <w:pPr>
        <w:pStyle w:val="TOC1"/>
        <w:rPr>
          <w:rFonts w:asciiTheme="minorHAnsi" w:eastAsiaTheme="minorEastAsia" w:hAnsiTheme="minorHAnsi" w:cstheme="minorBidi"/>
          <w:caps w:val="0"/>
          <w:sz w:val="21"/>
          <w:szCs w:val="22"/>
        </w:rPr>
      </w:pPr>
      <w:hyperlink w:anchor="_Toc123296457" w:history="1">
        <w:r w:rsidRPr="00B65184">
          <w:rPr>
            <w:rStyle w:val="Hyperlink"/>
            <w:rFonts w:asciiTheme="minorEastAsia" w:hAnsiTheme="minorEastAsia" w:hint="eastAsia"/>
            <w:b/>
          </w:rPr>
          <w:t>十四、</w:t>
        </w:r>
        <w:r>
          <w:rPr>
            <w:rFonts w:asciiTheme="minorHAnsi" w:eastAsiaTheme="minorEastAsia" w:hAnsiTheme="minorHAnsi" w:cstheme="minorBidi"/>
            <w:caps w:val="0"/>
            <w:sz w:val="21"/>
            <w:szCs w:val="22"/>
          </w:rPr>
          <w:tab/>
        </w:r>
        <w:r w:rsidRPr="00B65184">
          <w:rPr>
            <w:rStyle w:val="Hyperlink"/>
            <w:rFonts w:asciiTheme="minorEastAsia" w:hAnsiTheme="minorEastAsia" w:hint="eastAsia"/>
            <w:b/>
          </w:rPr>
          <w:t>基金的财产</w:t>
        </w:r>
        <w:r>
          <w:rPr>
            <w:webHidden/>
          </w:rPr>
          <w:tab/>
        </w:r>
        <w:r>
          <w:rPr>
            <w:webHidden/>
          </w:rPr>
          <w:fldChar w:fldCharType="begin"/>
        </w:r>
        <w:r>
          <w:rPr>
            <w:webHidden/>
          </w:rPr>
          <w:instrText xml:space="preserve"> PAGEREF _Toc123296457 \h </w:instrText>
        </w:r>
        <w:r>
          <w:rPr>
            <w:webHidden/>
          </w:rPr>
          <w:fldChar w:fldCharType="separate"/>
        </w:r>
        <w:r>
          <w:rPr>
            <w:webHidden/>
          </w:rPr>
          <w:t>55</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58" w:history="1">
        <w:r w:rsidRPr="00B65184">
          <w:rPr>
            <w:rStyle w:val="Hyperlink"/>
            <w:rFonts w:asciiTheme="minorEastAsia" w:hAnsiTheme="minorEastAsia" w:hint="eastAsia"/>
          </w:rPr>
          <w:t>（一）基金资产总值</w:t>
        </w:r>
        <w:r>
          <w:rPr>
            <w:webHidden/>
          </w:rPr>
          <w:tab/>
        </w:r>
        <w:r>
          <w:rPr>
            <w:webHidden/>
          </w:rPr>
          <w:fldChar w:fldCharType="begin"/>
        </w:r>
        <w:r>
          <w:rPr>
            <w:webHidden/>
          </w:rPr>
          <w:instrText xml:space="preserve"> PAGEREF _Toc123296458 \h </w:instrText>
        </w:r>
        <w:r>
          <w:rPr>
            <w:webHidden/>
          </w:rPr>
          <w:fldChar w:fldCharType="separate"/>
        </w:r>
        <w:r>
          <w:rPr>
            <w:webHidden/>
          </w:rPr>
          <w:t>55</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59" w:history="1">
        <w:r w:rsidRPr="00B65184">
          <w:rPr>
            <w:rStyle w:val="Hyperlink"/>
            <w:rFonts w:asciiTheme="minorEastAsia" w:hAnsiTheme="minorEastAsia" w:hint="eastAsia"/>
          </w:rPr>
          <w:t>（二）基金资产净值</w:t>
        </w:r>
        <w:r>
          <w:rPr>
            <w:webHidden/>
          </w:rPr>
          <w:tab/>
        </w:r>
        <w:r>
          <w:rPr>
            <w:webHidden/>
          </w:rPr>
          <w:fldChar w:fldCharType="begin"/>
        </w:r>
        <w:r>
          <w:rPr>
            <w:webHidden/>
          </w:rPr>
          <w:instrText xml:space="preserve"> PAGEREF _Toc123296459 \h </w:instrText>
        </w:r>
        <w:r>
          <w:rPr>
            <w:webHidden/>
          </w:rPr>
          <w:fldChar w:fldCharType="separate"/>
        </w:r>
        <w:r>
          <w:rPr>
            <w:webHidden/>
          </w:rPr>
          <w:t>55</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60" w:history="1">
        <w:r w:rsidRPr="00B65184">
          <w:rPr>
            <w:rStyle w:val="Hyperlink"/>
            <w:rFonts w:asciiTheme="minorEastAsia" w:hAnsiTheme="minorEastAsia" w:hint="eastAsia"/>
          </w:rPr>
          <w:t>（三）基金财产的账户</w:t>
        </w:r>
        <w:r>
          <w:rPr>
            <w:webHidden/>
          </w:rPr>
          <w:tab/>
        </w:r>
        <w:r>
          <w:rPr>
            <w:webHidden/>
          </w:rPr>
          <w:fldChar w:fldCharType="begin"/>
        </w:r>
        <w:r>
          <w:rPr>
            <w:webHidden/>
          </w:rPr>
          <w:instrText xml:space="preserve"> PAGEREF _Toc123296460 \h </w:instrText>
        </w:r>
        <w:r>
          <w:rPr>
            <w:webHidden/>
          </w:rPr>
          <w:fldChar w:fldCharType="separate"/>
        </w:r>
        <w:r>
          <w:rPr>
            <w:webHidden/>
          </w:rPr>
          <w:t>55</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61" w:history="1">
        <w:r w:rsidRPr="00B65184">
          <w:rPr>
            <w:rStyle w:val="Hyperlink"/>
            <w:rFonts w:asciiTheme="minorEastAsia" w:hAnsiTheme="minorEastAsia" w:hint="eastAsia"/>
          </w:rPr>
          <w:t>（四）基金财产的处分</w:t>
        </w:r>
        <w:r>
          <w:rPr>
            <w:webHidden/>
          </w:rPr>
          <w:tab/>
        </w:r>
        <w:r>
          <w:rPr>
            <w:webHidden/>
          </w:rPr>
          <w:fldChar w:fldCharType="begin"/>
        </w:r>
        <w:r>
          <w:rPr>
            <w:webHidden/>
          </w:rPr>
          <w:instrText xml:space="preserve"> PAGEREF _Toc123296461 \h </w:instrText>
        </w:r>
        <w:r>
          <w:rPr>
            <w:webHidden/>
          </w:rPr>
          <w:fldChar w:fldCharType="separate"/>
        </w:r>
        <w:r>
          <w:rPr>
            <w:webHidden/>
          </w:rPr>
          <w:t>55</w:t>
        </w:r>
        <w:r>
          <w:rPr>
            <w:webHidden/>
          </w:rPr>
          <w:fldChar w:fldCharType="end"/>
        </w:r>
      </w:hyperlink>
    </w:p>
    <w:p w:rsidR="00530605">
      <w:pPr>
        <w:pStyle w:val="TOC1"/>
        <w:rPr>
          <w:rFonts w:asciiTheme="minorHAnsi" w:eastAsiaTheme="minorEastAsia" w:hAnsiTheme="minorHAnsi" w:cstheme="minorBidi"/>
          <w:caps w:val="0"/>
          <w:sz w:val="21"/>
          <w:szCs w:val="22"/>
        </w:rPr>
      </w:pPr>
      <w:hyperlink w:anchor="_Toc123296462" w:history="1">
        <w:r w:rsidRPr="00B65184">
          <w:rPr>
            <w:rStyle w:val="Hyperlink"/>
            <w:rFonts w:asciiTheme="minorEastAsia" w:hAnsiTheme="minorEastAsia" w:hint="eastAsia"/>
            <w:b/>
          </w:rPr>
          <w:t>十五、</w:t>
        </w:r>
        <w:r>
          <w:rPr>
            <w:rFonts w:asciiTheme="minorHAnsi" w:eastAsiaTheme="minorEastAsia" w:hAnsiTheme="minorHAnsi" w:cstheme="minorBidi"/>
            <w:caps w:val="0"/>
            <w:sz w:val="21"/>
            <w:szCs w:val="22"/>
          </w:rPr>
          <w:tab/>
        </w:r>
        <w:r w:rsidRPr="00B65184">
          <w:rPr>
            <w:rStyle w:val="Hyperlink"/>
            <w:rFonts w:asciiTheme="minorEastAsia" w:hAnsiTheme="minorEastAsia" w:hint="eastAsia"/>
            <w:b/>
          </w:rPr>
          <w:t>基金资产估值</w:t>
        </w:r>
        <w:r>
          <w:rPr>
            <w:webHidden/>
          </w:rPr>
          <w:tab/>
        </w:r>
        <w:r>
          <w:rPr>
            <w:webHidden/>
          </w:rPr>
          <w:fldChar w:fldCharType="begin"/>
        </w:r>
        <w:r>
          <w:rPr>
            <w:webHidden/>
          </w:rPr>
          <w:instrText xml:space="preserve"> PAGEREF _Toc123296462 \h </w:instrText>
        </w:r>
        <w:r>
          <w:rPr>
            <w:webHidden/>
          </w:rPr>
          <w:fldChar w:fldCharType="separate"/>
        </w:r>
        <w:r>
          <w:rPr>
            <w:webHidden/>
          </w:rPr>
          <w:t>56</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63" w:history="1">
        <w:r w:rsidRPr="00B65184">
          <w:rPr>
            <w:rStyle w:val="Hyperlink"/>
            <w:rFonts w:asciiTheme="minorEastAsia" w:hAnsiTheme="minorEastAsia" w:hint="eastAsia"/>
          </w:rPr>
          <w:t>（一）估值目的</w:t>
        </w:r>
        <w:r>
          <w:rPr>
            <w:webHidden/>
          </w:rPr>
          <w:tab/>
        </w:r>
        <w:r>
          <w:rPr>
            <w:webHidden/>
          </w:rPr>
          <w:fldChar w:fldCharType="begin"/>
        </w:r>
        <w:r>
          <w:rPr>
            <w:webHidden/>
          </w:rPr>
          <w:instrText xml:space="preserve"> PAGEREF _Toc123296463 \h </w:instrText>
        </w:r>
        <w:r>
          <w:rPr>
            <w:webHidden/>
          </w:rPr>
          <w:fldChar w:fldCharType="separate"/>
        </w:r>
        <w:r>
          <w:rPr>
            <w:webHidden/>
          </w:rPr>
          <w:t>56</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64" w:history="1">
        <w:r w:rsidRPr="00B65184">
          <w:rPr>
            <w:rStyle w:val="Hyperlink"/>
            <w:rFonts w:asciiTheme="minorEastAsia" w:hAnsiTheme="minorEastAsia" w:hint="eastAsia"/>
          </w:rPr>
          <w:t>（二）估值日</w:t>
        </w:r>
        <w:r>
          <w:rPr>
            <w:webHidden/>
          </w:rPr>
          <w:tab/>
        </w:r>
        <w:r>
          <w:rPr>
            <w:webHidden/>
          </w:rPr>
          <w:fldChar w:fldCharType="begin"/>
        </w:r>
        <w:r>
          <w:rPr>
            <w:webHidden/>
          </w:rPr>
          <w:instrText xml:space="preserve"> PAGEREF _Toc123296464 \h </w:instrText>
        </w:r>
        <w:r>
          <w:rPr>
            <w:webHidden/>
          </w:rPr>
          <w:fldChar w:fldCharType="separate"/>
        </w:r>
        <w:r>
          <w:rPr>
            <w:webHidden/>
          </w:rPr>
          <w:t>56</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65" w:history="1">
        <w:r w:rsidRPr="00B65184">
          <w:rPr>
            <w:rStyle w:val="Hyperlink"/>
            <w:rFonts w:asciiTheme="minorEastAsia" w:hAnsiTheme="minorEastAsia" w:hint="eastAsia"/>
          </w:rPr>
          <w:t>（三）估值对象</w:t>
        </w:r>
        <w:r>
          <w:rPr>
            <w:webHidden/>
          </w:rPr>
          <w:tab/>
        </w:r>
        <w:r>
          <w:rPr>
            <w:webHidden/>
          </w:rPr>
          <w:fldChar w:fldCharType="begin"/>
        </w:r>
        <w:r>
          <w:rPr>
            <w:webHidden/>
          </w:rPr>
          <w:instrText xml:space="preserve"> PAGEREF _Toc123296465 \h </w:instrText>
        </w:r>
        <w:r>
          <w:rPr>
            <w:webHidden/>
          </w:rPr>
          <w:fldChar w:fldCharType="separate"/>
        </w:r>
        <w:r>
          <w:rPr>
            <w:webHidden/>
          </w:rPr>
          <w:t>56</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66" w:history="1">
        <w:r w:rsidRPr="00B65184">
          <w:rPr>
            <w:rStyle w:val="Hyperlink"/>
            <w:rFonts w:asciiTheme="minorEastAsia" w:hAnsiTheme="minorEastAsia" w:hint="eastAsia"/>
          </w:rPr>
          <w:t>（四）估值方法</w:t>
        </w:r>
        <w:r>
          <w:rPr>
            <w:webHidden/>
          </w:rPr>
          <w:tab/>
        </w:r>
        <w:r>
          <w:rPr>
            <w:webHidden/>
          </w:rPr>
          <w:fldChar w:fldCharType="begin"/>
        </w:r>
        <w:r>
          <w:rPr>
            <w:webHidden/>
          </w:rPr>
          <w:instrText xml:space="preserve"> PAGEREF _Toc123296466 \h </w:instrText>
        </w:r>
        <w:r>
          <w:rPr>
            <w:webHidden/>
          </w:rPr>
          <w:fldChar w:fldCharType="separate"/>
        </w:r>
        <w:r>
          <w:rPr>
            <w:webHidden/>
          </w:rPr>
          <w:t>56</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67" w:history="1">
        <w:r w:rsidRPr="00B65184">
          <w:rPr>
            <w:rStyle w:val="Hyperlink"/>
            <w:rFonts w:asciiTheme="minorEastAsia" w:hAnsiTheme="minorEastAsia" w:hint="eastAsia"/>
          </w:rPr>
          <w:t>（五）估值程序</w:t>
        </w:r>
        <w:r>
          <w:rPr>
            <w:webHidden/>
          </w:rPr>
          <w:tab/>
        </w:r>
        <w:r>
          <w:rPr>
            <w:webHidden/>
          </w:rPr>
          <w:fldChar w:fldCharType="begin"/>
        </w:r>
        <w:r>
          <w:rPr>
            <w:webHidden/>
          </w:rPr>
          <w:instrText xml:space="preserve"> PAGEREF _Toc123296467 \h </w:instrText>
        </w:r>
        <w:r>
          <w:rPr>
            <w:webHidden/>
          </w:rPr>
          <w:fldChar w:fldCharType="separate"/>
        </w:r>
        <w:r>
          <w:rPr>
            <w:webHidden/>
          </w:rPr>
          <w:t>57</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68" w:history="1">
        <w:r w:rsidRPr="00B65184">
          <w:rPr>
            <w:rStyle w:val="Hyperlink"/>
            <w:rFonts w:asciiTheme="minorEastAsia" w:hAnsiTheme="minorEastAsia" w:hint="eastAsia"/>
          </w:rPr>
          <w:t>（六）暂停公告净值的情形</w:t>
        </w:r>
        <w:r>
          <w:rPr>
            <w:webHidden/>
          </w:rPr>
          <w:tab/>
        </w:r>
        <w:r>
          <w:rPr>
            <w:webHidden/>
          </w:rPr>
          <w:fldChar w:fldCharType="begin"/>
        </w:r>
        <w:r>
          <w:rPr>
            <w:webHidden/>
          </w:rPr>
          <w:instrText xml:space="preserve"> PAGEREF _Toc123296468 \h </w:instrText>
        </w:r>
        <w:r>
          <w:rPr>
            <w:webHidden/>
          </w:rPr>
          <w:fldChar w:fldCharType="separate"/>
        </w:r>
        <w:r>
          <w:rPr>
            <w:webHidden/>
          </w:rPr>
          <w:t>58</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69" w:history="1">
        <w:r w:rsidRPr="00B65184">
          <w:rPr>
            <w:rStyle w:val="Hyperlink"/>
            <w:rFonts w:asciiTheme="minorEastAsia" w:hAnsiTheme="minorEastAsia" w:hint="eastAsia"/>
          </w:rPr>
          <w:t>（七）估值错误处理</w:t>
        </w:r>
        <w:r>
          <w:rPr>
            <w:webHidden/>
          </w:rPr>
          <w:tab/>
        </w:r>
        <w:r>
          <w:rPr>
            <w:webHidden/>
          </w:rPr>
          <w:fldChar w:fldCharType="begin"/>
        </w:r>
        <w:r>
          <w:rPr>
            <w:webHidden/>
          </w:rPr>
          <w:instrText xml:space="preserve"> PAGEREF _Toc123296469 \h </w:instrText>
        </w:r>
        <w:r>
          <w:rPr>
            <w:webHidden/>
          </w:rPr>
          <w:fldChar w:fldCharType="separate"/>
        </w:r>
        <w:r>
          <w:rPr>
            <w:webHidden/>
          </w:rPr>
          <w:t>58</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70" w:history="1">
        <w:r w:rsidRPr="00B65184">
          <w:rPr>
            <w:rStyle w:val="Hyperlink"/>
            <w:rFonts w:asciiTheme="minorEastAsia" w:hAnsiTheme="minorEastAsia" w:hint="eastAsia"/>
          </w:rPr>
          <w:t>（八）基金净值的确认</w:t>
        </w:r>
        <w:r>
          <w:rPr>
            <w:webHidden/>
          </w:rPr>
          <w:tab/>
        </w:r>
        <w:r>
          <w:rPr>
            <w:webHidden/>
          </w:rPr>
          <w:fldChar w:fldCharType="begin"/>
        </w:r>
        <w:r>
          <w:rPr>
            <w:webHidden/>
          </w:rPr>
          <w:instrText xml:space="preserve"> PAGEREF _Toc123296470 \h </w:instrText>
        </w:r>
        <w:r>
          <w:rPr>
            <w:webHidden/>
          </w:rPr>
          <w:fldChar w:fldCharType="separate"/>
        </w:r>
        <w:r>
          <w:rPr>
            <w:webHidden/>
          </w:rPr>
          <w:t>60</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71" w:history="1">
        <w:r w:rsidRPr="00B65184">
          <w:rPr>
            <w:rStyle w:val="Hyperlink"/>
            <w:rFonts w:asciiTheme="minorEastAsia" w:hAnsiTheme="minorEastAsia" w:hint="eastAsia"/>
          </w:rPr>
          <w:t>（九）特殊情形的处理</w:t>
        </w:r>
        <w:r>
          <w:rPr>
            <w:webHidden/>
          </w:rPr>
          <w:tab/>
        </w:r>
        <w:r>
          <w:rPr>
            <w:webHidden/>
          </w:rPr>
          <w:fldChar w:fldCharType="begin"/>
        </w:r>
        <w:r>
          <w:rPr>
            <w:webHidden/>
          </w:rPr>
          <w:instrText xml:space="preserve"> PAGEREF _Toc123296471 \h </w:instrText>
        </w:r>
        <w:r>
          <w:rPr>
            <w:webHidden/>
          </w:rPr>
          <w:fldChar w:fldCharType="separate"/>
        </w:r>
        <w:r>
          <w:rPr>
            <w:webHidden/>
          </w:rPr>
          <w:t>60</w:t>
        </w:r>
        <w:r>
          <w:rPr>
            <w:webHidden/>
          </w:rPr>
          <w:fldChar w:fldCharType="end"/>
        </w:r>
      </w:hyperlink>
    </w:p>
    <w:p w:rsidR="00530605">
      <w:pPr>
        <w:pStyle w:val="TOC1"/>
        <w:rPr>
          <w:rFonts w:asciiTheme="minorHAnsi" w:eastAsiaTheme="minorEastAsia" w:hAnsiTheme="minorHAnsi" w:cstheme="minorBidi"/>
          <w:caps w:val="0"/>
          <w:sz w:val="21"/>
          <w:szCs w:val="22"/>
        </w:rPr>
      </w:pPr>
      <w:hyperlink w:anchor="_Toc123296472" w:history="1">
        <w:r w:rsidRPr="00B65184">
          <w:rPr>
            <w:rStyle w:val="Hyperlink"/>
            <w:rFonts w:asciiTheme="minorEastAsia" w:hAnsiTheme="minorEastAsia" w:hint="eastAsia"/>
            <w:b/>
          </w:rPr>
          <w:t>十六、</w:t>
        </w:r>
        <w:r>
          <w:rPr>
            <w:rFonts w:asciiTheme="minorHAnsi" w:eastAsiaTheme="minorEastAsia" w:hAnsiTheme="minorHAnsi" w:cstheme="minorBidi"/>
            <w:caps w:val="0"/>
            <w:sz w:val="21"/>
            <w:szCs w:val="22"/>
          </w:rPr>
          <w:tab/>
        </w:r>
        <w:r w:rsidRPr="00B65184">
          <w:rPr>
            <w:rStyle w:val="Hyperlink"/>
            <w:rFonts w:asciiTheme="minorEastAsia" w:hAnsiTheme="minorEastAsia" w:hint="eastAsia"/>
            <w:b/>
          </w:rPr>
          <w:t>基金的收益与分配</w:t>
        </w:r>
        <w:r>
          <w:rPr>
            <w:webHidden/>
          </w:rPr>
          <w:tab/>
        </w:r>
        <w:r>
          <w:rPr>
            <w:webHidden/>
          </w:rPr>
          <w:fldChar w:fldCharType="begin"/>
        </w:r>
        <w:r>
          <w:rPr>
            <w:webHidden/>
          </w:rPr>
          <w:instrText xml:space="preserve"> PAGEREF _Toc123296472 \h </w:instrText>
        </w:r>
        <w:r>
          <w:rPr>
            <w:webHidden/>
          </w:rPr>
          <w:fldChar w:fldCharType="separate"/>
        </w:r>
        <w:r>
          <w:rPr>
            <w:webHidden/>
          </w:rPr>
          <w:t>61</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73" w:history="1">
        <w:r w:rsidRPr="00B65184">
          <w:rPr>
            <w:rStyle w:val="Hyperlink"/>
            <w:rFonts w:asciiTheme="minorEastAsia" w:hAnsiTheme="minorEastAsia" w:hint="eastAsia"/>
          </w:rPr>
          <w:t>（一）收益的构成</w:t>
        </w:r>
        <w:r>
          <w:rPr>
            <w:webHidden/>
          </w:rPr>
          <w:tab/>
        </w:r>
        <w:r>
          <w:rPr>
            <w:webHidden/>
          </w:rPr>
          <w:fldChar w:fldCharType="begin"/>
        </w:r>
        <w:r>
          <w:rPr>
            <w:webHidden/>
          </w:rPr>
          <w:instrText xml:space="preserve"> PAGEREF _Toc123296473 \h </w:instrText>
        </w:r>
        <w:r>
          <w:rPr>
            <w:webHidden/>
          </w:rPr>
          <w:fldChar w:fldCharType="separate"/>
        </w:r>
        <w:r>
          <w:rPr>
            <w:webHidden/>
          </w:rPr>
          <w:t>61</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74" w:history="1">
        <w:r w:rsidRPr="00B65184">
          <w:rPr>
            <w:rStyle w:val="Hyperlink"/>
            <w:rFonts w:asciiTheme="minorEastAsia" w:hAnsiTheme="minorEastAsia" w:hint="eastAsia"/>
          </w:rPr>
          <w:t>（二）收益分配原则</w:t>
        </w:r>
        <w:r>
          <w:rPr>
            <w:webHidden/>
          </w:rPr>
          <w:tab/>
        </w:r>
        <w:r>
          <w:rPr>
            <w:webHidden/>
          </w:rPr>
          <w:fldChar w:fldCharType="begin"/>
        </w:r>
        <w:r>
          <w:rPr>
            <w:webHidden/>
          </w:rPr>
          <w:instrText xml:space="preserve"> PAGEREF _Toc123296474 \h </w:instrText>
        </w:r>
        <w:r>
          <w:rPr>
            <w:webHidden/>
          </w:rPr>
          <w:fldChar w:fldCharType="separate"/>
        </w:r>
        <w:r>
          <w:rPr>
            <w:webHidden/>
          </w:rPr>
          <w:t>61</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75" w:history="1">
        <w:r w:rsidRPr="00B65184">
          <w:rPr>
            <w:rStyle w:val="Hyperlink"/>
            <w:rFonts w:asciiTheme="minorEastAsia" w:hAnsiTheme="minorEastAsia" w:hint="eastAsia"/>
          </w:rPr>
          <w:t>（三）收益分配方案</w:t>
        </w:r>
        <w:r>
          <w:rPr>
            <w:webHidden/>
          </w:rPr>
          <w:tab/>
        </w:r>
        <w:r>
          <w:rPr>
            <w:webHidden/>
          </w:rPr>
          <w:fldChar w:fldCharType="begin"/>
        </w:r>
        <w:r>
          <w:rPr>
            <w:webHidden/>
          </w:rPr>
          <w:instrText xml:space="preserve"> PAGEREF _Toc123296475 \h </w:instrText>
        </w:r>
        <w:r>
          <w:rPr>
            <w:webHidden/>
          </w:rPr>
          <w:fldChar w:fldCharType="separate"/>
        </w:r>
        <w:r>
          <w:rPr>
            <w:webHidden/>
          </w:rPr>
          <w:t>61</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76" w:history="1">
        <w:r w:rsidRPr="00B65184">
          <w:rPr>
            <w:rStyle w:val="Hyperlink"/>
            <w:rFonts w:asciiTheme="minorEastAsia" w:hAnsiTheme="minorEastAsia" w:hint="eastAsia"/>
          </w:rPr>
          <w:t>（四）收益分配的时间和程序</w:t>
        </w:r>
        <w:r>
          <w:rPr>
            <w:webHidden/>
          </w:rPr>
          <w:tab/>
        </w:r>
        <w:r>
          <w:rPr>
            <w:webHidden/>
          </w:rPr>
          <w:fldChar w:fldCharType="begin"/>
        </w:r>
        <w:r>
          <w:rPr>
            <w:webHidden/>
          </w:rPr>
          <w:instrText xml:space="preserve"> PAGEREF _Toc123296476 \h </w:instrText>
        </w:r>
        <w:r>
          <w:rPr>
            <w:webHidden/>
          </w:rPr>
          <w:fldChar w:fldCharType="separate"/>
        </w:r>
        <w:r>
          <w:rPr>
            <w:webHidden/>
          </w:rPr>
          <w:t>61</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77" w:history="1">
        <w:r w:rsidRPr="00B65184">
          <w:rPr>
            <w:rStyle w:val="Hyperlink"/>
            <w:rFonts w:asciiTheme="minorEastAsia" w:hAnsiTheme="minorEastAsia" w:hint="eastAsia"/>
          </w:rPr>
          <w:t>（五）收益分配中发生的费用</w:t>
        </w:r>
        <w:r>
          <w:rPr>
            <w:webHidden/>
          </w:rPr>
          <w:tab/>
        </w:r>
        <w:r>
          <w:rPr>
            <w:webHidden/>
          </w:rPr>
          <w:fldChar w:fldCharType="begin"/>
        </w:r>
        <w:r>
          <w:rPr>
            <w:webHidden/>
          </w:rPr>
          <w:instrText xml:space="preserve"> PAGEREF _Toc123296477 \h </w:instrText>
        </w:r>
        <w:r>
          <w:rPr>
            <w:webHidden/>
          </w:rPr>
          <w:fldChar w:fldCharType="separate"/>
        </w:r>
        <w:r>
          <w:rPr>
            <w:webHidden/>
          </w:rPr>
          <w:t>61</w:t>
        </w:r>
        <w:r>
          <w:rPr>
            <w:webHidden/>
          </w:rPr>
          <w:fldChar w:fldCharType="end"/>
        </w:r>
      </w:hyperlink>
    </w:p>
    <w:p w:rsidR="00530605">
      <w:pPr>
        <w:pStyle w:val="TOC1"/>
        <w:rPr>
          <w:rFonts w:asciiTheme="minorHAnsi" w:eastAsiaTheme="minorEastAsia" w:hAnsiTheme="minorHAnsi" w:cstheme="minorBidi"/>
          <w:caps w:val="0"/>
          <w:sz w:val="21"/>
          <w:szCs w:val="22"/>
        </w:rPr>
      </w:pPr>
      <w:hyperlink w:anchor="_Toc123296478" w:history="1">
        <w:r w:rsidRPr="00B65184">
          <w:rPr>
            <w:rStyle w:val="Hyperlink"/>
            <w:rFonts w:asciiTheme="minorEastAsia" w:hAnsiTheme="minorEastAsia" w:hint="eastAsia"/>
            <w:b/>
          </w:rPr>
          <w:t>十七、</w:t>
        </w:r>
        <w:r>
          <w:rPr>
            <w:rFonts w:asciiTheme="minorHAnsi" w:eastAsiaTheme="minorEastAsia" w:hAnsiTheme="minorHAnsi" w:cstheme="minorBidi"/>
            <w:caps w:val="0"/>
            <w:sz w:val="21"/>
            <w:szCs w:val="22"/>
          </w:rPr>
          <w:tab/>
        </w:r>
        <w:r w:rsidRPr="00B65184">
          <w:rPr>
            <w:rStyle w:val="Hyperlink"/>
            <w:rFonts w:asciiTheme="minorEastAsia" w:hAnsiTheme="minorEastAsia" w:hint="eastAsia"/>
            <w:b/>
          </w:rPr>
          <w:t>基金的费用与税收</w:t>
        </w:r>
        <w:r>
          <w:rPr>
            <w:webHidden/>
          </w:rPr>
          <w:tab/>
        </w:r>
        <w:r>
          <w:rPr>
            <w:webHidden/>
          </w:rPr>
          <w:fldChar w:fldCharType="begin"/>
        </w:r>
        <w:r>
          <w:rPr>
            <w:webHidden/>
          </w:rPr>
          <w:instrText xml:space="preserve"> PAGEREF _Toc123296478 \h </w:instrText>
        </w:r>
        <w:r>
          <w:rPr>
            <w:webHidden/>
          </w:rPr>
          <w:fldChar w:fldCharType="separate"/>
        </w:r>
        <w:r>
          <w:rPr>
            <w:webHidden/>
          </w:rPr>
          <w:t>63</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79" w:history="1">
        <w:r w:rsidRPr="00B65184">
          <w:rPr>
            <w:rStyle w:val="Hyperlink"/>
            <w:rFonts w:asciiTheme="minorEastAsia" w:hAnsiTheme="minorEastAsia" w:hint="eastAsia"/>
          </w:rPr>
          <w:t>（一）与基金运作相关的费用</w:t>
        </w:r>
        <w:r>
          <w:rPr>
            <w:webHidden/>
          </w:rPr>
          <w:tab/>
        </w:r>
        <w:r>
          <w:rPr>
            <w:webHidden/>
          </w:rPr>
          <w:fldChar w:fldCharType="begin"/>
        </w:r>
        <w:r>
          <w:rPr>
            <w:webHidden/>
          </w:rPr>
          <w:instrText xml:space="preserve"> PAGEREF _Toc123296479 \h </w:instrText>
        </w:r>
        <w:r>
          <w:rPr>
            <w:webHidden/>
          </w:rPr>
          <w:fldChar w:fldCharType="separate"/>
        </w:r>
        <w:r>
          <w:rPr>
            <w:webHidden/>
          </w:rPr>
          <w:t>63</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80" w:history="1">
        <w:r w:rsidRPr="00B65184">
          <w:rPr>
            <w:rStyle w:val="Hyperlink"/>
            <w:rFonts w:asciiTheme="minorEastAsia" w:hAnsiTheme="minorEastAsia" w:hint="eastAsia"/>
          </w:rPr>
          <w:t>（二）与基金销售有关的费用</w:t>
        </w:r>
        <w:r>
          <w:rPr>
            <w:webHidden/>
          </w:rPr>
          <w:tab/>
        </w:r>
        <w:r>
          <w:rPr>
            <w:webHidden/>
          </w:rPr>
          <w:fldChar w:fldCharType="begin"/>
        </w:r>
        <w:r>
          <w:rPr>
            <w:webHidden/>
          </w:rPr>
          <w:instrText xml:space="preserve"> PAGEREF _Toc123296480 \h </w:instrText>
        </w:r>
        <w:r>
          <w:rPr>
            <w:webHidden/>
          </w:rPr>
          <w:fldChar w:fldCharType="separate"/>
        </w:r>
        <w:r>
          <w:rPr>
            <w:webHidden/>
          </w:rPr>
          <w:t>64</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81" w:history="1">
        <w:r w:rsidRPr="00B65184">
          <w:rPr>
            <w:rStyle w:val="Hyperlink"/>
            <w:rFonts w:asciiTheme="minorEastAsia" w:hAnsiTheme="minorEastAsia" w:hint="eastAsia"/>
          </w:rPr>
          <w:t>（三）实施侧袋机制期间的基金费用</w:t>
        </w:r>
        <w:r>
          <w:rPr>
            <w:webHidden/>
          </w:rPr>
          <w:tab/>
        </w:r>
        <w:r>
          <w:rPr>
            <w:webHidden/>
          </w:rPr>
          <w:fldChar w:fldCharType="begin"/>
        </w:r>
        <w:r>
          <w:rPr>
            <w:webHidden/>
          </w:rPr>
          <w:instrText xml:space="preserve"> PAGEREF _Toc123296481 \h </w:instrText>
        </w:r>
        <w:r>
          <w:rPr>
            <w:webHidden/>
          </w:rPr>
          <w:fldChar w:fldCharType="separate"/>
        </w:r>
        <w:r>
          <w:rPr>
            <w:webHidden/>
          </w:rPr>
          <w:t>65</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82" w:history="1">
        <w:r w:rsidRPr="00B65184">
          <w:rPr>
            <w:rStyle w:val="Hyperlink"/>
            <w:rFonts w:asciiTheme="minorEastAsia" w:hAnsiTheme="minorEastAsia" w:hint="eastAsia"/>
          </w:rPr>
          <w:t>（四）税收</w:t>
        </w:r>
        <w:r>
          <w:rPr>
            <w:webHidden/>
          </w:rPr>
          <w:tab/>
        </w:r>
        <w:r>
          <w:rPr>
            <w:webHidden/>
          </w:rPr>
          <w:fldChar w:fldCharType="begin"/>
        </w:r>
        <w:r>
          <w:rPr>
            <w:webHidden/>
          </w:rPr>
          <w:instrText xml:space="preserve"> PAGEREF _Toc123296482 \h </w:instrText>
        </w:r>
        <w:r>
          <w:rPr>
            <w:webHidden/>
          </w:rPr>
          <w:fldChar w:fldCharType="separate"/>
        </w:r>
        <w:r>
          <w:rPr>
            <w:webHidden/>
          </w:rPr>
          <w:t>65</w:t>
        </w:r>
        <w:r>
          <w:rPr>
            <w:webHidden/>
          </w:rPr>
          <w:fldChar w:fldCharType="end"/>
        </w:r>
      </w:hyperlink>
    </w:p>
    <w:p w:rsidR="00530605">
      <w:pPr>
        <w:pStyle w:val="TOC1"/>
        <w:rPr>
          <w:rFonts w:asciiTheme="minorHAnsi" w:eastAsiaTheme="minorEastAsia" w:hAnsiTheme="minorHAnsi" w:cstheme="minorBidi"/>
          <w:caps w:val="0"/>
          <w:sz w:val="21"/>
          <w:szCs w:val="22"/>
        </w:rPr>
      </w:pPr>
      <w:hyperlink w:anchor="_Toc123296483" w:history="1">
        <w:r w:rsidRPr="00B65184">
          <w:rPr>
            <w:rStyle w:val="Hyperlink"/>
            <w:rFonts w:asciiTheme="minorEastAsia" w:hAnsiTheme="minorEastAsia" w:hint="eastAsia"/>
            <w:b/>
          </w:rPr>
          <w:t>十八、</w:t>
        </w:r>
        <w:r>
          <w:rPr>
            <w:rFonts w:asciiTheme="minorHAnsi" w:eastAsiaTheme="minorEastAsia" w:hAnsiTheme="minorHAnsi" w:cstheme="minorBidi"/>
            <w:caps w:val="0"/>
            <w:sz w:val="21"/>
            <w:szCs w:val="22"/>
          </w:rPr>
          <w:tab/>
        </w:r>
        <w:r w:rsidRPr="00B65184">
          <w:rPr>
            <w:rStyle w:val="Hyperlink"/>
            <w:rFonts w:asciiTheme="minorEastAsia" w:hAnsiTheme="minorEastAsia" w:hint="eastAsia"/>
            <w:b/>
          </w:rPr>
          <w:t>基金的会计与审计</w:t>
        </w:r>
        <w:r>
          <w:rPr>
            <w:webHidden/>
          </w:rPr>
          <w:tab/>
        </w:r>
        <w:r>
          <w:rPr>
            <w:webHidden/>
          </w:rPr>
          <w:fldChar w:fldCharType="begin"/>
        </w:r>
        <w:r>
          <w:rPr>
            <w:webHidden/>
          </w:rPr>
          <w:instrText xml:space="preserve"> PAGEREF _Toc123296483 \h </w:instrText>
        </w:r>
        <w:r>
          <w:rPr>
            <w:webHidden/>
          </w:rPr>
          <w:fldChar w:fldCharType="separate"/>
        </w:r>
        <w:r>
          <w:rPr>
            <w:webHidden/>
          </w:rPr>
          <w:t>66</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84" w:history="1">
        <w:r w:rsidRPr="00B65184">
          <w:rPr>
            <w:rStyle w:val="Hyperlink"/>
            <w:rFonts w:asciiTheme="minorEastAsia" w:hAnsiTheme="minorEastAsia" w:hint="eastAsia"/>
          </w:rPr>
          <w:t>（一）基金会计政策</w:t>
        </w:r>
        <w:r>
          <w:rPr>
            <w:webHidden/>
          </w:rPr>
          <w:tab/>
        </w:r>
        <w:r>
          <w:rPr>
            <w:webHidden/>
          </w:rPr>
          <w:fldChar w:fldCharType="begin"/>
        </w:r>
        <w:r>
          <w:rPr>
            <w:webHidden/>
          </w:rPr>
          <w:instrText xml:space="preserve"> PAGEREF _Toc123296484 \h </w:instrText>
        </w:r>
        <w:r>
          <w:rPr>
            <w:webHidden/>
          </w:rPr>
          <w:fldChar w:fldCharType="separate"/>
        </w:r>
        <w:r>
          <w:rPr>
            <w:webHidden/>
          </w:rPr>
          <w:t>66</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85" w:history="1">
        <w:r w:rsidRPr="00B65184">
          <w:rPr>
            <w:rStyle w:val="Hyperlink"/>
            <w:rFonts w:asciiTheme="minorEastAsia" w:hAnsiTheme="minorEastAsia" w:hint="eastAsia"/>
          </w:rPr>
          <w:t>（二）基金年度审计</w:t>
        </w:r>
        <w:r>
          <w:rPr>
            <w:webHidden/>
          </w:rPr>
          <w:tab/>
        </w:r>
        <w:r>
          <w:rPr>
            <w:webHidden/>
          </w:rPr>
          <w:fldChar w:fldCharType="begin"/>
        </w:r>
        <w:r>
          <w:rPr>
            <w:webHidden/>
          </w:rPr>
          <w:instrText xml:space="preserve"> PAGEREF _Toc123296485 \h </w:instrText>
        </w:r>
        <w:r>
          <w:rPr>
            <w:webHidden/>
          </w:rPr>
          <w:fldChar w:fldCharType="separate"/>
        </w:r>
        <w:r>
          <w:rPr>
            <w:webHidden/>
          </w:rPr>
          <w:t>66</w:t>
        </w:r>
        <w:r>
          <w:rPr>
            <w:webHidden/>
          </w:rPr>
          <w:fldChar w:fldCharType="end"/>
        </w:r>
      </w:hyperlink>
    </w:p>
    <w:p w:rsidR="00530605">
      <w:pPr>
        <w:pStyle w:val="TOC1"/>
        <w:rPr>
          <w:rFonts w:asciiTheme="minorHAnsi" w:eastAsiaTheme="minorEastAsia" w:hAnsiTheme="minorHAnsi" w:cstheme="minorBidi"/>
          <w:caps w:val="0"/>
          <w:sz w:val="21"/>
          <w:szCs w:val="22"/>
        </w:rPr>
      </w:pPr>
      <w:hyperlink w:anchor="_Toc123296486" w:history="1">
        <w:r w:rsidRPr="00B65184">
          <w:rPr>
            <w:rStyle w:val="Hyperlink"/>
            <w:rFonts w:asciiTheme="minorEastAsia" w:hAnsiTheme="minorEastAsia" w:hint="eastAsia"/>
            <w:b/>
          </w:rPr>
          <w:t>十九、</w:t>
        </w:r>
        <w:r>
          <w:rPr>
            <w:rFonts w:asciiTheme="minorHAnsi" w:eastAsiaTheme="minorEastAsia" w:hAnsiTheme="minorHAnsi" w:cstheme="minorBidi"/>
            <w:caps w:val="0"/>
            <w:sz w:val="21"/>
            <w:szCs w:val="22"/>
          </w:rPr>
          <w:tab/>
        </w:r>
        <w:r w:rsidRPr="00B65184">
          <w:rPr>
            <w:rStyle w:val="Hyperlink"/>
            <w:rFonts w:asciiTheme="minorEastAsia" w:hAnsiTheme="minorEastAsia" w:hint="eastAsia"/>
            <w:b/>
          </w:rPr>
          <w:t>基金的信息披露</w:t>
        </w:r>
        <w:r>
          <w:rPr>
            <w:webHidden/>
          </w:rPr>
          <w:tab/>
        </w:r>
        <w:r>
          <w:rPr>
            <w:webHidden/>
          </w:rPr>
          <w:fldChar w:fldCharType="begin"/>
        </w:r>
        <w:r>
          <w:rPr>
            <w:webHidden/>
          </w:rPr>
          <w:instrText xml:space="preserve"> PAGEREF _Toc123296486 \h </w:instrText>
        </w:r>
        <w:r>
          <w:rPr>
            <w:webHidden/>
          </w:rPr>
          <w:fldChar w:fldCharType="separate"/>
        </w:r>
        <w:r>
          <w:rPr>
            <w:webHidden/>
          </w:rPr>
          <w:t>67</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87" w:history="1">
        <w:r w:rsidRPr="00B65184">
          <w:rPr>
            <w:rStyle w:val="Hyperlink"/>
            <w:rFonts w:asciiTheme="minorEastAsia" w:hAnsiTheme="minorEastAsia" w:hint="eastAsia"/>
          </w:rPr>
          <w:t>（一）招募说明书</w:t>
        </w:r>
        <w:r>
          <w:rPr>
            <w:webHidden/>
          </w:rPr>
          <w:tab/>
        </w:r>
        <w:r>
          <w:rPr>
            <w:webHidden/>
          </w:rPr>
          <w:fldChar w:fldCharType="begin"/>
        </w:r>
        <w:r>
          <w:rPr>
            <w:webHidden/>
          </w:rPr>
          <w:instrText xml:space="preserve"> PAGEREF _Toc123296487 \h </w:instrText>
        </w:r>
        <w:r>
          <w:rPr>
            <w:webHidden/>
          </w:rPr>
          <w:fldChar w:fldCharType="separate"/>
        </w:r>
        <w:r>
          <w:rPr>
            <w:webHidden/>
          </w:rPr>
          <w:t>67</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88" w:history="1">
        <w:r w:rsidRPr="00B65184">
          <w:rPr>
            <w:rStyle w:val="Hyperlink"/>
            <w:rFonts w:asciiTheme="minorEastAsia" w:hAnsiTheme="minorEastAsia" w:hint="eastAsia"/>
          </w:rPr>
          <w:t>（二）基金合同、托管协议</w:t>
        </w:r>
        <w:r>
          <w:rPr>
            <w:webHidden/>
          </w:rPr>
          <w:tab/>
        </w:r>
        <w:r>
          <w:rPr>
            <w:webHidden/>
          </w:rPr>
          <w:fldChar w:fldCharType="begin"/>
        </w:r>
        <w:r>
          <w:rPr>
            <w:webHidden/>
          </w:rPr>
          <w:instrText xml:space="preserve"> PAGEREF _Toc123296488 \h </w:instrText>
        </w:r>
        <w:r>
          <w:rPr>
            <w:webHidden/>
          </w:rPr>
          <w:fldChar w:fldCharType="separate"/>
        </w:r>
        <w:r>
          <w:rPr>
            <w:webHidden/>
          </w:rPr>
          <w:t>67</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89" w:history="1">
        <w:r w:rsidRPr="00B65184">
          <w:rPr>
            <w:rStyle w:val="Hyperlink"/>
            <w:rFonts w:asciiTheme="minorEastAsia" w:hAnsiTheme="minorEastAsia" w:hint="eastAsia"/>
          </w:rPr>
          <w:t>（三）基金产品资料概要</w:t>
        </w:r>
        <w:r>
          <w:rPr>
            <w:webHidden/>
          </w:rPr>
          <w:tab/>
        </w:r>
        <w:r>
          <w:rPr>
            <w:webHidden/>
          </w:rPr>
          <w:fldChar w:fldCharType="begin"/>
        </w:r>
        <w:r>
          <w:rPr>
            <w:webHidden/>
          </w:rPr>
          <w:instrText xml:space="preserve"> PAGEREF _Toc123296489 \h </w:instrText>
        </w:r>
        <w:r>
          <w:rPr>
            <w:webHidden/>
          </w:rPr>
          <w:fldChar w:fldCharType="separate"/>
        </w:r>
        <w:r>
          <w:rPr>
            <w:webHidden/>
          </w:rPr>
          <w:t>68</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90" w:history="1">
        <w:r w:rsidRPr="00B65184">
          <w:rPr>
            <w:rStyle w:val="Hyperlink"/>
            <w:rFonts w:asciiTheme="minorEastAsia" w:hAnsiTheme="minorEastAsia" w:hint="eastAsia"/>
          </w:rPr>
          <w:t>（四）基金份额发售公告</w:t>
        </w:r>
        <w:r>
          <w:rPr>
            <w:webHidden/>
          </w:rPr>
          <w:tab/>
        </w:r>
        <w:r>
          <w:rPr>
            <w:webHidden/>
          </w:rPr>
          <w:fldChar w:fldCharType="begin"/>
        </w:r>
        <w:r>
          <w:rPr>
            <w:webHidden/>
          </w:rPr>
          <w:instrText xml:space="preserve"> PAGEREF _Toc123296490 \h </w:instrText>
        </w:r>
        <w:r>
          <w:rPr>
            <w:webHidden/>
          </w:rPr>
          <w:fldChar w:fldCharType="separate"/>
        </w:r>
        <w:r>
          <w:rPr>
            <w:webHidden/>
          </w:rPr>
          <w:t>68</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91" w:history="1">
        <w:r w:rsidRPr="00B65184">
          <w:rPr>
            <w:rStyle w:val="Hyperlink"/>
            <w:rFonts w:asciiTheme="minorEastAsia" w:hAnsiTheme="minorEastAsia" w:hint="eastAsia"/>
          </w:rPr>
          <w:t>（五）基金合同生效公告</w:t>
        </w:r>
        <w:r>
          <w:rPr>
            <w:webHidden/>
          </w:rPr>
          <w:tab/>
        </w:r>
        <w:r>
          <w:rPr>
            <w:webHidden/>
          </w:rPr>
          <w:fldChar w:fldCharType="begin"/>
        </w:r>
        <w:r>
          <w:rPr>
            <w:webHidden/>
          </w:rPr>
          <w:instrText xml:space="preserve"> PAGEREF _Toc123296491 \h </w:instrText>
        </w:r>
        <w:r>
          <w:rPr>
            <w:webHidden/>
          </w:rPr>
          <w:fldChar w:fldCharType="separate"/>
        </w:r>
        <w:r>
          <w:rPr>
            <w:webHidden/>
          </w:rPr>
          <w:t>68</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92" w:history="1">
        <w:r w:rsidRPr="00B65184">
          <w:rPr>
            <w:rStyle w:val="Hyperlink"/>
            <w:rFonts w:asciiTheme="minorEastAsia" w:hAnsiTheme="minorEastAsia" w:hint="eastAsia"/>
          </w:rPr>
          <w:t>（六）基金净值信息</w:t>
        </w:r>
        <w:r>
          <w:rPr>
            <w:webHidden/>
          </w:rPr>
          <w:tab/>
        </w:r>
        <w:r>
          <w:rPr>
            <w:webHidden/>
          </w:rPr>
          <w:fldChar w:fldCharType="begin"/>
        </w:r>
        <w:r>
          <w:rPr>
            <w:webHidden/>
          </w:rPr>
          <w:instrText xml:space="preserve"> PAGEREF _Toc123296492 \h </w:instrText>
        </w:r>
        <w:r>
          <w:rPr>
            <w:webHidden/>
          </w:rPr>
          <w:fldChar w:fldCharType="separate"/>
        </w:r>
        <w:r>
          <w:rPr>
            <w:webHidden/>
          </w:rPr>
          <w:t>68</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93" w:history="1">
        <w:r w:rsidRPr="00B65184">
          <w:rPr>
            <w:rStyle w:val="Hyperlink"/>
            <w:rFonts w:asciiTheme="minorEastAsia" w:hAnsiTheme="minorEastAsia" w:hint="eastAsia"/>
          </w:rPr>
          <w:t>（七）基金份额申购、赎回价格公告</w:t>
        </w:r>
        <w:r>
          <w:rPr>
            <w:webHidden/>
          </w:rPr>
          <w:tab/>
        </w:r>
        <w:r>
          <w:rPr>
            <w:webHidden/>
          </w:rPr>
          <w:fldChar w:fldCharType="begin"/>
        </w:r>
        <w:r>
          <w:rPr>
            <w:webHidden/>
          </w:rPr>
          <w:instrText xml:space="preserve"> PAGEREF _Toc123296493 \h </w:instrText>
        </w:r>
        <w:r>
          <w:rPr>
            <w:webHidden/>
          </w:rPr>
          <w:fldChar w:fldCharType="separate"/>
        </w:r>
        <w:r>
          <w:rPr>
            <w:webHidden/>
          </w:rPr>
          <w:t>68</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94" w:history="1">
        <w:r w:rsidRPr="00B65184">
          <w:rPr>
            <w:rStyle w:val="Hyperlink"/>
            <w:rFonts w:asciiTheme="minorEastAsia" w:hAnsiTheme="minorEastAsia" w:hint="eastAsia"/>
          </w:rPr>
          <w:t>（八）基金年度报告、基金中期报告、基金季度报告</w:t>
        </w:r>
        <w:r>
          <w:rPr>
            <w:webHidden/>
          </w:rPr>
          <w:tab/>
        </w:r>
        <w:r>
          <w:rPr>
            <w:webHidden/>
          </w:rPr>
          <w:fldChar w:fldCharType="begin"/>
        </w:r>
        <w:r>
          <w:rPr>
            <w:webHidden/>
          </w:rPr>
          <w:instrText xml:space="preserve"> PAGEREF _Toc123296494 \h </w:instrText>
        </w:r>
        <w:r>
          <w:rPr>
            <w:webHidden/>
          </w:rPr>
          <w:fldChar w:fldCharType="separate"/>
        </w:r>
        <w:r>
          <w:rPr>
            <w:webHidden/>
          </w:rPr>
          <w:t>68</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95" w:history="1">
        <w:r w:rsidRPr="00B65184">
          <w:rPr>
            <w:rStyle w:val="Hyperlink"/>
            <w:rFonts w:asciiTheme="minorEastAsia" w:hAnsiTheme="minorEastAsia" w:hint="eastAsia"/>
          </w:rPr>
          <w:t>（九）临时报告</w:t>
        </w:r>
        <w:r>
          <w:rPr>
            <w:webHidden/>
          </w:rPr>
          <w:tab/>
        </w:r>
        <w:r>
          <w:rPr>
            <w:webHidden/>
          </w:rPr>
          <w:fldChar w:fldCharType="begin"/>
        </w:r>
        <w:r>
          <w:rPr>
            <w:webHidden/>
          </w:rPr>
          <w:instrText xml:space="preserve"> PAGEREF _Toc123296495 \h </w:instrText>
        </w:r>
        <w:r>
          <w:rPr>
            <w:webHidden/>
          </w:rPr>
          <w:fldChar w:fldCharType="separate"/>
        </w:r>
        <w:r>
          <w:rPr>
            <w:webHidden/>
          </w:rPr>
          <w:t>69</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96" w:history="1">
        <w:r w:rsidRPr="00B65184">
          <w:rPr>
            <w:rStyle w:val="Hyperlink"/>
            <w:rFonts w:asciiTheme="minorEastAsia" w:hAnsiTheme="minorEastAsia" w:hint="eastAsia"/>
          </w:rPr>
          <w:t>（十）澄清公告</w:t>
        </w:r>
        <w:r>
          <w:rPr>
            <w:webHidden/>
          </w:rPr>
          <w:tab/>
        </w:r>
        <w:r>
          <w:rPr>
            <w:webHidden/>
          </w:rPr>
          <w:fldChar w:fldCharType="begin"/>
        </w:r>
        <w:r>
          <w:rPr>
            <w:webHidden/>
          </w:rPr>
          <w:instrText xml:space="preserve"> PAGEREF _Toc123296496 \h </w:instrText>
        </w:r>
        <w:r>
          <w:rPr>
            <w:webHidden/>
          </w:rPr>
          <w:fldChar w:fldCharType="separate"/>
        </w:r>
        <w:r>
          <w:rPr>
            <w:webHidden/>
          </w:rPr>
          <w:t>70</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97" w:history="1">
        <w:r w:rsidRPr="00B65184">
          <w:rPr>
            <w:rStyle w:val="Hyperlink"/>
            <w:rFonts w:asciiTheme="minorEastAsia" w:hAnsiTheme="minorEastAsia" w:hint="eastAsia"/>
          </w:rPr>
          <w:t>（十一）清算报告</w:t>
        </w:r>
        <w:r>
          <w:rPr>
            <w:webHidden/>
          </w:rPr>
          <w:tab/>
        </w:r>
        <w:r>
          <w:rPr>
            <w:webHidden/>
          </w:rPr>
          <w:fldChar w:fldCharType="begin"/>
        </w:r>
        <w:r>
          <w:rPr>
            <w:webHidden/>
          </w:rPr>
          <w:instrText xml:space="preserve"> PAGEREF _Toc123296497 \h </w:instrText>
        </w:r>
        <w:r>
          <w:rPr>
            <w:webHidden/>
          </w:rPr>
          <w:fldChar w:fldCharType="separate"/>
        </w:r>
        <w:r>
          <w:rPr>
            <w:webHidden/>
          </w:rPr>
          <w:t>70</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98" w:history="1">
        <w:r w:rsidRPr="00B65184">
          <w:rPr>
            <w:rStyle w:val="Hyperlink"/>
            <w:rFonts w:asciiTheme="minorEastAsia" w:hAnsiTheme="minorEastAsia" w:hint="eastAsia"/>
          </w:rPr>
          <w:t>（十二）基金份额持有人大会决议</w:t>
        </w:r>
        <w:r>
          <w:rPr>
            <w:webHidden/>
          </w:rPr>
          <w:tab/>
        </w:r>
        <w:r>
          <w:rPr>
            <w:webHidden/>
          </w:rPr>
          <w:fldChar w:fldCharType="begin"/>
        </w:r>
        <w:r>
          <w:rPr>
            <w:webHidden/>
          </w:rPr>
          <w:instrText xml:space="preserve"> PAGEREF _Toc123296498 \h </w:instrText>
        </w:r>
        <w:r>
          <w:rPr>
            <w:webHidden/>
          </w:rPr>
          <w:fldChar w:fldCharType="separate"/>
        </w:r>
        <w:r>
          <w:rPr>
            <w:webHidden/>
          </w:rPr>
          <w:t>70</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499" w:history="1">
        <w:r w:rsidRPr="00B65184">
          <w:rPr>
            <w:rStyle w:val="Hyperlink"/>
            <w:rFonts w:asciiTheme="minorEastAsia" w:hAnsiTheme="minorEastAsia" w:hint="eastAsia"/>
          </w:rPr>
          <w:t>（十二）实施侧袋机制期间的信息披露</w:t>
        </w:r>
        <w:r>
          <w:rPr>
            <w:webHidden/>
          </w:rPr>
          <w:tab/>
        </w:r>
        <w:r>
          <w:rPr>
            <w:webHidden/>
          </w:rPr>
          <w:fldChar w:fldCharType="begin"/>
        </w:r>
        <w:r>
          <w:rPr>
            <w:webHidden/>
          </w:rPr>
          <w:instrText xml:space="preserve"> PAGEREF _Toc123296499 \h </w:instrText>
        </w:r>
        <w:r>
          <w:rPr>
            <w:webHidden/>
          </w:rPr>
          <w:fldChar w:fldCharType="separate"/>
        </w:r>
        <w:r>
          <w:rPr>
            <w:webHidden/>
          </w:rPr>
          <w:t>70</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500" w:history="1">
        <w:r w:rsidRPr="00B65184">
          <w:rPr>
            <w:rStyle w:val="Hyperlink"/>
            <w:rFonts w:asciiTheme="minorEastAsia" w:hAnsiTheme="minorEastAsia" w:hint="eastAsia"/>
          </w:rPr>
          <w:t>（十三）中国证监会规定的其他信息</w:t>
        </w:r>
        <w:r>
          <w:rPr>
            <w:webHidden/>
          </w:rPr>
          <w:tab/>
        </w:r>
        <w:r>
          <w:rPr>
            <w:webHidden/>
          </w:rPr>
          <w:fldChar w:fldCharType="begin"/>
        </w:r>
        <w:r>
          <w:rPr>
            <w:webHidden/>
          </w:rPr>
          <w:instrText xml:space="preserve"> PAGEREF _Toc123296500 \h </w:instrText>
        </w:r>
        <w:r>
          <w:rPr>
            <w:webHidden/>
          </w:rPr>
          <w:fldChar w:fldCharType="separate"/>
        </w:r>
        <w:r>
          <w:rPr>
            <w:webHidden/>
          </w:rPr>
          <w:t>70</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501" w:history="1">
        <w:r w:rsidRPr="00B65184">
          <w:rPr>
            <w:rStyle w:val="Hyperlink"/>
            <w:rFonts w:asciiTheme="minorEastAsia" w:hAnsiTheme="minorEastAsia" w:hint="eastAsia"/>
          </w:rPr>
          <w:t>（十四）信息披露文件的存放与查阅</w:t>
        </w:r>
        <w:r>
          <w:rPr>
            <w:webHidden/>
          </w:rPr>
          <w:tab/>
        </w:r>
        <w:r>
          <w:rPr>
            <w:webHidden/>
          </w:rPr>
          <w:fldChar w:fldCharType="begin"/>
        </w:r>
        <w:r>
          <w:rPr>
            <w:webHidden/>
          </w:rPr>
          <w:instrText xml:space="preserve"> PAGEREF _Toc123296501 \h </w:instrText>
        </w:r>
        <w:r>
          <w:rPr>
            <w:webHidden/>
          </w:rPr>
          <w:fldChar w:fldCharType="separate"/>
        </w:r>
        <w:r>
          <w:rPr>
            <w:webHidden/>
          </w:rPr>
          <w:t>70</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502" w:history="1">
        <w:r w:rsidRPr="00B65184">
          <w:rPr>
            <w:rStyle w:val="Hyperlink"/>
            <w:rFonts w:asciiTheme="minorEastAsia" w:hAnsiTheme="minorEastAsia" w:hint="eastAsia"/>
          </w:rPr>
          <w:t>（十五）信息披露事务管理</w:t>
        </w:r>
        <w:r>
          <w:rPr>
            <w:webHidden/>
          </w:rPr>
          <w:tab/>
        </w:r>
        <w:r>
          <w:rPr>
            <w:webHidden/>
          </w:rPr>
          <w:fldChar w:fldCharType="begin"/>
        </w:r>
        <w:r>
          <w:rPr>
            <w:webHidden/>
          </w:rPr>
          <w:instrText xml:space="preserve"> PAGEREF _Toc123296502 \h </w:instrText>
        </w:r>
        <w:r>
          <w:rPr>
            <w:webHidden/>
          </w:rPr>
          <w:fldChar w:fldCharType="separate"/>
        </w:r>
        <w:r>
          <w:rPr>
            <w:webHidden/>
          </w:rPr>
          <w:t>70</w:t>
        </w:r>
        <w:r>
          <w:rPr>
            <w:webHidden/>
          </w:rPr>
          <w:fldChar w:fldCharType="end"/>
        </w:r>
      </w:hyperlink>
    </w:p>
    <w:p w:rsidR="00530605">
      <w:pPr>
        <w:pStyle w:val="TOC1"/>
        <w:rPr>
          <w:rFonts w:asciiTheme="minorHAnsi" w:eastAsiaTheme="minorEastAsia" w:hAnsiTheme="minorHAnsi" w:cstheme="minorBidi"/>
          <w:caps w:val="0"/>
          <w:sz w:val="21"/>
          <w:szCs w:val="22"/>
        </w:rPr>
      </w:pPr>
      <w:hyperlink w:anchor="_Toc123296503" w:history="1">
        <w:r w:rsidRPr="00B65184">
          <w:rPr>
            <w:rStyle w:val="Hyperlink"/>
            <w:rFonts w:asciiTheme="minorEastAsia" w:hAnsiTheme="minorEastAsia" w:hint="eastAsia"/>
            <w:b/>
          </w:rPr>
          <w:t>二十、</w:t>
        </w:r>
        <w:r>
          <w:rPr>
            <w:rFonts w:asciiTheme="minorHAnsi" w:eastAsiaTheme="minorEastAsia" w:hAnsiTheme="minorHAnsi" w:cstheme="minorBidi"/>
            <w:caps w:val="0"/>
            <w:sz w:val="21"/>
            <w:szCs w:val="22"/>
          </w:rPr>
          <w:tab/>
        </w:r>
        <w:r w:rsidRPr="00B65184">
          <w:rPr>
            <w:rStyle w:val="Hyperlink"/>
            <w:rFonts w:asciiTheme="minorEastAsia" w:hAnsiTheme="minorEastAsia" w:hint="eastAsia"/>
            <w:b/>
          </w:rPr>
          <w:t>侧袋机制</w:t>
        </w:r>
        <w:r>
          <w:rPr>
            <w:webHidden/>
          </w:rPr>
          <w:tab/>
        </w:r>
        <w:r>
          <w:rPr>
            <w:webHidden/>
          </w:rPr>
          <w:fldChar w:fldCharType="begin"/>
        </w:r>
        <w:r>
          <w:rPr>
            <w:webHidden/>
          </w:rPr>
          <w:instrText xml:space="preserve"> PAGEREF _Toc123296503 \h </w:instrText>
        </w:r>
        <w:r>
          <w:rPr>
            <w:webHidden/>
          </w:rPr>
          <w:fldChar w:fldCharType="separate"/>
        </w:r>
        <w:r>
          <w:rPr>
            <w:webHidden/>
          </w:rPr>
          <w:t>72</w:t>
        </w:r>
        <w:r>
          <w:rPr>
            <w:webHidden/>
          </w:rPr>
          <w:fldChar w:fldCharType="end"/>
        </w:r>
      </w:hyperlink>
    </w:p>
    <w:p w:rsidR="00530605">
      <w:pPr>
        <w:pStyle w:val="TOC1"/>
        <w:tabs>
          <w:tab w:val="left" w:pos="1260"/>
        </w:tabs>
        <w:rPr>
          <w:rFonts w:asciiTheme="minorHAnsi" w:eastAsiaTheme="minorEastAsia" w:hAnsiTheme="minorHAnsi" w:cstheme="minorBidi"/>
          <w:caps w:val="0"/>
          <w:sz w:val="21"/>
          <w:szCs w:val="22"/>
        </w:rPr>
      </w:pPr>
      <w:hyperlink w:anchor="_Toc123296504" w:history="1">
        <w:r w:rsidRPr="00B65184">
          <w:rPr>
            <w:rStyle w:val="Hyperlink"/>
            <w:rFonts w:asciiTheme="minorEastAsia" w:hAnsiTheme="minorEastAsia" w:hint="eastAsia"/>
            <w:b/>
          </w:rPr>
          <w:t>二十一、</w:t>
        </w:r>
        <w:r>
          <w:rPr>
            <w:rFonts w:asciiTheme="minorHAnsi" w:eastAsiaTheme="minorEastAsia" w:hAnsiTheme="minorHAnsi" w:cstheme="minorBidi"/>
            <w:caps w:val="0"/>
            <w:sz w:val="21"/>
            <w:szCs w:val="22"/>
          </w:rPr>
          <w:tab/>
        </w:r>
        <w:r w:rsidRPr="00B65184">
          <w:rPr>
            <w:rStyle w:val="Hyperlink"/>
            <w:rFonts w:asciiTheme="minorEastAsia" w:hAnsiTheme="minorEastAsia" w:hint="eastAsia"/>
            <w:b/>
          </w:rPr>
          <w:t>风险揭示</w:t>
        </w:r>
        <w:r>
          <w:rPr>
            <w:webHidden/>
          </w:rPr>
          <w:tab/>
        </w:r>
        <w:r>
          <w:rPr>
            <w:webHidden/>
          </w:rPr>
          <w:fldChar w:fldCharType="begin"/>
        </w:r>
        <w:r>
          <w:rPr>
            <w:webHidden/>
          </w:rPr>
          <w:instrText xml:space="preserve"> PAGEREF _Toc123296504 \h </w:instrText>
        </w:r>
        <w:r>
          <w:rPr>
            <w:webHidden/>
          </w:rPr>
          <w:fldChar w:fldCharType="separate"/>
        </w:r>
        <w:r>
          <w:rPr>
            <w:webHidden/>
          </w:rPr>
          <w:t>74</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505" w:history="1">
        <w:r w:rsidRPr="00B65184">
          <w:rPr>
            <w:rStyle w:val="Hyperlink"/>
            <w:rFonts w:asciiTheme="minorEastAsia" w:hAnsiTheme="minorEastAsia" w:hint="eastAsia"/>
          </w:rPr>
          <w:t>（一）市场风险</w:t>
        </w:r>
        <w:r>
          <w:rPr>
            <w:webHidden/>
          </w:rPr>
          <w:tab/>
        </w:r>
        <w:r>
          <w:rPr>
            <w:webHidden/>
          </w:rPr>
          <w:fldChar w:fldCharType="begin"/>
        </w:r>
        <w:r>
          <w:rPr>
            <w:webHidden/>
          </w:rPr>
          <w:instrText xml:space="preserve"> PAGEREF _Toc123296505 \h </w:instrText>
        </w:r>
        <w:r>
          <w:rPr>
            <w:webHidden/>
          </w:rPr>
          <w:fldChar w:fldCharType="separate"/>
        </w:r>
        <w:r>
          <w:rPr>
            <w:webHidden/>
          </w:rPr>
          <w:t>74</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506" w:history="1">
        <w:r w:rsidRPr="00B65184">
          <w:rPr>
            <w:rStyle w:val="Hyperlink"/>
            <w:rFonts w:asciiTheme="minorEastAsia" w:hAnsiTheme="minorEastAsia" w:hint="eastAsia"/>
          </w:rPr>
          <w:t>（二）管理风险</w:t>
        </w:r>
        <w:r>
          <w:rPr>
            <w:webHidden/>
          </w:rPr>
          <w:tab/>
        </w:r>
        <w:r>
          <w:rPr>
            <w:webHidden/>
          </w:rPr>
          <w:fldChar w:fldCharType="begin"/>
        </w:r>
        <w:r>
          <w:rPr>
            <w:webHidden/>
          </w:rPr>
          <w:instrText xml:space="preserve"> PAGEREF _Toc123296506 \h </w:instrText>
        </w:r>
        <w:r>
          <w:rPr>
            <w:webHidden/>
          </w:rPr>
          <w:fldChar w:fldCharType="separate"/>
        </w:r>
        <w:r>
          <w:rPr>
            <w:webHidden/>
          </w:rPr>
          <w:t>75</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507" w:history="1">
        <w:r w:rsidRPr="00B65184">
          <w:rPr>
            <w:rStyle w:val="Hyperlink"/>
            <w:rFonts w:asciiTheme="minorEastAsia" w:hAnsiTheme="minorEastAsia" w:hint="eastAsia"/>
          </w:rPr>
          <w:t>（三）流动性风险</w:t>
        </w:r>
        <w:r>
          <w:rPr>
            <w:webHidden/>
          </w:rPr>
          <w:tab/>
        </w:r>
        <w:r>
          <w:rPr>
            <w:webHidden/>
          </w:rPr>
          <w:fldChar w:fldCharType="begin"/>
        </w:r>
        <w:r>
          <w:rPr>
            <w:webHidden/>
          </w:rPr>
          <w:instrText xml:space="preserve"> PAGEREF _Toc123296507 \h </w:instrText>
        </w:r>
        <w:r>
          <w:rPr>
            <w:webHidden/>
          </w:rPr>
          <w:fldChar w:fldCharType="separate"/>
        </w:r>
        <w:r>
          <w:rPr>
            <w:webHidden/>
          </w:rPr>
          <w:t>75</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508" w:history="1">
        <w:r w:rsidRPr="00B65184">
          <w:rPr>
            <w:rStyle w:val="Hyperlink"/>
            <w:rFonts w:asciiTheme="minorEastAsia" w:hAnsiTheme="minorEastAsia" w:hint="eastAsia"/>
          </w:rPr>
          <w:t>（四）本基金法律文件中涉及基金风险特征的表述与销售机构对基金的风险评级可能不一致的风险</w:t>
        </w:r>
        <w:r>
          <w:rPr>
            <w:webHidden/>
          </w:rPr>
          <w:tab/>
        </w:r>
        <w:r>
          <w:rPr>
            <w:webHidden/>
          </w:rPr>
          <w:fldChar w:fldCharType="begin"/>
        </w:r>
        <w:r>
          <w:rPr>
            <w:webHidden/>
          </w:rPr>
          <w:instrText xml:space="preserve"> PAGEREF _Toc123296508 \h </w:instrText>
        </w:r>
        <w:r>
          <w:rPr>
            <w:webHidden/>
          </w:rPr>
          <w:fldChar w:fldCharType="separate"/>
        </w:r>
        <w:r>
          <w:rPr>
            <w:webHidden/>
          </w:rPr>
          <w:t>76</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509" w:history="1">
        <w:r w:rsidRPr="00B65184">
          <w:rPr>
            <w:rStyle w:val="Hyperlink"/>
            <w:rFonts w:asciiTheme="minorEastAsia" w:hAnsiTheme="minorEastAsia" w:hint="eastAsia"/>
          </w:rPr>
          <w:t>（五）</w:t>
        </w:r>
        <w:r w:rsidRPr="00B65184">
          <w:rPr>
            <w:rStyle w:val="Hyperlink"/>
            <w:rFonts w:asciiTheme="minorEastAsia" w:hAnsiTheme="minorEastAsia" w:hint="eastAsia"/>
            <w:kern w:val="0"/>
          </w:rPr>
          <w:t>本基金的特有风险</w:t>
        </w:r>
        <w:r>
          <w:rPr>
            <w:webHidden/>
          </w:rPr>
          <w:tab/>
        </w:r>
        <w:r>
          <w:rPr>
            <w:webHidden/>
          </w:rPr>
          <w:fldChar w:fldCharType="begin"/>
        </w:r>
        <w:r>
          <w:rPr>
            <w:webHidden/>
          </w:rPr>
          <w:instrText xml:space="preserve"> PAGEREF _Toc123296509 \h </w:instrText>
        </w:r>
        <w:r>
          <w:rPr>
            <w:webHidden/>
          </w:rPr>
          <w:fldChar w:fldCharType="separate"/>
        </w:r>
        <w:r>
          <w:rPr>
            <w:webHidden/>
          </w:rPr>
          <w:t>77</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510" w:history="1">
        <w:r w:rsidRPr="00B65184">
          <w:rPr>
            <w:rStyle w:val="Hyperlink"/>
            <w:rFonts w:asciiTheme="minorEastAsia" w:hAnsiTheme="minorEastAsia" w:hint="eastAsia"/>
          </w:rPr>
          <w:t>（六）其他风险</w:t>
        </w:r>
        <w:r>
          <w:rPr>
            <w:webHidden/>
          </w:rPr>
          <w:tab/>
        </w:r>
        <w:r>
          <w:rPr>
            <w:webHidden/>
          </w:rPr>
          <w:fldChar w:fldCharType="begin"/>
        </w:r>
        <w:r>
          <w:rPr>
            <w:webHidden/>
          </w:rPr>
          <w:instrText xml:space="preserve"> PAGEREF _Toc123296510 \h </w:instrText>
        </w:r>
        <w:r>
          <w:rPr>
            <w:webHidden/>
          </w:rPr>
          <w:fldChar w:fldCharType="separate"/>
        </w:r>
        <w:r>
          <w:rPr>
            <w:webHidden/>
          </w:rPr>
          <w:t>77</w:t>
        </w:r>
        <w:r>
          <w:rPr>
            <w:webHidden/>
          </w:rPr>
          <w:fldChar w:fldCharType="end"/>
        </w:r>
      </w:hyperlink>
    </w:p>
    <w:p w:rsidR="00530605">
      <w:pPr>
        <w:pStyle w:val="TOC1"/>
        <w:tabs>
          <w:tab w:val="left" w:pos="1260"/>
        </w:tabs>
        <w:rPr>
          <w:rFonts w:asciiTheme="minorHAnsi" w:eastAsiaTheme="minorEastAsia" w:hAnsiTheme="minorHAnsi" w:cstheme="minorBidi"/>
          <w:caps w:val="0"/>
          <w:sz w:val="21"/>
          <w:szCs w:val="22"/>
        </w:rPr>
      </w:pPr>
      <w:hyperlink w:anchor="_Toc123296511" w:history="1">
        <w:r w:rsidRPr="00B65184">
          <w:rPr>
            <w:rStyle w:val="Hyperlink"/>
            <w:rFonts w:asciiTheme="minorEastAsia" w:hAnsiTheme="minorEastAsia" w:hint="eastAsia"/>
            <w:b/>
          </w:rPr>
          <w:t>二十二、</w:t>
        </w:r>
        <w:r>
          <w:rPr>
            <w:rFonts w:asciiTheme="minorHAnsi" w:eastAsiaTheme="minorEastAsia" w:hAnsiTheme="minorHAnsi" w:cstheme="minorBidi"/>
            <w:caps w:val="0"/>
            <w:sz w:val="21"/>
            <w:szCs w:val="22"/>
          </w:rPr>
          <w:tab/>
        </w:r>
        <w:r w:rsidRPr="00B65184">
          <w:rPr>
            <w:rStyle w:val="Hyperlink"/>
            <w:rFonts w:asciiTheme="minorEastAsia" w:hAnsiTheme="minorEastAsia" w:hint="eastAsia"/>
            <w:b/>
          </w:rPr>
          <w:t>基金合同的变更、终止与基金财产的清算</w:t>
        </w:r>
        <w:r>
          <w:rPr>
            <w:webHidden/>
          </w:rPr>
          <w:tab/>
        </w:r>
        <w:r>
          <w:rPr>
            <w:webHidden/>
          </w:rPr>
          <w:fldChar w:fldCharType="begin"/>
        </w:r>
        <w:r>
          <w:rPr>
            <w:webHidden/>
          </w:rPr>
          <w:instrText xml:space="preserve"> PAGEREF _Toc123296511 \h </w:instrText>
        </w:r>
        <w:r>
          <w:rPr>
            <w:webHidden/>
          </w:rPr>
          <w:fldChar w:fldCharType="separate"/>
        </w:r>
        <w:r>
          <w:rPr>
            <w:webHidden/>
          </w:rPr>
          <w:t>78</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512" w:history="1">
        <w:r w:rsidRPr="00B65184">
          <w:rPr>
            <w:rStyle w:val="Hyperlink"/>
            <w:rFonts w:asciiTheme="minorEastAsia" w:hAnsiTheme="minorEastAsia" w:hint="eastAsia"/>
          </w:rPr>
          <w:t>（一）基金合同的变更</w:t>
        </w:r>
        <w:r>
          <w:rPr>
            <w:webHidden/>
          </w:rPr>
          <w:tab/>
        </w:r>
        <w:r>
          <w:rPr>
            <w:webHidden/>
          </w:rPr>
          <w:fldChar w:fldCharType="begin"/>
        </w:r>
        <w:r>
          <w:rPr>
            <w:webHidden/>
          </w:rPr>
          <w:instrText xml:space="preserve"> PAGEREF _Toc123296512 \h </w:instrText>
        </w:r>
        <w:r>
          <w:rPr>
            <w:webHidden/>
          </w:rPr>
          <w:fldChar w:fldCharType="separate"/>
        </w:r>
        <w:r>
          <w:rPr>
            <w:webHidden/>
          </w:rPr>
          <w:t>78</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513" w:history="1">
        <w:r w:rsidRPr="00B65184">
          <w:rPr>
            <w:rStyle w:val="Hyperlink"/>
            <w:rFonts w:asciiTheme="minorEastAsia" w:hAnsiTheme="minorEastAsia" w:hint="eastAsia"/>
          </w:rPr>
          <w:t>（二）基金合同的终止</w:t>
        </w:r>
        <w:r>
          <w:rPr>
            <w:webHidden/>
          </w:rPr>
          <w:tab/>
        </w:r>
        <w:r>
          <w:rPr>
            <w:webHidden/>
          </w:rPr>
          <w:fldChar w:fldCharType="begin"/>
        </w:r>
        <w:r>
          <w:rPr>
            <w:webHidden/>
          </w:rPr>
          <w:instrText xml:space="preserve"> PAGEREF _Toc123296513 \h </w:instrText>
        </w:r>
        <w:r>
          <w:rPr>
            <w:webHidden/>
          </w:rPr>
          <w:fldChar w:fldCharType="separate"/>
        </w:r>
        <w:r>
          <w:rPr>
            <w:webHidden/>
          </w:rPr>
          <w:t>78</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514" w:history="1">
        <w:r w:rsidRPr="00B65184">
          <w:rPr>
            <w:rStyle w:val="Hyperlink"/>
            <w:rFonts w:asciiTheme="minorEastAsia" w:hAnsiTheme="minorEastAsia" w:hint="eastAsia"/>
          </w:rPr>
          <w:t>（三）基金财产的清算</w:t>
        </w:r>
        <w:r>
          <w:rPr>
            <w:webHidden/>
          </w:rPr>
          <w:tab/>
        </w:r>
        <w:r>
          <w:rPr>
            <w:webHidden/>
          </w:rPr>
          <w:fldChar w:fldCharType="begin"/>
        </w:r>
        <w:r>
          <w:rPr>
            <w:webHidden/>
          </w:rPr>
          <w:instrText xml:space="preserve"> PAGEREF _Toc123296514 \h </w:instrText>
        </w:r>
        <w:r>
          <w:rPr>
            <w:webHidden/>
          </w:rPr>
          <w:fldChar w:fldCharType="separate"/>
        </w:r>
        <w:r>
          <w:rPr>
            <w:webHidden/>
          </w:rPr>
          <w:t>79</w:t>
        </w:r>
        <w:r>
          <w:rPr>
            <w:webHidden/>
          </w:rPr>
          <w:fldChar w:fldCharType="end"/>
        </w:r>
      </w:hyperlink>
    </w:p>
    <w:p w:rsidR="00530605">
      <w:pPr>
        <w:pStyle w:val="TOC1"/>
        <w:tabs>
          <w:tab w:val="left" w:pos="1260"/>
        </w:tabs>
        <w:rPr>
          <w:rFonts w:asciiTheme="minorHAnsi" w:eastAsiaTheme="minorEastAsia" w:hAnsiTheme="minorHAnsi" w:cstheme="minorBidi"/>
          <w:caps w:val="0"/>
          <w:sz w:val="21"/>
          <w:szCs w:val="22"/>
        </w:rPr>
      </w:pPr>
      <w:hyperlink w:anchor="_Toc123296515" w:history="1">
        <w:r w:rsidRPr="00B65184">
          <w:rPr>
            <w:rStyle w:val="Hyperlink"/>
            <w:rFonts w:asciiTheme="minorEastAsia" w:hAnsiTheme="minorEastAsia" w:hint="eastAsia"/>
            <w:b/>
          </w:rPr>
          <w:t>二十三、</w:t>
        </w:r>
        <w:r>
          <w:rPr>
            <w:rFonts w:asciiTheme="minorHAnsi" w:eastAsiaTheme="minorEastAsia" w:hAnsiTheme="minorHAnsi" w:cstheme="minorBidi"/>
            <w:caps w:val="0"/>
            <w:sz w:val="21"/>
            <w:szCs w:val="22"/>
          </w:rPr>
          <w:tab/>
        </w:r>
        <w:r w:rsidRPr="00B65184">
          <w:rPr>
            <w:rStyle w:val="Hyperlink"/>
            <w:rFonts w:asciiTheme="minorEastAsia" w:hAnsiTheme="minorEastAsia" w:hint="eastAsia"/>
            <w:b/>
          </w:rPr>
          <w:t>基金合同内容摘要</w:t>
        </w:r>
        <w:r>
          <w:rPr>
            <w:webHidden/>
          </w:rPr>
          <w:tab/>
        </w:r>
        <w:r>
          <w:rPr>
            <w:webHidden/>
          </w:rPr>
          <w:fldChar w:fldCharType="begin"/>
        </w:r>
        <w:r>
          <w:rPr>
            <w:webHidden/>
          </w:rPr>
          <w:instrText xml:space="preserve"> PAGEREF _Toc123296515 \h </w:instrText>
        </w:r>
        <w:r>
          <w:rPr>
            <w:webHidden/>
          </w:rPr>
          <w:fldChar w:fldCharType="separate"/>
        </w:r>
        <w:r>
          <w:rPr>
            <w:webHidden/>
          </w:rPr>
          <w:t>81</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516" w:history="1">
        <w:r w:rsidRPr="00B65184">
          <w:rPr>
            <w:rStyle w:val="Hyperlink"/>
            <w:rFonts w:asciiTheme="minorEastAsia" w:hAnsiTheme="minorEastAsia" w:hint="eastAsia"/>
            <w:bCs/>
          </w:rPr>
          <w:t>（一）基金管理人的权利与义务</w:t>
        </w:r>
        <w:r>
          <w:rPr>
            <w:webHidden/>
          </w:rPr>
          <w:tab/>
        </w:r>
        <w:r>
          <w:rPr>
            <w:webHidden/>
          </w:rPr>
          <w:fldChar w:fldCharType="begin"/>
        </w:r>
        <w:r>
          <w:rPr>
            <w:webHidden/>
          </w:rPr>
          <w:instrText xml:space="preserve"> PAGEREF _Toc123296516 \h </w:instrText>
        </w:r>
        <w:r>
          <w:rPr>
            <w:webHidden/>
          </w:rPr>
          <w:fldChar w:fldCharType="separate"/>
        </w:r>
        <w:r>
          <w:rPr>
            <w:webHidden/>
          </w:rPr>
          <w:t>81</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517" w:history="1">
        <w:r w:rsidRPr="00B65184">
          <w:rPr>
            <w:rStyle w:val="Hyperlink"/>
            <w:rFonts w:asciiTheme="minorEastAsia" w:hAnsiTheme="minorEastAsia" w:hint="eastAsia"/>
            <w:bCs/>
          </w:rPr>
          <w:t>（二）基金托管人的权利与义务</w:t>
        </w:r>
        <w:r>
          <w:rPr>
            <w:webHidden/>
          </w:rPr>
          <w:tab/>
        </w:r>
        <w:r>
          <w:rPr>
            <w:webHidden/>
          </w:rPr>
          <w:fldChar w:fldCharType="begin"/>
        </w:r>
        <w:r>
          <w:rPr>
            <w:webHidden/>
          </w:rPr>
          <w:instrText xml:space="preserve"> PAGEREF _Toc123296517 \h </w:instrText>
        </w:r>
        <w:r>
          <w:rPr>
            <w:webHidden/>
          </w:rPr>
          <w:fldChar w:fldCharType="separate"/>
        </w:r>
        <w:r>
          <w:rPr>
            <w:webHidden/>
          </w:rPr>
          <w:t>82</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518" w:history="1">
        <w:r w:rsidRPr="00B65184">
          <w:rPr>
            <w:rStyle w:val="Hyperlink"/>
            <w:rFonts w:asciiTheme="minorEastAsia" w:hAnsiTheme="minorEastAsia" w:hint="eastAsia"/>
            <w:bCs/>
          </w:rPr>
          <w:t>（三）基金份额持有人的权利与义务</w:t>
        </w:r>
        <w:r>
          <w:rPr>
            <w:webHidden/>
          </w:rPr>
          <w:tab/>
        </w:r>
        <w:r>
          <w:rPr>
            <w:webHidden/>
          </w:rPr>
          <w:fldChar w:fldCharType="begin"/>
        </w:r>
        <w:r>
          <w:rPr>
            <w:webHidden/>
          </w:rPr>
          <w:instrText xml:space="preserve"> PAGEREF _Toc123296518 \h </w:instrText>
        </w:r>
        <w:r>
          <w:rPr>
            <w:webHidden/>
          </w:rPr>
          <w:fldChar w:fldCharType="separate"/>
        </w:r>
        <w:r>
          <w:rPr>
            <w:webHidden/>
          </w:rPr>
          <w:t>84</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519" w:history="1">
        <w:r w:rsidRPr="00B65184">
          <w:rPr>
            <w:rStyle w:val="Hyperlink"/>
            <w:rFonts w:asciiTheme="minorEastAsia" w:hAnsiTheme="minorEastAsia" w:hint="eastAsia"/>
            <w:bCs/>
          </w:rPr>
          <w:t>（四）基金份额持有人大会</w:t>
        </w:r>
        <w:r>
          <w:rPr>
            <w:webHidden/>
          </w:rPr>
          <w:tab/>
        </w:r>
        <w:r>
          <w:rPr>
            <w:webHidden/>
          </w:rPr>
          <w:fldChar w:fldCharType="begin"/>
        </w:r>
        <w:r>
          <w:rPr>
            <w:webHidden/>
          </w:rPr>
          <w:instrText xml:space="preserve"> PAGEREF _Toc123296519 \h </w:instrText>
        </w:r>
        <w:r>
          <w:rPr>
            <w:webHidden/>
          </w:rPr>
          <w:fldChar w:fldCharType="separate"/>
        </w:r>
        <w:r>
          <w:rPr>
            <w:webHidden/>
          </w:rPr>
          <w:t>85</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520" w:history="1">
        <w:r w:rsidRPr="00B65184">
          <w:rPr>
            <w:rStyle w:val="Hyperlink"/>
            <w:rFonts w:asciiTheme="minorEastAsia" w:hAnsiTheme="minorEastAsia" w:hint="eastAsia"/>
            <w:bCs/>
          </w:rPr>
          <w:t>（五）基金合同解除和终止的事由、程序</w:t>
        </w:r>
        <w:r>
          <w:rPr>
            <w:webHidden/>
          </w:rPr>
          <w:tab/>
        </w:r>
        <w:r>
          <w:rPr>
            <w:webHidden/>
          </w:rPr>
          <w:fldChar w:fldCharType="begin"/>
        </w:r>
        <w:r>
          <w:rPr>
            <w:webHidden/>
          </w:rPr>
          <w:instrText xml:space="preserve"> PAGEREF _Toc123296520 \h </w:instrText>
        </w:r>
        <w:r>
          <w:rPr>
            <w:webHidden/>
          </w:rPr>
          <w:fldChar w:fldCharType="separate"/>
        </w:r>
        <w:r>
          <w:rPr>
            <w:webHidden/>
          </w:rPr>
          <w:t>91</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521" w:history="1">
        <w:r w:rsidRPr="00B65184">
          <w:rPr>
            <w:rStyle w:val="Hyperlink"/>
            <w:rFonts w:asciiTheme="minorEastAsia" w:hAnsiTheme="minorEastAsia" w:hint="eastAsia"/>
            <w:bCs/>
          </w:rPr>
          <w:t>（六）争议解决方式</w:t>
        </w:r>
        <w:r>
          <w:rPr>
            <w:webHidden/>
          </w:rPr>
          <w:tab/>
        </w:r>
        <w:r>
          <w:rPr>
            <w:webHidden/>
          </w:rPr>
          <w:fldChar w:fldCharType="begin"/>
        </w:r>
        <w:r>
          <w:rPr>
            <w:webHidden/>
          </w:rPr>
          <w:instrText xml:space="preserve"> PAGEREF _Toc123296521 \h </w:instrText>
        </w:r>
        <w:r>
          <w:rPr>
            <w:webHidden/>
          </w:rPr>
          <w:fldChar w:fldCharType="separate"/>
        </w:r>
        <w:r>
          <w:rPr>
            <w:webHidden/>
          </w:rPr>
          <w:t>93</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522" w:history="1">
        <w:r w:rsidRPr="00B65184">
          <w:rPr>
            <w:rStyle w:val="Hyperlink"/>
            <w:rFonts w:asciiTheme="minorEastAsia" w:hAnsiTheme="minorEastAsia" w:hint="eastAsia"/>
          </w:rPr>
          <w:t>（七）基金合同存放地和投资者取得基金合同的方式</w:t>
        </w:r>
        <w:r>
          <w:rPr>
            <w:webHidden/>
          </w:rPr>
          <w:tab/>
        </w:r>
        <w:r>
          <w:rPr>
            <w:webHidden/>
          </w:rPr>
          <w:fldChar w:fldCharType="begin"/>
        </w:r>
        <w:r>
          <w:rPr>
            <w:webHidden/>
          </w:rPr>
          <w:instrText xml:space="preserve"> PAGEREF _Toc123296522 \h </w:instrText>
        </w:r>
        <w:r>
          <w:rPr>
            <w:webHidden/>
          </w:rPr>
          <w:fldChar w:fldCharType="separate"/>
        </w:r>
        <w:r>
          <w:rPr>
            <w:webHidden/>
          </w:rPr>
          <w:t>93</w:t>
        </w:r>
        <w:r>
          <w:rPr>
            <w:webHidden/>
          </w:rPr>
          <w:fldChar w:fldCharType="end"/>
        </w:r>
      </w:hyperlink>
    </w:p>
    <w:p w:rsidR="00530605">
      <w:pPr>
        <w:pStyle w:val="TOC1"/>
        <w:tabs>
          <w:tab w:val="left" w:pos="1260"/>
        </w:tabs>
        <w:rPr>
          <w:rFonts w:asciiTheme="minorHAnsi" w:eastAsiaTheme="minorEastAsia" w:hAnsiTheme="minorHAnsi" w:cstheme="minorBidi"/>
          <w:caps w:val="0"/>
          <w:sz w:val="21"/>
          <w:szCs w:val="22"/>
        </w:rPr>
      </w:pPr>
      <w:hyperlink w:anchor="_Toc123296523" w:history="1">
        <w:r w:rsidRPr="00B65184">
          <w:rPr>
            <w:rStyle w:val="Hyperlink"/>
            <w:rFonts w:asciiTheme="minorEastAsia" w:hAnsiTheme="minorEastAsia" w:hint="eastAsia"/>
            <w:b/>
          </w:rPr>
          <w:t>二十四、</w:t>
        </w:r>
        <w:r>
          <w:rPr>
            <w:rFonts w:asciiTheme="minorHAnsi" w:eastAsiaTheme="minorEastAsia" w:hAnsiTheme="minorHAnsi" w:cstheme="minorBidi"/>
            <w:caps w:val="0"/>
            <w:sz w:val="21"/>
            <w:szCs w:val="22"/>
          </w:rPr>
          <w:tab/>
        </w:r>
        <w:r w:rsidRPr="00B65184">
          <w:rPr>
            <w:rStyle w:val="Hyperlink"/>
            <w:rFonts w:asciiTheme="minorEastAsia" w:hAnsiTheme="minorEastAsia" w:hint="eastAsia"/>
            <w:b/>
          </w:rPr>
          <w:t>基金托管协议的内容摘要</w:t>
        </w:r>
        <w:r>
          <w:rPr>
            <w:webHidden/>
          </w:rPr>
          <w:tab/>
        </w:r>
        <w:r>
          <w:rPr>
            <w:webHidden/>
          </w:rPr>
          <w:fldChar w:fldCharType="begin"/>
        </w:r>
        <w:r>
          <w:rPr>
            <w:webHidden/>
          </w:rPr>
          <w:instrText xml:space="preserve"> PAGEREF _Toc123296523 \h </w:instrText>
        </w:r>
        <w:r>
          <w:rPr>
            <w:webHidden/>
          </w:rPr>
          <w:fldChar w:fldCharType="separate"/>
        </w:r>
        <w:r>
          <w:rPr>
            <w:webHidden/>
          </w:rPr>
          <w:t>94</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524" w:history="1">
        <w:r w:rsidRPr="00B65184">
          <w:rPr>
            <w:rStyle w:val="Hyperlink"/>
            <w:rFonts w:asciiTheme="minorEastAsia" w:hAnsiTheme="minorEastAsia" w:hint="eastAsia"/>
            <w:bCs/>
          </w:rPr>
          <w:t>（一）托管协议当事人</w:t>
        </w:r>
        <w:r>
          <w:rPr>
            <w:webHidden/>
          </w:rPr>
          <w:tab/>
        </w:r>
        <w:r>
          <w:rPr>
            <w:webHidden/>
          </w:rPr>
          <w:fldChar w:fldCharType="begin"/>
        </w:r>
        <w:r>
          <w:rPr>
            <w:webHidden/>
          </w:rPr>
          <w:instrText xml:space="preserve"> PAGEREF _Toc123296524 \h </w:instrText>
        </w:r>
        <w:r>
          <w:rPr>
            <w:webHidden/>
          </w:rPr>
          <w:fldChar w:fldCharType="separate"/>
        </w:r>
        <w:r>
          <w:rPr>
            <w:webHidden/>
          </w:rPr>
          <w:t>94</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525" w:history="1">
        <w:r w:rsidRPr="00B65184">
          <w:rPr>
            <w:rStyle w:val="Hyperlink"/>
            <w:rFonts w:asciiTheme="minorEastAsia" w:hAnsiTheme="minorEastAsia" w:hint="eastAsia"/>
            <w:bCs/>
          </w:rPr>
          <w:t>（二）基金托管人对基金管理人的业务监督和核查</w:t>
        </w:r>
        <w:r>
          <w:rPr>
            <w:webHidden/>
          </w:rPr>
          <w:tab/>
        </w:r>
        <w:r>
          <w:rPr>
            <w:webHidden/>
          </w:rPr>
          <w:fldChar w:fldCharType="begin"/>
        </w:r>
        <w:r>
          <w:rPr>
            <w:webHidden/>
          </w:rPr>
          <w:instrText xml:space="preserve"> PAGEREF _Toc123296525 \h </w:instrText>
        </w:r>
        <w:r>
          <w:rPr>
            <w:webHidden/>
          </w:rPr>
          <w:fldChar w:fldCharType="separate"/>
        </w:r>
        <w:r>
          <w:rPr>
            <w:webHidden/>
          </w:rPr>
          <w:t>94</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526" w:history="1">
        <w:r w:rsidRPr="00B65184">
          <w:rPr>
            <w:rStyle w:val="Hyperlink"/>
            <w:rFonts w:asciiTheme="minorEastAsia" w:hAnsiTheme="minorEastAsia" w:hint="eastAsia"/>
            <w:bCs/>
          </w:rPr>
          <w:t>（三）基金管理人对基金托管人的业务核查</w:t>
        </w:r>
        <w:r>
          <w:rPr>
            <w:webHidden/>
          </w:rPr>
          <w:tab/>
        </w:r>
        <w:r>
          <w:rPr>
            <w:webHidden/>
          </w:rPr>
          <w:fldChar w:fldCharType="begin"/>
        </w:r>
        <w:r>
          <w:rPr>
            <w:webHidden/>
          </w:rPr>
          <w:instrText xml:space="preserve"> PAGEREF _Toc123296526 \h </w:instrText>
        </w:r>
        <w:r>
          <w:rPr>
            <w:webHidden/>
          </w:rPr>
          <w:fldChar w:fldCharType="separate"/>
        </w:r>
        <w:r>
          <w:rPr>
            <w:webHidden/>
          </w:rPr>
          <w:t>98</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527" w:history="1">
        <w:r w:rsidRPr="00B65184">
          <w:rPr>
            <w:rStyle w:val="Hyperlink"/>
            <w:rFonts w:asciiTheme="minorEastAsia" w:hAnsiTheme="minorEastAsia" w:hint="eastAsia"/>
            <w:bCs/>
          </w:rPr>
          <w:t>（四）基金财产的保管</w:t>
        </w:r>
        <w:r>
          <w:rPr>
            <w:webHidden/>
          </w:rPr>
          <w:tab/>
        </w:r>
        <w:r>
          <w:rPr>
            <w:webHidden/>
          </w:rPr>
          <w:fldChar w:fldCharType="begin"/>
        </w:r>
        <w:r>
          <w:rPr>
            <w:webHidden/>
          </w:rPr>
          <w:instrText xml:space="preserve"> PAGEREF _Toc123296527 \h </w:instrText>
        </w:r>
        <w:r>
          <w:rPr>
            <w:webHidden/>
          </w:rPr>
          <w:fldChar w:fldCharType="separate"/>
        </w:r>
        <w:r>
          <w:rPr>
            <w:webHidden/>
          </w:rPr>
          <w:t>98</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528" w:history="1">
        <w:r w:rsidRPr="00B65184">
          <w:rPr>
            <w:rStyle w:val="Hyperlink"/>
            <w:rFonts w:asciiTheme="minorEastAsia" w:hAnsiTheme="minorEastAsia" w:hint="eastAsia"/>
            <w:bCs/>
          </w:rPr>
          <w:t>（五）基金资产净值计算与复核</w:t>
        </w:r>
        <w:r>
          <w:rPr>
            <w:webHidden/>
          </w:rPr>
          <w:tab/>
        </w:r>
        <w:r>
          <w:rPr>
            <w:webHidden/>
          </w:rPr>
          <w:fldChar w:fldCharType="begin"/>
        </w:r>
        <w:r>
          <w:rPr>
            <w:webHidden/>
          </w:rPr>
          <w:instrText xml:space="preserve"> PAGEREF _Toc123296528 \h </w:instrText>
        </w:r>
        <w:r>
          <w:rPr>
            <w:webHidden/>
          </w:rPr>
          <w:fldChar w:fldCharType="separate"/>
        </w:r>
        <w:r>
          <w:rPr>
            <w:webHidden/>
          </w:rPr>
          <w:t>100</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529" w:history="1">
        <w:r w:rsidRPr="00B65184">
          <w:rPr>
            <w:rStyle w:val="Hyperlink"/>
            <w:rFonts w:asciiTheme="minorEastAsia" w:hAnsiTheme="minorEastAsia" w:hint="eastAsia"/>
            <w:bCs/>
          </w:rPr>
          <w:t>（六）基金份额持有人名册的登记与保管</w:t>
        </w:r>
        <w:r>
          <w:rPr>
            <w:webHidden/>
          </w:rPr>
          <w:tab/>
        </w:r>
        <w:r>
          <w:rPr>
            <w:webHidden/>
          </w:rPr>
          <w:fldChar w:fldCharType="begin"/>
        </w:r>
        <w:r>
          <w:rPr>
            <w:webHidden/>
          </w:rPr>
          <w:instrText xml:space="preserve"> PAGEREF _Toc123296529 \h </w:instrText>
        </w:r>
        <w:r>
          <w:rPr>
            <w:webHidden/>
          </w:rPr>
          <w:fldChar w:fldCharType="separate"/>
        </w:r>
        <w:r>
          <w:rPr>
            <w:webHidden/>
          </w:rPr>
          <w:t>101</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530" w:history="1">
        <w:r w:rsidRPr="00B65184">
          <w:rPr>
            <w:rStyle w:val="Hyperlink"/>
            <w:rFonts w:asciiTheme="minorEastAsia" w:hAnsiTheme="minorEastAsia" w:hint="eastAsia"/>
            <w:bCs/>
          </w:rPr>
          <w:t>（七）争议解决方式</w:t>
        </w:r>
        <w:r>
          <w:rPr>
            <w:webHidden/>
          </w:rPr>
          <w:tab/>
        </w:r>
        <w:r>
          <w:rPr>
            <w:webHidden/>
          </w:rPr>
          <w:fldChar w:fldCharType="begin"/>
        </w:r>
        <w:r>
          <w:rPr>
            <w:webHidden/>
          </w:rPr>
          <w:instrText xml:space="preserve"> PAGEREF _Toc123296530 \h </w:instrText>
        </w:r>
        <w:r>
          <w:rPr>
            <w:webHidden/>
          </w:rPr>
          <w:fldChar w:fldCharType="separate"/>
        </w:r>
        <w:r>
          <w:rPr>
            <w:webHidden/>
          </w:rPr>
          <w:t>101</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531" w:history="1">
        <w:r w:rsidRPr="00B65184">
          <w:rPr>
            <w:rStyle w:val="Hyperlink"/>
            <w:rFonts w:asciiTheme="minorEastAsia" w:hAnsiTheme="minorEastAsia" w:hint="eastAsia"/>
            <w:bCs/>
          </w:rPr>
          <w:t>（八）托管协议的修改与终止</w:t>
        </w:r>
        <w:r>
          <w:rPr>
            <w:webHidden/>
          </w:rPr>
          <w:tab/>
        </w:r>
        <w:r>
          <w:rPr>
            <w:webHidden/>
          </w:rPr>
          <w:fldChar w:fldCharType="begin"/>
        </w:r>
        <w:r>
          <w:rPr>
            <w:webHidden/>
          </w:rPr>
          <w:instrText xml:space="preserve"> PAGEREF _Toc123296531 \h </w:instrText>
        </w:r>
        <w:r>
          <w:rPr>
            <w:webHidden/>
          </w:rPr>
          <w:fldChar w:fldCharType="separate"/>
        </w:r>
        <w:r>
          <w:rPr>
            <w:webHidden/>
          </w:rPr>
          <w:t>101</w:t>
        </w:r>
        <w:r>
          <w:rPr>
            <w:webHidden/>
          </w:rPr>
          <w:fldChar w:fldCharType="end"/>
        </w:r>
      </w:hyperlink>
    </w:p>
    <w:p w:rsidR="00530605">
      <w:pPr>
        <w:pStyle w:val="TOC1"/>
        <w:tabs>
          <w:tab w:val="left" w:pos="1260"/>
        </w:tabs>
        <w:rPr>
          <w:rFonts w:asciiTheme="minorHAnsi" w:eastAsiaTheme="minorEastAsia" w:hAnsiTheme="minorHAnsi" w:cstheme="minorBidi"/>
          <w:caps w:val="0"/>
          <w:sz w:val="21"/>
          <w:szCs w:val="22"/>
        </w:rPr>
      </w:pPr>
      <w:hyperlink w:anchor="_Toc123296532" w:history="1">
        <w:r w:rsidRPr="00B65184">
          <w:rPr>
            <w:rStyle w:val="Hyperlink"/>
            <w:rFonts w:asciiTheme="minorEastAsia" w:hAnsiTheme="minorEastAsia" w:hint="eastAsia"/>
            <w:b/>
          </w:rPr>
          <w:t>二十五、</w:t>
        </w:r>
        <w:r>
          <w:rPr>
            <w:rFonts w:asciiTheme="minorHAnsi" w:eastAsiaTheme="minorEastAsia" w:hAnsiTheme="minorHAnsi" w:cstheme="minorBidi"/>
            <w:caps w:val="0"/>
            <w:sz w:val="21"/>
            <w:szCs w:val="22"/>
          </w:rPr>
          <w:tab/>
        </w:r>
        <w:r w:rsidRPr="00B65184">
          <w:rPr>
            <w:rStyle w:val="Hyperlink"/>
            <w:rFonts w:asciiTheme="minorEastAsia" w:hAnsiTheme="minorEastAsia" w:hint="eastAsia"/>
            <w:b/>
          </w:rPr>
          <w:t>对基金份额持有人的服务</w:t>
        </w:r>
        <w:r>
          <w:rPr>
            <w:webHidden/>
          </w:rPr>
          <w:tab/>
        </w:r>
        <w:r>
          <w:rPr>
            <w:webHidden/>
          </w:rPr>
          <w:fldChar w:fldCharType="begin"/>
        </w:r>
        <w:r>
          <w:rPr>
            <w:webHidden/>
          </w:rPr>
          <w:instrText xml:space="preserve"> PAGEREF _Toc123296532 \h </w:instrText>
        </w:r>
        <w:r>
          <w:rPr>
            <w:webHidden/>
          </w:rPr>
          <w:fldChar w:fldCharType="separate"/>
        </w:r>
        <w:r>
          <w:rPr>
            <w:webHidden/>
          </w:rPr>
          <w:t>103</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533" w:history="1">
        <w:r w:rsidRPr="00B65184">
          <w:rPr>
            <w:rStyle w:val="Hyperlink"/>
            <w:rFonts w:asciiTheme="minorEastAsia" w:hAnsiTheme="minorEastAsia" w:hint="eastAsia"/>
            <w:bCs/>
          </w:rPr>
          <w:t>（一）基金份额持有人投资交易确认服务</w:t>
        </w:r>
        <w:r>
          <w:rPr>
            <w:webHidden/>
          </w:rPr>
          <w:tab/>
        </w:r>
        <w:r>
          <w:rPr>
            <w:webHidden/>
          </w:rPr>
          <w:fldChar w:fldCharType="begin"/>
        </w:r>
        <w:r>
          <w:rPr>
            <w:webHidden/>
          </w:rPr>
          <w:instrText xml:space="preserve"> PAGEREF _Toc123296533 \h </w:instrText>
        </w:r>
        <w:r>
          <w:rPr>
            <w:webHidden/>
          </w:rPr>
          <w:fldChar w:fldCharType="separate"/>
        </w:r>
        <w:r>
          <w:rPr>
            <w:webHidden/>
          </w:rPr>
          <w:t>103</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534" w:history="1">
        <w:r w:rsidRPr="00B65184">
          <w:rPr>
            <w:rStyle w:val="Hyperlink"/>
            <w:rFonts w:asciiTheme="minorEastAsia" w:hAnsiTheme="minorEastAsia" w:hint="eastAsia"/>
            <w:bCs/>
          </w:rPr>
          <w:t>（二）基金份额持有人交易记录查询服务</w:t>
        </w:r>
        <w:r>
          <w:rPr>
            <w:webHidden/>
          </w:rPr>
          <w:tab/>
        </w:r>
        <w:r>
          <w:rPr>
            <w:webHidden/>
          </w:rPr>
          <w:fldChar w:fldCharType="begin"/>
        </w:r>
        <w:r>
          <w:rPr>
            <w:webHidden/>
          </w:rPr>
          <w:instrText xml:space="preserve"> PAGEREF _Toc123296534 \h </w:instrText>
        </w:r>
        <w:r>
          <w:rPr>
            <w:webHidden/>
          </w:rPr>
          <w:fldChar w:fldCharType="separate"/>
        </w:r>
        <w:r>
          <w:rPr>
            <w:webHidden/>
          </w:rPr>
          <w:t>103</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535" w:history="1">
        <w:r w:rsidRPr="00B65184">
          <w:rPr>
            <w:rStyle w:val="Hyperlink"/>
            <w:rFonts w:asciiTheme="minorEastAsia" w:hAnsiTheme="minorEastAsia" w:hint="eastAsia"/>
            <w:bCs/>
          </w:rPr>
          <w:t>（三）基金份额持有人的对账单服务</w:t>
        </w:r>
        <w:r>
          <w:rPr>
            <w:webHidden/>
          </w:rPr>
          <w:tab/>
        </w:r>
        <w:r>
          <w:rPr>
            <w:webHidden/>
          </w:rPr>
          <w:fldChar w:fldCharType="begin"/>
        </w:r>
        <w:r>
          <w:rPr>
            <w:webHidden/>
          </w:rPr>
          <w:instrText xml:space="preserve"> PAGEREF _Toc123296535 \h </w:instrText>
        </w:r>
        <w:r>
          <w:rPr>
            <w:webHidden/>
          </w:rPr>
          <w:fldChar w:fldCharType="separate"/>
        </w:r>
        <w:r>
          <w:rPr>
            <w:webHidden/>
          </w:rPr>
          <w:t>103</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536" w:history="1">
        <w:r w:rsidRPr="00B65184">
          <w:rPr>
            <w:rStyle w:val="Hyperlink"/>
            <w:rFonts w:asciiTheme="minorEastAsia" w:hAnsiTheme="minorEastAsia" w:hint="eastAsia"/>
            <w:bCs/>
          </w:rPr>
          <w:t>（四）定期定额投资计划</w:t>
        </w:r>
        <w:r>
          <w:rPr>
            <w:webHidden/>
          </w:rPr>
          <w:tab/>
        </w:r>
        <w:r>
          <w:rPr>
            <w:webHidden/>
          </w:rPr>
          <w:fldChar w:fldCharType="begin"/>
        </w:r>
        <w:r>
          <w:rPr>
            <w:webHidden/>
          </w:rPr>
          <w:instrText xml:space="preserve"> PAGEREF _Toc123296536 \h </w:instrText>
        </w:r>
        <w:r>
          <w:rPr>
            <w:webHidden/>
          </w:rPr>
          <w:fldChar w:fldCharType="separate"/>
        </w:r>
        <w:r>
          <w:rPr>
            <w:webHidden/>
          </w:rPr>
          <w:t>103</w:t>
        </w:r>
        <w:r>
          <w:rPr>
            <w:webHidden/>
          </w:rPr>
          <w:fldChar w:fldCharType="end"/>
        </w:r>
      </w:hyperlink>
    </w:p>
    <w:p w:rsidR="00530605">
      <w:pPr>
        <w:pStyle w:val="TOC2"/>
        <w:ind w:firstLine="731"/>
        <w:rPr>
          <w:rFonts w:asciiTheme="minorHAnsi" w:eastAsiaTheme="minorEastAsia" w:hAnsiTheme="minorHAnsi" w:cstheme="minorBidi"/>
          <w:smallCaps w:val="0"/>
          <w:szCs w:val="22"/>
        </w:rPr>
      </w:pPr>
      <w:hyperlink w:anchor="_Toc123296537" w:history="1">
        <w:r w:rsidRPr="00B65184">
          <w:rPr>
            <w:rStyle w:val="Hyperlink"/>
            <w:rFonts w:asciiTheme="minorEastAsia" w:hAnsiTheme="minorEastAsia" w:hint="eastAsia"/>
            <w:bCs/>
          </w:rPr>
          <w:t>（五）资讯服务</w:t>
        </w:r>
        <w:r>
          <w:rPr>
            <w:webHidden/>
          </w:rPr>
          <w:tab/>
        </w:r>
        <w:r>
          <w:rPr>
            <w:webHidden/>
          </w:rPr>
          <w:fldChar w:fldCharType="begin"/>
        </w:r>
        <w:r>
          <w:rPr>
            <w:webHidden/>
          </w:rPr>
          <w:instrText xml:space="preserve"> PAGEREF _Toc123296537 \h </w:instrText>
        </w:r>
        <w:r>
          <w:rPr>
            <w:webHidden/>
          </w:rPr>
          <w:fldChar w:fldCharType="separate"/>
        </w:r>
        <w:r>
          <w:rPr>
            <w:webHidden/>
          </w:rPr>
          <w:t>103</w:t>
        </w:r>
        <w:r>
          <w:rPr>
            <w:webHidden/>
          </w:rPr>
          <w:fldChar w:fldCharType="end"/>
        </w:r>
      </w:hyperlink>
    </w:p>
    <w:p w:rsidR="00530605">
      <w:pPr>
        <w:pStyle w:val="TOC1"/>
        <w:tabs>
          <w:tab w:val="left" w:pos="1260"/>
        </w:tabs>
        <w:rPr>
          <w:rFonts w:asciiTheme="minorHAnsi" w:eastAsiaTheme="minorEastAsia" w:hAnsiTheme="minorHAnsi" w:cstheme="minorBidi"/>
          <w:caps w:val="0"/>
          <w:sz w:val="21"/>
          <w:szCs w:val="22"/>
        </w:rPr>
      </w:pPr>
      <w:hyperlink w:anchor="_Toc123296538" w:history="1">
        <w:r w:rsidRPr="00B65184">
          <w:rPr>
            <w:rStyle w:val="Hyperlink"/>
            <w:rFonts w:asciiTheme="minorEastAsia" w:hAnsiTheme="minorEastAsia" w:hint="eastAsia"/>
            <w:b/>
          </w:rPr>
          <w:t>二十六、</w:t>
        </w:r>
        <w:r>
          <w:rPr>
            <w:rFonts w:asciiTheme="minorHAnsi" w:eastAsiaTheme="minorEastAsia" w:hAnsiTheme="minorHAnsi" w:cstheme="minorBidi"/>
            <w:caps w:val="0"/>
            <w:sz w:val="21"/>
            <w:szCs w:val="22"/>
          </w:rPr>
          <w:tab/>
        </w:r>
        <w:r w:rsidRPr="00B65184">
          <w:rPr>
            <w:rStyle w:val="Hyperlink"/>
            <w:rFonts w:asciiTheme="minorEastAsia" w:hAnsiTheme="minorEastAsia" w:hint="eastAsia"/>
            <w:b/>
          </w:rPr>
          <w:t>其他应披露事项</w:t>
        </w:r>
        <w:r>
          <w:rPr>
            <w:webHidden/>
          </w:rPr>
          <w:tab/>
        </w:r>
        <w:r>
          <w:rPr>
            <w:webHidden/>
          </w:rPr>
          <w:fldChar w:fldCharType="begin"/>
        </w:r>
        <w:r>
          <w:rPr>
            <w:webHidden/>
          </w:rPr>
          <w:instrText xml:space="preserve"> PAGEREF _Toc123296538 \h </w:instrText>
        </w:r>
        <w:r>
          <w:rPr>
            <w:webHidden/>
          </w:rPr>
          <w:fldChar w:fldCharType="separate"/>
        </w:r>
        <w:r>
          <w:rPr>
            <w:webHidden/>
          </w:rPr>
          <w:t>104</w:t>
        </w:r>
        <w:r>
          <w:rPr>
            <w:webHidden/>
          </w:rPr>
          <w:fldChar w:fldCharType="end"/>
        </w:r>
      </w:hyperlink>
    </w:p>
    <w:p w:rsidR="00530605">
      <w:pPr>
        <w:pStyle w:val="TOC1"/>
        <w:tabs>
          <w:tab w:val="left" w:pos="1260"/>
        </w:tabs>
        <w:rPr>
          <w:rFonts w:asciiTheme="minorHAnsi" w:eastAsiaTheme="minorEastAsia" w:hAnsiTheme="minorHAnsi" w:cstheme="minorBidi"/>
          <w:caps w:val="0"/>
          <w:sz w:val="21"/>
          <w:szCs w:val="22"/>
        </w:rPr>
      </w:pPr>
      <w:hyperlink w:anchor="_Toc123296539" w:history="1">
        <w:r w:rsidRPr="00B65184">
          <w:rPr>
            <w:rStyle w:val="Hyperlink"/>
            <w:rFonts w:asciiTheme="minorEastAsia" w:hAnsiTheme="minorEastAsia" w:hint="eastAsia"/>
            <w:b/>
          </w:rPr>
          <w:t>二十七、</w:t>
        </w:r>
        <w:r>
          <w:rPr>
            <w:rFonts w:asciiTheme="minorHAnsi" w:eastAsiaTheme="minorEastAsia" w:hAnsiTheme="minorHAnsi" w:cstheme="minorBidi"/>
            <w:caps w:val="0"/>
            <w:sz w:val="21"/>
            <w:szCs w:val="22"/>
          </w:rPr>
          <w:tab/>
        </w:r>
        <w:r w:rsidRPr="00B65184">
          <w:rPr>
            <w:rStyle w:val="Hyperlink"/>
            <w:rFonts w:asciiTheme="minorEastAsia" w:hAnsiTheme="minorEastAsia" w:hint="eastAsia"/>
            <w:b/>
          </w:rPr>
          <w:t>招募说明书存放及查阅方式</w:t>
        </w:r>
        <w:r>
          <w:rPr>
            <w:webHidden/>
          </w:rPr>
          <w:tab/>
        </w:r>
        <w:r>
          <w:rPr>
            <w:webHidden/>
          </w:rPr>
          <w:fldChar w:fldCharType="begin"/>
        </w:r>
        <w:r>
          <w:rPr>
            <w:webHidden/>
          </w:rPr>
          <w:instrText xml:space="preserve"> PAGEREF _Toc123296539 \h </w:instrText>
        </w:r>
        <w:r>
          <w:rPr>
            <w:webHidden/>
          </w:rPr>
          <w:fldChar w:fldCharType="separate"/>
        </w:r>
        <w:r>
          <w:rPr>
            <w:webHidden/>
          </w:rPr>
          <w:t>105</w:t>
        </w:r>
        <w:r>
          <w:rPr>
            <w:webHidden/>
          </w:rPr>
          <w:fldChar w:fldCharType="end"/>
        </w:r>
      </w:hyperlink>
    </w:p>
    <w:p w:rsidR="00530605">
      <w:pPr>
        <w:pStyle w:val="TOC1"/>
        <w:tabs>
          <w:tab w:val="left" w:pos="1260"/>
        </w:tabs>
        <w:rPr>
          <w:rFonts w:asciiTheme="minorHAnsi" w:eastAsiaTheme="minorEastAsia" w:hAnsiTheme="minorHAnsi" w:cstheme="minorBidi"/>
          <w:caps w:val="0"/>
          <w:sz w:val="21"/>
          <w:szCs w:val="22"/>
        </w:rPr>
      </w:pPr>
      <w:hyperlink w:anchor="_Toc123296540" w:history="1">
        <w:r w:rsidRPr="00B65184">
          <w:rPr>
            <w:rStyle w:val="Hyperlink"/>
            <w:rFonts w:asciiTheme="minorEastAsia" w:hAnsiTheme="minorEastAsia" w:hint="eastAsia"/>
            <w:b/>
          </w:rPr>
          <w:t>二十八、</w:t>
        </w:r>
        <w:r>
          <w:rPr>
            <w:rFonts w:asciiTheme="minorHAnsi" w:eastAsiaTheme="minorEastAsia" w:hAnsiTheme="minorHAnsi" w:cstheme="minorBidi"/>
            <w:caps w:val="0"/>
            <w:sz w:val="21"/>
            <w:szCs w:val="22"/>
          </w:rPr>
          <w:tab/>
        </w:r>
        <w:r w:rsidRPr="00B65184">
          <w:rPr>
            <w:rStyle w:val="Hyperlink"/>
            <w:rFonts w:asciiTheme="minorEastAsia" w:hAnsiTheme="minorEastAsia" w:hint="eastAsia"/>
            <w:b/>
          </w:rPr>
          <w:t>备查文件</w:t>
        </w:r>
        <w:r>
          <w:rPr>
            <w:webHidden/>
          </w:rPr>
          <w:tab/>
        </w:r>
        <w:r>
          <w:rPr>
            <w:webHidden/>
          </w:rPr>
          <w:fldChar w:fldCharType="begin"/>
        </w:r>
        <w:r>
          <w:rPr>
            <w:webHidden/>
          </w:rPr>
          <w:instrText xml:space="preserve"> PAGEREF _Toc123296540 \h </w:instrText>
        </w:r>
        <w:r>
          <w:rPr>
            <w:webHidden/>
          </w:rPr>
          <w:fldChar w:fldCharType="separate"/>
        </w:r>
        <w:r>
          <w:rPr>
            <w:webHidden/>
          </w:rPr>
          <w:t>106</w:t>
        </w:r>
        <w:r>
          <w:rPr>
            <w:webHidden/>
          </w:rPr>
          <w:fldChar w:fldCharType="end"/>
        </w:r>
      </w:hyperlink>
    </w:p>
    <w:p w:rsidR="007228CC" w:rsidRPr="00054588" w:rsidP="0071223F">
      <w:pPr>
        <w:snapToGrid w:val="0"/>
        <w:spacing w:line="360" w:lineRule="auto"/>
        <w:rPr>
          <w:rFonts w:asciiTheme="minorEastAsia" w:eastAsiaTheme="minorEastAsia" w:hAnsiTheme="minorEastAsia"/>
          <w:color w:val="000000" w:themeColor="text1"/>
        </w:rPr>
        <w:sectPr w:rsidSect="00DE4B5E">
          <w:footerReference w:type="default" r:id="rId11"/>
          <w:footerReference w:type="first" r:id="rId12"/>
          <w:pgSz w:w="11906" w:h="16838" w:code="9"/>
          <w:pgMar w:top="1701" w:right="1814" w:bottom="1701" w:left="1814" w:header="1134" w:footer="1247" w:gutter="0"/>
          <w:pgNumType w:fmt="upperRoman" w:start="1"/>
          <w:cols w:space="425"/>
          <w:docGrid w:type="lines" w:linePitch="447"/>
        </w:sectPr>
      </w:pPr>
      <w:r w:rsidRPr="00054588">
        <w:rPr>
          <w:rFonts w:asciiTheme="minorEastAsia" w:eastAsiaTheme="minorEastAsia" w:hAnsiTheme="minorEastAsia"/>
          <w:color w:val="000000" w:themeColor="text1"/>
        </w:rPr>
        <w:fldChar w:fldCharType="end"/>
      </w:r>
    </w:p>
    <w:p w:rsidR="007228CC" w:rsidRPr="00054588" w:rsidP="0071223F">
      <w:pPr>
        <w:pStyle w:val="111"/>
        <w:numPr>
          <w:ilvl w:val="0"/>
          <w:numId w:val="7"/>
        </w:numPr>
        <w:tabs>
          <w:tab w:val="num" w:pos="0"/>
          <w:tab w:val="clear" w:pos="2798"/>
        </w:tabs>
        <w:snapToGrid w:val="0"/>
        <w:spacing w:beforeLines="0" w:afterLines="0" w:line="360" w:lineRule="auto"/>
        <w:ind w:left="0" w:firstLine="0" w:firstLineChars="0"/>
        <w:rPr>
          <w:rFonts w:asciiTheme="minorEastAsia" w:eastAsiaTheme="minorEastAsia" w:hAnsiTheme="minorEastAsia"/>
          <w:b/>
          <w:color w:val="000000" w:themeColor="text1"/>
        </w:rPr>
      </w:pPr>
      <w:bookmarkStart w:id="0" w:name="_Toc38432421"/>
      <w:bookmarkStart w:id="1" w:name="_Toc211920117"/>
      <w:bookmarkStart w:id="2" w:name="_Toc211927648"/>
      <w:bookmarkStart w:id="3" w:name="_Toc123296400"/>
      <w:r w:rsidRPr="00054588">
        <w:rPr>
          <w:rFonts w:asciiTheme="minorEastAsia" w:eastAsiaTheme="minorEastAsia" w:hAnsiTheme="minorEastAsia" w:hint="eastAsia"/>
          <w:b/>
          <w:color w:val="000000" w:themeColor="text1"/>
        </w:rPr>
        <w:t>绪言</w:t>
      </w:r>
      <w:bookmarkEnd w:id="0"/>
      <w:bookmarkEnd w:id="1"/>
      <w:bookmarkEnd w:id="2"/>
      <w:bookmarkEnd w:id="3"/>
    </w:p>
    <w:p w:rsidR="007228CC" w:rsidRPr="00054588" w:rsidP="0071223F">
      <w:pPr>
        <w:snapToGrid w:val="0"/>
        <w:spacing w:line="360" w:lineRule="auto"/>
        <w:ind w:firstLine="482"/>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本《招募说明书》依据《中华人民共和国证券投资基金法》（以下简称《基金法》）、《证券投资基金运作管理办法》（以下简称《运作办法》）、《证券投资基金销售管理办法》（以下简称《销售办法》）、《</w:t>
      </w:r>
      <w:r w:rsidRPr="00054588" w:rsidR="00575E02">
        <w:rPr>
          <w:rFonts w:asciiTheme="minorEastAsia" w:eastAsiaTheme="minorEastAsia" w:hAnsiTheme="minorEastAsia" w:hint="eastAsia"/>
          <w:color w:val="000000" w:themeColor="text1"/>
          <w:szCs w:val="21"/>
        </w:rPr>
        <w:t>公开募集</w:t>
      </w:r>
      <w:r w:rsidRPr="00054588">
        <w:rPr>
          <w:rFonts w:asciiTheme="minorEastAsia" w:eastAsiaTheme="minorEastAsia" w:hAnsiTheme="minorEastAsia" w:hint="eastAsia"/>
          <w:color w:val="000000" w:themeColor="text1"/>
          <w:szCs w:val="21"/>
        </w:rPr>
        <w:t>证券投资基金信息披露管理办法》（以下简称《信息披露办法》）、</w:t>
      </w:r>
      <w:r w:rsidRPr="00054588">
        <w:rPr>
          <w:rFonts w:asciiTheme="minorEastAsia" w:eastAsiaTheme="minorEastAsia" w:hAnsiTheme="minorEastAsia" w:hint="eastAsia"/>
          <w:color w:val="000000" w:themeColor="text1"/>
        </w:rPr>
        <w:t>《证券投资基金信息披露内容与格式准则第</w:t>
      </w:r>
      <w:r w:rsidRPr="00054588">
        <w:rPr>
          <w:rFonts w:asciiTheme="minorEastAsia" w:eastAsiaTheme="minorEastAsia" w:hAnsiTheme="minorEastAsia"/>
          <w:color w:val="000000" w:themeColor="text1"/>
        </w:rPr>
        <w:t>5</w:t>
      </w:r>
      <w:r w:rsidRPr="00054588">
        <w:rPr>
          <w:rFonts w:asciiTheme="minorEastAsia" w:eastAsiaTheme="minorEastAsia" w:hAnsiTheme="minorEastAsia" w:hint="eastAsia"/>
          <w:color w:val="000000" w:themeColor="text1"/>
        </w:rPr>
        <w:t>号</w:t>
      </w:r>
      <w:r w:rsidRPr="00054588">
        <w:rPr>
          <w:rFonts w:asciiTheme="minorEastAsia" w:eastAsiaTheme="minorEastAsia" w:hAnsiTheme="minorEastAsia"/>
          <w:color w:val="000000" w:themeColor="text1"/>
        </w:rPr>
        <w:t>&lt;</w:t>
      </w:r>
      <w:r w:rsidRPr="00054588">
        <w:rPr>
          <w:rFonts w:asciiTheme="minorEastAsia" w:eastAsiaTheme="minorEastAsia" w:hAnsiTheme="minorEastAsia" w:hint="eastAsia"/>
          <w:color w:val="000000" w:themeColor="text1"/>
        </w:rPr>
        <w:t>招募说明书的内容与格式</w:t>
      </w:r>
      <w:r w:rsidRPr="00054588">
        <w:rPr>
          <w:rFonts w:asciiTheme="minorEastAsia" w:eastAsiaTheme="minorEastAsia" w:hAnsiTheme="minorEastAsia"/>
          <w:color w:val="000000" w:themeColor="text1"/>
        </w:rPr>
        <w:t>&gt;</w:t>
      </w:r>
      <w:r w:rsidRPr="00054588">
        <w:rPr>
          <w:rFonts w:asciiTheme="minorEastAsia" w:eastAsiaTheme="minorEastAsia" w:hAnsiTheme="minorEastAsia" w:hint="eastAsia"/>
          <w:color w:val="000000" w:themeColor="text1"/>
        </w:rPr>
        <w:t>》</w:t>
      </w:r>
      <w:r w:rsidRPr="00054588" w:rsidR="00C609DD">
        <w:rPr>
          <w:rFonts w:asciiTheme="minorEastAsia" w:eastAsiaTheme="minorEastAsia" w:hAnsiTheme="minorEastAsia" w:hint="eastAsia"/>
          <w:color w:val="000000" w:themeColor="text1"/>
        </w:rPr>
        <w:t>、《公开募集开放式证券投资基金流动性风险管理规定》（以下简称“《管理规定》”）</w:t>
      </w:r>
      <w:r w:rsidRPr="00054588">
        <w:rPr>
          <w:rFonts w:asciiTheme="minorEastAsia" w:eastAsiaTheme="minorEastAsia" w:hAnsiTheme="minorEastAsia" w:hint="eastAsia"/>
          <w:color w:val="000000" w:themeColor="text1"/>
          <w:szCs w:val="21"/>
        </w:rPr>
        <w:t>等有关法律法规以及《易方达增强回报债券型证券投资基金基金合同》编写。</w:t>
      </w:r>
    </w:p>
    <w:p w:rsidR="007228CC" w:rsidRPr="00054588" w:rsidP="0071223F">
      <w:pPr>
        <w:snapToGrid w:val="0"/>
        <w:spacing w:line="360" w:lineRule="auto"/>
        <w:ind w:firstLine="482"/>
        <w:rPr>
          <w:rStyle w:val="da"/>
          <w:rFonts w:asciiTheme="minorEastAsia" w:eastAsiaTheme="minorEastAsia" w:hAnsiTheme="minorEastAsia"/>
          <w:color w:val="000000" w:themeColor="text1"/>
        </w:rPr>
      </w:pPr>
      <w:r w:rsidRPr="00054588">
        <w:rPr>
          <w:rStyle w:val="da"/>
          <w:rFonts w:asciiTheme="minorEastAsia" w:eastAsiaTheme="minorEastAsia" w:hAnsiTheme="minorEastAsia"/>
          <w:color w:val="000000" w:themeColor="text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054588">
        <w:rPr>
          <w:rStyle w:val="da"/>
          <w:rFonts w:asciiTheme="minorEastAsia" w:eastAsiaTheme="minorEastAsia" w:hAnsiTheme="minorEastAsia" w:hint="eastAsia"/>
          <w:color w:val="000000" w:themeColor="text1"/>
        </w:rPr>
        <w:t>，</w:t>
      </w:r>
      <w:r w:rsidRPr="00054588">
        <w:rPr>
          <w:rStyle w:val="da"/>
          <w:rFonts w:asciiTheme="minorEastAsia" w:eastAsiaTheme="minorEastAsia" w:hAnsiTheme="minorEastAsia"/>
          <w:color w:val="000000" w:themeColor="text1"/>
        </w:rPr>
        <w:t>或对本招募说明书作任何解释或者说明。</w:t>
      </w:r>
    </w:p>
    <w:p w:rsidR="007228CC" w:rsidRPr="00054588" w:rsidP="0071223F">
      <w:pPr>
        <w:snapToGrid w:val="0"/>
        <w:spacing w:line="360" w:lineRule="auto"/>
        <w:ind w:firstLine="482"/>
        <w:rPr>
          <w:rStyle w:val="da"/>
          <w:rFonts w:asciiTheme="minorEastAsia" w:eastAsiaTheme="minorEastAsia" w:hAnsiTheme="minorEastAsia"/>
          <w:color w:val="000000" w:themeColor="text1"/>
        </w:rPr>
      </w:pPr>
      <w:r w:rsidRPr="00054588">
        <w:rPr>
          <w:rStyle w:val="da"/>
          <w:rFonts w:asciiTheme="minorEastAsia" w:eastAsiaTheme="minorEastAsia" w:hAnsiTheme="minorEastAsia"/>
          <w:color w:val="000000" w:themeColor="text1"/>
        </w:rPr>
        <w:t>本招募说明书根据本基金的基金合同编写</w:t>
      </w:r>
      <w:r w:rsidRPr="00054588">
        <w:rPr>
          <w:rStyle w:val="da"/>
          <w:rFonts w:asciiTheme="minorEastAsia" w:eastAsiaTheme="minorEastAsia" w:hAnsiTheme="minorEastAsia" w:hint="eastAsia"/>
          <w:color w:val="000000" w:themeColor="text1"/>
        </w:rPr>
        <w:t>，</w:t>
      </w:r>
      <w:r w:rsidRPr="00054588">
        <w:rPr>
          <w:rStyle w:val="da"/>
          <w:rFonts w:asciiTheme="minorEastAsia" w:eastAsiaTheme="minorEastAsia" w:hAnsiTheme="minorEastAsia"/>
          <w:color w:val="000000" w:themeColor="text1"/>
        </w:rPr>
        <w:t>并经中国证监会核准。基金合同是约定基金当事人之间权利、义务的法律文件。基金投资者自依基金合同取得基金份额</w:t>
      </w:r>
      <w:r w:rsidRPr="00054588">
        <w:rPr>
          <w:rStyle w:val="da"/>
          <w:rFonts w:asciiTheme="minorEastAsia" w:eastAsiaTheme="minorEastAsia" w:hAnsiTheme="minorEastAsia" w:hint="eastAsia"/>
          <w:color w:val="000000" w:themeColor="text1"/>
        </w:rPr>
        <w:t>，</w:t>
      </w:r>
      <w:r w:rsidRPr="00054588">
        <w:rPr>
          <w:rStyle w:val="da"/>
          <w:rFonts w:asciiTheme="minorEastAsia" w:eastAsiaTheme="minorEastAsia" w:hAnsiTheme="minorEastAsia"/>
          <w:color w:val="000000" w:themeColor="text1"/>
        </w:rPr>
        <w:t>即成为基金份额持有人和本基金合同的当事人</w:t>
      </w:r>
      <w:r w:rsidRPr="00054588">
        <w:rPr>
          <w:rStyle w:val="da"/>
          <w:rFonts w:asciiTheme="minorEastAsia" w:eastAsiaTheme="minorEastAsia" w:hAnsiTheme="minorEastAsia" w:hint="eastAsia"/>
          <w:color w:val="000000" w:themeColor="text1"/>
        </w:rPr>
        <w:t>，</w:t>
      </w:r>
      <w:r w:rsidRPr="00054588">
        <w:rPr>
          <w:rStyle w:val="da"/>
          <w:rFonts w:asciiTheme="minorEastAsia" w:eastAsiaTheme="minorEastAsia" w:hAnsiTheme="minorEastAsia"/>
          <w:color w:val="000000" w:themeColor="text1"/>
        </w:rPr>
        <w:t>其持有基金份额的行为本身即表明其对基金合同的承认和接受</w:t>
      </w:r>
      <w:r w:rsidRPr="00054588">
        <w:rPr>
          <w:rStyle w:val="da"/>
          <w:rFonts w:asciiTheme="minorEastAsia" w:eastAsiaTheme="minorEastAsia" w:hAnsiTheme="minorEastAsia" w:hint="eastAsia"/>
          <w:color w:val="000000" w:themeColor="text1"/>
        </w:rPr>
        <w:t>，</w:t>
      </w:r>
      <w:r w:rsidRPr="00054588">
        <w:rPr>
          <w:rStyle w:val="da"/>
          <w:rFonts w:asciiTheme="minorEastAsia" w:eastAsiaTheme="minorEastAsia" w:hAnsiTheme="minorEastAsia"/>
          <w:color w:val="000000" w:themeColor="text1"/>
        </w:rPr>
        <w:t>并按照《基金法》、基金合同及其他有关规定享有权利、承担义务。基金投资者欲了解基金份额持有人的权利和义务</w:t>
      </w:r>
      <w:r w:rsidRPr="00054588">
        <w:rPr>
          <w:rStyle w:val="da"/>
          <w:rFonts w:asciiTheme="minorEastAsia" w:eastAsiaTheme="minorEastAsia" w:hAnsiTheme="minorEastAsia" w:hint="eastAsia"/>
          <w:color w:val="000000" w:themeColor="text1"/>
        </w:rPr>
        <w:t>，</w:t>
      </w:r>
      <w:r w:rsidRPr="00054588">
        <w:rPr>
          <w:rStyle w:val="da"/>
          <w:rFonts w:asciiTheme="minorEastAsia" w:eastAsiaTheme="minorEastAsia" w:hAnsiTheme="minorEastAsia"/>
          <w:color w:val="000000" w:themeColor="text1"/>
        </w:rPr>
        <w:t>应详细查阅基金合同</w:t>
      </w:r>
      <w:r w:rsidRPr="00054588">
        <w:rPr>
          <w:rStyle w:val="da"/>
          <w:rFonts w:asciiTheme="minorEastAsia" w:eastAsiaTheme="minorEastAsia" w:hAnsiTheme="minorEastAsia" w:hint="eastAsia"/>
          <w:color w:val="000000" w:themeColor="text1"/>
        </w:rPr>
        <w:t>。</w:t>
      </w:r>
    </w:p>
    <w:p w:rsidR="007228CC" w:rsidRPr="00054588" w:rsidP="0071223F">
      <w:pPr>
        <w:snapToGrid w:val="0"/>
        <w:spacing w:line="360" w:lineRule="auto"/>
        <w:ind w:firstLine="482"/>
        <w:rPr>
          <w:rFonts w:asciiTheme="minorEastAsia" w:eastAsiaTheme="minorEastAsia" w:hAnsiTheme="minorEastAsia"/>
          <w:color w:val="000000" w:themeColor="text1"/>
          <w:szCs w:val="21"/>
        </w:rPr>
      </w:pPr>
    </w:p>
    <w:p w:rsidR="007228CC" w:rsidRPr="00054588" w:rsidP="0071223F">
      <w:pPr>
        <w:snapToGrid w:val="0"/>
        <w:spacing w:line="360" w:lineRule="auto"/>
        <w:ind w:firstLine="482"/>
        <w:rPr>
          <w:rFonts w:asciiTheme="minorEastAsia" w:eastAsiaTheme="minorEastAsia" w:hAnsiTheme="minorEastAsia"/>
          <w:color w:val="000000" w:themeColor="text1"/>
          <w:szCs w:val="21"/>
        </w:rPr>
      </w:pPr>
    </w:p>
    <w:p w:rsidR="007228CC" w:rsidRPr="00054588" w:rsidP="0071223F">
      <w:pPr>
        <w:snapToGrid w:val="0"/>
        <w:spacing w:line="360" w:lineRule="auto"/>
        <w:ind w:firstLine="482"/>
        <w:rPr>
          <w:rFonts w:asciiTheme="minorEastAsia" w:eastAsiaTheme="minorEastAsia" w:hAnsiTheme="minorEastAsia"/>
          <w:color w:val="000000" w:themeColor="text1"/>
          <w:szCs w:val="21"/>
        </w:rPr>
      </w:pPr>
    </w:p>
    <w:p w:rsidR="007228CC" w:rsidRPr="00054588" w:rsidP="0071223F">
      <w:pPr>
        <w:snapToGrid w:val="0"/>
        <w:spacing w:line="360" w:lineRule="auto"/>
        <w:ind w:firstLine="482"/>
        <w:rPr>
          <w:rFonts w:asciiTheme="minorEastAsia" w:eastAsiaTheme="minorEastAsia" w:hAnsiTheme="minorEastAsia"/>
          <w:color w:val="000000" w:themeColor="text1"/>
          <w:szCs w:val="21"/>
        </w:rPr>
      </w:pPr>
    </w:p>
    <w:p w:rsidR="007228CC" w:rsidRPr="00054588" w:rsidP="0071223F">
      <w:pPr>
        <w:snapToGrid w:val="0"/>
        <w:spacing w:line="360" w:lineRule="auto"/>
        <w:ind w:firstLine="482"/>
        <w:rPr>
          <w:rFonts w:asciiTheme="minorEastAsia" w:eastAsiaTheme="minorEastAsia" w:hAnsiTheme="minorEastAsia"/>
          <w:color w:val="000000" w:themeColor="text1"/>
          <w:szCs w:val="21"/>
        </w:rPr>
      </w:pPr>
    </w:p>
    <w:p w:rsidR="007228CC" w:rsidRPr="00054588" w:rsidP="0071223F">
      <w:pPr>
        <w:pStyle w:val="111"/>
        <w:numPr>
          <w:ilvl w:val="0"/>
          <w:numId w:val="7"/>
        </w:numPr>
        <w:tabs>
          <w:tab w:val="num" w:pos="0"/>
          <w:tab w:val="clear" w:pos="2798"/>
        </w:tabs>
        <w:snapToGrid w:val="0"/>
        <w:spacing w:beforeLines="0" w:afterLines="0" w:line="360" w:lineRule="auto"/>
        <w:ind w:left="0" w:firstLine="0" w:firstLineChars="0"/>
        <w:rPr>
          <w:rFonts w:asciiTheme="minorEastAsia" w:eastAsiaTheme="minorEastAsia" w:hAnsiTheme="minorEastAsia"/>
          <w:b/>
          <w:color w:val="000000" w:themeColor="text1"/>
        </w:rPr>
      </w:pPr>
      <w:bookmarkStart w:id="4" w:name="_Toc38432422"/>
      <w:bookmarkStart w:id="5" w:name="_Toc211920118"/>
      <w:bookmarkStart w:id="6" w:name="_Toc211927649"/>
      <w:bookmarkStart w:id="7" w:name="_Toc123296401"/>
      <w:r w:rsidRPr="00054588">
        <w:rPr>
          <w:rFonts w:asciiTheme="minorEastAsia" w:eastAsiaTheme="minorEastAsia" w:hAnsiTheme="minorEastAsia" w:hint="eastAsia"/>
          <w:b/>
          <w:color w:val="000000" w:themeColor="text1"/>
        </w:rPr>
        <w:t>释义</w:t>
      </w:r>
      <w:bookmarkEnd w:id="4"/>
      <w:bookmarkEnd w:id="5"/>
      <w:bookmarkEnd w:id="6"/>
      <w:bookmarkEnd w:id="7"/>
    </w:p>
    <w:p w:rsidR="007228CC" w:rsidRPr="00054588"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054588">
        <w:rPr>
          <w:rFonts w:asciiTheme="minorEastAsia" w:eastAsiaTheme="minorEastAsia" w:hAnsiTheme="minorEastAsia" w:hint="eastAsia"/>
          <w:color w:val="000000" w:themeColor="text1"/>
          <w:szCs w:val="21"/>
        </w:rPr>
        <w:t>1、</w:t>
      </w:r>
      <w:r w:rsidRPr="00054588">
        <w:rPr>
          <w:rFonts w:asciiTheme="minorEastAsia" w:eastAsiaTheme="minorEastAsia" w:hAnsiTheme="minorEastAsia"/>
          <w:color w:val="000000" w:themeColor="text1"/>
          <w:szCs w:val="21"/>
        </w:rPr>
        <w:t>基金或本基金</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指</w:t>
      </w:r>
      <w:r w:rsidRPr="00054588">
        <w:rPr>
          <w:rFonts w:asciiTheme="minorEastAsia" w:eastAsiaTheme="minorEastAsia" w:hAnsiTheme="minorEastAsia" w:hint="eastAsia"/>
          <w:color w:val="000000" w:themeColor="text1"/>
          <w:szCs w:val="21"/>
        </w:rPr>
        <w:t>易方达增强回报债券型</w:t>
      </w:r>
      <w:r w:rsidRPr="00054588">
        <w:rPr>
          <w:rFonts w:asciiTheme="minorEastAsia" w:eastAsiaTheme="minorEastAsia" w:hAnsiTheme="minorEastAsia"/>
          <w:color w:val="000000" w:themeColor="text1"/>
          <w:szCs w:val="21"/>
        </w:rPr>
        <w:t>证券投资基金</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054588">
        <w:rPr>
          <w:rFonts w:asciiTheme="minorEastAsia" w:eastAsiaTheme="minorEastAsia" w:hAnsiTheme="minorEastAsia" w:hint="eastAsia"/>
          <w:color w:val="000000" w:themeColor="text1"/>
          <w:szCs w:val="21"/>
        </w:rPr>
        <w:t>2、</w:t>
      </w:r>
      <w:r w:rsidRPr="00054588">
        <w:rPr>
          <w:rFonts w:asciiTheme="minorEastAsia" w:eastAsiaTheme="minorEastAsia" w:hAnsiTheme="minorEastAsia"/>
          <w:color w:val="000000" w:themeColor="text1"/>
          <w:szCs w:val="21"/>
        </w:rPr>
        <w:t>基金管理人：指</w:t>
      </w:r>
      <w:r w:rsidRPr="00054588">
        <w:rPr>
          <w:rFonts w:asciiTheme="minorEastAsia" w:eastAsiaTheme="minorEastAsia" w:hAnsiTheme="minorEastAsia" w:hint="eastAsia"/>
          <w:color w:val="000000" w:themeColor="text1"/>
          <w:szCs w:val="21"/>
        </w:rPr>
        <w:t>易方达</w:t>
      </w:r>
      <w:r w:rsidRPr="00054588">
        <w:rPr>
          <w:rFonts w:asciiTheme="minorEastAsia" w:eastAsiaTheme="minorEastAsia" w:hAnsiTheme="minorEastAsia"/>
          <w:color w:val="000000" w:themeColor="text1"/>
          <w:szCs w:val="21"/>
        </w:rPr>
        <w:t>基金管理有限公司</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054588">
        <w:rPr>
          <w:rFonts w:asciiTheme="minorEastAsia" w:eastAsiaTheme="minorEastAsia" w:hAnsiTheme="minorEastAsia" w:hint="eastAsia"/>
          <w:color w:val="000000" w:themeColor="text1"/>
          <w:szCs w:val="21"/>
        </w:rPr>
        <w:t>3、</w:t>
      </w:r>
      <w:r w:rsidRPr="00054588">
        <w:rPr>
          <w:rFonts w:asciiTheme="minorEastAsia" w:eastAsiaTheme="minorEastAsia" w:hAnsiTheme="minorEastAsia"/>
          <w:color w:val="000000" w:themeColor="text1"/>
          <w:szCs w:val="21"/>
        </w:rPr>
        <w:t>基金托管人：指中国建设银行股份有限公司</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054588">
        <w:rPr>
          <w:rFonts w:asciiTheme="minorEastAsia" w:eastAsiaTheme="minorEastAsia" w:hAnsiTheme="minorEastAsia" w:hint="eastAsia"/>
          <w:color w:val="000000" w:themeColor="text1"/>
          <w:szCs w:val="21"/>
        </w:rPr>
        <w:t>4、</w:t>
      </w:r>
      <w:r w:rsidRPr="00054588">
        <w:rPr>
          <w:rFonts w:asciiTheme="minorEastAsia" w:eastAsiaTheme="minorEastAsia" w:hAnsiTheme="minorEastAsia"/>
          <w:color w:val="000000" w:themeColor="text1"/>
          <w:szCs w:val="21"/>
        </w:rPr>
        <w:t>基金合同或本基金合同</w:t>
      </w:r>
      <w:r w:rsidRPr="00054588">
        <w:rPr>
          <w:rFonts w:asciiTheme="minorEastAsia" w:eastAsiaTheme="minorEastAsia" w:hAnsiTheme="minorEastAsia" w:hint="eastAsia"/>
          <w:color w:val="000000" w:themeColor="text1"/>
          <w:szCs w:val="21"/>
        </w:rPr>
        <w:t>：指</w:t>
      </w:r>
      <w:r w:rsidRPr="00054588">
        <w:rPr>
          <w:rFonts w:asciiTheme="minorEastAsia" w:eastAsiaTheme="minorEastAsia" w:hAnsiTheme="minorEastAsia"/>
          <w:color w:val="000000" w:themeColor="text1"/>
          <w:szCs w:val="21"/>
        </w:rPr>
        <w:t>《</w:t>
      </w:r>
      <w:r w:rsidRPr="00054588">
        <w:rPr>
          <w:rFonts w:asciiTheme="minorEastAsia" w:eastAsiaTheme="minorEastAsia" w:hAnsiTheme="minorEastAsia" w:hint="eastAsia"/>
          <w:color w:val="000000" w:themeColor="text1"/>
          <w:szCs w:val="21"/>
        </w:rPr>
        <w:t>易方达增强回报债券型</w:t>
      </w:r>
      <w:r w:rsidRPr="00054588">
        <w:rPr>
          <w:rFonts w:asciiTheme="minorEastAsia" w:eastAsiaTheme="minorEastAsia" w:hAnsiTheme="minorEastAsia"/>
          <w:color w:val="000000" w:themeColor="text1"/>
          <w:szCs w:val="21"/>
        </w:rPr>
        <w:t>证券投资基金基金合同》及对本基金合同的任何有效修订和补充</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054588">
        <w:rPr>
          <w:rFonts w:asciiTheme="minorEastAsia" w:eastAsiaTheme="minorEastAsia" w:hAnsiTheme="minorEastAsia" w:hint="eastAsia"/>
          <w:color w:val="000000" w:themeColor="text1"/>
          <w:szCs w:val="21"/>
        </w:rPr>
        <w:t>5、</w:t>
      </w:r>
      <w:r w:rsidRPr="00054588">
        <w:rPr>
          <w:rFonts w:asciiTheme="minorEastAsia" w:eastAsiaTheme="minorEastAsia" w:hAnsiTheme="minorEastAsia"/>
          <w:color w:val="000000" w:themeColor="text1"/>
          <w:szCs w:val="21"/>
        </w:rPr>
        <w:t>托管协议</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指基金管理人与基金托管人就本基金签订之《</w:t>
      </w:r>
      <w:r w:rsidRPr="00054588">
        <w:rPr>
          <w:rFonts w:asciiTheme="minorEastAsia" w:eastAsiaTheme="minorEastAsia" w:hAnsiTheme="minorEastAsia" w:hint="eastAsia"/>
          <w:color w:val="000000" w:themeColor="text1"/>
          <w:szCs w:val="21"/>
        </w:rPr>
        <w:t>易方达增强回报债券型</w:t>
      </w:r>
      <w:r w:rsidRPr="00054588">
        <w:rPr>
          <w:rFonts w:asciiTheme="minorEastAsia" w:eastAsiaTheme="minorEastAsia" w:hAnsiTheme="minorEastAsia"/>
          <w:color w:val="000000" w:themeColor="text1"/>
          <w:szCs w:val="21"/>
        </w:rPr>
        <w:t>证券投资基金托管协议》及对该</w:t>
      </w:r>
      <w:r w:rsidRPr="00054588">
        <w:rPr>
          <w:rFonts w:asciiTheme="minorEastAsia" w:eastAsiaTheme="minorEastAsia" w:hAnsiTheme="minorEastAsia" w:hint="eastAsia"/>
          <w:color w:val="000000" w:themeColor="text1"/>
          <w:szCs w:val="21"/>
        </w:rPr>
        <w:t>托管</w:t>
      </w:r>
      <w:r w:rsidRPr="00054588">
        <w:rPr>
          <w:rFonts w:asciiTheme="minorEastAsia" w:eastAsiaTheme="minorEastAsia" w:hAnsiTheme="minorEastAsia"/>
          <w:color w:val="000000" w:themeColor="text1"/>
          <w:szCs w:val="21"/>
        </w:rPr>
        <w:t>协议的任何有效修订和补充</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6、</w:t>
      </w:r>
      <w:r w:rsidRPr="00054588">
        <w:rPr>
          <w:rFonts w:asciiTheme="minorEastAsia" w:eastAsiaTheme="minorEastAsia" w:hAnsiTheme="minorEastAsia"/>
          <w:color w:val="000000" w:themeColor="text1"/>
          <w:szCs w:val="21"/>
        </w:rPr>
        <w:t>招募说明书</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指《</w:t>
      </w:r>
      <w:r w:rsidRPr="00054588">
        <w:rPr>
          <w:rFonts w:asciiTheme="minorEastAsia" w:eastAsiaTheme="minorEastAsia" w:hAnsiTheme="minorEastAsia" w:hint="eastAsia"/>
          <w:color w:val="000000" w:themeColor="text1"/>
          <w:szCs w:val="21"/>
        </w:rPr>
        <w:t>易方达增强回报债券型</w:t>
      </w:r>
      <w:r w:rsidRPr="00054588">
        <w:rPr>
          <w:rFonts w:asciiTheme="minorEastAsia" w:eastAsiaTheme="minorEastAsia" w:hAnsiTheme="minorEastAsia"/>
          <w:color w:val="000000" w:themeColor="text1"/>
          <w:szCs w:val="21"/>
        </w:rPr>
        <w:t>证券投资基金招募说明书》</w:t>
      </w:r>
      <w:r w:rsidRPr="00054588">
        <w:rPr>
          <w:rFonts w:asciiTheme="minorEastAsia" w:eastAsiaTheme="minorEastAsia" w:hAnsiTheme="minorEastAsia" w:hint="eastAsia"/>
          <w:color w:val="000000" w:themeColor="text1"/>
          <w:szCs w:val="21"/>
        </w:rPr>
        <w:t>及其更新</w:t>
      </w:r>
    </w:p>
    <w:p w:rsidR="00575E02" w:rsidRPr="00054588"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054588">
        <w:rPr>
          <w:rFonts w:asciiTheme="minorEastAsia" w:eastAsiaTheme="minorEastAsia" w:hAnsiTheme="minorEastAsia" w:hint="eastAsia"/>
          <w:color w:val="000000" w:themeColor="text1"/>
          <w:spacing w:val="8"/>
          <w:szCs w:val="21"/>
        </w:rPr>
        <w:t>7.基金产品资料概要：指《易方达增强回报债券型证券投资基金基金产品资料概要》及其更新</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054588">
        <w:rPr>
          <w:rFonts w:asciiTheme="minorEastAsia" w:eastAsiaTheme="minorEastAsia" w:hAnsiTheme="minorEastAsia" w:hint="eastAsia"/>
          <w:color w:val="000000" w:themeColor="text1"/>
          <w:szCs w:val="21"/>
        </w:rPr>
        <w:t>8</w:t>
      </w:r>
      <w:r w:rsidRPr="00054588" w:rsidR="0071223F">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基金份额发售公告</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指《</w:t>
      </w:r>
      <w:r w:rsidRPr="00054588">
        <w:rPr>
          <w:rFonts w:asciiTheme="minorEastAsia" w:eastAsiaTheme="minorEastAsia" w:hAnsiTheme="minorEastAsia" w:hint="eastAsia"/>
          <w:color w:val="000000" w:themeColor="text1"/>
          <w:szCs w:val="21"/>
        </w:rPr>
        <w:t>易方达增强回报债券型</w:t>
      </w:r>
      <w:r w:rsidRPr="00054588">
        <w:rPr>
          <w:rFonts w:asciiTheme="minorEastAsia" w:eastAsiaTheme="minorEastAsia" w:hAnsiTheme="minorEastAsia"/>
          <w:color w:val="000000" w:themeColor="text1"/>
          <w:szCs w:val="21"/>
        </w:rPr>
        <w:t>证券投资基金份额发售公告》</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054588">
        <w:rPr>
          <w:rFonts w:asciiTheme="minorEastAsia" w:eastAsiaTheme="minorEastAsia" w:hAnsiTheme="minorEastAsia" w:hint="eastAsia"/>
          <w:color w:val="000000" w:themeColor="text1"/>
          <w:szCs w:val="21"/>
        </w:rPr>
        <w:t>9</w:t>
      </w:r>
      <w:r w:rsidRPr="00054588" w:rsidR="0071223F">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法律法规</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指中国现</w:t>
      </w:r>
      <w:r w:rsidRPr="00054588">
        <w:rPr>
          <w:rFonts w:asciiTheme="minorEastAsia" w:eastAsiaTheme="minorEastAsia" w:hAnsiTheme="minorEastAsia" w:hint="eastAsia"/>
          <w:color w:val="000000" w:themeColor="text1"/>
          <w:szCs w:val="21"/>
        </w:rPr>
        <w:t>行</w:t>
      </w:r>
      <w:r w:rsidRPr="00054588">
        <w:rPr>
          <w:rFonts w:asciiTheme="minorEastAsia" w:eastAsiaTheme="minorEastAsia" w:hAnsiTheme="minorEastAsia"/>
          <w:color w:val="000000" w:themeColor="text1"/>
          <w:szCs w:val="21"/>
        </w:rPr>
        <w:t>有效并公布实施的法律、行政法规</w:t>
      </w:r>
      <w:r w:rsidRPr="00054588">
        <w:rPr>
          <w:rFonts w:asciiTheme="minorEastAsia" w:eastAsiaTheme="minorEastAsia" w:hAnsiTheme="minorEastAsia" w:hint="eastAsia"/>
          <w:color w:val="000000" w:themeColor="text1"/>
          <w:szCs w:val="21"/>
        </w:rPr>
        <w:t>、规范性文件、司法解释、</w:t>
      </w:r>
      <w:r w:rsidRPr="00054588">
        <w:rPr>
          <w:rFonts w:asciiTheme="minorEastAsia" w:eastAsiaTheme="minorEastAsia" w:hAnsiTheme="minorEastAsia"/>
          <w:color w:val="000000" w:themeColor="text1"/>
          <w:szCs w:val="21"/>
        </w:rPr>
        <w:t>行政规章</w:t>
      </w:r>
      <w:r w:rsidRPr="00054588">
        <w:rPr>
          <w:rFonts w:asciiTheme="minorEastAsia" w:eastAsiaTheme="minorEastAsia" w:hAnsiTheme="minorEastAsia" w:hint="eastAsia"/>
          <w:color w:val="000000" w:themeColor="text1"/>
          <w:szCs w:val="21"/>
        </w:rPr>
        <w:t>以及其他对基金合同当事人有约束力的决定、决议、通知等</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054588">
        <w:rPr>
          <w:rFonts w:asciiTheme="minorEastAsia" w:eastAsiaTheme="minorEastAsia" w:hAnsiTheme="minorEastAsia" w:hint="eastAsia"/>
          <w:color w:val="000000" w:themeColor="text1"/>
          <w:szCs w:val="21"/>
        </w:rPr>
        <w:t>10</w:t>
      </w:r>
      <w:r w:rsidRPr="00054588" w:rsidR="0071223F">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《基金法》：指2003年10月28日</w:t>
      </w:r>
      <w:r w:rsidRPr="00054588">
        <w:rPr>
          <w:rFonts w:asciiTheme="minorEastAsia" w:eastAsiaTheme="minorEastAsia" w:hAnsiTheme="minorEastAsia" w:hint="eastAsia"/>
          <w:color w:val="000000" w:themeColor="text1"/>
          <w:szCs w:val="21"/>
        </w:rPr>
        <w:t>经</w:t>
      </w:r>
      <w:r w:rsidRPr="00054588">
        <w:rPr>
          <w:rFonts w:asciiTheme="minorEastAsia" w:eastAsiaTheme="minorEastAsia" w:hAnsiTheme="minorEastAsia"/>
          <w:color w:val="000000" w:themeColor="text1"/>
          <w:szCs w:val="21"/>
        </w:rPr>
        <w:t>第十届全国人民代表大会常务委员会第五次会议通过</w:t>
      </w:r>
      <w:r w:rsidRPr="00054588">
        <w:rPr>
          <w:rFonts w:asciiTheme="minorEastAsia" w:eastAsiaTheme="minorEastAsia" w:hAnsiTheme="minorEastAsia" w:hint="eastAsia"/>
          <w:color w:val="000000" w:themeColor="text1"/>
          <w:szCs w:val="21"/>
        </w:rPr>
        <w:t>，自2004年6月1日起实施的</w:t>
      </w:r>
      <w:r w:rsidRPr="00054588">
        <w:rPr>
          <w:rFonts w:asciiTheme="minorEastAsia" w:eastAsiaTheme="minorEastAsia" w:hAnsiTheme="minorEastAsia"/>
          <w:color w:val="000000" w:themeColor="text1"/>
          <w:szCs w:val="21"/>
        </w:rPr>
        <w:t>《中华人民共和国证券投资基金法》及颁布机关对其不时</w:t>
      </w:r>
      <w:r w:rsidRPr="00054588">
        <w:rPr>
          <w:rFonts w:asciiTheme="minorEastAsia" w:eastAsiaTheme="minorEastAsia" w:hAnsiTheme="minorEastAsia" w:hint="eastAsia"/>
          <w:color w:val="000000" w:themeColor="text1"/>
          <w:szCs w:val="21"/>
        </w:rPr>
        <w:t>做</w:t>
      </w:r>
      <w:r w:rsidRPr="00054588">
        <w:rPr>
          <w:rFonts w:asciiTheme="minorEastAsia" w:eastAsiaTheme="minorEastAsia" w:hAnsiTheme="minorEastAsia"/>
          <w:color w:val="000000" w:themeColor="text1"/>
          <w:szCs w:val="21"/>
        </w:rPr>
        <w:t>出的修订</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054588">
        <w:rPr>
          <w:rFonts w:asciiTheme="minorEastAsia" w:eastAsiaTheme="minorEastAsia" w:hAnsiTheme="minorEastAsia" w:hint="eastAsia"/>
          <w:color w:val="000000" w:themeColor="text1"/>
          <w:szCs w:val="21"/>
        </w:rPr>
        <w:t>1</w:t>
      </w:r>
      <w:r w:rsidRPr="00054588" w:rsidR="00575E02">
        <w:rPr>
          <w:rFonts w:asciiTheme="minorEastAsia" w:eastAsiaTheme="minorEastAsia" w:hAnsiTheme="minorEastAsia" w:hint="eastAsia"/>
          <w:color w:val="000000" w:themeColor="text1"/>
          <w:szCs w:val="21"/>
        </w:rPr>
        <w:t>1</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w:t>
      </w:r>
      <w:r w:rsidRPr="00054588">
        <w:rPr>
          <w:rFonts w:asciiTheme="minorEastAsia" w:eastAsiaTheme="minorEastAsia" w:hAnsiTheme="minorEastAsia" w:hint="eastAsia"/>
          <w:color w:val="000000" w:themeColor="text1"/>
          <w:szCs w:val="21"/>
        </w:rPr>
        <w:t>销售</w:t>
      </w:r>
      <w:r w:rsidRPr="00054588">
        <w:rPr>
          <w:rFonts w:asciiTheme="minorEastAsia" w:eastAsiaTheme="minorEastAsia" w:hAnsiTheme="minorEastAsia"/>
          <w:color w:val="000000" w:themeColor="text1"/>
          <w:szCs w:val="21"/>
        </w:rPr>
        <w:t>办法》：指</w:t>
      </w:r>
      <w:r w:rsidRPr="00054588">
        <w:rPr>
          <w:rFonts w:asciiTheme="minorEastAsia" w:eastAsiaTheme="minorEastAsia" w:hAnsiTheme="minorEastAsia" w:hint="eastAsia"/>
          <w:color w:val="000000" w:themeColor="text1"/>
          <w:szCs w:val="21"/>
        </w:rPr>
        <w:t>中国证监会2010年10月25日修订、2011年10月1日实施的</w:t>
      </w:r>
      <w:r w:rsidRPr="00054588">
        <w:rPr>
          <w:rFonts w:asciiTheme="minorEastAsia" w:eastAsiaTheme="minorEastAsia" w:hAnsiTheme="minorEastAsia"/>
          <w:color w:val="000000" w:themeColor="text1"/>
          <w:szCs w:val="21"/>
        </w:rPr>
        <w:t>《证券投资基金</w:t>
      </w:r>
      <w:r w:rsidRPr="00054588">
        <w:rPr>
          <w:rFonts w:asciiTheme="minorEastAsia" w:eastAsiaTheme="minorEastAsia" w:hAnsiTheme="minorEastAsia" w:hint="eastAsia"/>
          <w:color w:val="000000" w:themeColor="text1"/>
          <w:szCs w:val="21"/>
        </w:rPr>
        <w:t>销售</w:t>
      </w:r>
      <w:r w:rsidRPr="00054588">
        <w:rPr>
          <w:rFonts w:asciiTheme="minorEastAsia" w:eastAsiaTheme="minorEastAsia" w:hAnsiTheme="minorEastAsia"/>
          <w:color w:val="000000" w:themeColor="text1"/>
          <w:szCs w:val="21"/>
        </w:rPr>
        <w:t>管理办法》</w:t>
      </w:r>
      <w:r w:rsidRPr="00054588">
        <w:rPr>
          <w:rFonts w:asciiTheme="minorEastAsia" w:eastAsiaTheme="minorEastAsia" w:hAnsiTheme="minorEastAsia" w:hint="eastAsia"/>
          <w:color w:val="000000" w:themeColor="text1"/>
          <w:szCs w:val="21"/>
        </w:rPr>
        <w:t>及颁布机关对其不时做出的修订</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054588">
        <w:rPr>
          <w:rFonts w:asciiTheme="minorEastAsia" w:eastAsiaTheme="minorEastAsia" w:hAnsiTheme="minorEastAsia" w:hint="eastAsia"/>
          <w:color w:val="000000" w:themeColor="text1"/>
          <w:szCs w:val="21"/>
        </w:rPr>
        <w:t>1</w:t>
      </w:r>
      <w:r w:rsidRPr="00054588" w:rsidR="00575E02">
        <w:rPr>
          <w:rFonts w:asciiTheme="minorEastAsia" w:eastAsiaTheme="minorEastAsia" w:hAnsiTheme="minorEastAsia" w:hint="eastAsia"/>
          <w:color w:val="000000" w:themeColor="text1"/>
          <w:szCs w:val="21"/>
        </w:rPr>
        <w:t>2</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《信息披露办法》：</w:t>
      </w:r>
      <w:r w:rsidRPr="00054588" w:rsidR="00575E02">
        <w:rPr>
          <w:rFonts w:asciiTheme="minorEastAsia" w:eastAsiaTheme="minorEastAsia" w:hAnsiTheme="minorEastAsia" w:hint="eastAsia"/>
          <w:color w:val="000000" w:themeColor="text1"/>
          <w:szCs w:val="21"/>
        </w:rPr>
        <w:t>指中国证监会2019年7月26日颁布、同年9月1日实施的《公开募集证券投资基金信息披露管理办法》及颁布机关对其不时做出的修订</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w:t>
      </w:r>
      <w:r w:rsidRPr="00054588" w:rsidR="00575E02">
        <w:rPr>
          <w:rFonts w:asciiTheme="minorEastAsia" w:eastAsiaTheme="minorEastAsia" w:hAnsiTheme="minorEastAsia" w:hint="eastAsia"/>
          <w:color w:val="000000" w:themeColor="text1"/>
          <w:szCs w:val="21"/>
        </w:rPr>
        <w:t>3</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《运作办法》</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指</w:t>
      </w:r>
      <w:r w:rsidRPr="00054588">
        <w:rPr>
          <w:rFonts w:asciiTheme="minorEastAsia" w:eastAsiaTheme="minorEastAsia" w:hAnsiTheme="minorEastAsia" w:hint="eastAsia"/>
          <w:color w:val="000000" w:themeColor="text1"/>
          <w:szCs w:val="21"/>
        </w:rPr>
        <w:t>中国证监会2004年6月29日颁布、同年7月1日实施的</w:t>
      </w:r>
      <w:r w:rsidRPr="00054588">
        <w:rPr>
          <w:rFonts w:asciiTheme="minorEastAsia" w:eastAsiaTheme="minorEastAsia" w:hAnsiTheme="minorEastAsia"/>
          <w:color w:val="000000" w:themeColor="text1"/>
          <w:szCs w:val="21"/>
        </w:rPr>
        <w:t>《证券投资基金运作管理办法》</w:t>
      </w:r>
      <w:r w:rsidRPr="00054588">
        <w:rPr>
          <w:rFonts w:asciiTheme="minorEastAsia" w:eastAsiaTheme="minorEastAsia" w:hAnsiTheme="minorEastAsia" w:hint="eastAsia"/>
          <w:color w:val="000000" w:themeColor="text1"/>
          <w:szCs w:val="21"/>
        </w:rPr>
        <w:t>及颁布机关对其不时做出的修订</w:t>
      </w:r>
    </w:p>
    <w:p w:rsidR="00C609DD" w:rsidRPr="00054588"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054588">
        <w:rPr>
          <w:rFonts w:asciiTheme="minorEastAsia" w:eastAsiaTheme="minorEastAsia" w:hAnsiTheme="minorEastAsia" w:hint="eastAsia"/>
          <w:color w:val="000000" w:themeColor="text1"/>
          <w:szCs w:val="21"/>
        </w:rPr>
        <w:t>1</w:t>
      </w:r>
      <w:r w:rsidRPr="00054588" w:rsidR="00575E02">
        <w:rPr>
          <w:rFonts w:asciiTheme="minorEastAsia" w:eastAsiaTheme="minorEastAsia" w:hAnsiTheme="minorEastAsia" w:hint="eastAsia"/>
          <w:color w:val="000000" w:themeColor="text1"/>
          <w:szCs w:val="21"/>
        </w:rPr>
        <w:t>4</w:t>
      </w:r>
      <w:r w:rsidRPr="00054588">
        <w:rPr>
          <w:rFonts w:asciiTheme="minorEastAsia" w:eastAsiaTheme="minorEastAsia" w:hAnsiTheme="minorEastAsia" w:hint="eastAsia"/>
          <w:color w:val="000000" w:themeColor="text1"/>
          <w:szCs w:val="21"/>
        </w:rPr>
        <w:t>、《管理规定》：</w:t>
      </w:r>
      <w:r w:rsidRPr="00054588">
        <w:rPr>
          <w:rFonts w:asciiTheme="minorEastAsia" w:eastAsiaTheme="minorEastAsia" w:hAnsiTheme="minorEastAsia" w:hint="eastAsia"/>
          <w:color w:val="000000" w:themeColor="text1"/>
          <w:kern w:val="0"/>
          <w:szCs w:val="21"/>
        </w:rPr>
        <w:t>指中国证监会2017年8月31日颁布、同年10月1日实施的《公开募集开放式证券投资基金流动性风险管理规定》及颁布机关对其不时做出的修订</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054588">
        <w:rPr>
          <w:rFonts w:asciiTheme="minorEastAsia" w:eastAsiaTheme="minorEastAsia" w:hAnsiTheme="minorEastAsia"/>
          <w:color w:val="000000" w:themeColor="text1"/>
          <w:szCs w:val="21"/>
        </w:rPr>
        <w:t>1</w:t>
      </w:r>
      <w:r w:rsidRPr="00054588" w:rsidR="00575E02">
        <w:rPr>
          <w:rFonts w:asciiTheme="minorEastAsia" w:eastAsiaTheme="minorEastAsia" w:hAnsiTheme="minorEastAsia"/>
          <w:color w:val="000000" w:themeColor="text1"/>
          <w:szCs w:val="21"/>
        </w:rPr>
        <w:t>5</w:t>
      </w:r>
      <w:r w:rsidRPr="00054588" w:rsidR="0071223F">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中国证监会</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指中国证券监督管理委员会</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054588">
        <w:rPr>
          <w:rFonts w:asciiTheme="minorEastAsia" w:eastAsiaTheme="minorEastAsia" w:hAnsiTheme="minorEastAsia"/>
          <w:color w:val="000000" w:themeColor="text1"/>
          <w:szCs w:val="21"/>
        </w:rPr>
        <w:t>1</w:t>
      </w:r>
      <w:r w:rsidRPr="00054588" w:rsidR="00575E02">
        <w:rPr>
          <w:rFonts w:asciiTheme="minorEastAsia" w:eastAsiaTheme="minorEastAsia" w:hAnsiTheme="minorEastAsia"/>
          <w:color w:val="000000" w:themeColor="text1"/>
          <w:szCs w:val="21"/>
        </w:rPr>
        <w:t>6</w:t>
      </w:r>
      <w:r w:rsidRPr="00054588" w:rsidR="0071223F">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银行业监督管理机构</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指中国人民银行和/</w:t>
      </w:r>
      <w:r w:rsidRPr="00054588" w:rsidR="001363DB">
        <w:rPr>
          <w:rFonts w:asciiTheme="minorEastAsia" w:eastAsiaTheme="minorEastAsia" w:hAnsiTheme="minorEastAsia"/>
          <w:color w:val="000000" w:themeColor="text1"/>
          <w:szCs w:val="21"/>
        </w:rPr>
        <w:t>或中国银行</w:t>
      </w:r>
      <w:r w:rsidRPr="00054588" w:rsidR="001363DB">
        <w:rPr>
          <w:rFonts w:asciiTheme="minorEastAsia" w:eastAsiaTheme="minorEastAsia" w:hAnsiTheme="minorEastAsia" w:hint="eastAsia"/>
          <w:color w:val="000000" w:themeColor="text1"/>
          <w:szCs w:val="21"/>
        </w:rPr>
        <w:t>保险</w:t>
      </w:r>
      <w:r w:rsidRPr="00054588" w:rsidR="001363DB">
        <w:rPr>
          <w:rFonts w:asciiTheme="minorEastAsia" w:eastAsiaTheme="minorEastAsia" w:hAnsiTheme="minorEastAsia"/>
          <w:color w:val="000000" w:themeColor="text1"/>
          <w:szCs w:val="21"/>
        </w:rPr>
        <w:t>监督管理委员会</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1</w:t>
      </w:r>
      <w:r w:rsidRPr="00054588" w:rsidR="00575E02">
        <w:rPr>
          <w:rFonts w:asciiTheme="minorEastAsia" w:eastAsiaTheme="minorEastAsia" w:hAnsiTheme="minorEastAsia"/>
          <w:color w:val="000000" w:themeColor="text1"/>
          <w:szCs w:val="21"/>
        </w:rPr>
        <w:t>7</w:t>
      </w:r>
      <w:r w:rsidRPr="00054588" w:rsidR="0071223F">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基金合同当事人：指受基金合同约束，根据基金合同享有权利并承担义务的</w:t>
      </w:r>
      <w:r w:rsidRPr="00054588">
        <w:rPr>
          <w:rFonts w:asciiTheme="minorEastAsia" w:eastAsiaTheme="minorEastAsia" w:hAnsiTheme="minorEastAsia" w:hint="eastAsia"/>
          <w:color w:val="000000" w:themeColor="text1"/>
          <w:szCs w:val="21"/>
        </w:rPr>
        <w:t>法律主体，包括</w:t>
      </w:r>
      <w:r w:rsidRPr="00054588">
        <w:rPr>
          <w:rFonts w:asciiTheme="minorEastAsia" w:eastAsiaTheme="minorEastAsia" w:hAnsiTheme="minorEastAsia"/>
          <w:color w:val="000000" w:themeColor="text1"/>
          <w:szCs w:val="21"/>
        </w:rPr>
        <w:t>基金管理人、基金托管人和基金份额持有人</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1</w:t>
      </w:r>
      <w:r w:rsidRPr="00054588" w:rsidR="00575E02">
        <w:rPr>
          <w:rFonts w:asciiTheme="minorEastAsia" w:eastAsiaTheme="minorEastAsia" w:hAnsiTheme="minorEastAsia"/>
          <w:color w:val="000000" w:themeColor="text1"/>
          <w:szCs w:val="21"/>
        </w:rPr>
        <w:t>8</w:t>
      </w:r>
      <w:r w:rsidRPr="00054588" w:rsidR="0071223F">
        <w:rPr>
          <w:rFonts w:asciiTheme="minorEastAsia" w:eastAsiaTheme="minorEastAsia" w:hAnsiTheme="minorEastAsia" w:hint="eastAsia"/>
          <w:color w:val="000000" w:themeColor="text1"/>
          <w:szCs w:val="21"/>
        </w:rPr>
        <w:t>、</w:t>
      </w:r>
      <w:r w:rsidRPr="00054588">
        <w:rPr>
          <w:rFonts w:asciiTheme="minorEastAsia" w:eastAsiaTheme="minorEastAsia" w:hAnsiTheme="minorEastAsia" w:hint="eastAsia"/>
          <w:color w:val="000000" w:themeColor="text1"/>
          <w:szCs w:val="21"/>
        </w:rPr>
        <w:t>个人投资者：</w:t>
      </w:r>
      <w:r w:rsidRPr="00054588">
        <w:rPr>
          <w:rFonts w:asciiTheme="minorEastAsia" w:eastAsiaTheme="minorEastAsia" w:hAnsiTheme="minorEastAsia"/>
          <w:color w:val="000000" w:themeColor="text1"/>
          <w:szCs w:val="21"/>
        </w:rPr>
        <w:t>指符合法律法规规定的条件可以投资开放式证券投资基金的自然人</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1</w:t>
      </w:r>
      <w:r w:rsidRPr="00054588" w:rsidR="00575E02">
        <w:rPr>
          <w:rFonts w:asciiTheme="minorEastAsia" w:eastAsiaTheme="minorEastAsia" w:hAnsiTheme="minorEastAsia"/>
          <w:color w:val="000000" w:themeColor="text1"/>
          <w:szCs w:val="21"/>
        </w:rPr>
        <w:t>9</w:t>
      </w:r>
      <w:r w:rsidRPr="00054588" w:rsidR="0071223F">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机构投资者：指符合法律法规规定</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可以投资开放式证券投资基金的</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在中国注册登记或经政府有关部门批准设立的法人、社会团体和其他组织、机构</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20</w:t>
      </w:r>
      <w:r w:rsidRPr="00054588" w:rsidR="0071223F">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合格境外机构投资者</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指符合法律法规规定的</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可投资于中国境内证券市场的中国境外机构投资者</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054588">
        <w:rPr>
          <w:rFonts w:asciiTheme="minorEastAsia" w:eastAsiaTheme="minorEastAsia" w:hAnsiTheme="minorEastAsia"/>
          <w:color w:val="000000" w:themeColor="text1"/>
          <w:szCs w:val="21"/>
        </w:rPr>
        <w:t>2</w:t>
      </w:r>
      <w:r w:rsidRPr="00054588" w:rsidR="00575E02">
        <w:rPr>
          <w:rFonts w:asciiTheme="minorEastAsia" w:eastAsiaTheme="minorEastAsia" w:hAnsiTheme="minorEastAsia"/>
          <w:color w:val="000000" w:themeColor="text1"/>
          <w:szCs w:val="21"/>
        </w:rPr>
        <w:t>1</w:t>
      </w:r>
      <w:r w:rsidRPr="00054588" w:rsidR="0071223F">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投资</w:t>
      </w:r>
      <w:r w:rsidRPr="00054588">
        <w:rPr>
          <w:rFonts w:asciiTheme="minorEastAsia" w:eastAsiaTheme="minorEastAsia" w:hAnsiTheme="minorEastAsia" w:hint="eastAsia"/>
          <w:color w:val="000000" w:themeColor="text1"/>
          <w:szCs w:val="21"/>
        </w:rPr>
        <w:t>人</w:t>
      </w:r>
      <w:r w:rsidRPr="00054588">
        <w:rPr>
          <w:rFonts w:asciiTheme="minorEastAsia" w:eastAsiaTheme="minorEastAsia" w:hAnsiTheme="minorEastAsia"/>
          <w:color w:val="000000" w:themeColor="text1"/>
          <w:szCs w:val="21"/>
        </w:rPr>
        <w:t>：指个人投资者、机构投资者和合格境外机构投资者</w:t>
      </w:r>
      <w:r w:rsidRPr="00054588">
        <w:rPr>
          <w:rFonts w:asciiTheme="minorEastAsia" w:eastAsiaTheme="minorEastAsia" w:hAnsiTheme="minorEastAsia" w:hint="eastAsia"/>
          <w:color w:val="000000" w:themeColor="text1"/>
          <w:szCs w:val="21"/>
        </w:rPr>
        <w:t>以及法律法规或中国证监会允许购买证券投资基金的其他投资人</w:t>
      </w:r>
      <w:r w:rsidRPr="00054588">
        <w:rPr>
          <w:rFonts w:asciiTheme="minorEastAsia" w:eastAsiaTheme="minorEastAsia" w:hAnsiTheme="minorEastAsia"/>
          <w:color w:val="000000" w:themeColor="text1"/>
          <w:szCs w:val="21"/>
        </w:rPr>
        <w:t>的合称</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054588">
        <w:rPr>
          <w:rFonts w:asciiTheme="minorEastAsia" w:eastAsiaTheme="minorEastAsia" w:hAnsiTheme="minorEastAsia"/>
          <w:color w:val="000000" w:themeColor="text1"/>
          <w:szCs w:val="21"/>
        </w:rPr>
        <w:t>2</w:t>
      </w:r>
      <w:r w:rsidRPr="00054588" w:rsidR="00575E02">
        <w:rPr>
          <w:rFonts w:asciiTheme="minorEastAsia" w:eastAsiaTheme="minorEastAsia" w:hAnsiTheme="minorEastAsia"/>
          <w:color w:val="000000" w:themeColor="text1"/>
          <w:szCs w:val="21"/>
        </w:rPr>
        <w:t>2</w:t>
      </w:r>
      <w:r w:rsidRPr="00054588" w:rsidR="0071223F">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基金份额持有人：指依基金合同</w:t>
      </w:r>
      <w:r w:rsidRPr="00054588">
        <w:rPr>
          <w:rFonts w:asciiTheme="minorEastAsia" w:eastAsiaTheme="minorEastAsia" w:hAnsiTheme="minorEastAsia" w:hint="eastAsia"/>
          <w:color w:val="000000" w:themeColor="text1"/>
          <w:szCs w:val="21"/>
        </w:rPr>
        <w:t>和</w:t>
      </w:r>
      <w:r w:rsidRPr="00054588">
        <w:rPr>
          <w:rFonts w:asciiTheme="minorEastAsia" w:eastAsiaTheme="minorEastAsia" w:hAnsiTheme="minorEastAsia"/>
          <w:color w:val="000000" w:themeColor="text1"/>
          <w:szCs w:val="21"/>
        </w:rPr>
        <w:t>招募说明书</w:t>
      </w:r>
      <w:r w:rsidRPr="00054588">
        <w:rPr>
          <w:rFonts w:asciiTheme="minorEastAsia" w:eastAsiaTheme="minorEastAsia" w:hAnsiTheme="minorEastAsia" w:hint="eastAsia"/>
          <w:color w:val="000000" w:themeColor="text1"/>
          <w:szCs w:val="21"/>
        </w:rPr>
        <w:t>合法</w:t>
      </w:r>
      <w:r w:rsidRPr="00054588">
        <w:rPr>
          <w:rFonts w:asciiTheme="minorEastAsia" w:eastAsiaTheme="minorEastAsia" w:hAnsiTheme="minorEastAsia"/>
          <w:color w:val="000000" w:themeColor="text1"/>
          <w:szCs w:val="21"/>
        </w:rPr>
        <w:t>取得基金份额的投资</w:t>
      </w:r>
      <w:r w:rsidRPr="00054588">
        <w:rPr>
          <w:rFonts w:asciiTheme="minorEastAsia" w:eastAsiaTheme="minorEastAsia" w:hAnsiTheme="minorEastAsia" w:hint="eastAsia"/>
          <w:color w:val="000000" w:themeColor="text1"/>
          <w:szCs w:val="21"/>
        </w:rPr>
        <w:t>人</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054588">
        <w:rPr>
          <w:rFonts w:asciiTheme="minorEastAsia" w:eastAsiaTheme="minorEastAsia" w:hAnsiTheme="minorEastAsia"/>
          <w:color w:val="000000" w:themeColor="text1"/>
          <w:szCs w:val="21"/>
        </w:rPr>
        <w:t>2</w:t>
      </w:r>
      <w:r w:rsidRPr="00054588" w:rsidR="00575E02">
        <w:rPr>
          <w:rFonts w:asciiTheme="minorEastAsia" w:eastAsiaTheme="minorEastAsia" w:hAnsiTheme="minorEastAsia"/>
          <w:color w:val="000000" w:themeColor="text1"/>
          <w:szCs w:val="21"/>
        </w:rPr>
        <w:t>3</w:t>
      </w:r>
      <w:r w:rsidRPr="00054588" w:rsidR="0071223F">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基金销售业务：指</w:t>
      </w:r>
      <w:r w:rsidRPr="00054588">
        <w:rPr>
          <w:rFonts w:asciiTheme="minorEastAsia" w:eastAsiaTheme="minorEastAsia" w:hAnsiTheme="minorEastAsia" w:hint="eastAsia"/>
          <w:color w:val="000000" w:themeColor="text1"/>
          <w:szCs w:val="21"/>
        </w:rPr>
        <w:t>基金管理人或</w:t>
      </w:r>
      <w:r w:rsidRPr="00054588" w:rsidR="00B47054">
        <w:rPr>
          <w:rFonts w:asciiTheme="minorEastAsia" w:eastAsiaTheme="minorEastAsia" w:hAnsiTheme="minorEastAsia" w:hint="eastAsia"/>
          <w:color w:val="000000" w:themeColor="text1"/>
          <w:szCs w:val="21"/>
        </w:rPr>
        <w:t>销售</w:t>
      </w:r>
      <w:r w:rsidRPr="00054588">
        <w:rPr>
          <w:rFonts w:asciiTheme="minorEastAsia" w:eastAsiaTheme="minorEastAsia" w:hAnsiTheme="minorEastAsia" w:hint="eastAsia"/>
          <w:color w:val="000000" w:themeColor="text1"/>
          <w:szCs w:val="21"/>
        </w:rPr>
        <w:t>机构宣传推介基金，发售基金份额，办理基金份额的</w:t>
      </w:r>
      <w:r w:rsidRPr="00054588">
        <w:rPr>
          <w:rFonts w:asciiTheme="minorEastAsia" w:eastAsiaTheme="minorEastAsia" w:hAnsiTheme="minorEastAsia"/>
          <w:color w:val="000000" w:themeColor="text1"/>
          <w:szCs w:val="21"/>
        </w:rPr>
        <w:t>申购、赎回、转换、非交易过户、转托管等业务</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054588">
        <w:rPr>
          <w:rFonts w:asciiTheme="minorEastAsia" w:eastAsiaTheme="minorEastAsia" w:hAnsiTheme="minorEastAsia"/>
          <w:color w:val="000000" w:themeColor="text1"/>
          <w:szCs w:val="21"/>
        </w:rPr>
        <w:t>2</w:t>
      </w:r>
      <w:r w:rsidRPr="00054588" w:rsidR="00575E02">
        <w:rPr>
          <w:rFonts w:asciiTheme="minorEastAsia" w:eastAsiaTheme="minorEastAsia" w:hAnsiTheme="minorEastAsia"/>
          <w:color w:val="000000" w:themeColor="text1"/>
          <w:szCs w:val="21"/>
        </w:rPr>
        <w:t>4</w:t>
      </w:r>
      <w:r w:rsidRPr="00054588" w:rsidR="0071223F">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销售机构</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指直销机构和</w:t>
      </w:r>
      <w:r w:rsidRPr="00054588" w:rsidR="00B47054">
        <w:rPr>
          <w:rFonts w:asciiTheme="minorEastAsia" w:eastAsiaTheme="minorEastAsia" w:hAnsiTheme="minorEastAsia" w:hint="eastAsia"/>
          <w:color w:val="000000" w:themeColor="text1"/>
          <w:szCs w:val="21"/>
        </w:rPr>
        <w:t>非直销销售</w:t>
      </w:r>
      <w:r w:rsidRPr="00054588">
        <w:rPr>
          <w:rFonts w:asciiTheme="minorEastAsia" w:eastAsiaTheme="minorEastAsia" w:hAnsiTheme="minorEastAsia"/>
          <w:color w:val="000000" w:themeColor="text1"/>
          <w:szCs w:val="21"/>
        </w:rPr>
        <w:t>机构</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054588">
        <w:rPr>
          <w:rFonts w:asciiTheme="minorEastAsia" w:eastAsiaTheme="minorEastAsia" w:hAnsiTheme="minorEastAsia"/>
          <w:color w:val="000000" w:themeColor="text1"/>
          <w:szCs w:val="21"/>
        </w:rPr>
        <w:t>2</w:t>
      </w:r>
      <w:r w:rsidRPr="00054588" w:rsidR="00575E02">
        <w:rPr>
          <w:rFonts w:asciiTheme="minorEastAsia" w:eastAsiaTheme="minorEastAsia" w:hAnsiTheme="minorEastAsia"/>
          <w:color w:val="000000" w:themeColor="text1"/>
          <w:szCs w:val="21"/>
        </w:rPr>
        <w:t>5</w:t>
      </w:r>
      <w:r w:rsidRPr="00054588" w:rsidR="0071223F">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直销机构：指</w:t>
      </w:r>
      <w:r w:rsidRPr="00054588">
        <w:rPr>
          <w:rFonts w:asciiTheme="minorEastAsia" w:eastAsiaTheme="minorEastAsia" w:hAnsiTheme="minorEastAsia" w:hint="eastAsia"/>
          <w:color w:val="000000" w:themeColor="text1"/>
          <w:szCs w:val="21"/>
        </w:rPr>
        <w:t>易方达</w:t>
      </w:r>
      <w:r w:rsidRPr="00054588">
        <w:rPr>
          <w:rFonts w:asciiTheme="minorEastAsia" w:eastAsiaTheme="minorEastAsia" w:hAnsiTheme="minorEastAsia"/>
          <w:color w:val="000000" w:themeColor="text1"/>
          <w:szCs w:val="21"/>
        </w:rPr>
        <w:t>基金管理有限公司</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2</w:t>
      </w:r>
      <w:r w:rsidRPr="00054588" w:rsidR="00575E02">
        <w:rPr>
          <w:rFonts w:asciiTheme="minorEastAsia" w:eastAsiaTheme="minorEastAsia" w:hAnsiTheme="minorEastAsia"/>
          <w:color w:val="000000" w:themeColor="text1"/>
          <w:szCs w:val="21"/>
        </w:rPr>
        <w:t>6</w:t>
      </w:r>
      <w:r w:rsidRPr="00054588" w:rsidR="0071223F">
        <w:rPr>
          <w:rFonts w:asciiTheme="minorEastAsia" w:eastAsiaTheme="minorEastAsia" w:hAnsiTheme="minorEastAsia" w:hint="eastAsia"/>
          <w:color w:val="000000" w:themeColor="text1"/>
          <w:szCs w:val="21"/>
        </w:rPr>
        <w:t>、</w:t>
      </w:r>
      <w:r w:rsidRPr="00054588" w:rsidR="00B47054">
        <w:rPr>
          <w:rFonts w:asciiTheme="minorEastAsia" w:eastAsiaTheme="minorEastAsia" w:hAnsiTheme="minorEastAsia" w:hint="eastAsia"/>
          <w:color w:val="000000" w:themeColor="text1"/>
          <w:szCs w:val="21"/>
        </w:rPr>
        <w:t>非直销销售</w:t>
      </w:r>
      <w:r w:rsidRPr="00054588">
        <w:rPr>
          <w:rFonts w:asciiTheme="minorEastAsia" w:eastAsiaTheme="minorEastAsia" w:hAnsiTheme="minorEastAsia"/>
          <w:color w:val="000000" w:themeColor="text1"/>
          <w:szCs w:val="21"/>
        </w:rPr>
        <w:t>机构</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指符合《销售办法》和中国证监会规定的其他条件，取得基金</w:t>
      </w:r>
      <w:r w:rsidRPr="00054588" w:rsidR="00B47054">
        <w:rPr>
          <w:rFonts w:asciiTheme="minorEastAsia" w:eastAsiaTheme="minorEastAsia" w:hAnsiTheme="minorEastAsia" w:hint="eastAsia"/>
          <w:color w:val="000000" w:themeColor="text1"/>
          <w:szCs w:val="21"/>
        </w:rPr>
        <w:t>销售</w:t>
      </w:r>
      <w:r w:rsidRPr="00054588">
        <w:rPr>
          <w:rFonts w:asciiTheme="minorEastAsia" w:eastAsiaTheme="minorEastAsia" w:hAnsiTheme="minorEastAsia"/>
          <w:color w:val="000000" w:themeColor="text1"/>
          <w:szCs w:val="21"/>
        </w:rPr>
        <w:t>业务资格并与基金管理人签订了基金销售服务协议，办理基金销售业务的机构</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2</w:t>
      </w:r>
      <w:r w:rsidRPr="00054588" w:rsidR="00575E02">
        <w:rPr>
          <w:rFonts w:asciiTheme="minorEastAsia" w:eastAsiaTheme="minorEastAsia" w:hAnsiTheme="minorEastAsia"/>
          <w:color w:val="000000" w:themeColor="text1"/>
          <w:szCs w:val="21"/>
        </w:rPr>
        <w:t>7</w:t>
      </w:r>
      <w:r w:rsidRPr="00054588" w:rsidR="0071223F">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基金销售网点</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指直销机构的直销</w:t>
      </w:r>
      <w:r w:rsidRPr="00054588" w:rsidR="00AA175D">
        <w:rPr>
          <w:rFonts w:asciiTheme="minorEastAsia" w:eastAsiaTheme="minorEastAsia" w:hAnsiTheme="minorEastAsia" w:hint="eastAsia"/>
          <w:color w:val="000000" w:themeColor="text1"/>
          <w:szCs w:val="21"/>
        </w:rPr>
        <w:t>网点</w:t>
      </w:r>
      <w:r w:rsidRPr="00054588">
        <w:rPr>
          <w:rFonts w:asciiTheme="minorEastAsia" w:eastAsiaTheme="minorEastAsia" w:hAnsiTheme="minorEastAsia"/>
          <w:color w:val="000000" w:themeColor="text1"/>
          <w:szCs w:val="21"/>
        </w:rPr>
        <w:t>及</w:t>
      </w:r>
      <w:r w:rsidRPr="00054588" w:rsidR="00B47054">
        <w:rPr>
          <w:rFonts w:asciiTheme="minorEastAsia" w:eastAsiaTheme="minorEastAsia" w:hAnsiTheme="minorEastAsia" w:hint="eastAsia"/>
          <w:color w:val="000000" w:themeColor="text1"/>
          <w:szCs w:val="21"/>
        </w:rPr>
        <w:t>非直销销售</w:t>
      </w:r>
      <w:r w:rsidRPr="00054588">
        <w:rPr>
          <w:rFonts w:asciiTheme="minorEastAsia" w:eastAsiaTheme="minorEastAsia" w:hAnsiTheme="minorEastAsia"/>
          <w:color w:val="000000" w:themeColor="text1"/>
          <w:szCs w:val="21"/>
        </w:rPr>
        <w:t>机构的</w:t>
      </w:r>
      <w:r w:rsidRPr="00054588" w:rsidR="00B47054">
        <w:rPr>
          <w:rFonts w:asciiTheme="minorEastAsia" w:eastAsiaTheme="minorEastAsia" w:hAnsiTheme="minorEastAsia" w:hint="eastAsia"/>
          <w:color w:val="000000" w:themeColor="text1"/>
          <w:szCs w:val="21"/>
        </w:rPr>
        <w:t>销售</w:t>
      </w:r>
      <w:r w:rsidRPr="00054588">
        <w:rPr>
          <w:rFonts w:asciiTheme="minorEastAsia" w:eastAsiaTheme="minorEastAsia" w:hAnsiTheme="minorEastAsia"/>
          <w:color w:val="000000" w:themeColor="text1"/>
          <w:szCs w:val="21"/>
        </w:rPr>
        <w:t>网点</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2</w:t>
      </w:r>
      <w:r w:rsidRPr="00054588" w:rsidR="00575E02">
        <w:rPr>
          <w:rFonts w:asciiTheme="minorEastAsia" w:eastAsiaTheme="minorEastAsia" w:hAnsiTheme="minorEastAsia"/>
          <w:color w:val="000000" w:themeColor="text1"/>
          <w:szCs w:val="21"/>
        </w:rPr>
        <w:t>8</w:t>
      </w:r>
      <w:r w:rsidRPr="00054588" w:rsidR="0071223F">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注册登记业务：指基金登记、存管、过户、清算和结算业务，具体内容包括投资</w:t>
      </w:r>
      <w:r w:rsidRPr="00054588">
        <w:rPr>
          <w:rFonts w:asciiTheme="minorEastAsia" w:eastAsiaTheme="minorEastAsia" w:hAnsiTheme="minorEastAsia" w:hint="eastAsia"/>
          <w:color w:val="000000" w:themeColor="text1"/>
          <w:szCs w:val="21"/>
        </w:rPr>
        <w:t>人</w:t>
      </w:r>
      <w:r w:rsidRPr="00054588">
        <w:rPr>
          <w:rFonts w:asciiTheme="minorEastAsia" w:eastAsiaTheme="minorEastAsia" w:hAnsiTheme="minorEastAsia"/>
          <w:color w:val="000000" w:themeColor="text1"/>
          <w:szCs w:val="21"/>
        </w:rPr>
        <w:t>基金账户的建立和管理、基金份额注册登记、基金</w:t>
      </w:r>
      <w:r w:rsidRPr="00054588">
        <w:rPr>
          <w:rFonts w:asciiTheme="minorEastAsia" w:eastAsiaTheme="minorEastAsia" w:hAnsiTheme="minorEastAsia" w:hint="eastAsia"/>
          <w:color w:val="000000" w:themeColor="text1"/>
          <w:szCs w:val="21"/>
        </w:rPr>
        <w:t>销售业务的</w:t>
      </w:r>
      <w:r w:rsidRPr="00054588">
        <w:rPr>
          <w:rFonts w:asciiTheme="minorEastAsia" w:eastAsiaTheme="minorEastAsia" w:hAnsiTheme="minorEastAsia"/>
          <w:color w:val="000000" w:themeColor="text1"/>
          <w:szCs w:val="21"/>
        </w:rPr>
        <w:t>确认、清算和结算、代理发放红利、建立并保管基金份额持有人名册等</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2</w:t>
      </w:r>
      <w:r w:rsidRPr="00054588" w:rsidR="00575E02">
        <w:rPr>
          <w:rFonts w:asciiTheme="minorEastAsia" w:eastAsiaTheme="minorEastAsia" w:hAnsiTheme="minorEastAsia"/>
          <w:color w:val="000000" w:themeColor="text1"/>
          <w:szCs w:val="21"/>
        </w:rPr>
        <w:t>9</w:t>
      </w:r>
      <w:r w:rsidRPr="00054588" w:rsidR="0071223F">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注册登记机构：指办理注册登记业务的机构。基金的注册登记机构为</w:t>
      </w:r>
      <w:r w:rsidRPr="00054588">
        <w:rPr>
          <w:rFonts w:asciiTheme="minorEastAsia" w:eastAsiaTheme="minorEastAsia" w:hAnsiTheme="minorEastAsia" w:hint="eastAsia"/>
          <w:color w:val="000000" w:themeColor="text1"/>
          <w:szCs w:val="21"/>
        </w:rPr>
        <w:t>易方达</w:t>
      </w:r>
      <w:r w:rsidRPr="00054588">
        <w:rPr>
          <w:rFonts w:asciiTheme="minorEastAsia" w:eastAsiaTheme="minorEastAsia" w:hAnsiTheme="minorEastAsia"/>
          <w:color w:val="000000" w:themeColor="text1"/>
          <w:szCs w:val="21"/>
        </w:rPr>
        <w:t>基金管理有限公司或接受</w:t>
      </w:r>
      <w:r w:rsidRPr="00054588">
        <w:rPr>
          <w:rFonts w:asciiTheme="minorEastAsia" w:eastAsiaTheme="minorEastAsia" w:hAnsiTheme="minorEastAsia" w:hint="eastAsia"/>
          <w:color w:val="000000" w:themeColor="text1"/>
          <w:szCs w:val="21"/>
        </w:rPr>
        <w:t>易方达</w:t>
      </w:r>
      <w:r w:rsidRPr="00054588">
        <w:rPr>
          <w:rFonts w:asciiTheme="minorEastAsia" w:eastAsiaTheme="minorEastAsia" w:hAnsiTheme="minorEastAsia"/>
          <w:color w:val="000000" w:themeColor="text1"/>
          <w:szCs w:val="21"/>
        </w:rPr>
        <w:t>基金管理有限公司委托代为办理注册登记业务的机构</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054588">
        <w:rPr>
          <w:rFonts w:asciiTheme="minorEastAsia" w:eastAsiaTheme="minorEastAsia" w:hAnsiTheme="minorEastAsia"/>
          <w:color w:val="000000" w:themeColor="text1"/>
          <w:szCs w:val="21"/>
        </w:rPr>
        <w:t>30</w:t>
      </w:r>
      <w:r w:rsidRPr="00054588" w:rsidR="0071223F">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基金账户</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指注册登记机构为投资</w:t>
      </w:r>
      <w:r w:rsidRPr="00054588">
        <w:rPr>
          <w:rFonts w:asciiTheme="minorEastAsia" w:eastAsiaTheme="minorEastAsia" w:hAnsiTheme="minorEastAsia" w:hint="eastAsia"/>
          <w:color w:val="000000" w:themeColor="text1"/>
          <w:szCs w:val="21"/>
        </w:rPr>
        <w:t>人</w:t>
      </w:r>
      <w:r w:rsidRPr="00054588">
        <w:rPr>
          <w:rFonts w:asciiTheme="minorEastAsia" w:eastAsiaTheme="minorEastAsia" w:hAnsiTheme="minorEastAsia"/>
          <w:color w:val="000000" w:themeColor="text1"/>
          <w:szCs w:val="21"/>
        </w:rPr>
        <w:t>开立的、记录其持有的、基金管理人所管理的基金份额余额及其变动情况的账户</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054588">
        <w:rPr>
          <w:rFonts w:asciiTheme="minorEastAsia" w:eastAsiaTheme="minorEastAsia" w:hAnsiTheme="minorEastAsia"/>
          <w:color w:val="000000" w:themeColor="text1"/>
          <w:szCs w:val="21"/>
        </w:rPr>
        <w:t>3</w:t>
      </w:r>
      <w:r w:rsidRPr="00054588" w:rsidR="00575E02">
        <w:rPr>
          <w:rFonts w:asciiTheme="minorEastAsia" w:eastAsiaTheme="minorEastAsia" w:hAnsiTheme="minorEastAsia"/>
          <w:color w:val="000000" w:themeColor="text1"/>
          <w:szCs w:val="21"/>
        </w:rPr>
        <w:t>1</w:t>
      </w:r>
      <w:r w:rsidRPr="00054588" w:rsidR="0071223F">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基金交易账户：指销售机构为投资</w:t>
      </w:r>
      <w:r w:rsidRPr="00054588">
        <w:rPr>
          <w:rFonts w:asciiTheme="minorEastAsia" w:eastAsiaTheme="minorEastAsia" w:hAnsiTheme="minorEastAsia" w:hint="eastAsia"/>
          <w:color w:val="000000" w:themeColor="text1"/>
          <w:szCs w:val="21"/>
        </w:rPr>
        <w:t>人</w:t>
      </w:r>
      <w:r w:rsidRPr="00054588">
        <w:rPr>
          <w:rFonts w:asciiTheme="minorEastAsia" w:eastAsiaTheme="minorEastAsia" w:hAnsiTheme="minorEastAsia"/>
          <w:color w:val="000000" w:themeColor="text1"/>
          <w:szCs w:val="21"/>
        </w:rPr>
        <w:t>开立的、记录投资</w:t>
      </w:r>
      <w:r w:rsidRPr="00054588">
        <w:rPr>
          <w:rFonts w:asciiTheme="minorEastAsia" w:eastAsiaTheme="minorEastAsia" w:hAnsiTheme="minorEastAsia" w:hint="eastAsia"/>
          <w:color w:val="000000" w:themeColor="text1"/>
          <w:szCs w:val="21"/>
        </w:rPr>
        <w:t>人</w:t>
      </w:r>
      <w:r w:rsidRPr="00054588">
        <w:rPr>
          <w:rFonts w:asciiTheme="minorEastAsia" w:eastAsiaTheme="minorEastAsia" w:hAnsiTheme="minorEastAsia"/>
          <w:color w:val="000000" w:themeColor="text1"/>
          <w:szCs w:val="21"/>
        </w:rPr>
        <w:t>通过该销售机构买卖</w:t>
      </w:r>
      <w:r w:rsidRPr="00054588">
        <w:rPr>
          <w:rFonts w:asciiTheme="minorEastAsia" w:eastAsiaTheme="minorEastAsia" w:hAnsiTheme="minorEastAsia" w:hint="eastAsia"/>
          <w:color w:val="000000" w:themeColor="text1"/>
          <w:szCs w:val="21"/>
        </w:rPr>
        <w:t>本基金的</w:t>
      </w:r>
      <w:r w:rsidRPr="00054588">
        <w:rPr>
          <w:rFonts w:asciiTheme="minorEastAsia" w:eastAsiaTheme="minorEastAsia" w:hAnsiTheme="minorEastAsia"/>
          <w:color w:val="000000" w:themeColor="text1"/>
          <w:szCs w:val="21"/>
        </w:rPr>
        <w:t>基金份额变动及结余情况的账户</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054588">
        <w:rPr>
          <w:rFonts w:asciiTheme="minorEastAsia" w:eastAsiaTheme="minorEastAsia" w:hAnsiTheme="minorEastAsia"/>
          <w:color w:val="000000" w:themeColor="text1"/>
          <w:szCs w:val="21"/>
        </w:rPr>
        <w:t>3</w:t>
      </w:r>
      <w:r w:rsidRPr="00054588" w:rsidR="00575E02">
        <w:rPr>
          <w:rFonts w:asciiTheme="minorEastAsia" w:eastAsiaTheme="minorEastAsia" w:hAnsiTheme="minorEastAsia"/>
          <w:color w:val="000000" w:themeColor="text1"/>
          <w:szCs w:val="21"/>
        </w:rPr>
        <w:t>2</w:t>
      </w:r>
      <w:r w:rsidRPr="00054588" w:rsidR="0071223F">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基金合同生效日</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指</w:t>
      </w:r>
      <w:r w:rsidRPr="00054588">
        <w:rPr>
          <w:rFonts w:asciiTheme="minorEastAsia" w:eastAsiaTheme="minorEastAsia" w:hAnsiTheme="minorEastAsia" w:hint="eastAsia"/>
          <w:color w:val="000000" w:themeColor="text1"/>
          <w:szCs w:val="21"/>
        </w:rPr>
        <w:t>基金募集达到法律法规规定及基金合同规定的条件，基金管理人向</w:t>
      </w:r>
      <w:r w:rsidRPr="00054588">
        <w:rPr>
          <w:rFonts w:asciiTheme="minorEastAsia" w:eastAsiaTheme="minorEastAsia" w:hAnsiTheme="minorEastAsia"/>
          <w:color w:val="000000" w:themeColor="text1"/>
          <w:szCs w:val="21"/>
        </w:rPr>
        <w:t>中国证监会</w:t>
      </w:r>
      <w:r w:rsidRPr="00054588">
        <w:rPr>
          <w:rFonts w:asciiTheme="minorEastAsia" w:eastAsiaTheme="minorEastAsia" w:hAnsiTheme="minorEastAsia" w:hint="eastAsia"/>
          <w:color w:val="000000" w:themeColor="text1"/>
          <w:szCs w:val="21"/>
        </w:rPr>
        <w:t>办理基金备案手续完毕，并获得中国证监会书面确认的日期</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054588">
        <w:rPr>
          <w:rFonts w:asciiTheme="minorEastAsia" w:eastAsiaTheme="minorEastAsia" w:hAnsiTheme="minorEastAsia"/>
          <w:color w:val="000000" w:themeColor="text1"/>
          <w:szCs w:val="21"/>
        </w:rPr>
        <w:t>3</w:t>
      </w:r>
      <w:r w:rsidRPr="00054588" w:rsidR="00575E02">
        <w:rPr>
          <w:rFonts w:asciiTheme="minorEastAsia" w:eastAsiaTheme="minorEastAsia" w:hAnsiTheme="minorEastAsia"/>
          <w:color w:val="000000" w:themeColor="text1"/>
          <w:szCs w:val="21"/>
        </w:rPr>
        <w:t>3</w:t>
      </w:r>
      <w:r w:rsidRPr="00054588" w:rsidR="0071223F">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基金合同终止日：指基金合同规定的基金合同终止事由出现后</w:t>
      </w:r>
      <w:r w:rsidRPr="00054588">
        <w:rPr>
          <w:rFonts w:asciiTheme="minorEastAsia" w:eastAsiaTheme="minorEastAsia" w:hAnsiTheme="minorEastAsia" w:hint="eastAsia"/>
          <w:color w:val="000000" w:themeColor="text1"/>
          <w:szCs w:val="21"/>
        </w:rPr>
        <w:t>，基金财产清算完毕，清算结果报中国证监会备案并予以公告</w:t>
      </w:r>
      <w:r w:rsidRPr="00054588">
        <w:rPr>
          <w:rFonts w:asciiTheme="minorEastAsia" w:eastAsiaTheme="minorEastAsia" w:hAnsiTheme="minorEastAsia"/>
          <w:color w:val="000000" w:themeColor="text1"/>
          <w:szCs w:val="21"/>
        </w:rPr>
        <w:t>的日期</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054588">
        <w:rPr>
          <w:rFonts w:asciiTheme="minorEastAsia" w:eastAsiaTheme="minorEastAsia" w:hAnsiTheme="minorEastAsia"/>
          <w:color w:val="000000" w:themeColor="text1"/>
          <w:szCs w:val="21"/>
        </w:rPr>
        <w:t>3</w:t>
      </w:r>
      <w:r w:rsidRPr="00054588" w:rsidR="00575E02">
        <w:rPr>
          <w:rFonts w:asciiTheme="minorEastAsia" w:eastAsiaTheme="minorEastAsia" w:hAnsiTheme="minorEastAsia"/>
          <w:color w:val="000000" w:themeColor="text1"/>
          <w:szCs w:val="21"/>
        </w:rPr>
        <w:t>4</w:t>
      </w:r>
      <w:r w:rsidRPr="00054588" w:rsidR="0071223F">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基金募集期</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指</w:t>
      </w:r>
      <w:r w:rsidRPr="00054588">
        <w:rPr>
          <w:rFonts w:asciiTheme="minorEastAsia" w:eastAsiaTheme="minorEastAsia" w:hAnsiTheme="minorEastAsia" w:hint="eastAsia"/>
          <w:color w:val="000000" w:themeColor="text1"/>
          <w:szCs w:val="21"/>
        </w:rPr>
        <w:t>自</w:t>
      </w:r>
      <w:r w:rsidRPr="00054588">
        <w:rPr>
          <w:rFonts w:asciiTheme="minorEastAsia" w:eastAsiaTheme="minorEastAsia" w:hAnsiTheme="minorEastAsia"/>
          <w:color w:val="000000" w:themeColor="text1"/>
          <w:szCs w:val="21"/>
        </w:rPr>
        <w:t>基金份额发售之日起至发售结束之日止的期间，最长不得超过</w:t>
      </w:r>
      <w:r w:rsidRPr="00054588">
        <w:rPr>
          <w:rFonts w:asciiTheme="minorEastAsia" w:eastAsiaTheme="minorEastAsia" w:hAnsiTheme="minorEastAsia" w:hint="eastAsia"/>
          <w:color w:val="000000" w:themeColor="text1"/>
          <w:szCs w:val="21"/>
        </w:rPr>
        <w:t>3</w:t>
      </w:r>
      <w:r w:rsidRPr="00054588">
        <w:rPr>
          <w:rFonts w:asciiTheme="minorEastAsia" w:eastAsiaTheme="minorEastAsia" w:hAnsiTheme="minorEastAsia"/>
          <w:color w:val="000000" w:themeColor="text1"/>
          <w:szCs w:val="21"/>
        </w:rPr>
        <w:t>个月</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054588">
        <w:rPr>
          <w:rFonts w:asciiTheme="minorEastAsia" w:eastAsiaTheme="minorEastAsia" w:hAnsiTheme="minorEastAsia"/>
          <w:color w:val="000000" w:themeColor="text1"/>
          <w:szCs w:val="21"/>
        </w:rPr>
        <w:t>3</w:t>
      </w:r>
      <w:r w:rsidRPr="00054588" w:rsidR="00575E02">
        <w:rPr>
          <w:rFonts w:asciiTheme="minorEastAsia" w:eastAsiaTheme="minorEastAsia" w:hAnsiTheme="minorEastAsia"/>
          <w:color w:val="000000" w:themeColor="text1"/>
          <w:szCs w:val="21"/>
        </w:rPr>
        <w:t>5</w:t>
      </w:r>
      <w:r w:rsidRPr="00054588" w:rsidR="0071223F">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存续期</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指基金合同生效至终止之间的不定期期限</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3</w:t>
      </w:r>
      <w:r w:rsidRPr="00054588" w:rsidR="00575E02">
        <w:rPr>
          <w:rFonts w:asciiTheme="minorEastAsia" w:eastAsiaTheme="minorEastAsia" w:hAnsiTheme="minorEastAsia"/>
          <w:color w:val="000000" w:themeColor="text1"/>
          <w:szCs w:val="21"/>
        </w:rPr>
        <w:t>6</w:t>
      </w:r>
      <w:r w:rsidRPr="00054588" w:rsidR="0071223F">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工作日</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指上海证券交易所、深圳证券交易所的正常交易日</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054588">
        <w:rPr>
          <w:rFonts w:asciiTheme="minorEastAsia" w:eastAsiaTheme="minorEastAsia" w:hAnsiTheme="minorEastAsia"/>
          <w:color w:val="000000" w:themeColor="text1"/>
          <w:szCs w:val="21"/>
        </w:rPr>
        <w:t>3</w:t>
      </w:r>
      <w:r w:rsidRPr="00054588" w:rsidR="00575E02">
        <w:rPr>
          <w:rFonts w:asciiTheme="minorEastAsia" w:eastAsiaTheme="minorEastAsia" w:hAnsiTheme="minorEastAsia"/>
          <w:color w:val="000000" w:themeColor="text1"/>
          <w:szCs w:val="21"/>
        </w:rPr>
        <w:t>7</w:t>
      </w:r>
      <w:r w:rsidRPr="00054588" w:rsidR="0071223F">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T日</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指</w:t>
      </w:r>
      <w:r w:rsidRPr="00054588">
        <w:rPr>
          <w:rFonts w:asciiTheme="minorEastAsia" w:eastAsiaTheme="minorEastAsia" w:hAnsiTheme="minorEastAsia" w:hint="eastAsia"/>
          <w:color w:val="000000" w:themeColor="text1"/>
          <w:szCs w:val="21"/>
        </w:rPr>
        <w:t>销售机构在规定时间受理</w:t>
      </w:r>
      <w:r w:rsidRPr="00054588">
        <w:rPr>
          <w:rFonts w:asciiTheme="minorEastAsia" w:eastAsiaTheme="minorEastAsia" w:hAnsiTheme="minorEastAsia"/>
          <w:color w:val="000000" w:themeColor="text1"/>
          <w:szCs w:val="21"/>
        </w:rPr>
        <w:t>投资</w:t>
      </w:r>
      <w:r w:rsidRPr="00054588">
        <w:rPr>
          <w:rFonts w:asciiTheme="minorEastAsia" w:eastAsiaTheme="minorEastAsia" w:hAnsiTheme="minorEastAsia" w:hint="eastAsia"/>
          <w:color w:val="000000" w:themeColor="text1"/>
          <w:szCs w:val="21"/>
        </w:rPr>
        <w:t>人申购、赎回或其他业务</w:t>
      </w:r>
      <w:r w:rsidRPr="00054588">
        <w:rPr>
          <w:rFonts w:asciiTheme="minorEastAsia" w:eastAsiaTheme="minorEastAsia" w:hAnsiTheme="minorEastAsia"/>
          <w:color w:val="000000" w:themeColor="text1"/>
          <w:szCs w:val="21"/>
        </w:rPr>
        <w:t>申请</w:t>
      </w:r>
      <w:r w:rsidRPr="00054588">
        <w:rPr>
          <w:rFonts w:asciiTheme="minorEastAsia" w:eastAsiaTheme="minorEastAsia" w:hAnsiTheme="minorEastAsia" w:hint="eastAsia"/>
          <w:color w:val="000000" w:themeColor="text1"/>
          <w:szCs w:val="21"/>
        </w:rPr>
        <w:t>的</w:t>
      </w:r>
      <w:r w:rsidRPr="00054588">
        <w:rPr>
          <w:rFonts w:asciiTheme="minorEastAsia" w:eastAsiaTheme="minorEastAsia" w:hAnsiTheme="minorEastAsia"/>
          <w:color w:val="000000" w:themeColor="text1"/>
          <w:szCs w:val="21"/>
        </w:rPr>
        <w:t>工作日</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054588">
        <w:rPr>
          <w:rFonts w:asciiTheme="minorEastAsia" w:eastAsiaTheme="minorEastAsia" w:hAnsiTheme="minorEastAsia"/>
          <w:color w:val="000000" w:themeColor="text1"/>
          <w:szCs w:val="21"/>
        </w:rPr>
        <w:t>3</w:t>
      </w:r>
      <w:r w:rsidRPr="00054588" w:rsidR="00575E02">
        <w:rPr>
          <w:rFonts w:asciiTheme="minorEastAsia" w:eastAsiaTheme="minorEastAsia" w:hAnsiTheme="minorEastAsia"/>
          <w:color w:val="000000" w:themeColor="text1"/>
          <w:szCs w:val="21"/>
        </w:rPr>
        <w:t>8</w:t>
      </w:r>
      <w:r w:rsidRPr="00054588" w:rsidR="0071223F">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T+n日</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指自T日起第n个工作日</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不包含T日</w:t>
      </w:r>
      <w:r w:rsidRPr="00054588">
        <w:rPr>
          <w:rFonts w:asciiTheme="minorEastAsia" w:eastAsiaTheme="minorEastAsia" w:hAnsiTheme="minorEastAsia" w:hint="eastAsia"/>
          <w:color w:val="000000" w:themeColor="text1"/>
          <w:szCs w:val="21"/>
        </w:rPr>
        <w:t>)</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3</w:t>
      </w:r>
      <w:r w:rsidRPr="00054588" w:rsidR="00575E02">
        <w:rPr>
          <w:rFonts w:asciiTheme="minorEastAsia" w:eastAsiaTheme="minorEastAsia" w:hAnsiTheme="minorEastAsia"/>
          <w:color w:val="000000" w:themeColor="text1"/>
          <w:szCs w:val="21"/>
        </w:rPr>
        <w:t>9</w:t>
      </w:r>
      <w:r w:rsidRPr="00054588" w:rsidR="0071223F">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开放日</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指</w:t>
      </w:r>
      <w:r w:rsidRPr="00054588">
        <w:rPr>
          <w:rFonts w:asciiTheme="minorEastAsia" w:eastAsiaTheme="minorEastAsia" w:hAnsiTheme="minorEastAsia" w:hint="eastAsia"/>
          <w:color w:val="000000" w:themeColor="text1"/>
          <w:szCs w:val="21"/>
        </w:rPr>
        <w:t>为投资人</w:t>
      </w:r>
      <w:r w:rsidRPr="00054588">
        <w:rPr>
          <w:rFonts w:asciiTheme="minorEastAsia" w:eastAsiaTheme="minorEastAsia" w:hAnsiTheme="minorEastAsia"/>
          <w:color w:val="000000" w:themeColor="text1"/>
          <w:szCs w:val="21"/>
        </w:rPr>
        <w:t>办理基金份额申购、赎回</w:t>
      </w:r>
      <w:r w:rsidRPr="00054588">
        <w:rPr>
          <w:rFonts w:asciiTheme="minorEastAsia" w:eastAsiaTheme="minorEastAsia" w:hAnsiTheme="minorEastAsia" w:hint="eastAsia"/>
          <w:color w:val="000000" w:themeColor="text1"/>
          <w:szCs w:val="21"/>
        </w:rPr>
        <w:t>或其他</w:t>
      </w:r>
      <w:r w:rsidRPr="00054588">
        <w:rPr>
          <w:rFonts w:asciiTheme="minorEastAsia" w:eastAsiaTheme="minorEastAsia" w:hAnsiTheme="minorEastAsia"/>
          <w:color w:val="000000" w:themeColor="text1"/>
          <w:szCs w:val="21"/>
        </w:rPr>
        <w:t>业务的</w:t>
      </w:r>
      <w:r w:rsidRPr="00054588">
        <w:rPr>
          <w:rFonts w:asciiTheme="minorEastAsia" w:eastAsiaTheme="minorEastAsia" w:hAnsiTheme="minorEastAsia" w:hint="eastAsia"/>
          <w:color w:val="000000" w:themeColor="text1"/>
          <w:szCs w:val="21"/>
        </w:rPr>
        <w:t>工作日</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054588">
        <w:rPr>
          <w:rFonts w:asciiTheme="minorEastAsia" w:eastAsiaTheme="minorEastAsia" w:hAnsiTheme="minorEastAsia"/>
          <w:color w:val="000000" w:themeColor="text1"/>
          <w:szCs w:val="21"/>
        </w:rPr>
        <w:t>40</w:t>
      </w:r>
      <w:r w:rsidRPr="00054588" w:rsidR="0071223F">
        <w:rPr>
          <w:rFonts w:asciiTheme="minorEastAsia" w:eastAsiaTheme="minorEastAsia" w:hAnsiTheme="minorEastAsia" w:hint="eastAsia"/>
          <w:color w:val="000000" w:themeColor="text1"/>
          <w:szCs w:val="21"/>
        </w:rPr>
        <w:t>、</w:t>
      </w:r>
      <w:r w:rsidRPr="00054588">
        <w:rPr>
          <w:rFonts w:asciiTheme="minorEastAsia" w:eastAsiaTheme="minorEastAsia" w:hAnsiTheme="minorEastAsia" w:hint="eastAsia"/>
          <w:color w:val="000000" w:themeColor="text1"/>
          <w:szCs w:val="21"/>
        </w:rPr>
        <w:t>交易时间：指开放日基金接受申购、赎回或其他交易的时间段</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054588">
        <w:rPr>
          <w:rFonts w:asciiTheme="minorEastAsia" w:eastAsiaTheme="minorEastAsia" w:hAnsiTheme="minorEastAsia"/>
          <w:color w:val="000000" w:themeColor="text1"/>
          <w:szCs w:val="21"/>
        </w:rPr>
        <w:t>4</w:t>
      </w:r>
      <w:r w:rsidRPr="00054588" w:rsidR="00575E02">
        <w:rPr>
          <w:rFonts w:asciiTheme="minorEastAsia" w:eastAsiaTheme="minorEastAsia" w:hAnsiTheme="minorEastAsia"/>
          <w:color w:val="000000" w:themeColor="text1"/>
          <w:szCs w:val="21"/>
        </w:rPr>
        <w:t>1</w:t>
      </w:r>
      <w:r w:rsidRPr="00054588" w:rsidR="0071223F">
        <w:rPr>
          <w:rFonts w:asciiTheme="minorEastAsia" w:eastAsiaTheme="minorEastAsia" w:hAnsiTheme="minorEastAsia" w:hint="eastAsia"/>
          <w:color w:val="000000" w:themeColor="text1"/>
          <w:szCs w:val="21"/>
        </w:rPr>
        <w:t>、</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业务规则</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指《</w:t>
      </w:r>
      <w:r w:rsidRPr="00054588">
        <w:rPr>
          <w:rFonts w:asciiTheme="minorEastAsia" w:eastAsiaTheme="minorEastAsia" w:hAnsiTheme="minorEastAsia" w:hint="eastAsia"/>
          <w:color w:val="000000" w:themeColor="text1"/>
          <w:szCs w:val="21"/>
        </w:rPr>
        <w:t>易方达</w:t>
      </w:r>
      <w:r w:rsidRPr="00054588">
        <w:rPr>
          <w:rFonts w:asciiTheme="minorEastAsia" w:eastAsiaTheme="minorEastAsia" w:hAnsiTheme="minorEastAsia"/>
          <w:color w:val="000000" w:themeColor="text1"/>
          <w:szCs w:val="21"/>
        </w:rPr>
        <w:t>基金管理有限公司开放式基金业务规则》，是规范基金管理人所管理的开放式证券投资基金注册登记方面的业务规则</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054588">
        <w:rPr>
          <w:rFonts w:asciiTheme="minorEastAsia" w:eastAsiaTheme="minorEastAsia" w:hAnsiTheme="minorEastAsia"/>
          <w:color w:val="000000" w:themeColor="text1"/>
          <w:szCs w:val="21"/>
        </w:rPr>
        <w:t>4</w:t>
      </w:r>
      <w:r w:rsidRPr="00054588" w:rsidR="00575E02">
        <w:rPr>
          <w:rFonts w:asciiTheme="minorEastAsia" w:eastAsiaTheme="minorEastAsia" w:hAnsiTheme="minorEastAsia"/>
          <w:color w:val="000000" w:themeColor="text1"/>
          <w:szCs w:val="21"/>
        </w:rPr>
        <w:t>2</w:t>
      </w:r>
      <w:r w:rsidRPr="00054588" w:rsidR="0071223F">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认购</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指在基金募集期</w:t>
      </w:r>
      <w:r w:rsidRPr="00054588">
        <w:rPr>
          <w:rFonts w:asciiTheme="minorEastAsia" w:eastAsiaTheme="minorEastAsia" w:hAnsiTheme="minorEastAsia" w:hint="eastAsia"/>
          <w:color w:val="000000" w:themeColor="text1"/>
          <w:szCs w:val="21"/>
        </w:rPr>
        <w:t>内</w:t>
      </w:r>
      <w:r w:rsidRPr="00054588">
        <w:rPr>
          <w:rFonts w:asciiTheme="minorEastAsia" w:eastAsiaTheme="minorEastAsia" w:hAnsiTheme="minorEastAsia"/>
          <w:color w:val="000000" w:themeColor="text1"/>
          <w:szCs w:val="21"/>
        </w:rPr>
        <w:t>，投资</w:t>
      </w:r>
      <w:r w:rsidRPr="00054588">
        <w:rPr>
          <w:rFonts w:asciiTheme="minorEastAsia" w:eastAsiaTheme="minorEastAsia" w:hAnsiTheme="minorEastAsia" w:hint="eastAsia"/>
          <w:color w:val="000000" w:themeColor="text1"/>
          <w:szCs w:val="21"/>
        </w:rPr>
        <w:t>人</w:t>
      </w:r>
      <w:r w:rsidRPr="00054588">
        <w:rPr>
          <w:rFonts w:asciiTheme="minorEastAsia" w:eastAsiaTheme="minorEastAsia" w:hAnsiTheme="minorEastAsia"/>
          <w:color w:val="000000" w:themeColor="text1"/>
          <w:szCs w:val="21"/>
        </w:rPr>
        <w:t>申请购买基金份额的行为</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054588">
        <w:rPr>
          <w:rFonts w:asciiTheme="minorEastAsia" w:eastAsiaTheme="minorEastAsia" w:hAnsiTheme="minorEastAsia"/>
          <w:color w:val="000000" w:themeColor="text1"/>
          <w:szCs w:val="21"/>
        </w:rPr>
        <w:t>4</w:t>
      </w:r>
      <w:r w:rsidRPr="00054588" w:rsidR="00575E02">
        <w:rPr>
          <w:rFonts w:asciiTheme="minorEastAsia" w:eastAsiaTheme="minorEastAsia" w:hAnsiTheme="minorEastAsia"/>
          <w:color w:val="000000" w:themeColor="text1"/>
          <w:szCs w:val="21"/>
        </w:rPr>
        <w:t>3</w:t>
      </w:r>
      <w:r w:rsidRPr="00054588" w:rsidR="0071223F">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申购</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指</w:t>
      </w:r>
      <w:r w:rsidRPr="00054588">
        <w:rPr>
          <w:rFonts w:asciiTheme="minorEastAsia" w:eastAsiaTheme="minorEastAsia" w:hAnsiTheme="minorEastAsia" w:hint="eastAsia"/>
          <w:color w:val="000000" w:themeColor="text1"/>
          <w:szCs w:val="21"/>
        </w:rPr>
        <w:t>基金合同生效后</w:t>
      </w:r>
      <w:r w:rsidRPr="00054588">
        <w:rPr>
          <w:rFonts w:asciiTheme="minorEastAsia" w:eastAsiaTheme="minorEastAsia" w:hAnsiTheme="minorEastAsia"/>
          <w:color w:val="000000" w:themeColor="text1"/>
          <w:szCs w:val="21"/>
        </w:rPr>
        <w:t>，投资</w:t>
      </w:r>
      <w:r w:rsidRPr="00054588">
        <w:rPr>
          <w:rFonts w:asciiTheme="minorEastAsia" w:eastAsiaTheme="minorEastAsia" w:hAnsiTheme="minorEastAsia" w:hint="eastAsia"/>
          <w:color w:val="000000" w:themeColor="text1"/>
          <w:szCs w:val="21"/>
        </w:rPr>
        <w:t>人根据基金合同和招募说明书的规定</w:t>
      </w:r>
      <w:r w:rsidRPr="00054588">
        <w:rPr>
          <w:rFonts w:asciiTheme="minorEastAsia" w:eastAsiaTheme="minorEastAsia" w:hAnsiTheme="minorEastAsia"/>
          <w:color w:val="000000" w:themeColor="text1"/>
          <w:szCs w:val="21"/>
        </w:rPr>
        <w:t>申请购买基金份额的行为</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4</w:t>
      </w:r>
      <w:r w:rsidRPr="00054588" w:rsidR="00575E02">
        <w:rPr>
          <w:rFonts w:asciiTheme="minorEastAsia" w:eastAsiaTheme="minorEastAsia" w:hAnsiTheme="minorEastAsia"/>
          <w:color w:val="000000" w:themeColor="text1"/>
          <w:szCs w:val="21"/>
        </w:rPr>
        <w:t>4</w:t>
      </w:r>
      <w:r w:rsidRPr="00054588" w:rsidR="0071223F">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赎回</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指</w:t>
      </w:r>
      <w:r w:rsidRPr="00054588">
        <w:rPr>
          <w:rFonts w:asciiTheme="minorEastAsia" w:eastAsiaTheme="minorEastAsia" w:hAnsiTheme="minorEastAsia" w:hint="eastAsia"/>
          <w:color w:val="000000" w:themeColor="text1"/>
          <w:szCs w:val="21"/>
        </w:rPr>
        <w:t>基金合同生效后，</w:t>
      </w:r>
      <w:r w:rsidRPr="00054588">
        <w:rPr>
          <w:rFonts w:asciiTheme="minorEastAsia" w:eastAsiaTheme="minorEastAsia" w:hAnsiTheme="minorEastAsia"/>
          <w:color w:val="000000" w:themeColor="text1"/>
          <w:szCs w:val="21"/>
        </w:rPr>
        <w:t>基金份额持有人按基金合同规定的条件要求</w:t>
      </w:r>
      <w:r w:rsidRPr="00054588">
        <w:rPr>
          <w:rFonts w:asciiTheme="minorEastAsia" w:eastAsiaTheme="minorEastAsia" w:hAnsiTheme="minorEastAsia" w:hint="eastAsia"/>
          <w:color w:val="000000" w:themeColor="text1"/>
          <w:szCs w:val="21"/>
        </w:rPr>
        <w:t>将</w:t>
      </w:r>
      <w:r w:rsidRPr="00054588">
        <w:rPr>
          <w:rFonts w:asciiTheme="minorEastAsia" w:eastAsiaTheme="minorEastAsia" w:hAnsiTheme="minorEastAsia"/>
          <w:color w:val="000000" w:themeColor="text1"/>
          <w:szCs w:val="21"/>
        </w:rPr>
        <w:t>基金份额</w:t>
      </w:r>
      <w:r w:rsidRPr="00054588">
        <w:rPr>
          <w:rFonts w:asciiTheme="minorEastAsia" w:eastAsiaTheme="minorEastAsia" w:hAnsiTheme="minorEastAsia" w:hint="eastAsia"/>
          <w:color w:val="000000" w:themeColor="text1"/>
          <w:szCs w:val="21"/>
        </w:rPr>
        <w:t>兑换为现金</w:t>
      </w:r>
      <w:r w:rsidRPr="00054588">
        <w:rPr>
          <w:rFonts w:asciiTheme="minorEastAsia" w:eastAsiaTheme="minorEastAsia" w:hAnsiTheme="minorEastAsia"/>
          <w:color w:val="000000" w:themeColor="text1"/>
          <w:szCs w:val="21"/>
        </w:rPr>
        <w:t>的行为</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4</w:t>
      </w:r>
      <w:r w:rsidRPr="00054588" w:rsidR="00575E02">
        <w:rPr>
          <w:rFonts w:asciiTheme="minorEastAsia" w:eastAsiaTheme="minorEastAsia" w:hAnsiTheme="minorEastAsia"/>
          <w:color w:val="000000" w:themeColor="text1"/>
          <w:szCs w:val="21"/>
        </w:rPr>
        <w:t>5</w:t>
      </w:r>
      <w:r w:rsidRPr="00054588" w:rsidR="0071223F">
        <w:rPr>
          <w:rFonts w:asciiTheme="minorEastAsia" w:eastAsiaTheme="minorEastAsia" w:hAnsiTheme="minorEastAsia" w:hint="eastAsia"/>
          <w:color w:val="000000" w:themeColor="text1"/>
          <w:szCs w:val="21"/>
        </w:rPr>
        <w:t>、</w:t>
      </w:r>
      <w:r w:rsidRPr="00054588">
        <w:rPr>
          <w:rFonts w:asciiTheme="minorEastAsia" w:eastAsiaTheme="minorEastAsia" w:hAnsiTheme="minorEastAsia" w:hint="eastAsia"/>
          <w:color w:val="000000" w:themeColor="text1"/>
          <w:szCs w:val="21"/>
        </w:rPr>
        <w:t>销售服务费：指从基金资产中计提的，用于本基金市场推广、销售以及基金份额持有人服务的费用</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4</w:t>
      </w:r>
      <w:r w:rsidRPr="00054588" w:rsidR="00575E02">
        <w:rPr>
          <w:rFonts w:asciiTheme="minorEastAsia" w:eastAsiaTheme="minorEastAsia" w:hAnsiTheme="minorEastAsia"/>
          <w:color w:val="000000" w:themeColor="text1"/>
          <w:szCs w:val="21"/>
        </w:rPr>
        <w:t>6</w:t>
      </w:r>
      <w:r w:rsidRPr="00054588" w:rsidR="0071223F">
        <w:rPr>
          <w:rFonts w:asciiTheme="minorEastAsia" w:eastAsiaTheme="minorEastAsia" w:hAnsiTheme="minorEastAsia" w:hint="eastAsia"/>
          <w:color w:val="000000" w:themeColor="text1"/>
          <w:szCs w:val="21"/>
        </w:rPr>
        <w:t>、</w:t>
      </w:r>
      <w:r w:rsidRPr="00054588">
        <w:rPr>
          <w:rFonts w:asciiTheme="minorEastAsia" w:eastAsiaTheme="minorEastAsia" w:hAnsiTheme="minorEastAsia" w:hint="eastAsia"/>
          <w:color w:val="000000" w:themeColor="text1"/>
          <w:szCs w:val="21"/>
        </w:rPr>
        <w:t>基金份额类别：指根据认购/申购费用、赎回费用收取方式的不同将基金份额分为不同的类别，各基金份额类别代码不同，基金份额净值和基金份额累计净值或有不同</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054588">
        <w:rPr>
          <w:rFonts w:asciiTheme="minorEastAsia" w:eastAsiaTheme="minorEastAsia" w:hAnsiTheme="minorEastAsia"/>
          <w:color w:val="000000" w:themeColor="text1"/>
          <w:szCs w:val="21"/>
        </w:rPr>
        <w:t>4</w:t>
      </w:r>
      <w:r w:rsidRPr="00054588" w:rsidR="00575E02">
        <w:rPr>
          <w:rFonts w:asciiTheme="minorEastAsia" w:eastAsiaTheme="minorEastAsia" w:hAnsiTheme="minorEastAsia"/>
          <w:color w:val="000000" w:themeColor="text1"/>
          <w:szCs w:val="21"/>
        </w:rPr>
        <w:t>7</w:t>
      </w:r>
      <w:r w:rsidRPr="00054588" w:rsidR="0071223F">
        <w:rPr>
          <w:rFonts w:asciiTheme="minorEastAsia" w:eastAsiaTheme="minorEastAsia" w:hAnsiTheme="minorEastAsia" w:hint="eastAsia"/>
          <w:color w:val="000000" w:themeColor="text1"/>
          <w:szCs w:val="21"/>
        </w:rPr>
        <w:t>、</w:t>
      </w:r>
      <w:r w:rsidRPr="00054588">
        <w:rPr>
          <w:rFonts w:asciiTheme="minorEastAsia" w:eastAsiaTheme="minorEastAsia" w:hAnsiTheme="minorEastAsia" w:hint="eastAsia"/>
          <w:color w:val="000000" w:themeColor="text1"/>
          <w:szCs w:val="21"/>
        </w:rPr>
        <w:t>基金转换：指基金份额持有人按照本基金合同和基金管理人届时有效公告规定的条件，申请将其持有基金管理人管理的、某一基金的基金份额转换为基金管理人管理的、且由同一</w:t>
      </w:r>
      <w:r w:rsidRPr="00054588">
        <w:rPr>
          <w:rFonts w:asciiTheme="minorEastAsia" w:eastAsiaTheme="minorEastAsia" w:hAnsiTheme="minorEastAsia"/>
          <w:color w:val="000000" w:themeColor="text1"/>
          <w:szCs w:val="21"/>
        </w:rPr>
        <w:t>注册登记</w:t>
      </w:r>
      <w:r w:rsidRPr="00054588">
        <w:rPr>
          <w:rFonts w:asciiTheme="minorEastAsia" w:eastAsiaTheme="minorEastAsia" w:hAnsiTheme="minorEastAsia" w:hint="eastAsia"/>
          <w:color w:val="000000" w:themeColor="text1"/>
          <w:szCs w:val="21"/>
        </w:rPr>
        <w:t>机构办理</w:t>
      </w:r>
      <w:r w:rsidRPr="00054588">
        <w:rPr>
          <w:rFonts w:asciiTheme="minorEastAsia" w:eastAsiaTheme="minorEastAsia" w:hAnsiTheme="minorEastAsia"/>
          <w:color w:val="000000" w:themeColor="text1"/>
          <w:szCs w:val="21"/>
        </w:rPr>
        <w:t>注册登记</w:t>
      </w:r>
      <w:r w:rsidRPr="00054588">
        <w:rPr>
          <w:rFonts w:asciiTheme="minorEastAsia" w:eastAsiaTheme="minorEastAsia" w:hAnsiTheme="minorEastAsia" w:hint="eastAsia"/>
          <w:color w:val="000000" w:themeColor="text1"/>
          <w:szCs w:val="21"/>
        </w:rPr>
        <w:t>的其他基金基金份额的行为</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4</w:t>
      </w:r>
      <w:r w:rsidRPr="00054588" w:rsidR="00575E02">
        <w:rPr>
          <w:rFonts w:asciiTheme="minorEastAsia" w:eastAsiaTheme="minorEastAsia" w:hAnsiTheme="minorEastAsia"/>
          <w:color w:val="000000" w:themeColor="text1"/>
          <w:szCs w:val="21"/>
        </w:rPr>
        <w:t>8</w:t>
      </w:r>
      <w:r w:rsidRPr="00054588" w:rsidR="0071223F">
        <w:rPr>
          <w:rFonts w:asciiTheme="minorEastAsia" w:eastAsiaTheme="minorEastAsia" w:hAnsiTheme="minorEastAsia" w:hint="eastAsia"/>
          <w:color w:val="000000" w:themeColor="text1"/>
          <w:szCs w:val="21"/>
        </w:rPr>
        <w:t>、</w:t>
      </w:r>
      <w:r w:rsidRPr="00054588">
        <w:rPr>
          <w:rFonts w:asciiTheme="minorEastAsia" w:eastAsiaTheme="minorEastAsia" w:hAnsiTheme="minorEastAsia" w:hint="eastAsia"/>
          <w:color w:val="000000" w:themeColor="text1"/>
          <w:szCs w:val="21"/>
        </w:rPr>
        <w:t>转托管：指基金份额持有人在本基金的不同销售机构之间实施的变更所持基金份额销售机构的操作</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4</w:t>
      </w:r>
      <w:r w:rsidRPr="00054588" w:rsidR="00575E02">
        <w:rPr>
          <w:rFonts w:asciiTheme="minorEastAsia" w:eastAsiaTheme="minorEastAsia" w:hAnsiTheme="minorEastAsia"/>
          <w:color w:val="000000" w:themeColor="text1"/>
          <w:szCs w:val="21"/>
        </w:rPr>
        <w:t>9</w:t>
      </w:r>
      <w:r w:rsidRPr="00054588" w:rsidR="0071223F">
        <w:rPr>
          <w:rFonts w:asciiTheme="minorEastAsia" w:eastAsiaTheme="minorEastAsia" w:hAnsiTheme="minorEastAsia" w:hint="eastAsia"/>
          <w:color w:val="000000" w:themeColor="text1"/>
          <w:szCs w:val="21"/>
        </w:rPr>
        <w:t>、</w:t>
      </w:r>
      <w:r w:rsidRPr="00054588">
        <w:rPr>
          <w:rFonts w:asciiTheme="minorEastAsia" w:eastAsiaTheme="minorEastAsia" w:hAnsiTheme="minorEastAsia" w:hint="eastAsia"/>
          <w:color w:val="000000" w:themeColor="text1"/>
          <w:spacing w:val="8"/>
          <w:szCs w:val="21"/>
        </w:rPr>
        <w:t>定期定额投资计划：指投资人通过有关销售机构提出申请，约定每期扣款日、扣款金额及扣款方式，由销售机构于每期约定扣款日在投资人指定银行账户内自动完成扣款及基金申购申请的一种投资方式</w:t>
      </w:r>
    </w:p>
    <w:p w:rsidR="007228CC" w:rsidRPr="00054588" w:rsidP="00685A2C">
      <w:pPr>
        <w:snapToGrid w:val="0"/>
        <w:spacing w:line="360" w:lineRule="auto"/>
        <w:ind w:firstLine="420" w:firstLineChars="200"/>
        <w:rPr>
          <w:rFonts w:asciiTheme="minorEastAsia" w:eastAsiaTheme="minorEastAsia" w:hAnsiTheme="minorEastAsia"/>
          <w:color w:val="000000" w:themeColor="text1"/>
          <w:spacing w:val="8"/>
          <w:szCs w:val="21"/>
        </w:rPr>
      </w:pPr>
      <w:r w:rsidRPr="00054588">
        <w:rPr>
          <w:rFonts w:asciiTheme="minorEastAsia" w:eastAsiaTheme="minorEastAsia" w:hAnsiTheme="minorEastAsia"/>
          <w:color w:val="000000" w:themeColor="text1"/>
          <w:spacing w:val="8"/>
          <w:szCs w:val="21"/>
        </w:rPr>
        <w:t>50</w:t>
      </w:r>
      <w:r w:rsidRPr="00054588" w:rsidR="0071223F">
        <w:rPr>
          <w:rFonts w:asciiTheme="minorEastAsia" w:eastAsiaTheme="minorEastAsia" w:hAnsiTheme="minorEastAsia" w:hint="eastAsia"/>
          <w:color w:val="000000" w:themeColor="text1"/>
          <w:spacing w:val="8"/>
          <w:szCs w:val="21"/>
        </w:rPr>
        <w:t>、</w:t>
      </w:r>
      <w:r w:rsidRPr="00054588">
        <w:rPr>
          <w:rFonts w:asciiTheme="minorEastAsia" w:eastAsiaTheme="minorEastAsia" w:hAnsiTheme="minorEastAsia"/>
          <w:color w:val="000000" w:themeColor="text1"/>
          <w:spacing w:val="8"/>
          <w:szCs w:val="21"/>
        </w:rPr>
        <w:t>巨额赎回</w:t>
      </w:r>
      <w:r w:rsidRPr="00054588">
        <w:rPr>
          <w:rFonts w:asciiTheme="minorEastAsia" w:eastAsiaTheme="minorEastAsia" w:hAnsiTheme="minorEastAsia" w:hint="eastAsia"/>
          <w:color w:val="000000" w:themeColor="text1"/>
          <w:spacing w:val="8"/>
          <w:szCs w:val="21"/>
        </w:rPr>
        <w:t>：指</w:t>
      </w:r>
      <w:r w:rsidRPr="00054588">
        <w:rPr>
          <w:rFonts w:asciiTheme="minorEastAsia" w:eastAsiaTheme="minorEastAsia" w:hAnsiTheme="minorEastAsia"/>
          <w:color w:val="000000" w:themeColor="text1"/>
          <w:spacing w:val="8"/>
          <w:szCs w:val="21"/>
        </w:rPr>
        <w:t>本基金单个开放日</w:t>
      </w:r>
      <w:r w:rsidRPr="00054588">
        <w:rPr>
          <w:rFonts w:asciiTheme="minorEastAsia" w:eastAsiaTheme="minorEastAsia" w:hAnsiTheme="minorEastAsia" w:hint="eastAsia"/>
          <w:color w:val="000000" w:themeColor="text1"/>
          <w:spacing w:val="8"/>
          <w:szCs w:val="21"/>
        </w:rPr>
        <w:t>，</w:t>
      </w:r>
      <w:r w:rsidRPr="00054588">
        <w:rPr>
          <w:rFonts w:asciiTheme="minorEastAsia" w:eastAsiaTheme="minorEastAsia" w:hAnsiTheme="minorEastAsia"/>
          <w:color w:val="000000" w:themeColor="text1"/>
          <w:spacing w:val="8"/>
          <w:szCs w:val="21"/>
        </w:rPr>
        <w:t>基金净赎回申请</w:t>
      </w:r>
      <w:r w:rsidRPr="00054588">
        <w:rPr>
          <w:rFonts w:asciiTheme="minorEastAsia" w:eastAsiaTheme="minorEastAsia" w:hAnsiTheme="minorEastAsia" w:hint="eastAsia"/>
          <w:color w:val="000000" w:themeColor="text1"/>
          <w:spacing w:val="8"/>
          <w:szCs w:val="21"/>
        </w:rPr>
        <w:t>(</w:t>
      </w:r>
      <w:r w:rsidRPr="00054588">
        <w:rPr>
          <w:rFonts w:asciiTheme="minorEastAsia" w:eastAsiaTheme="minorEastAsia" w:hAnsiTheme="minorEastAsia"/>
          <w:color w:val="000000" w:themeColor="text1"/>
          <w:spacing w:val="8"/>
          <w:szCs w:val="21"/>
        </w:rPr>
        <w:t>赎回申请份额总数加上基金转换中转出申请份额总数后扣除申购申请份额总数及基金转换中转入申请份额总数后的余额</w:t>
      </w:r>
      <w:r w:rsidRPr="00054588">
        <w:rPr>
          <w:rFonts w:asciiTheme="minorEastAsia" w:eastAsiaTheme="minorEastAsia" w:hAnsiTheme="minorEastAsia" w:hint="eastAsia"/>
          <w:color w:val="000000" w:themeColor="text1"/>
          <w:spacing w:val="8"/>
          <w:szCs w:val="21"/>
        </w:rPr>
        <w:t>)</w:t>
      </w:r>
      <w:r w:rsidRPr="00054588">
        <w:rPr>
          <w:rFonts w:asciiTheme="minorEastAsia" w:eastAsiaTheme="minorEastAsia" w:hAnsiTheme="minorEastAsia"/>
          <w:color w:val="000000" w:themeColor="text1"/>
          <w:spacing w:val="8"/>
          <w:szCs w:val="21"/>
        </w:rPr>
        <w:t>超过上一</w:t>
      </w:r>
      <w:r w:rsidRPr="00054588">
        <w:rPr>
          <w:rFonts w:asciiTheme="minorEastAsia" w:eastAsiaTheme="minorEastAsia" w:hAnsiTheme="minorEastAsia" w:hint="eastAsia"/>
          <w:color w:val="000000" w:themeColor="text1"/>
          <w:spacing w:val="8"/>
          <w:szCs w:val="21"/>
        </w:rPr>
        <w:t>开放</w:t>
      </w:r>
      <w:r w:rsidRPr="00054588">
        <w:rPr>
          <w:rFonts w:asciiTheme="minorEastAsia" w:eastAsiaTheme="minorEastAsia" w:hAnsiTheme="minorEastAsia"/>
          <w:color w:val="000000" w:themeColor="text1"/>
          <w:spacing w:val="8"/>
          <w:szCs w:val="21"/>
        </w:rPr>
        <w:t>日基金总份额的10%</w:t>
      </w:r>
    </w:p>
    <w:p w:rsidR="007228CC" w:rsidRPr="00054588" w:rsidP="00685A2C">
      <w:pPr>
        <w:snapToGrid w:val="0"/>
        <w:spacing w:line="360" w:lineRule="auto"/>
        <w:ind w:firstLine="420" w:firstLineChars="200"/>
        <w:rPr>
          <w:rFonts w:asciiTheme="minorEastAsia" w:eastAsiaTheme="minorEastAsia" w:hAnsiTheme="minorEastAsia"/>
          <w:color w:val="000000" w:themeColor="text1"/>
          <w:spacing w:val="8"/>
          <w:szCs w:val="21"/>
        </w:rPr>
      </w:pPr>
      <w:r w:rsidRPr="00054588">
        <w:rPr>
          <w:rFonts w:asciiTheme="minorEastAsia" w:eastAsiaTheme="minorEastAsia" w:hAnsiTheme="minorEastAsia"/>
          <w:color w:val="000000" w:themeColor="text1"/>
          <w:spacing w:val="8"/>
          <w:szCs w:val="21"/>
        </w:rPr>
        <w:t>5</w:t>
      </w:r>
      <w:r w:rsidRPr="00054588" w:rsidR="00575E02">
        <w:rPr>
          <w:rFonts w:asciiTheme="minorEastAsia" w:eastAsiaTheme="minorEastAsia" w:hAnsiTheme="minorEastAsia"/>
          <w:color w:val="000000" w:themeColor="text1"/>
          <w:spacing w:val="8"/>
          <w:szCs w:val="21"/>
        </w:rPr>
        <w:t>1</w:t>
      </w:r>
      <w:r w:rsidRPr="00054588" w:rsidR="0071223F">
        <w:rPr>
          <w:rFonts w:asciiTheme="minorEastAsia" w:eastAsiaTheme="minorEastAsia" w:hAnsiTheme="minorEastAsia" w:hint="eastAsia"/>
          <w:color w:val="000000" w:themeColor="text1"/>
          <w:spacing w:val="8"/>
          <w:szCs w:val="21"/>
        </w:rPr>
        <w:t>、</w:t>
      </w:r>
      <w:r w:rsidRPr="00054588">
        <w:rPr>
          <w:rFonts w:asciiTheme="minorEastAsia" w:eastAsiaTheme="minorEastAsia" w:hAnsiTheme="minorEastAsia"/>
          <w:color w:val="000000" w:themeColor="text1"/>
          <w:spacing w:val="8"/>
          <w:szCs w:val="21"/>
        </w:rPr>
        <w:t>元</w:t>
      </w:r>
      <w:r w:rsidRPr="00054588">
        <w:rPr>
          <w:rFonts w:asciiTheme="minorEastAsia" w:eastAsiaTheme="minorEastAsia" w:hAnsiTheme="minorEastAsia" w:hint="eastAsia"/>
          <w:color w:val="000000" w:themeColor="text1"/>
          <w:spacing w:val="8"/>
          <w:szCs w:val="21"/>
        </w:rPr>
        <w:t>：</w:t>
      </w:r>
      <w:r w:rsidRPr="00054588">
        <w:rPr>
          <w:rFonts w:asciiTheme="minorEastAsia" w:eastAsiaTheme="minorEastAsia" w:hAnsiTheme="minorEastAsia"/>
          <w:color w:val="000000" w:themeColor="text1"/>
          <w:spacing w:val="8"/>
          <w:szCs w:val="21"/>
        </w:rPr>
        <w:t>指人民币元</w:t>
      </w:r>
    </w:p>
    <w:p w:rsidR="007228CC" w:rsidRPr="00054588" w:rsidP="00685A2C">
      <w:pPr>
        <w:snapToGrid w:val="0"/>
        <w:spacing w:line="360" w:lineRule="auto"/>
        <w:ind w:firstLine="420" w:firstLineChars="200"/>
        <w:rPr>
          <w:rFonts w:asciiTheme="minorEastAsia" w:eastAsiaTheme="minorEastAsia" w:hAnsiTheme="minorEastAsia"/>
          <w:color w:val="000000" w:themeColor="text1"/>
          <w:spacing w:val="8"/>
          <w:szCs w:val="21"/>
        </w:rPr>
      </w:pPr>
      <w:r w:rsidRPr="00054588">
        <w:rPr>
          <w:rFonts w:asciiTheme="minorEastAsia" w:eastAsiaTheme="minorEastAsia" w:hAnsiTheme="minorEastAsia"/>
          <w:color w:val="000000" w:themeColor="text1"/>
          <w:spacing w:val="8"/>
          <w:szCs w:val="21"/>
        </w:rPr>
        <w:t>5</w:t>
      </w:r>
      <w:r w:rsidRPr="00054588" w:rsidR="00575E02">
        <w:rPr>
          <w:rFonts w:asciiTheme="minorEastAsia" w:eastAsiaTheme="minorEastAsia" w:hAnsiTheme="minorEastAsia"/>
          <w:color w:val="000000" w:themeColor="text1"/>
          <w:spacing w:val="8"/>
          <w:szCs w:val="21"/>
        </w:rPr>
        <w:t>2</w:t>
      </w:r>
      <w:r w:rsidRPr="00054588" w:rsidR="0071223F">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基金收益</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指基金投资所得红利、股息、债券利息、买卖证券价差、银行存款利息</w:t>
      </w:r>
      <w:r w:rsidRPr="00054588">
        <w:rPr>
          <w:rFonts w:asciiTheme="minorEastAsia" w:eastAsiaTheme="minorEastAsia" w:hAnsiTheme="minorEastAsia" w:hint="eastAsia"/>
          <w:color w:val="000000" w:themeColor="text1"/>
          <w:szCs w:val="21"/>
        </w:rPr>
        <w:t>、已实现的其他合法收入及因运用基金财产带来的成本和费用的节约</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054588">
        <w:rPr>
          <w:rFonts w:asciiTheme="minorEastAsia" w:eastAsiaTheme="minorEastAsia" w:hAnsiTheme="minorEastAsia"/>
          <w:color w:val="000000" w:themeColor="text1"/>
          <w:szCs w:val="21"/>
        </w:rPr>
        <w:t>5</w:t>
      </w:r>
      <w:r w:rsidRPr="00054588" w:rsidR="00575E02">
        <w:rPr>
          <w:rFonts w:asciiTheme="minorEastAsia" w:eastAsiaTheme="minorEastAsia" w:hAnsiTheme="minorEastAsia"/>
          <w:color w:val="000000" w:themeColor="text1"/>
          <w:szCs w:val="21"/>
        </w:rPr>
        <w:t>3</w:t>
      </w:r>
      <w:r w:rsidRPr="00054588" w:rsidR="0071223F">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基金资产总值：指基金拥有的各类有价证券、银行存款本息、基金应收申购款及其他资产的价值总和</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054588">
        <w:rPr>
          <w:rFonts w:asciiTheme="minorEastAsia" w:eastAsiaTheme="minorEastAsia" w:hAnsiTheme="minorEastAsia"/>
          <w:color w:val="000000" w:themeColor="text1"/>
          <w:szCs w:val="21"/>
        </w:rPr>
        <w:t>5</w:t>
      </w:r>
      <w:r w:rsidRPr="00054588" w:rsidR="00575E02">
        <w:rPr>
          <w:rFonts w:asciiTheme="minorEastAsia" w:eastAsiaTheme="minorEastAsia" w:hAnsiTheme="minorEastAsia"/>
          <w:color w:val="000000" w:themeColor="text1"/>
          <w:szCs w:val="21"/>
        </w:rPr>
        <w:t>4</w:t>
      </w:r>
      <w:r w:rsidRPr="00054588" w:rsidR="0071223F">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基金资产净值</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指基金资产总值减去基金负债后的价值</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5</w:t>
      </w:r>
      <w:r w:rsidRPr="00054588" w:rsidR="00575E02">
        <w:rPr>
          <w:rFonts w:asciiTheme="minorEastAsia" w:eastAsiaTheme="minorEastAsia" w:hAnsiTheme="minorEastAsia"/>
          <w:color w:val="000000" w:themeColor="text1"/>
          <w:szCs w:val="21"/>
        </w:rPr>
        <w:t>5</w:t>
      </w:r>
      <w:r w:rsidRPr="00054588" w:rsidR="0071223F">
        <w:rPr>
          <w:rFonts w:asciiTheme="minorEastAsia" w:eastAsiaTheme="minorEastAsia" w:hAnsiTheme="minorEastAsia" w:hint="eastAsia"/>
          <w:color w:val="000000" w:themeColor="text1"/>
          <w:szCs w:val="21"/>
        </w:rPr>
        <w:t>、</w:t>
      </w:r>
      <w:r w:rsidRPr="00054588">
        <w:rPr>
          <w:rFonts w:asciiTheme="minorEastAsia" w:eastAsiaTheme="minorEastAsia" w:hAnsiTheme="minorEastAsia" w:hint="eastAsia"/>
          <w:color w:val="000000" w:themeColor="text1"/>
          <w:szCs w:val="21"/>
        </w:rPr>
        <w:t>基金份额净值：指计算日基金资产净值除以计算日基金份额总数</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054588">
        <w:rPr>
          <w:rFonts w:asciiTheme="minorEastAsia" w:eastAsiaTheme="minorEastAsia" w:hAnsiTheme="minorEastAsia"/>
          <w:color w:val="000000" w:themeColor="text1"/>
          <w:szCs w:val="21"/>
        </w:rPr>
        <w:t>5</w:t>
      </w:r>
      <w:r w:rsidRPr="00054588" w:rsidR="00575E02">
        <w:rPr>
          <w:rFonts w:asciiTheme="minorEastAsia" w:eastAsiaTheme="minorEastAsia" w:hAnsiTheme="minorEastAsia"/>
          <w:color w:val="000000" w:themeColor="text1"/>
          <w:szCs w:val="21"/>
        </w:rPr>
        <w:t>6</w:t>
      </w:r>
      <w:r w:rsidRPr="00054588" w:rsidR="0071223F">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基金资产估值：指计算评估基金</w:t>
      </w:r>
      <w:r w:rsidRPr="00054588">
        <w:rPr>
          <w:rFonts w:asciiTheme="minorEastAsia" w:eastAsiaTheme="minorEastAsia" w:hAnsiTheme="minorEastAsia" w:hint="eastAsia"/>
          <w:color w:val="000000" w:themeColor="text1"/>
          <w:szCs w:val="21"/>
        </w:rPr>
        <w:t>资产</w:t>
      </w:r>
      <w:r w:rsidRPr="00054588">
        <w:rPr>
          <w:rFonts w:asciiTheme="minorEastAsia" w:eastAsiaTheme="minorEastAsia" w:hAnsiTheme="minorEastAsia"/>
          <w:color w:val="000000" w:themeColor="text1"/>
          <w:szCs w:val="21"/>
        </w:rPr>
        <w:t>和负债的价值，以确定基金资产净值和基金份额净值的过程</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pacing w:val="8"/>
          <w:szCs w:val="21"/>
        </w:rPr>
      </w:pPr>
      <w:r w:rsidRPr="00054588">
        <w:rPr>
          <w:rFonts w:asciiTheme="minorEastAsia" w:eastAsiaTheme="minorEastAsia" w:hAnsiTheme="minorEastAsia"/>
          <w:color w:val="000000" w:themeColor="text1"/>
          <w:szCs w:val="21"/>
        </w:rPr>
        <w:t>5</w:t>
      </w:r>
      <w:r w:rsidRPr="00054588" w:rsidR="00575E02">
        <w:rPr>
          <w:rFonts w:asciiTheme="minorEastAsia" w:eastAsiaTheme="minorEastAsia" w:hAnsiTheme="minorEastAsia"/>
          <w:color w:val="000000" w:themeColor="text1"/>
          <w:szCs w:val="21"/>
        </w:rPr>
        <w:t>7</w:t>
      </w:r>
      <w:r w:rsidRPr="00054588" w:rsidR="0071223F">
        <w:rPr>
          <w:rFonts w:asciiTheme="minorEastAsia" w:eastAsiaTheme="minorEastAsia" w:hAnsiTheme="minorEastAsia" w:hint="eastAsia"/>
          <w:color w:val="000000" w:themeColor="text1"/>
          <w:szCs w:val="21"/>
        </w:rPr>
        <w:t>、</w:t>
      </w:r>
      <w:r w:rsidRPr="00054588" w:rsidR="00575E02">
        <w:rPr>
          <w:rFonts w:asciiTheme="minorEastAsia" w:eastAsiaTheme="minorEastAsia" w:hAnsiTheme="minorEastAsia"/>
          <w:color w:val="000000" w:themeColor="text1"/>
          <w:szCs w:val="21"/>
        </w:rPr>
        <w:t>指定媒介</w:t>
      </w:r>
      <w:r w:rsidRPr="00054588">
        <w:rPr>
          <w:rFonts w:asciiTheme="minorEastAsia" w:eastAsiaTheme="minorEastAsia" w:hAnsiTheme="minorEastAsia" w:hint="eastAsia"/>
          <w:color w:val="000000" w:themeColor="text1"/>
          <w:szCs w:val="21"/>
        </w:rPr>
        <w:t>：</w:t>
      </w:r>
      <w:r w:rsidRPr="00054588" w:rsidR="00575E02">
        <w:rPr>
          <w:rFonts w:asciiTheme="minorEastAsia" w:eastAsiaTheme="minorEastAsia" w:hAnsiTheme="minorEastAsia" w:hint="eastAsia"/>
          <w:color w:val="000000" w:themeColor="text1"/>
          <w:szCs w:val="21"/>
        </w:rPr>
        <w:t>指中国证监会指定的用以进行信息披露的全国性报刊及指定互联网网站（包括基金管理人网站、基金托管人网站、中国证监会基金电子披露网站）等媒介</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5</w:t>
      </w:r>
      <w:r w:rsidRPr="00054588" w:rsidR="00575E02">
        <w:rPr>
          <w:rFonts w:asciiTheme="minorEastAsia" w:eastAsiaTheme="minorEastAsia" w:hAnsiTheme="minorEastAsia"/>
          <w:color w:val="000000" w:themeColor="text1"/>
          <w:szCs w:val="21"/>
        </w:rPr>
        <w:t>8</w:t>
      </w:r>
      <w:r w:rsidRPr="00054588" w:rsidR="0071223F">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不可抗力</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指本基金合同当事人无法预见、无法抗拒、无法避免且在本基金合同由基金管理人、基金托管人签署之日后发生的，使本基金合同当事人无法全部或部分</w:t>
      </w:r>
      <w:r w:rsidRPr="00054588">
        <w:rPr>
          <w:rFonts w:asciiTheme="minorEastAsia" w:eastAsiaTheme="minorEastAsia" w:hAnsiTheme="minorEastAsia" w:hint="eastAsia"/>
          <w:color w:val="000000" w:themeColor="text1"/>
          <w:szCs w:val="21"/>
        </w:rPr>
        <w:t>履行</w:t>
      </w:r>
      <w:r w:rsidRPr="00054588">
        <w:rPr>
          <w:rFonts w:asciiTheme="minorEastAsia" w:eastAsiaTheme="minorEastAsia" w:hAnsiTheme="minorEastAsia"/>
          <w:color w:val="000000" w:themeColor="text1"/>
          <w:szCs w:val="21"/>
        </w:rPr>
        <w:t>本基金合同的任何事件，包括但不限于洪水、地震及其</w:t>
      </w:r>
      <w:r w:rsidRPr="00054588">
        <w:rPr>
          <w:rFonts w:asciiTheme="minorEastAsia" w:eastAsiaTheme="minorEastAsia" w:hAnsiTheme="minorEastAsia" w:hint="eastAsia"/>
          <w:color w:val="000000" w:themeColor="text1"/>
          <w:szCs w:val="21"/>
        </w:rPr>
        <w:t>他</w:t>
      </w:r>
      <w:r w:rsidRPr="00054588">
        <w:rPr>
          <w:rFonts w:asciiTheme="minorEastAsia" w:eastAsiaTheme="minorEastAsia" w:hAnsiTheme="minorEastAsia"/>
          <w:color w:val="000000" w:themeColor="text1"/>
          <w:szCs w:val="21"/>
        </w:rPr>
        <w:t>自然灾害、战争、骚乱、火灾、政府征用、没收、</w:t>
      </w:r>
      <w:r w:rsidRPr="00054588">
        <w:rPr>
          <w:rFonts w:asciiTheme="minorEastAsia" w:eastAsiaTheme="minorEastAsia" w:hAnsiTheme="minorEastAsia" w:hint="eastAsia"/>
          <w:color w:val="000000" w:themeColor="text1"/>
          <w:szCs w:val="21"/>
        </w:rPr>
        <w:t>恐怖袭击、传染病传播、</w:t>
      </w:r>
      <w:r w:rsidRPr="00054588">
        <w:rPr>
          <w:rFonts w:asciiTheme="minorEastAsia" w:eastAsiaTheme="minorEastAsia" w:hAnsiTheme="minorEastAsia"/>
          <w:color w:val="000000" w:themeColor="text1"/>
          <w:szCs w:val="21"/>
        </w:rPr>
        <w:t>法律法规变化、突发停电或其他突发事件、证券交易所非正常暂停或停止交易</w:t>
      </w:r>
    </w:p>
    <w:p w:rsidR="00C609DD" w:rsidRPr="00054588" w:rsidP="0071223F">
      <w:pPr>
        <w:snapToGrid w:val="0"/>
        <w:spacing w:line="360" w:lineRule="auto"/>
        <w:ind w:firstLine="420" w:firstLineChars="200"/>
        <w:rPr>
          <w:rFonts w:asciiTheme="minorEastAsia" w:eastAsiaTheme="minorEastAsia" w:hAnsiTheme="minorEastAsia"/>
          <w:color w:val="000000" w:themeColor="text1"/>
          <w:kern w:val="0"/>
          <w:szCs w:val="21"/>
        </w:rPr>
      </w:pPr>
      <w:r w:rsidRPr="00054588">
        <w:rPr>
          <w:rFonts w:asciiTheme="minorEastAsia" w:eastAsiaTheme="minorEastAsia" w:hAnsiTheme="minorEastAsia" w:hint="eastAsia"/>
          <w:color w:val="000000" w:themeColor="text1"/>
          <w:szCs w:val="21"/>
        </w:rPr>
        <w:t>5</w:t>
      </w:r>
      <w:r w:rsidRPr="00054588" w:rsidR="00575E02">
        <w:rPr>
          <w:rFonts w:asciiTheme="minorEastAsia" w:eastAsiaTheme="minorEastAsia" w:hAnsiTheme="minorEastAsia" w:hint="eastAsia"/>
          <w:color w:val="000000" w:themeColor="text1"/>
          <w:szCs w:val="21"/>
        </w:rPr>
        <w:t>9</w:t>
      </w:r>
      <w:r w:rsidRPr="00054588">
        <w:rPr>
          <w:rFonts w:asciiTheme="minorEastAsia" w:eastAsiaTheme="minorEastAsia" w:hAnsiTheme="minorEastAsia"/>
          <w:color w:val="000000" w:themeColor="text1"/>
          <w:szCs w:val="21"/>
        </w:rPr>
        <w:t>、</w:t>
      </w:r>
      <w:r w:rsidRPr="00054588">
        <w:rPr>
          <w:rFonts w:asciiTheme="minorEastAsia" w:eastAsiaTheme="minorEastAsia" w:hAnsiTheme="minorEastAsia" w:hint="eastAsia"/>
          <w:color w:val="000000" w:themeColor="text1"/>
          <w:szCs w:val="21"/>
        </w:rPr>
        <w:t>流动性受限资产：</w:t>
      </w:r>
      <w:r w:rsidRPr="00054588">
        <w:rPr>
          <w:rFonts w:asciiTheme="minorEastAsia" w:eastAsiaTheme="minorEastAsia" w:hAnsiTheme="minorEastAsia" w:hint="eastAsia"/>
          <w:color w:val="000000" w:themeColor="text1"/>
          <w:kern w:val="0"/>
          <w:szCs w:val="21"/>
        </w:rPr>
        <w:t>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rsidR="00401C0B" w:rsidRPr="00054588" w:rsidP="00401C0B">
      <w:pPr>
        <w:spacing w:line="360" w:lineRule="auto"/>
        <w:ind w:firstLine="420" w:firstLineChars="200"/>
        <w:rPr>
          <w:rStyle w:val="da"/>
          <w:rFonts w:asciiTheme="minorEastAsia" w:eastAsiaTheme="minorEastAsia" w:hAnsiTheme="minorEastAsia"/>
          <w:color w:val="000000" w:themeColor="text1"/>
        </w:rPr>
      </w:pPr>
      <w:r w:rsidRPr="00054588">
        <w:rPr>
          <w:rStyle w:val="da"/>
          <w:rFonts w:asciiTheme="minorEastAsia" w:eastAsiaTheme="minorEastAsia" w:hAnsiTheme="minorEastAsia"/>
          <w:color w:val="000000" w:themeColor="text1"/>
        </w:rPr>
        <w:t>60</w:t>
      </w:r>
      <w:r w:rsidRPr="00054588">
        <w:rPr>
          <w:rStyle w:val="da"/>
          <w:rFonts w:asciiTheme="minorEastAsia" w:eastAsiaTheme="minorEastAsia" w:hAnsiTheme="minorEastAsia" w:hint="eastAsia"/>
          <w:color w:val="000000" w:themeColor="text1"/>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401C0B" w:rsidRPr="00054588" w:rsidP="00401C0B">
      <w:pPr>
        <w:snapToGrid w:val="0"/>
        <w:spacing w:line="360" w:lineRule="auto"/>
        <w:ind w:firstLine="420" w:firstLineChars="200"/>
        <w:rPr>
          <w:rFonts w:asciiTheme="minorEastAsia" w:eastAsiaTheme="minorEastAsia" w:hAnsiTheme="minorEastAsia"/>
          <w:color w:val="000000" w:themeColor="text1"/>
          <w:spacing w:val="8"/>
          <w:szCs w:val="21"/>
        </w:rPr>
      </w:pPr>
      <w:r w:rsidRPr="00054588">
        <w:rPr>
          <w:rStyle w:val="da"/>
          <w:rFonts w:asciiTheme="minorEastAsia" w:eastAsiaTheme="minorEastAsia" w:hAnsiTheme="minorEastAsia" w:hint="eastAsia"/>
          <w:color w:val="000000" w:themeColor="text1"/>
        </w:rPr>
        <w:t>6</w:t>
      </w:r>
      <w:r w:rsidRPr="00054588">
        <w:rPr>
          <w:rStyle w:val="da"/>
          <w:rFonts w:asciiTheme="minorEastAsia" w:eastAsiaTheme="minorEastAsia" w:hAnsiTheme="minorEastAsia"/>
          <w:color w:val="000000" w:themeColor="text1"/>
        </w:rPr>
        <w:t>1</w:t>
      </w:r>
      <w:r w:rsidRPr="00054588">
        <w:rPr>
          <w:rStyle w:val="da"/>
          <w:rFonts w:asciiTheme="minorEastAsia" w:eastAsiaTheme="minorEastAsia" w:hAnsiTheme="minorEastAsia" w:hint="eastAsia"/>
          <w:color w:val="000000" w:themeColor="text1"/>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7228CC" w:rsidRPr="00054588" w:rsidP="00941EC8">
      <w:pPr>
        <w:pStyle w:val="111"/>
        <w:numPr>
          <w:ilvl w:val="0"/>
          <w:numId w:val="7"/>
        </w:numPr>
        <w:tabs>
          <w:tab w:val="num" w:pos="0"/>
          <w:tab w:val="clear" w:pos="2798"/>
        </w:tabs>
        <w:snapToGrid w:val="0"/>
        <w:spacing w:beforeLines="0" w:afterLines="0" w:line="360" w:lineRule="auto"/>
        <w:ind w:left="0" w:firstLine="0" w:firstLineChars="0"/>
        <w:rPr>
          <w:rFonts w:asciiTheme="minorEastAsia" w:eastAsiaTheme="minorEastAsia" w:hAnsiTheme="minorEastAsia"/>
          <w:b/>
          <w:color w:val="000000" w:themeColor="text1"/>
        </w:rPr>
      </w:pPr>
      <w:bookmarkStart w:id="8" w:name="_Toc211920119"/>
      <w:bookmarkStart w:id="9" w:name="_Toc211927650"/>
      <w:bookmarkStart w:id="10" w:name="_Toc123296402"/>
      <w:r w:rsidRPr="00054588">
        <w:rPr>
          <w:rFonts w:asciiTheme="minorEastAsia" w:eastAsiaTheme="minorEastAsia" w:hAnsiTheme="minorEastAsia" w:hint="eastAsia"/>
          <w:b/>
          <w:color w:val="000000" w:themeColor="text1"/>
        </w:rPr>
        <w:t>基金管理人</w:t>
      </w:r>
      <w:bookmarkEnd w:id="8"/>
      <w:bookmarkEnd w:id="9"/>
      <w:bookmarkEnd w:id="10"/>
    </w:p>
    <w:p w:rsidR="007228CC" w:rsidRPr="00054588" w:rsidP="00941EC8">
      <w:pPr>
        <w:pStyle w:val="Heading2"/>
        <w:keepNext w:val="0"/>
        <w:snapToGrid w:val="0"/>
        <w:spacing w:beforeLines="0" w:afterLines="0" w:line="360" w:lineRule="auto"/>
        <w:ind w:firstLine="0" w:firstLineChars="0"/>
        <w:rPr>
          <w:rFonts w:asciiTheme="minorEastAsia" w:eastAsiaTheme="minorEastAsia" w:hAnsiTheme="minorEastAsia"/>
          <w:color w:val="000000" w:themeColor="text1"/>
          <w:sz w:val="21"/>
        </w:rPr>
      </w:pPr>
      <w:bookmarkStart w:id="11" w:name="_Toc133292563"/>
      <w:bookmarkStart w:id="12" w:name="_Toc163189520"/>
      <w:bookmarkStart w:id="13" w:name="_Toc211920120"/>
      <w:bookmarkStart w:id="14" w:name="_Toc211927651"/>
      <w:bookmarkStart w:id="15" w:name="_Toc123296403"/>
      <w:r w:rsidRPr="00054588">
        <w:rPr>
          <w:rFonts w:asciiTheme="minorEastAsia" w:eastAsiaTheme="minorEastAsia" w:hAnsiTheme="minorEastAsia" w:cs="仿宋_GB2312" w:hint="eastAsia"/>
          <w:bCs/>
          <w:color w:val="000000" w:themeColor="text1"/>
          <w:kern w:val="0"/>
          <w:szCs w:val="24"/>
        </w:rPr>
        <w:t>（一）</w:t>
      </w:r>
      <w:r w:rsidRPr="00054588">
        <w:rPr>
          <w:rFonts w:asciiTheme="minorEastAsia" w:eastAsiaTheme="minorEastAsia" w:hAnsiTheme="minorEastAsia" w:cs="仿宋_GB2312"/>
          <w:bCs/>
          <w:color w:val="000000" w:themeColor="text1"/>
          <w:kern w:val="0"/>
          <w:szCs w:val="24"/>
        </w:rPr>
        <w:t>基金管理人</w:t>
      </w:r>
      <w:r w:rsidRPr="00054588">
        <w:rPr>
          <w:rFonts w:asciiTheme="minorEastAsia" w:eastAsiaTheme="minorEastAsia" w:hAnsiTheme="minorEastAsia" w:cs="仿宋_GB2312" w:hint="eastAsia"/>
          <w:bCs/>
          <w:color w:val="000000" w:themeColor="text1"/>
          <w:kern w:val="0"/>
          <w:szCs w:val="24"/>
        </w:rPr>
        <w:t>基本情况</w:t>
      </w:r>
      <w:bookmarkEnd w:id="11"/>
      <w:bookmarkEnd w:id="12"/>
      <w:bookmarkEnd w:id="13"/>
      <w:bookmarkEnd w:id="14"/>
      <w:bookmarkEnd w:id="15"/>
    </w:p>
    <w:p w:rsidR="007A1498" w:rsidRPr="00054588" w:rsidP="0071223F">
      <w:pPr>
        <w:pStyle w:val="PlainText"/>
        <w:adjustRightInd w:val="0"/>
        <w:snapToGrid w:val="0"/>
        <w:spacing w:line="360" w:lineRule="auto"/>
        <w:ind w:firstLine="420"/>
        <w:textAlignment w:val="baseline"/>
        <w:rPr>
          <w:rFonts w:asciiTheme="minorEastAsia" w:eastAsiaTheme="minorEastAsia" w:hAnsiTheme="minorEastAsia"/>
          <w:color w:val="000000" w:themeColor="text1"/>
          <w:kern w:val="0"/>
          <w:szCs w:val="24"/>
        </w:rPr>
      </w:pPr>
      <w:r w:rsidRPr="00054588">
        <w:rPr>
          <w:rFonts w:asciiTheme="minorEastAsia" w:eastAsiaTheme="minorEastAsia" w:hAnsiTheme="minorEastAsia" w:hint="eastAsia"/>
          <w:color w:val="000000" w:themeColor="text1"/>
          <w:kern w:val="0"/>
          <w:szCs w:val="24"/>
        </w:rPr>
        <w:t>1、</w:t>
      </w:r>
      <w:r w:rsidRPr="00054588" w:rsidR="007228CC">
        <w:rPr>
          <w:rFonts w:asciiTheme="minorEastAsia" w:eastAsiaTheme="minorEastAsia" w:hAnsiTheme="minorEastAsia"/>
          <w:color w:val="000000" w:themeColor="text1"/>
          <w:kern w:val="0"/>
          <w:szCs w:val="24"/>
        </w:rPr>
        <w:t>基金管理人：</w:t>
      </w:r>
      <w:r w:rsidRPr="00054588">
        <w:rPr>
          <w:rFonts w:asciiTheme="minorEastAsia" w:eastAsiaTheme="minorEastAsia" w:hAnsiTheme="minorEastAsia" w:hint="eastAsia"/>
          <w:color w:val="000000" w:themeColor="text1"/>
          <w:kern w:val="0"/>
          <w:szCs w:val="24"/>
        </w:rPr>
        <w:t>易方达基金管理有限公司</w:t>
      </w:r>
    </w:p>
    <w:p w:rsidR="00F600E2" w:rsidRPr="00054588" w:rsidP="0071223F">
      <w:pPr>
        <w:snapToGrid w:val="0"/>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注册地址：</w:t>
      </w:r>
      <w:r w:rsidRPr="00054588" w:rsidR="005D4CA4">
        <w:rPr>
          <w:rFonts w:asciiTheme="minorEastAsia" w:eastAsiaTheme="minorEastAsia" w:hAnsiTheme="minorEastAsia" w:hint="eastAsia"/>
          <w:color w:val="000000" w:themeColor="text1"/>
        </w:rPr>
        <w:t>广东省珠海市横琴新区荣粤道188号6层</w:t>
      </w:r>
    </w:p>
    <w:p w:rsidR="0061227C" w:rsidRPr="00054588" w:rsidP="0071223F">
      <w:pPr>
        <w:snapToGrid w:val="0"/>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办公地址：广州市</w:t>
      </w:r>
      <w:r w:rsidRPr="00054588" w:rsidR="001E4DE9">
        <w:rPr>
          <w:rFonts w:asciiTheme="minorEastAsia" w:eastAsiaTheme="minorEastAsia" w:hAnsiTheme="minorEastAsia" w:hint="eastAsia"/>
          <w:color w:val="000000" w:themeColor="text1"/>
        </w:rPr>
        <w:t>天河区珠江新城珠江东路30号广州银行大厦40-43楼</w:t>
      </w:r>
    </w:p>
    <w:p w:rsidR="0061227C" w:rsidRPr="00054588" w:rsidP="0071223F">
      <w:pPr>
        <w:snapToGrid w:val="0"/>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设立日期：2001年4月17日</w:t>
      </w:r>
    </w:p>
    <w:p w:rsidR="0061227C" w:rsidRPr="00054588" w:rsidP="0071223F">
      <w:pPr>
        <w:snapToGrid w:val="0"/>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法定代表人：</w:t>
      </w:r>
      <w:r w:rsidRPr="00054588" w:rsidR="00C45C67">
        <w:rPr>
          <w:rFonts w:asciiTheme="minorEastAsia" w:eastAsiaTheme="minorEastAsia" w:hAnsiTheme="minorEastAsia" w:hint="eastAsia"/>
          <w:color w:val="000000" w:themeColor="text1"/>
        </w:rPr>
        <w:t>刘晓艳</w:t>
      </w:r>
    </w:p>
    <w:p w:rsidR="0061227C" w:rsidRPr="00054588" w:rsidP="0071223F">
      <w:pPr>
        <w:snapToGrid w:val="0"/>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联系电话：4008818088</w:t>
      </w:r>
    </w:p>
    <w:p w:rsidR="0061227C" w:rsidRPr="00054588" w:rsidP="0071223F">
      <w:pPr>
        <w:snapToGrid w:val="0"/>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联系人：闵俊杰</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rPr>
        <w:t>注册资本：13,244.2万元人民币</w:t>
      </w:r>
    </w:p>
    <w:p w:rsidR="007228CC" w:rsidRPr="00054588" w:rsidP="0071223F">
      <w:pPr>
        <w:pStyle w:val="CharCharCharCharCharCharChar"/>
        <w:numPr>
          <w:ilvl w:val="0"/>
          <w:numId w:val="0"/>
        </w:numPr>
        <w:adjustRightInd w:val="0"/>
        <w:snapToGrid w:val="0"/>
        <w:spacing w:after="0" w:line="360" w:lineRule="auto"/>
        <w:ind w:firstLine="424" w:firstLineChars="202"/>
        <w:textAlignment w:val="baseline"/>
        <w:rPr>
          <w:rFonts w:asciiTheme="minorEastAsia" w:eastAsiaTheme="minorEastAsia" w:hAnsiTheme="minorEastAsia"/>
          <w:color w:val="000000" w:themeColor="text1"/>
          <w:sz w:val="21"/>
        </w:rPr>
      </w:pPr>
      <w:r w:rsidRPr="00054588">
        <w:rPr>
          <w:rFonts w:asciiTheme="minorEastAsia" w:eastAsiaTheme="minorEastAsia" w:hAnsiTheme="minorEastAsia" w:hint="eastAsia"/>
          <w:color w:val="000000" w:themeColor="text1"/>
          <w:sz w:val="21"/>
        </w:rPr>
        <w:t>2、股权结构：</w:t>
      </w:r>
    </w:p>
    <w:tbl>
      <w:tblPr>
        <w:tblW w:w="6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5"/>
        <w:gridCol w:w="1837"/>
      </w:tblGrid>
      <w:tr w:rsidTr="00022BC6">
        <w:tblPrEx>
          <w:tblW w:w="6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525"/>
          <w:jc w:val="center"/>
        </w:trPr>
        <w:tc>
          <w:tcPr>
            <w:tcW w:w="4785" w:type="dxa"/>
            <w:vAlign w:val="center"/>
          </w:tcPr>
          <w:p w:rsidR="003F3D6A" w:rsidRPr="00054588">
            <w:pPr>
              <w:snapToGrid w:val="0"/>
              <w:spacing w:line="360" w:lineRule="auto"/>
              <w:ind w:firstLine="420"/>
              <w:jc w:val="center"/>
              <w:rPr>
                <w:rFonts w:asciiTheme="minorEastAsia" w:eastAsiaTheme="minorEastAsia" w:hAnsiTheme="minorEastAsia"/>
                <w:b/>
                <w:color w:val="000000" w:themeColor="text1"/>
              </w:rPr>
            </w:pPr>
            <w:r w:rsidRPr="00054588">
              <w:rPr>
                <w:rFonts w:asciiTheme="minorEastAsia" w:eastAsiaTheme="minorEastAsia" w:hAnsiTheme="minorEastAsia" w:hint="eastAsia"/>
                <w:b/>
                <w:color w:val="000000" w:themeColor="text1"/>
              </w:rPr>
              <w:t>股东名称</w:t>
            </w:r>
          </w:p>
        </w:tc>
        <w:tc>
          <w:tcPr>
            <w:tcW w:w="1837" w:type="dxa"/>
            <w:vAlign w:val="center"/>
          </w:tcPr>
          <w:p w:rsidR="003F3D6A" w:rsidRPr="00054588">
            <w:pPr>
              <w:snapToGrid w:val="0"/>
              <w:spacing w:line="360" w:lineRule="auto"/>
              <w:ind w:firstLine="420"/>
              <w:jc w:val="center"/>
              <w:rPr>
                <w:rFonts w:asciiTheme="minorEastAsia" w:eastAsiaTheme="minorEastAsia" w:hAnsiTheme="minorEastAsia"/>
                <w:b/>
                <w:color w:val="000000" w:themeColor="text1"/>
              </w:rPr>
            </w:pPr>
            <w:r w:rsidRPr="00054588">
              <w:rPr>
                <w:rFonts w:asciiTheme="minorEastAsia" w:eastAsiaTheme="minorEastAsia" w:hAnsiTheme="minorEastAsia" w:hint="eastAsia"/>
                <w:b/>
                <w:color w:val="000000" w:themeColor="text1"/>
              </w:rPr>
              <w:t>出资比例</w:t>
            </w:r>
          </w:p>
        </w:tc>
      </w:tr>
      <w:tr>
        <w:tblPrEx>
          <w:tblW w:w="6622" w:type="dxa"/>
          <w:jc w:val="center"/>
          <w:tblLayout w:type="fixed"/>
          <w:tblLook w:val="0000"/>
        </w:tblPrEx>
        <w:trPr>
          <w:jc w:val="center"/>
        </w:trPr>
        <w:tc>
          <w:tcPr>
            <w:tcW w:w="4785"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广东粤财信托有限公司</w:t>
            </w:r>
          </w:p>
        </w:tc>
        <w:tc>
          <w:tcPr>
            <w:tcW w:w="1837"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22.6514％</w:t>
            </w:r>
          </w:p>
        </w:tc>
      </w:tr>
      <w:tr>
        <w:tblPrEx>
          <w:tblW w:w="6622" w:type="dxa"/>
          <w:jc w:val="center"/>
          <w:tblLayout w:type="fixed"/>
          <w:tblLook w:val="0000"/>
        </w:tblPrEx>
        <w:trPr>
          <w:jc w:val="center"/>
        </w:trPr>
        <w:tc>
          <w:tcPr>
            <w:tcW w:w="4785"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广发证券股份有限公司</w:t>
            </w:r>
          </w:p>
        </w:tc>
        <w:tc>
          <w:tcPr>
            <w:tcW w:w="1837"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22.6514％</w:t>
            </w:r>
          </w:p>
        </w:tc>
      </w:tr>
      <w:tr>
        <w:tblPrEx>
          <w:tblW w:w="6622" w:type="dxa"/>
          <w:jc w:val="center"/>
          <w:tblLayout w:type="fixed"/>
          <w:tblLook w:val="0000"/>
        </w:tblPrEx>
        <w:trPr>
          <w:jc w:val="center"/>
        </w:trPr>
        <w:tc>
          <w:tcPr>
            <w:tcW w:w="4785"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盈峰集团有限公司</w:t>
            </w:r>
          </w:p>
        </w:tc>
        <w:tc>
          <w:tcPr>
            <w:tcW w:w="1837"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22.6514％</w:t>
            </w:r>
          </w:p>
        </w:tc>
      </w:tr>
      <w:tr>
        <w:tblPrEx>
          <w:tblW w:w="6622" w:type="dxa"/>
          <w:jc w:val="center"/>
          <w:tblLayout w:type="fixed"/>
          <w:tblLook w:val="0000"/>
        </w:tblPrEx>
        <w:trPr>
          <w:jc w:val="center"/>
        </w:trPr>
        <w:tc>
          <w:tcPr>
            <w:tcW w:w="4785"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广东省广晟控股集团有限公司</w:t>
            </w:r>
          </w:p>
        </w:tc>
        <w:tc>
          <w:tcPr>
            <w:tcW w:w="1837"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15.1010％</w:t>
            </w:r>
          </w:p>
        </w:tc>
      </w:tr>
      <w:tr>
        <w:tblPrEx>
          <w:tblW w:w="6622" w:type="dxa"/>
          <w:jc w:val="center"/>
          <w:tblLayout w:type="fixed"/>
          <w:tblLook w:val="0000"/>
        </w:tblPrEx>
        <w:trPr>
          <w:jc w:val="center"/>
        </w:trPr>
        <w:tc>
          <w:tcPr>
            <w:tcW w:w="4785"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广州市广永国有资产经营有限公司</w:t>
            </w:r>
          </w:p>
        </w:tc>
        <w:tc>
          <w:tcPr>
            <w:tcW w:w="1837"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7.5505％</w:t>
            </w:r>
          </w:p>
        </w:tc>
      </w:tr>
      <w:tr>
        <w:tblPrEx>
          <w:tblW w:w="6622" w:type="dxa"/>
          <w:jc w:val="center"/>
          <w:tblLayout w:type="fixed"/>
          <w:tblLook w:val="0000"/>
        </w:tblPrEx>
        <w:trPr>
          <w:jc w:val="center"/>
        </w:trPr>
        <w:tc>
          <w:tcPr>
            <w:tcW w:w="4785"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珠海祺荣宝投资合伙企业（有限合伙）</w:t>
            </w:r>
          </w:p>
        </w:tc>
        <w:tc>
          <w:tcPr>
            <w:tcW w:w="1837"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1.5087％</w:t>
            </w:r>
          </w:p>
        </w:tc>
      </w:tr>
      <w:tr>
        <w:tblPrEx>
          <w:tblW w:w="6622" w:type="dxa"/>
          <w:jc w:val="center"/>
          <w:tblLayout w:type="fixed"/>
          <w:tblLook w:val="0000"/>
        </w:tblPrEx>
        <w:trPr>
          <w:jc w:val="center"/>
        </w:trPr>
        <w:tc>
          <w:tcPr>
            <w:tcW w:w="4785"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珠海祺泰宝投资合伙企业（有限合伙）</w:t>
            </w:r>
          </w:p>
        </w:tc>
        <w:tc>
          <w:tcPr>
            <w:tcW w:w="1837"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1.6205％</w:t>
            </w:r>
          </w:p>
        </w:tc>
      </w:tr>
      <w:tr>
        <w:tblPrEx>
          <w:tblW w:w="6622" w:type="dxa"/>
          <w:jc w:val="center"/>
          <w:tblLayout w:type="fixed"/>
          <w:tblLook w:val="0000"/>
        </w:tblPrEx>
        <w:trPr>
          <w:jc w:val="center"/>
        </w:trPr>
        <w:tc>
          <w:tcPr>
            <w:tcW w:w="4785"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珠海祺丰宝投资合伙企业（有限合伙）</w:t>
            </w:r>
          </w:p>
        </w:tc>
        <w:tc>
          <w:tcPr>
            <w:tcW w:w="1837"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1.5309％</w:t>
            </w:r>
          </w:p>
        </w:tc>
      </w:tr>
      <w:tr>
        <w:tblPrEx>
          <w:tblW w:w="6622" w:type="dxa"/>
          <w:jc w:val="center"/>
          <w:tblLayout w:type="fixed"/>
          <w:tblLook w:val="0000"/>
        </w:tblPrEx>
        <w:trPr>
          <w:jc w:val="center"/>
        </w:trPr>
        <w:tc>
          <w:tcPr>
            <w:tcW w:w="4785"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珠海聚莱康投资合伙企业（有限合伙）</w:t>
            </w:r>
          </w:p>
        </w:tc>
        <w:tc>
          <w:tcPr>
            <w:tcW w:w="1837"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1.7558％</w:t>
            </w:r>
          </w:p>
        </w:tc>
      </w:tr>
      <w:tr>
        <w:tblPrEx>
          <w:tblW w:w="6622" w:type="dxa"/>
          <w:jc w:val="center"/>
          <w:tblLayout w:type="fixed"/>
          <w:tblLook w:val="0000"/>
        </w:tblPrEx>
        <w:trPr>
          <w:jc w:val="center"/>
        </w:trPr>
        <w:tc>
          <w:tcPr>
            <w:tcW w:w="4785"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珠海聚宁康投资合伙企业（有限合伙）</w:t>
            </w:r>
          </w:p>
        </w:tc>
        <w:tc>
          <w:tcPr>
            <w:tcW w:w="1837"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1.4396％</w:t>
            </w:r>
          </w:p>
        </w:tc>
      </w:tr>
      <w:tr>
        <w:tblPrEx>
          <w:tblW w:w="6622" w:type="dxa"/>
          <w:jc w:val="center"/>
          <w:tblLayout w:type="fixed"/>
          <w:tblLook w:val="0000"/>
        </w:tblPrEx>
        <w:trPr>
          <w:jc w:val="center"/>
        </w:trPr>
        <w:tc>
          <w:tcPr>
            <w:tcW w:w="4785"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珠海聚弘康投资合伙企业（有限合伙）</w:t>
            </w:r>
          </w:p>
        </w:tc>
        <w:tc>
          <w:tcPr>
            <w:tcW w:w="1837"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1.5388％</w:t>
            </w:r>
          </w:p>
        </w:tc>
      </w:tr>
      <w:tr>
        <w:tblPrEx>
          <w:tblW w:w="6622" w:type="dxa"/>
          <w:jc w:val="center"/>
          <w:tblLayout w:type="fixed"/>
          <w:tblLook w:val="0000"/>
        </w:tblPrEx>
        <w:trPr>
          <w:jc w:val="center"/>
        </w:trPr>
        <w:tc>
          <w:tcPr>
            <w:tcW w:w="4785"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总   计</w:t>
            </w:r>
          </w:p>
        </w:tc>
        <w:tc>
          <w:tcPr>
            <w:tcW w:w="1837"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100％</w:t>
            </w:r>
          </w:p>
        </w:tc>
      </w:tr>
    </w:tbl>
    <w:p w:rsidR="007228CC" w:rsidRPr="00054588" w:rsidP="0071223F">
      <w:pPr>
        <w:pStyle w:val="Heading2"/>
        <w:snapToGrid w:val="0"/>
        <w:spacing w:beforeLines="0" w:afterLines="0" w:line="360" w:lineRule="auto"/>
        <w:ind w:firstLine="0" w:firstLineChars="0"/>
        <w:rPr>
          <w:rFonts w:asciiTheme="minorEastAsia" w:eastAsiaTheme="minorEastAsia" w:hAnsiTheme="minorEastAsia" w:cs="仿宋_GB2312"/>
          <w:bCs/>
          <w:color w:val="000000" w:themeColor="text1"/>
          <w:kern w:val="0"/>
          <w:szCs w:val="24"/>
        </w:rPr>
      </w:pPr>
      <w:bookmarkStart w:id="16" w:name="_Toc133292564"/>
      <w:bookmarkStart w:id="17" w:name="_Toc163189521"/>
      <w:bookmarkStart w:id="18" w:name="_Toc211920121"/>
      <w:bookmarkStart w:id="19" w:name="_Toc211927652"/>
      <w:bookmarkStart w:id="20" w:name="_Toc123296404"/>
      <w:r w:rsidRPr="00054588">
        <w:rPr>
          <w:rFonts w:asciiTheme="minorEastAsia" w:eastAsiaTheme="minorEastAsia" w:hAnsiTheme="minorEastAsia" w:hint="eastAsia"/>
          <w:bCs/>
          <w:color w:val="000000" w:themeColor="text1"/>
          <w:szCs w:val="21"/>
        </w:rPr>
        <w:t>（二）</w:t>
      </w:r>
      <w:r w:rsidRPr="00054588">
        <w:rPr>
          <w:rFonts w:asciiTheme="minorEastAsia" w:eastAsiaTheme="minorEastAsia" w:hAnsiTheme="minorEastAsia"/>
          <w:bCs/>
          <w:color w:val="000000" w:themeColor="text1"/>
          <w:szCs w:val="21"/>
        </w:rPr>
        <w:t>主要人员情况</w:t>
      </w:r>
      <w:bookmarkEnd w:id="16"/>
      <w:bookmarkEnd w:id="17"/>
      <w:bookmarkEnd w:id="18"/>
      <w:bookmarkEnd w:id="19"/>
      <w:bookmarkEnd w:id="20"/>
    </w:p>
    <w:p w:rsidR="007228CC" w:rsidRPr="00054588" w:rsidP="0071223F">
      <w:pPr>
        <w:pStyle w:val="PlainText"/>
        <w:adjustRightInd w:val="0"/>
        <w:snapToGrid w:val="0"/>
        <w:spacing w:line="360" w:lineRule="auto"/>
        <w:ind w:firstLine="420"/>
        <w:textAlignment w:val="baseline"/>
        <w:rPr>
          <w:rFonts w:asciiTheme="minorEastAsia" w:eastAsiaTheme="minorEastAsia" w:hAnsiTheme="minorEastAsia"/>
          <w:color w:val="000000" w:themeColor="text1"/>
          <w:kern w:val="0"/>
        </w:rPr>
      </w:pPr>
      <w:r w:rsidRPr="00054588">
        <w:rPr>
          <w:rFonts w:asciiTheme="minorEastAsia" w:eastAsiaTheme="minorEastAsia" w:hAnsiTheme="minorEastAsia"/>
          <w:color w:val="000000" w:themeColor="text1"/>
          <w:kern w:val="0"/>
        </w:rPr>
        <w:t>1、</w:t>
      </w:r>
      <w:r w:rsidRPr="00054588">
        <w:rPr>
          <w:rFonts w:asciiTheme="minorEastAsia" w:eastAsiaTheme="minorEastAsia" w:hAnsiTheme="minorEastAsia" w:hint="eastAsia"/>
          <w:color w:val="000000" w:themeColor="text1"/>
          <w:kern w:val="0"/>
        </w:rPr>
        <w:t>董事、监事及高级管理人员</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詹余引先生，工商管理博士。现任易方达基金管理有限公司董事长，易方达国际控股有限公司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总经理（主持工作），全国社会保障基金理事会投资部资产配置处处长、投资部副主任、境外投资部主任、投资部主任、证券投资部主任。</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刘晓艳女士，经济学博士。现任易方达基金管理有限公司副董事长、总经理，易方达国际控股有限公司董事。曾任广发证券有限责任公司投资理财部副经理、基金经理、基金投资理财部副总经理，易方达基金管理有限公司督察员、监察部总经理、总裁助理、市场总监、公司副总经理，易方达资产管理有限公司董事，易方达资产管理（香港）有限公司董事长。</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周泽群先生，高级管理人员工商管理硕士（EMBA）。现任易方达基金管理有限公司董事，广东粤财投资控股有限公司董事、总经理，中航通用飞机有限责任公司副董事长。曾任珠海粤财实业有限公司董事长，粤财控股（北京）有限公司总经理、董事长，广东粤财投资控股有限公司总经理助理、办公室主任，广东粤财投资控股有限公司副总经理。</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秦力先生，经济学博士。现任易方达基金管理有限公司董事，广发证券股份有限公司执行董事、公司总监, 广发证券资产管理（广东）有限公司董事长、总经理。曾任广发证券投资银行部常务副总经理、投资理财部总经理、资金营运部总经理、规划管理部总经理、投资部总经理、公司总经理助理、副总经理、常务副总经理，广东金融高新区股权交易中心有限公司董事长，广发控股（香港）有限公司董事长。</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苏斌先生，管理学硕士。现任易方达基金管理有限公司董事，盈峰集团有限公司董事、联席总裁，广东民营投资股份有限公司董事，宁波盈峰股权投资基金管理有限公司经理、执行董事，北京百纳千成影视股份有限公司董事，南京柯勒复合材料有限责任公司总经理，盈峰环境科技集团股份有限公司董事，广州华艺国际拍卖有限公司董事，珠海澳斐盈峰私募基金管理有限公司董事长、经理。曾任中富证券有限责任公司投行部经理，鸿商产业控股集团有限公司产业投资部执行董事，名力中国成长基金合伙人，复星能源环境与智能装备集团总裁，盈合（深圳）机器人与自动化科技有限公司董事长。</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刘韧先生，经济学硕士。现任易方达基金管理有限公司董事，广东省广晟控股集团有限公司资本运营部负责人，广东省广晟资本投资有限公司董事。曾任湖南证券股份有限公司投资银行部经理助理，湘财证券有限责任公司投资银行总部副总经理，二十三冶建设集团有限公司副总裁兼矿业事业部部长、党委委员，广东省广晟资产经营有限公司总经理助理兼资本运营部部长、战略委员会委员，东江环保股份有限公司党委书记、董事长，广东风华高新科技股份有限公司党委委员、副总裁、财务负责人。</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王承志先生，法学博士。现任易方达基金管理有限公司独立董事，中山大学法学院副教授、博士生导师，广东省法学会国际法学研究会秘书长，中国国际私法学会理事，江苏凯强医学检验有限公司董事，广东茉莉数字科技集团股份有限公司独立董事，广东神朗律师事务所兼职律师，深圳市美之高科技股份有限公司独立董事，广东凯金新能源科技股份有限公司独立董事，艾尔玛科技股份有限公司独立董事。曾任美国天普大学法学院访问副教授。</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高建先生，工学博士。现任易方达基金管理有限公司独立董事，清华大学经济管理学院教授、博士生导师、学术委员会副主任，深圳市力合科创股份有限公司独立董事、固生堂控股有限公司非执行董事。曾任重庆建筑工程学院建筑管理工程系助教、讲师、教研室副主任，清华大学经济管理学院讲师、副教授、技术经济与管理系主任、创新创业与战略系主任、院长助理、副院长、党委书记，山东新北洋信息技术股份有限公司独立董事，中融人寿保险股份有限公司独立董事。</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刘劲先生，工商管理博士。现任易方达基金管理有限公司独立董事，长江商学院会计与金融教授、投资研究中心主任、教授管理委员会主席，中国天伦燃气控股有限公司独立非执行董事。曾任哥伦比亚大学经济学讲师，加州大学洛杉矶分校安德森管理学院助理教授、副教授、终身教授，长江商学院行政副院长、DBA项目副院长、创创社区项目发起人兼副院长，云南白药集团股份有限公司独立董事，瑞士银行（中国）有限公司独立董事，秦川机床工具集团股份公司独立董事，浙江红蜻蜓鞋业股份有限公司独立董事。</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刘发宏先生，工商管理硕士。现任易方达基金管理有限公司监事会主席，广东省融资再担保有限公司监事长。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党委办主任、人力资源部总经理，广东粤财信托有限公司党委委员、副书记、董事。</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危勇先生，经济学博士。现任易方达基金管理有限公司监事，广州市广永国有资产经营有限公司董事长、总裁，广州赛马娱乐总公司董事，万联证券股份有限公司监事，广州银行股份有限公司董事，广州广永投资管理有限公司董事长，广州广永股权投资基金管理有限公司董事长，广州广永科技发展有限公司代理董事长、总经理。曾任中国水利水电第八工程局三产实业开发部秘书，中国人民银行广州分行统计研究处干部、货币信贷管理处主任科员、营管部综合处助理调研员，广州金融控股集团有限公司行政办公室主任，广州金融资产交易中心有限公司董事，广州股权交易中心有限公司董事，广州广永丽都酒店有限公司董事长。</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廖智先生，经济学硕士。现任易方达基金管理有限公司监事、总裁助理、党群工作部联席总经理，广东粤财互联网金融股份有限公司董事。曾任广东证券股份有限公司基金部主管，易方达基金管理有限公司综合管理部副总经理、人力资源部副总经理、市场部总经理、互联网金融部总经理、综合管理部总经理、行政管理部总经理。</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刘炜先生，工商管理硕士（EMBA）、法学硕士。现任易方达基金管理有限公司监事、人力资源部总经理，易方达资产管理有限公司董事。曾任易方达基金管理有限公司监察部监察员、上海分公司销售经理、市场部总经理助理、人力资源部副总经理、综合管理部总经理。</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付浩先生，经济学硕士。现任易方达基金管理有限公司监事、权益投资管理部总经理、权益投资决策委员会委员。曾任广东粤财信托投资有限公司国际金融部职员，深圳和君创业研究咨询有限公司管理咨询项目经理，湖南证券投资银行总部项目经理，融通基金管理有限公司研究策划部研究员，易方达基金管理有限公司权益投资总部副总经理、养老金与专户权益投资部副总经理、公募基金投资部总经理、基金经理助理、投资经理、基金经理。</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马骏先生，工商管理硕士（EMBA）。现任易方达基金管理有限公司副总经理级高级管理人员、固定收益投资决策委员会委员、基础设施资产管理委员会委员，易方达资产管理（香港）有限公司董事长、人民币合格境外投资者（RQFII）业务负责人、证券交易负责人员（RO）、就证券提供意见负责人员（RO）、提供资产管理负责人员（RO）、市场及产品委员会委员。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吴欣荣先生，工学硕士。现任易方达基金管理有限公司副总经理级高级管理人员、权益投资决策委员会委员，易方达资产管理（香港）有限公司董事。曾任易方达基金管理有限公司研究员、投资管理部经理、基金经理、基金投资部副总经理、研究部副总经理、研究部总经理、基金投资部总经理、公募基金投资部总经理、权益投资总部总经理、总裁助理、权益投资总监，易方达国际控股有限公司董事。</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娄利舟女士，工商管理硕士（EMBA）、经济学硕士。现任易方达基金管理有限公司副总经理级高级管理人员、FOF投资决策委员会委员，易方达资产管理有限公司董事长，易方达资产管理（香港）有限公司董事。曾任联合证券有限责任公司证券营业部分析师、研究所策略研究员、经纪业务部高级经理，易方达基金管理有限公司销售支持中心经理、市场部总经理助理、市场部副总经理、广州分公司总经理、北京分公司总经理、总裁助理，易方达资产管理有限公司总经理。</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陈彤先生，经济学博士。现任易方达基金管理有限公司副总经理级高级管理人员，易方达国际控股有限公司董事。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张南女士，经济学博士。现任易方达基金管理有限公司副总经理级高级管理人员。曾任广东省经济贸易委员会主任科员、副处长，易方达基金管理有限公司市场拓展部副总经理、监察部总经理、督察长。</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范岳先生，工商管理硕士。现任易方达基金管理有限公司副总经理级高级管理人员、基础设施资产管理委员会委员，易方达资产管理有限公司副董事长，易方达资产管理（香港）有限公司董事。曾任中国工商银行深圳分行国际业务部科员，深圳证券登记结算公司办公室经理、国际部经理，深圳证券交易所北京中心助理主任、上市部副总监、基金债券部副总监、基金管理部总监。</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高松凡先生，工商管理硕士（EMBA）。现任易方达基金管理有限公司副总经理级高级管理人员（首席养老金业务官）。曾任招商银行总行人事部高级经理、企业年金中心副主任，浦东发展银行总行企业年金部总经理，长江养老保险公司首席市场总监，易方达基金管理有限公司养老金业务总监。</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关秀霞女士，工商管理硕士、金融学硕士。现任易方达基金管理有限公司副总经理级高级管理人员（首席国际业务官）。曾任中国银行（香港）有限公司分析员，Daniel Dennis高级审计师，美国道富银行公司内部审计部高级审计师、美国共同基金业务风险经理、亚洲区（除日本外）机构服务主管、亚洲区（除日本外）副总裁、大中华地区董事总经理、大中华地区高级副总裁、中国区行长。</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陈荣女士，经济学博士。现任易方达基金管理有限公司副总经理级高级管理人员，易方达国际控股有限公司董事，易方达资产管理（香港）有限公司董事，易方达资产管理有限公司监事，易方达私募基金管理有限公司监事。曾任中国人民银行广州分行统计研究处科员，易方达基金管理有限公司运作支持部经理、核算部总经理助理、核算部副总经理、核算部总经理、投资风险管理部总经理、总裁助理、董事会秘书、公司财务中心主任。</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张坤先生，理学硕士。现任易方达基金管理有限公司副总经理级高级管理人员、权益投资决策委员会委员、基金经理。曾任易方达基金管理有限公司行业研究员、基金经理助理、研究部总经理助理。</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胡剑先生，经济学硕士。现任易方达基金管理有限公司副总经理级高级管理人员、固定收益投资决策委员会委员、基础设施资产管理委员会委员、基金经理。曾任易方达基金管理有限公司债券研究员、基金经理助理、固定收益研究部负责人、固定收益总部总经理助理、固定收益研究部总经理、固定收益投资部总经理、固定收益投资业务总部总经理。</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张清华先生，物理学硕士。现任易方达基金管理有限公司副总经理级高级管理人员、固定收益投资决策委员会委员、基金经理。曾任晨星资讯（深圳）有限公司数量分析师，中信证券股份有限公司研究员，易方达基金管理有限公司投资经理、固定收益基金投资部总经理、混合资产投资部总经理、多资产投资业务总部总经理。</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冯波先生，经济学硕士。现任易方达基金管理有限公司副总经理级高级管理人员、研究部总经理、权益投资决策委员会委员、基金经理。曾任广东发展银行行员，易方达基金管理有限公司市场拓展部研究员、市场拓展部副经理、市场部大区销售经理、北京分公司副总经理、行业研究员、基金经理助理、研究部总经理助理、研究部副总经理。</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陈皓先生，管理学硕士。现任易方达基金管理有限公司副总经理级高级管理人员、投资一部总经理、权益投资决策委员会委员、基金经理。曾任易方达基金管理有限公司行业研究员、基金经理助理、投资一部总经理助理、投资一部副总经理、投资经理。</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萧楠先生，经济学硕士。现任易方达基金管理有限公司副总经理级高级管理人员、投资三部总经理、基金经理。曾任易方达基金管理有限公司行业研究员、基金经理助理、投资经理、研究部副总经理。</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管勇先生，理学硕士。现任易方达基金管理有限公司首席信息官、信息安全与运维中心总经理。曾任长城证券有限责任公司信息技术中心职员、营业部电脑部经理，金鹰基金管理有限公司运作保障部经理、总监助理、副总监、总监，国泰基金管理有限公司信息技术部副总监（主持工作）、总监，易方达基金管理有限公司信息技术部副总经理、系统研发部副总经理、技术运营部总经理、数据平台研发中心总经理、规划与支持中心总经理。</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杨冬梅女士，工商管理硕士、经济学硕士。现任易方达基金管理有限公司副总经理级高级管理人员、董事会秘书、宣传策划部总经理、全球投资客户部总经理，易方达资产管理（香港）有限公司董事。曾任广发证券有限责任公司投资理财部职员、发展研究中心市场研究部负责人，南方证券股份有限公司研究所高级研究员，招商基金管理有限公司机构理财部高级经理、股票投资部高级经理，易方达基金管理有限公司宣传策划专员、市场部总经理助理、市场部副总经理。</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刘世军先生，理学硕士。现任易方达基金管理有限公司副总经理级高级管理人员（首席数据与风险监测官）、投资风险管理部总经理。曾任易方达基金管理有限公司金融工程研究员、绩效与风险评估研究员、投资发展部总经理助理、投资风险管理部总经理助理、投资风险管理部副总经理、投资风险管理与数据服务总部总经理。</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王玉女士，法学硕士。现任易方达基金管理有限公司督察长、内审稽核部总经理。曾在北京市国枫律师事务所、中国证监会工作，曾任易方达基金管理有限公司公司法律事务部总经理，易方达资产管理有限公司董事。</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2、基金经理</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王晓晨女士，经济学硕士，本基金的基金经理。现任易方达基金管理有限公司固定收益全策略投资部总经理、固定收益投资决策委员会委员、基金经理，易方达资产管理（香港）有限公司就证券提供意见负责人员（RO）、提供资产管理负责人员（RO）。曾任易方达基金管理有限公司集中交易室债券交易员、债券交易主管、固定收益总部总经理助理、固定收益基金投资部副总经理、固定收益投资部副总经理，易方达资产管理（香港）有限公司基金经理。王晓晨历任基金经理的基金如下：</w:t>
      </w:r>
    </w:p>
    <w:tbl>
      <w:tblPr>
        <w:tblStyle w:val="TableGrid"/>
        <w:tblW w:w="0" w:type="auto"/>
        <w:jc w:val="center"/>
        <w:tblLook w:val="04A0"/>
      </w:tblPr>
      <w:tblGrid>
        <w:gridCol w:w="4500"/>
        <w:gridCol w:w="2011"/>
        <w:gridCol w:w="2011"/>
      </w:tblGrid>
      <w:tr>
        <w:tblPrEx>
          <w:tblW w:w="0" w:type="auto"/>
          <w:jc w:val="center"/>
          <w:tblLook w:val="04A0"/>
        </w:tblPrEx>
        <w:trPr>
          <w:jc w:val="center"/>
        </w:trPr>
        <w:tc>
          <w:tcPr>
            <w:tcW w:w="8640"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b/>
                <w:color w:val="000000" w:themeColor="text1"/>
              </w:rPr>
              <w:t>历任基金经理的基金</w:t>
            </w:r>
          </w:p>
        </w:tc>
        <w:tc>
          <w:tcPr>
            <w:tcW w:w="28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b/>
                <w:color w:val="000000" w:themeColor="text1"/>
              </w:rPr>
              <w:t>任职时间</w:t>
            </w:r>
          </w:p>
        </w:tc>
        <w:tc>
          <w:tcPr>
            <w:tcW w:w="28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b/>
                <w:color w:val="000000" w:themeColor="text1"/>
              </w:rPr>
              <w:t>离任时间</w:t>
            </w:r>
          </w:p>
        </w:tc>
      </w:tr>
      <w:tr>
        <w:tblPrEx>
          <w:tblW w:w="0" w:type="auto"/>
          <w:jc w:val="center"/>
          <w:tblLook w:val="04A0"/>
        </w:tblPrEx>
        <w:trPr>
          <w:jc w:val="center"/>
        </w:trPr>
        <w:tc>
          <w:tcPr>
            <w:tcW w:w="8640"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易方达增强回报债券</w:t>
            </w:r>
          </w:p>
        </w:tc>
        <w:tc>
          <w:tcPr>
            <w:tcW w:w="28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2011-08-15</w:t>
            </w:r>
          </w:p>
        </w:tc>
        <w:tc>
          <w:tcPr>
            <w:tcW w:w="28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w:t>
            </w:r>
          </w:p>
        </w:tc>
      </w:tr>
      <w:tr>
        <w:tblPrEx>
          <w:tblW w:w="0" w:type="auto"/>
          <w:jc w:val="center"/>
          <w:tblLook w:val="04A0"/>
        </w:tblPrEx>
        <w:trPr>
          <w:jc w:val="center"/>
        </w:trPr>
        <w:tc>
          <w:tcPr>
            <w:tcW w:w="8640"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易方达投资级信用债债券</w:t>
            </w:r>
          </w:p>
        </w:tc>
        <w:tc>
          <w:tcPr>
            <w:tcW w:w="28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2013-09-10</w:t>
            </w:r>
          </w:p>
        </w:tc>
        <w:tc>
          <w:tcPr>
            <w:tcW w:w="28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w:t>
            </w:r>
          </w:p>
        </w:tc>
      </w:tr>
      <w:tr>
        <w:tblPrEx>
          <w:tblW w:w="0" w:type="auto"/>
          <w:jc w:val="center"/>
          <w:tblLook w:val="04A0"/>
        </w:tblPrEx>
        <w:trPr>
          <w:jc w:val="center"/>
        </w:trPr>
        <w:tc>
          <w:tcPr>
            <w:tcW w:w="8640"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易方达双债增强债券</w:t>
            </w:r>
          </w:p>
        </w:tc>
        <w:tc>
          <w:tcPr>
            <w:tcW w:w="28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2016-12-03</w:t>
            </w:r>
          </w:p>
        </w:tc>
        <w:tc>
          <w:tcPr>
            <w:tcW w:w="28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w:t>
            </w:r>
          </w:p>
        </w:tc>
      </w:tr>
      <w:tr>
        <w:tblPrEx>
          <w:tblW w:w="0" w:type="auto"/>
          <w:jc w:val="center"/>
          <w:tblLook w:val="04A0"/>
        </w:tblPrEx>
        <w:trPr>
          <w:jc w:val="center"/>
        </w:trPr>
        <w:tc>
          <w:tcPr>
            <w:tcW w:w="8640"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易方达安瑞短债债券</w:t>
            </w:r>
          </w:p>
        </w:tc>
        <w:tc>
          <w:tcPr>
            <w:tcW w:w="28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2018-11-14</w:t>
            </w:r>
          </w:p>
        </w:tc>
        <w:tc>
          <w:tcPr>
            <w:tcW w:w="28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w:t>
            </w:r>
          </w:p>
        </w:tc>
      </w:tr>
      <w:tr>
        <w:tblPrEx>
          <w:tblW w:w="0" w:type="auto"/>
          <w:jc w:val="center"/>
          <w:tblLook w:val="04A0"/>
        </w:tblPrEx>
        <w:trPr>
          <w:jc w:val="center"/>
        </w:trPr>
        <w:tc>
          <w:tcPr>
            <w:tcW w:w="8640"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易方达恒兴3个月定开债券发起式</w:t>
            </w:r>
          </w:p>
        </w:tc>
        <w:tc>
          <w:tcPr>
            <w:tcW w:w="28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2019-10-15</w:t>
            </w:r>
          </w:p>
        </w:tc>
        <w:tc>
          <w:tcPr>
            <w:tcW w:w="28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w:t>
            </w:r>
          </w:p>
        </w:tc>
      </w:tr>
      <w:tr>
        <w:tblPrEx>
          <w:tblW w:w="0" w:type="auto"/>
          <w:jc w:val="center"/>
          <w:tblLook w:val="04A0"/>
        </w:tblPrEx>
        <w:trPr>
          <w:jc w:val="center"/>
        </w:trPr>
        <w:tc>
          <w:tcPr>
            <w:tcW w:w="8640"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易方达裕祥回报债券</w:t>
            </w:r>
          </w:p>
        </w:tc>
        <w:tc>
          <w:tcPr>
            <w:tcW w:w="28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2022-04-30</w:t>
            </w:r>
          </w:p>
        </w:tc>
        <w:tc>
          <w:tcPr>
            <w:tcW w:w="28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w:t>
            </w:r>
          </w:p>
        </w:tc>
      </w:tr>
      <w:tr>
        <w:tblPrEx>
          <w:tblW w:w="0" w:type="auto"/>
          <w:jc w:val="center"/>
          <w:tblLook w:val="04A0"/>
        </w:tblPrEx>
        <w:trPr>
          <w:jc w:val="center"/>
        </w:trPr>
        <w:tc>
          <w:tcPr>
            <w:tcW w:w="8640"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易方达保证金货币</w:t>
            </w:r>
          </w:p>
        </w:tc>
        <w:tc>
          <w:tcPr>
            <w:tcW w:w="28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2013-04-22</w:t>
            </w:r>
          </w:p>
        </w:tc>
        <w:tc>
          <w:tcPr>
            <w:tcW w:w="28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2014-11-22</w:t>
            </w:r>
          </w:p>
        </w:tc>
      </w:tr>
      <w:tr>
        <w:tblPrEx>
          <w:tblW w:w="0" w:type="auto"/>
          <w:jc w:val="center"/>
          <w:tblLook w:val="04A0"/>
        </w:tblPrEx>
        <w:trPr>
          <w:jc w:val="center"/>
        </w:trPr>
        <w:tc>
          <w:tcPr>
            <w:tcW w:w="8640"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易方达货币</w:t>
            </w:r>
          </w:p>
        </w:tc>
        <w:tc>
          <w:tcPr>
            <w:tcW w:w="28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2013-04-22</w:t>
            </w:r>
          </w:p>
        </w:tc>
        <w:tc>
          <w:tcPr>
            <w:tcW w:w="28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2014-11-22</w:t>
            </w:r>
          </w:p>
        </w:tc>
      </w:tr>
      <w:tr>
        <w:tblPrEx>
          <w:tblW w:w="0" w:type="auto"/>
          <w:jc w:val="center"/>
          <w:tblLook w:val="04A0"/>
        </w:tblPrEx>
        <w:trPr>
          <w:jc w:val="center"/>
        </w:trPr>
        <w:tc>
          <w:tcPr>
            <w:tcW w:w="8640"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易方达保本一号混合</w:t>
            </w:r>
          </w:p>
        </w:tc>
        <w:tc>
          <w:tcPr>
            <w:tcW w:w="28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2016-01-13</w:t>
            </w:r>
          </w:p>
        </w:tc>
        <w:tc>
          <w:tcPr>
            <w:tcW w:w="28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2019-02-19</w:t>
            </w:r>
          </w:p>
        </w:tc>
      </w:tr>
      <w:tr>
        <w:tblPrEx>
          <w:tblW w:w="0" w:type="auto"/>
          <w:jc w:val="center"/>
          <w:tblLook w:val="04A0"/>
        </w:tblPrEx>
        <w:trPr>
          <w:jc w:val="center"/>
        </w:trPr>
        <w:tc>
          <w:tcPr>
            <w:tcW w:w="8640"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易方达新鑫混合</w:t>
            </w:r>
          </w:p>
        </w:tc>
        <w:tc>
          <w:tcPr>
            <w:tcW w:w="28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2018-01-31</w:t>
            </w:r>
          </w:p>
        </w:tc>
        <w:tc>
          <w:tcPr>
            <w:tcW w:w="28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2019-07-03</w:t>
            </w:r>
          </w:p>
        </w:tc>
      </w:tr>
      <w:tr>
        <w:tblPrEx>
          <w:tblW w:w="0" w:type="auto"/>
          <w:jc w:val="center"/>
          <w:tblLook w:val="04A0"/>
        </w:tblPrEx>
        <w:trPr>
          <w:jc w:val="center"/>
        </w:trPr>
        <w:tc>
          <w:tcPr>
            <w:tcW w:w="8640"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易方达纯债债券</w:t>
            </w:r>
          </w:p>
        </w:tc>
        <w:tc>
          <w:tcPr>
            <w:tcW w:w="28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2017-02-15</w:t>
            </w:r>
          </w:p>
        </w:tc>
        <w:tc>
          <w:tcPr>
            <w:tcW w:w="28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2019-09-11</w:t>
            </w:r>
          </w:p>
        </w:tc>
      </w:tr>
      <w:tr>
        <w:tblPrEx>
          <w:tblW w:w="0" w:type="auto"/>
          <w:jc w:val="center"/>
          <w:tblLook w:val="04A0"/>
        </w:tblPrEx>
        <w:trPr>
          <w:jc w:val="center"/>
        </w:trPr>
        <w:tc>
          <w:tcPr>
            <w:tcW w:w="8640"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易方达恒益定开债券发起式</w:t>
            </w:r>
          </w:p>
        </w:tc>
        <w:tc>
          <w:tcPr>
            <w:tcW w:w="28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2017-10-25</w:t>
            </w:r>
          </w:p>
        </w:tc>
        <w:tc>
          <w:tcPr>
            <w:tcW w:w="28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2019-09-11</w:t>
            </w:r>
          </w:p>
        </w:tc>
      </w:tr>
      <w:tr>
        <w:tblPrEx>
          <w:tblW w:w="0" w:type="auto"/>
          <w:jc w:val="center"/>
          <w:tblLook w:val="04A0"/>
        </w:tblPrEx>
        <w:trPr>
          <w:jc w:val="center"/>
        </w:trPr>
        <w:tc>
          <w:tcPr>
            <w:tcW w:w="8640"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易方达中债3-5年期国债指数</w:t>
            </w:r>
          </w:p>
        </w:tc>
        <w:tc>
          <w:tcPr>
            <w:tcW w:w="28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2017-02-15</w:t>
            </w:r>
          </w:p>
        </w:tc>
        <w:tc>
          <w:tcPr>
            <w:tcW w:w="28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2019-09-28</w:t>
            </w:r>
          </w:p>
        </w:tc>
      </w:tr>
      <w:tr>
        <w:tblPrEx>
          <w:tblW w:w="0" w:type="auto"/>
          <w:jc w:val="center"/>
          <w:tblLook w:val="04A0"/>
        </w:tblPrEx>
        <w:trPr>
          <w:jc w:val="center"/>
        </w:trPr>
        <w:tc>
          <w:tcPr>
            <w:tcW w:w="8640"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易方达中债7-10年期国开行债券指数</w:t>
            </w:r>
          </w:p>
        </w:tc>
        <w:tc>
          <w:tcPr>
            <w:tcW w:w="28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2017-02-15</w:t>
            </w:r>
          </w:p>
        </w:tc>
        <w:tc>
          <w:tcPr>
            <w:tcW w:w="28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2019-10-29</w:t>
            </w:r>
          </w:p>
        </w:tc>
      </w:tr>
      <w:tr>
        <w:tblPrEx>
          <w:tblW w:w="0" w:type="auto"/>
          <w:jc w:val="center"/>
          <w:tblLook w:val="04A0"/>
        </w:tblPrEx>
        <w:trPr>
          <w:jc w:val="center"/>
        </w:trPr>
        <w:tc>
          <w:tcPr>
            <w:tcW w:w="8640"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易方达中债1-3年国开行债券指数</w:t>
            </w:r>
          </w:p>
        </w:tc>
        <w:tc>
          <w:tcPr>
            <w:tcW w:w="28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2019-04-29</w:t>
            </w:r>
          </w:p>
        </w:tc>
        <w:tc>
          <w:tcPr>
            <w:tcW w:w="28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2020-12-18</w:t>
            </w:r>
          </w:p>
        </w:tc>
      </w:tr>
      <w:tr>
        <w:tblPrEx>
          <w:tblW w:w="0" w:type="auto"/>
          <w:jc w:val="center"/>
          <w:tblLook w:val="04A0"/>
        </w:tblPrEx>
        <w:trPr>
          <w:jc w:val="center"/>
        </w:trPr>
        <w:tc>
          <w:tcPr>
            <w:tcW w:w="8640"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易方达中债3-5年国开行债券指数</w:t>
            </w:r>
          </w:p>
        </w:tc>
        <w:tc>
          <w:tcPr>
            <w:tcW w:w="28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2019-07-08</w:t>
            </w:r>
          </w:p>
        </w:tc>
        <w:tc>
          <w:tcPr>
            <w:tcW w:w="28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2020-12-18</w:t>
            </w:r>
          </w:p>
        </w:tc>
      </w:tr>
      <w:tr>
        <w:tblPrEx>
          <w:tblW w:w="0" w:type="auto"/>
          <w:jc w:val="center"/>
          <w:tblLook w:val="04A0"/>
        </w:tblPrEx>
        <w:trPr>
          <w:jc w:val="center"/>
        </w:trPr>
        <w:tc>
          <w:tcPr>
            <w:tcW w:w="8640"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易方达中债1-3年政金债指数</w:t>
            </w:r>
          </w:p>
        </w:tc>
        <w:tc>
          <w:tcPr>
            <w:tcW w:w="28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2019-12-03</w:t>
            </w:r>
          </w:p>
        </w:tc>
        <w:tc>
          <w:tcPr>
            <w:tcW w:w="28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2020-12-18</w:t>
            </w:r>
          </w:p>
        </w:tc>
      </w:tr>
      <w:tr>
        <w:tblPrEx>
          <w:tblW w:w="0" w:type="auto"/>
          <w:jc w:val="center"/>
          <w:tblLook w:val="04A0"/>
        </w:tblPrEx>
        <w:trPr>
          <w:jc w:val="center"/>
        </w:trPr>
        <w:tc>
          <w:tcPr>
            <w:tcW w:w="8640"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易方达中债3-5年政金债指数</w:t>
            </w:r>
          </w:p>
        </w:tc>
        <w:tc>
          <w:tcPr>
            <w:tcW w:w="28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2019-12-04</w:t>
            </w:r>
          </w:p>
        </w:tc>
        <w:tc>
          <w:tcPr>
            <w:tcW w:w="28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2020-12-18</w:t>
            </w:r>
          </w:p>
        </w:tc>
      </w:tr>
      <w:tr>
        <w:tblPrEx>
          <w:tblW w:w="0" w:type="auto"/>
          <w:jc w:val="center"/>
          <w:tblLook w:val="04A0"/>
        </w:tblPrEx>
        <w:trPr>
          <w:jc w:val="center"/>
        </w:trPr>
        <w:tc>
          <w:tcPr>
            <w:tcW w:w="8640"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易方达中债新综指发起式（LOF）</w:t>
            </w:r>
          </w:p>
        </w:tc>
        <w:tc>
          <w:tcPr>
            <w:tcW w:w="28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2014-07-05</w:t>
            </w:r>
          </w:p>
        </w:tc>
        <w:tc>
          <w:tcPr>
            <w:tcW w:w="28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2022-05-17</w:t>
            </w:r>
          </w:p>
        </w:tc>
      </w:tr>
      <w:tr>
        <w:tblPrEx>
          <w:tblW w:w="0" w:type="auto"/>
          <w:jc w:val="center"/>
          <w:tblLook w:val="04A0"/>
        </w:tblPrEx>
        <w:trPr>
          <w:jc w:val="center"/>
        </w:trPr>
        <w:tc>
          <w:tcPr>
            <w:tcW w:w="8640"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易方达富财纯债债券</w:t>
            </w:r>
          </w:p>
        </w:tc>
        <w:tc>
          <w:tcPr>
            <w:tcW w:w="28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2018-10-26</w:t>
            </w:r>
          </w:p>
        </w:tc>
        <w:tc>
          <w:tcPr>
            <w:tcW w:w="28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2022-06-18</w:t>
            </w:r>
          </w:p>
        </w:tc>
      </w:tr>
      <w:tr>
        <w:tblPrEx>
          <w:tblW w:w="0" w:type="auto"/>
          <w:jc w:val="center"/>
          <w:tblLook w:val="04A0"/>
        </w:tblPrEx>
        <w:trPr>
          <w:jc w:val="center"/>
        </w:trPr>
        <w:tc>
          <w:tcPr>
            <w:tcW w:w="8640"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易方达恒安定开债券发起式</w:t>
            </w:r>
          </w:p>
        </w:tc>
        <w:tc>
          <w:tcPr>
            <w:tcW w:w="28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2018-05-15</w:t>
            </w:r>
          </w:p>
        </w:tc>
        <w:tc>
          <w:tcPr>
            <w:tcW w:w="28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2022-09-08</w:t>
            </w:r>
          </w:p>
        </w:tc>
      </w:tr>
    </w:tbl>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张凯頔先生，经济学硕士，本基金的基金经理助理。现任易方达基金管理有限公司基金经理、基金经理助理。曾任工银瑞信基金管理有限公司债券交易员，易方达基金管理有限公司债券交易员。张凯頔历任基金经理及现任基金经理助理的基金如下：</w:t>
      </w:r>
    </w:p>
    <w:tbl>
      <w:tblPr>
        <w:tblStyle w:val="TableGrid"/>
        <w:tblW w:w="0" w:type="auto"/>
        <w:jc w:val="center"/>
        <w:tblLook w:val="04A0"/>
      </w:tblPr>
      <w:tblGrid>
        <w:gridCol w:w="4796"/>
        <w:gridCol w:w="2073"/>
        <w:gridCol w:w="1653"/>
      </w:tblGrid>
      <w:tr>
        <w:tblPrEx>
          <w:tblW w:w="0" w:type="auto"/>
          <w:jc w:val="center"/>
          <w:tblLook w:val="04A0"/>
        </w:tblPrEx>
        <w:trPr>
          <w:jc w:val="center"/>
        </w:trPr>
        <w:tc>
          <w:tcPr>
            <w:tcW w:w="8640"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b/>
                <w:color w:val="000000" w:themeColor="text1"/>
              </w:rPr>
              <w:t>历任基金经理的基金</w:t>
            </w:r>
          </w:p>
        </w:tc>
        <w:tc>
          <w:tcPr>
            <w:tcW w:w="28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b/>
                <w:color w:val="000000" w:themeColor="text1"/>
              </w:rPr>
              <w:t>任职时间</w:t>
            </w:r>
          </w:p>
        </w:tc>
        <w:tc>
          <w:tcPr>
            <w:tcW w:w="28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b/>
                <w:color w:val="000000" w:themeColor="text1"/>
              </w:rPr>
              <w:t>离任时间</w:t>
            </w:r>
          </w:p>
        </w:tc>
      </w:tr>
      <w:tr>
        <w:tblPrEx>
          <w:tblW w:w="0" w:type="auto"/>
          <w:jc w:val="center"/>
          <w:tblLook w:val="04A0"/>
        </w:tblPrEx>
        <w:trPr>
          <w:jc w:val="center"/>
        </w:trPr>
        <w:tc>
          <w:tcPr>
            <w:tcW w:w="8640"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易方达岁丰添利债券（LOF）</w:t>
            </w:r>
          </w:p>
        </w:tc>
        <w:tc>
          <w:tcPr>
            <w:tcW w:w="28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2022-07-06</w:t>
            </w:r>
          </w:p>
        </w:tc>
        <w:tc>
          <w:tcPr>
            <w:tcW w:w="28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w:t>
            </w:r>
          </w:p>
        </w:tc>
      </w:tr>
    </w:tbl>
    <w:p w:rsidR="009945FE" w:rsidRPr="00054588">
      <w:pPr>
        <w:rPr>
          <w:rFonts w:asciiTheme="minorEastAsia" w:eastAsiaTheme="minorEastAsia" w:hAnsiTheme="minorEastAsia"/>
          <w:color w:val="000000" w:themeColor="text1"/>
        </w:rPr>
      </w:pPr>
    </w:p>
    <w:tbl>
      <w:tblPr>
        <w:tblStyle w:val="TableGrid"/>
        <w:tblW w:w="0" w:type="auto"/>
        <w:jc w:val="center"/>
        <w:tblLook w:val="04A0"/>
      </w:tblPr>
      <w:tblGrid>
        <w:gridCol w:w="4262"/>
        <w:gridCol w:w="4260"/>
      </w:tblGrid>
      <w:tr>
        <w:tblPrEx>
          <w:tblW w:w="0" w:type="auto"/>
          <w:jc w:val="center"/>
          <w:tblLook w:val="04A0"/>
        </w:tblPrEx>
        <w:trPr>
          <w:jc w:val="center"/>
        </w:trPr>
        <w:tc>
          <w:tcPr>
            <w:tcW w:w="8640" w:type="dxa"/>
            <w:gridSpan w:val="2"/>
          </w:tcPr>
          <w:p w:rsidR="009945FE" w:rsidRPr="00054588">
            <w:pPr>
              <w:rPr>
                <w:rFonts w:asciiTheme="minorEastAsia" w:eastAsiaTheme="minorEastAsia" w:hAnsiTheme="minorEastAsia"/>
                <w:color w:val="000000" w:themeColor="text1"/>
              </w:rPr>
            </w:pPr>
            <w:r w:rsidRPr="00054588">
              <w:rPr>
                <w:rFonts w:asciiTheme="minorEastAsia" w:eastAsiaTheme="minorEastAsia" w:hAnsiTheme="minorEastAsia"/>
                <w:b/>
                <w:color w:val="000000" w:themeColor="text1"/>
              </w:rPr>
              <w:t>现任基金经理助理的基金</w:t>
            </w:r>
          </w:p>
        </w:tc>
      </w:tr>
      <w:tr>
        <w:tblPrEx>
          <w:tblW w:w="0" w:type="auto"/>
          <w:jc w:val="center"/>
          <w:tblLook w:val="04A0"/>
        </w:tblPrEx>
        <w:trPr>
          <w:jc w:val="center"/>
        </w:trPr>
        <w:tc>
          <w:tcPr>
            <w:tcW w:w="4320"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易方达双债增强债券</w:t>
            </w:r>
          </w:p>
        </w:tc>
        <w:tc>
          <w:tcPr>
            <w:tcW w:w="4320"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易方达高等级信用债债券</w:t>
            </w:r>
          </w:p>
        </w:tc>
      </w:tr>
      <w:tr>
        <w:tblPrEx>
          <w:tblW w:w="0" w:type="auto"/>
          <w:jc w:val="center"/>
          <w:tblLook w:val="04A0"/>
        </w:tblPrEx>
        <w:trPr>
          <w:jc w:val="center"/>
        </w:trPr>
        <w:tc>
          <w:tcPr>
            <w:tcW w:w="4320"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易方达增强回报债券</w:t>
            </w:r>
          </w:p>
        </w:tc>
        <w:tc>
          <w:tcPr>
            <w:tcW w:w="4320"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易方达裕祥回报债券</w:t>
            </w:r>
          </w:p>
        </w:tc>
      </w:tr>
      <w:tr>
        <w:tblPrEx>
          <w:tblW w:w="0" w:type="auto"/>
          <w:jc w:val="center"/>
          <w:tblLook w:val="04A0"/>
        </w:tblPrEx>
        <w:trPr>
          <w:jc w:val="center"/>
        </w:trPr>
        <w:tc>
          <w:tcPr>
            <w:tcW w:w="4320"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易方达投资级信用债债券</w:t>
            </w:r>
          </w:p>
        </w:tc>
        <w:tc>
          <w:tcPr>
            <w:tcW w:w="4320"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易方达平稳增长混合</w:t>
            </w:r>
          </w:p>
        </w:tc>
      </w:tr>
      <w:tr>
        <w:tblPrEx>
          <w:tblW w:w="0" w:type="auto"/>
          <w:jc w:val="center"/>
          <w:tblLook w:val="04A0"/>
        </w:tblPrEx>
        <w:trPr>
          <w:jc w:val="center"/>
        </w:trPr>
        <w:tc>
          <w:tcPr>
            <w:tcW w:w="4320"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易方达中债1-3年国开行债券指数</w:t>
            </w:r>
          </w:p>
        </w:tc>
        <w:tc>
          <w:tcPr>
            <w:tcW w:w="4320"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易方达科汇灵活配置混合</w:t>
            </w:r>
          </w:p>
        </w:tc>
      </w:tr>
      <w:tr>
        <w:tblPrEx>
          <w:tblW w:w="0" w:type="auto"/>
          <w:jc w:val="center"/>
          <w:tblLook w:val="04A0"/>
        </w:tblPrEx>
        <w:trPr>
          <w:jc w:val="center"/>
        </w:trPr>
        <w:tc>
          <w:tcPr>
            <w:tcW w:w="4320"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易方达中债3-5年国开行债券指数</w:t>
            </w:r>
          </w:p>
        </w:tc>
        <w:tc>
          <w:tcPr>
            <w:tcW w:w="4320"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易方达稳健增长混合</w:t>
            </w:r>
          </w:p>
        </w:tc>
      </w:tr>
      <w:tr>
        <w:tblPrEx>
          <w:tblW w:w="0" w:type="auto"/>
          <w:jc w:val="center"/>
          <w:tblLook w:val="04A0"/>
        </w:tblPrEx>
        <w:trPr>
          <w:jc w:val="center"/>
        </w:trPr>
        <w:tc>
          <w:tcPr>
            <w:tcW w:w="4320"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易方达中债1-3年政金债指数</w:t>
            </w:r>
          </w:p>
        </w:tc>
        <w:tc>
          <w:tcPr>
            <w:tcW w:w="4320"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易方达稳健回报混合</w:t>
            </w:r>
          </w:p>
        </w:tc>
      </w:tr>
      <w:tr>
        <w:tblPrEx>
          <w:tblW w:w="0" w:type="auto"/>
          <w:jc w:val="center"/>
          <w:tblLook w:val="04A0"/>
        </w:tblPrEx>
        <w:trPr>
          <w:jc w:val="center"/>
        </w:trPr>
        <w:tc>
          <w:tcPr>
            <w:tcW w:w="4320"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易方达中债3-5年政金债指数</w:t>
            </w:r>
          </w:p>
        </w:tc>
        <w:tc>
          <w:tcPr>
            <w:tcW w:w="4320"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易方达稳健增利混合</w:t>
            </w:r>
          </w:p>
        </w:tc>
      </w:tr>
      <w:tr>
        <w:tblPrEx>
          <w:tblW w:w="0" w:type="auto"/>
          <w:jc w:val="center"/>
          <w:tblLook w:val="04A0"/>
        </w:tblPrEx>
        <w:trPr>
          <w:jc w:val="center"/>
        </w:trPr>
        <w:tc>
          <w:tcPr>
            <w:tcW w:w="4320"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易方达恒安定开债券发起式</w:t>
            </w:r>
          </w:p>
        </w:tc>
        <w:tc>
          <w:tcPr>
            <w:tcW w:w="4320"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易方达稳健添利混合</w:t>
            </w:r>
          </w:p>
        </w:tc>
      </w:tr>
      <w:tr>
        <w:tblPrEx>
          <w:tblW w:w="0" w:type="auto"/>
          <w:jc w:val="center"/>
          <w:tblLook w:val="04A0"/>
        </w:tblPrEx>
        <w:trPr>
          <w:jc w:val="center"/>
        </w:trPr>
        <w:tc>
          <w:tcPr>
            <w:tcW w:w="4320"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易方达裕景添利6个月定期开放债券</w:t>
            </w:r>
          </w:p>
        </w:tc>
        <w:tc>
          <w:tcPr>
            <w:tcW w:w="4320" w:type="dxa"/>
          </w:tcPr>
          <w:p w:rsidR="009945FE" w:rsidRPr="00054588">
            <w:pPr>
              <w:jc w:val="left"/>
              <w:rPr>
                <w:rFonts w:asciiTheme="minorEastAsia" w:eastAsiaTheme="minorEastAsia" w:hAnsiTheme="minorEastAsia"/>
                <w:color w:val="000000" w:themeColor="text1"/>
              </w:rPr>
            </w:pPr>
          </w:p>
        </w:tc>
      </w:tr>
    </w:tbl>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胡文伯先生，金融数学硕士，本基金的基金经理助理。现任易方达基金管理有限公司基金经理、基金经理助理。曾任易方达基金管理有限公司固定收益研究员。胡文伯历任基金经理及现任基金经理助理的基金如下：</w:t>
      </w:r>
    </w:p>
    <w:tbl>
      <w:tblPr>
        <w:tblStyle w:val="TableGrid"/>
        <w:tblW w:w="0" w:type="auto"/>
        <w:jc w:val="center"/>
        <w:tblLook w:val="04A0"/>
      </w:tblPr>
      <w:tblGrid>
        <w:gridCol w:w="4709"/>
        <w:gridCol w:w="2107"/>
        <w:gridCol w:w="1706"/>
      </w:tblGrid>
      <w:tr>
        <w:tblPrEx>
          <w:tblW w:w="0" w:type="auto"/>
          <w:jc w:val="center"/>
          <w:tblLook w:val="04A0"/>
        </w:tblPrEx>
        <w:trPr>
          <w:jc w:val="center"/>
        </w:trPr>
        <w:tc>
          <w:tcPr>
            <w:tcW w:w="8640"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b/>
                <w:color w:val="000000" w:themeColor="text1"/>
              </w:rPr>
              <w:t>历任基金经理的基金</w:t>
            </w:r>
          </w:p>
        </w:tc>
        <w:tc>
          <w:tcPr>
            <w:tcW w:w="28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b/>
                <w:color w:val="000000" w:themeColor="text1"/>
              </w:rPr>
              <w:t>任职时间</w:t>
            </w:r>
          </w:p>
        </w:tc>
        <w:tc>
          <w:tcPr>
            <w:tcW w:w="28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b/>
                <w:color w:val="000000" w:themeColor="text1"/>
              </w:rPr>
              <w:t>离任时间</w:t>
            </w:r>
          </w:p>
        </w:tc>
      </w:tr>
      <w:tr>
        <w:tblPrEx>
          <w:tblW w:w="0" w:type="auto"/>
          <w:jc w:val="center"/>
          <w:tblLook w:val="04A0"/>
        </w:tblPrEx>
        <w:trPr>
          <w:jc w:val="center"/>
        </w:trPr>
        <w:tc>
          <w:tcPr>
            <w:tcW w:w="8640"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易方达双债增强债券</w:t>
            </w:r>
          </w:p>
        </w:tc>
        <w:tc>
          <w:tcPr>
            <w:tcW w:w="28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2020-10-16</w:t>
            </w:r>
          </w:p>
        </w:tc>
        <w:tc>
          <w:tcPr>
            <w:tcW w:w="28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w:t>
            </w:r>
          </w:p>
        </w:tc>
      </w:tr>
    </w:tbl>
    <w:p w:rsidR="009945FE" w:rsidRPr="00054588">
      <w:pPr>
        <w:rPr>
          <w:rFonts w:asciiTheme="minorEastAsia" w:eastAsiaTheme="minorEastAsia" w:hAnsiTheme="minorEastAsia"/>
          <w:color w:val="000000" w:themeColor="text1"/>
        </w:rPr>
      </w:pPr>
    </w:p>
    <w:tbl>
      <w:tblPr>
        <w:tblStyle w:val="TableGrid"/>
        <w:tblW w:w="0" w:type="auto"/>
        <w:jc w:val="center"/>
        <w:tblLook w:val="04A0"/>
      </w:tblPr>
      <w:tblGrid>
        <w:gridCol w:w="4265"/>
        <w:gridCol w:w="4257"/>
      </w:tblGrid>
      <w:tr w:rsidTr="00054588">
        <w:tblPrEx>
          <w:tblW w:w="0" w:type="auto"/>
          <w:jc w:val="center"/>
          <w:tblLook w:val="04A0"/>
        </w:tblPrEx>
        <w:trPr>
          <w:jc w:val="center"/>
        </w:trPr>
        <w:tc>
          <w:tcPr>
            <w:tcW w:w="8522" w:type="dxa"/>
            <w:gridSpan w:val="2"/>
          </w:tcPr>
          <w:p w:rsidR="009945FE" w:rsidRPr="00054588">
            <w:pPr>
              <w:rPr>
                <w:rFonts w:asciiTheme="minorEastAsia" w:eastAsiaTheme="minorEastAsia" w:hAnsiTheme="minorEastAsia"/>
                <w:color w:val="000000" w:themeColor="text1"/>
              </w:rPr>
            </w:pPr>
            <w:r w:rsidRPr="00054588">
              <w:rPr>
                <w:rFonts w:asciiTheme="minorEastAsia" w:eastAsiaTheme="minorEastAsia" w:hAnsiTheme="minorEastAsia"/>
                <w:b/>
                <w:color w:val="000000" w:themeColor="text1"/>
              </w:rPr>
              <w:t>现任基金经理助理的基金</w:t>
            </w:r>
          </w:p>
        </w:tc>
      </w:tr>
      <w:tr w:rsidTr="00054588">
        <w:tblPrEx>
          <w:tblW w:w="0" w:type="auto"/>
          <w:jc w:val="center"/>
          <w:tblLook w:val="04A0"/>
        </w:tblPrEx>
        <w:trPr>
          <w:jc w:val="center"/>
        </w:trPr>
        <w:tc>
          <w:tcPr>
            <w:tcW w:w="4265"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易方达瑞财混合</w:t>
            </w:r>
          </w:p>
        </w:tc>
        <w:tc>
          <w:tcPr>
            <w:tcW w:w="4257"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易方达恒惠定开债券发起式</w:t>
            </w:r>
          </w:p>
        </w:tc>
      </w:tr>
      <w:tr w:rsidTr="00054588">
        <w:tblPrEx>
          <w:tblW w:w="0" w:type="auto"/>
          <w:jc w:val="center"/>
          <w:tblLook w:val="04A0"/>
        </w:tblPrEx>
        <w:trPr>
          <w:jc w:val="center"/>
        </w:trPr>
        <w:tc>
          <w:tcPr>
            <w:tcW w:w="4265"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易方达稳健收益债券</w:t>
            </w:r>
          </w:p>
        </w:tc>
        <w:tc>
          <w:tcPr>
            <w:tcW w:w="4257"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易方达恒益定开债券发起式</w:t>
            </w:r>
          </w:p>
        </w:tc>
      </w:tr>
      <w:tr w:rsidTr="00054588">
        <w:tblPrEx>
          <w:tblW w:w="0" w:type="auto"/>
          <w:jc w:val="center"/>
          <w:tblLook w:val="04A0"/>
        </w:tblPrEx>
        <w:trPr>
          <w:jc w:val="center"/>
        </w:trPr>
        <w:tc>
          <w:tcPr>
            <w:tcW w:w="4265"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易方达裕如混合</w:t>
            </w:r>
          </w:p>
        </w:tc>
        <w:tc>
          <w:tcPr>
            <w:tcW w:w="4257"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易方达永旭定期开放债券</w:t>
            </w:r>
          </w:p>
        </w:tc>
      </w:tr>
      <w:tr w:rsidTr="00054588">
        <w:tblPrEx>
          <w:tblW w:w="0" w:type="auto"/>
          <w:jc w:val="center"/>
          <w:tblLook w:val="04A0"/>
        </w:tblPrEx>
        <w:trPr>
          <w:jc w:val="center"/>
        </w:trPr>
        <w:tc>
          <w:tcPr>
            <w:tcW w:w="4265"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易方达裕惠定开混合发起式</w:t>
            </w:r>
          </w:p>
        </w:tc>
        <w:tc>
          <w:tcPr>
            <w:tcW w:w="4257"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易方达纯债1年定期开放债券</w:t>
            </w:r>
          </w:p>
        </w:tc>
      </w:tr>
      <w:tr w:rsidTr="00054588">
        <w:tblPrEx>
          <w:tblW w:w="0" w:type="auto"/>
          <w:jc w:val="center"/>
          <w:tblLook w:val="04A0"/>
        </w:tblPrEx>
        <w:trPr>
          <w:jc w:val="center"/>
        </w:trPr>
        <w:tc>
          <w:tcPr>
            <w:tcW w:w="4265"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易方达中债新综指发起式（LOF）</w:t>
            </w:r>
          </w:p>
        </w:tc>
        <w:tc>
          <w:tcPr>
            <w:tcW w:w="4257"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易方达恒利3个月定开债券发起式</w:t>
            </w:r>
          </w:p>
        </w:tc>
      </w:tr>
      <w:tr w:rsidTr="00054588">
        <w:tblPrEx>
          <w:tblW w:w="0" w:type="auto"/>
          <w:jc w:val="center"/>
          <w:tblLook w:val="04A0"/>
        </w:tblPrEx>
        <w:trPr>
          <w:jc w:val="center"/>
        </w:trPr>
        <w:tc>
          <w:tcPr>
            <w:tcW w:w="4265"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易方达信用债债券</w:t>
            </w:r>
          </w:p>
        </w:tc>
        <w:tc>
          <w:tcPr>
            <w:tcW w:w="4257"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易方达裕景添利6个月定期开放债券</w:t>
            </w:r>
          </w:p>
        </w:tc>
      </w:tr>
      <w:tr w:rsidTr="00054588">
        <w:tblPrEx>
          <w:tblW w:w="0" w:type="auto"/>
          <w:jc w:val="center"/>
          <w:tblLook w:val="04A0"/>
        </w:tblPrEx>
        <w:trPr>
          <w:jc w:val="center"/>
        </w:trPr>
        <w:tc>
          <w:tcPr>
            <w:tcW w:w="4265"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易方达安源中短债债券</w:t>
            </w:r>
          </w:p>
        </w:tc>
        <w:tc>
          <w:tcPr>
            <w:tcW w:w="4257"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易方达裕祥回报债券</w:t>
            </w:r>
          </w:p>
        </w:tc>
      </w:tr>
      <w:tr w:rsidTr="00054588">
        <w:tblPrEx>
          <w:tblW w:w="0" w:type="auto"/>
          <w:jc w:val="center"/>
          <w:tblLook w:val="04A0"/>
        </w:tblPrEx>
        <w:trPr>
          <w:jc w:val="center"/>
        </w:trPr>
        <w:tc>
          <w:tcPr>
            <w:tcW w:w="4265"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易方达富惠纯债债券</w:t>
            </w:r>
          </w:p>
        </w:tc>
        <w:tc>
          <w:tcPr>
            <w:tcW w:w="4257"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易方达年年恒秋纯债一年定开债券发起式</w:t>
            </w:r>
          </w:p>
        </w:tc>
      </w:tr>
      <w:tr w:rsidTr="00054588">
        <w:tblPrEx>
          <w:tblW w:w="0" w:type="auto"/>
          <w:jc w:val="center"/>
          <w:tblLook w:val="04A0"/>
        </w:tblPrEx>
        <w:trPr>
          <w:jc w:val="center"/>
        </w:trPr>
        <w:tc>
          <w:tcPr>
            <w:tcW w:w="4265"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易方达年年恒夏纯债一年定开债券发起式</w:t>
            </w:r>
          </w:p>
        </w:tc>
        <w:tc>
          <w:tcPr>
            <w:tcW w:w="4257"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易方达增强回报债券</w:t>
            </w:r>
          </w:p>
        </w:tc>
      </w:tr>
      <w:tr w:rsidTr="00054588">
        <w:tblPrEx>
          <w:tblW w:w="0" w:type="auto"/>
          <w:jc w:val="center"/>
          <w:tblLook w:val="04A0"/>
        </w:tblPrEx>
        <w:trPr>
          <w:jc w:val="center"/>
        </w:trPr>
        <w:tc>
          <w:tcPr>
            <w:tcW w:w="4265"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易方达恒信定开债券发起式</w:t>
            </w:r>
          </w:p>
        </w:tc>
        <w:tc>
          <w:tcPr>
            <w:tcW w:w="4257"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易方达恒盛3个月定开混合发起式</w:t>
            </w:r>
          </w:p>
        </w:tc>
      </w:tr>
    </w:tbl>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王丹女士，公共政策硕士，本基金的基金经理助理。现任易方达基金管理有限公司基金经理助理。曾任海通证券股份有限公司研究员，远大物产集团有限公司投资经理助理，富国基金管理有限公司研究员、基金经理助理。王丹现任基金经理助理的基金如下：</w:t>
      </w:r>
    </w:p>
    <w:tbl>
      <w:tblPr>
        <w:tblStyle w:val="TableGrid"/>
        <w:tblW w:w="0" w:type="auto"/>
        <w:jc w:val="center"/>
        <w:tblLook w:val="04A0"/>
      </w:tblPr>
      <w:tblGrid>
        <w:gridCol w:w="4261"/>
        <w:gridCol w:w="4261"/>
      </w:tblGrid>
      <w:tr>
        <w:tblPrEx>
          <w:tblW w:w="0" w:type="auto"/>
          <w:jc w:val="center"/>
          <w:tblLook w:val="04A0"/>
        </w:tblPrEx>
        <w:trPr>
          <w:jc w:val="center"/>
        </w:trPr>
        <w:tc>
          <w:tcPr>
            <w:tcW w:w="8640" w:type="dxa"/>
            <w:gridSpan w:val="2"/>
          </w:tcPr>
          <w:p w:rsidR="009945FE" w:rsidRPr="00054588">
            <w:pPr>
              <w:rPr>
                <w:rFonts w:asciiTheme="minorEastAsia" w:eastAsiaTheme="minorEastAsia" w:hAnsiTheme="minorEastAsia"/>
                <w:color w:val="000000" w:themeColor="text1"/>
              </w:rPr>
            </w:pPr>
            <w:r w:rsidRPr="00054588">
              <w:rPr>
                <w:rFonts w:asciiTheme="minorEastAsia" w:eastAsiaTheme="minorEastAsia" w:hAnsiTheme="minorEastAsia"/>
                <w:b/>
                <w:color w:val="000000" w:themeColor="text1"/>
              </w:rPr>
              <w:t>现任基金经理助理的基金</w:t>
            </w:r>
          </w:p>
        </w:tc>
      </w:tr>
      <w:tr>
        <w:tblPrEx>
          <w:tblW w:w="0" w:type="auto"/>
          <w:jc w:val="center"/>
          <w:tblLook w:val="04A0"/>
        </w:tblPrEx>
        <w:trPr>
          <w:jc w:val="center"/>
        </w:trPr>
        <w:tc>
          <w:tcPr>
            <w:tcW w:w="4320"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易方达裕景添利6个月定期开放债券</w:t>
            </w:r>
          </w:p>
        </w:tc>
        <w:tc>
          <w:tcPr>
            <w:tcW w:w="4320"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易方达安瑞短债债券</w:t>
            </w:r>
          </w:p>
        </w:tc>
      </w:tr>
      <w:tr>
        <w:tblPrEx>
          <w:tblW w:w="0" w:type="auto"/>
          <w:jc w:val="center"/>
          <w:tblLook w:val="04A0"/>
        </w:tblPrEx>
        <w:trPr>
          <w:jc w:val="center"/>
        </w:trPr>
        <w:tc>
          <w:tcPr>
            <w:tcW w:w="4320"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易方达高等级信用债债券</w:t>
            </w:r>
          </w:p>
        </w:tc>
        <w:tc>
          <w:tcPr>
            <w:tcW w:w="4320"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易方达投资级信用债债券</w:t>
            </w:r>
          </w:p>
        </w:tc>
      </w:tr>
      <w:tr>
        <w:tblPrEx>
          <w:tblW w:w="0" w:type="auto"/>
          <w:jc w:val="center"/>
          <w:tblLook w:val="04A0"/>
        </w:tblPrEx>
        <w:trPr>
          <w:jc w:val="center"/>
        </w:trPr>
        <w:tc>
          <w:tcPr>
            <w:tcW w:w="4320"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易方达增强回报债券</w:t>
            </w:r>
          </w:p>
        </w:tc>
        <w:tc>
          <w:tcPr>
            <w:tcW w:w="4320"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易方达裕祥回报债券</w:t>
            </w:r>
          </w:p>
        </w:tc>
      </w:tr>
    </w:tbl>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本基金历任基金经理情况：钟鸣远，管理时间为2008年3月19日至2014年1月17日；张雅君，管理时间为2014年7月19日至2020年5月26日。</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3、固定收益投资决策委员会成员</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本公司固定收益投资决策委员会成员包括：马骏先生、胡剑先生、张清华先生、王晓晨女士、袁方女士、刘朝阳女士、祁广东先生。</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马骏先生，同上。</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胡剑先生，同上。</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张清华先生，同上。</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王晓晨女士，同上。</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袁方女士，易方达基金管理有限公司多资产养老金投资部总经理、基金经理。</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刘朝阳女士，易方达基金管理有限公司现金管理部总经理、基金经理。</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祁广东先生，易方达基金管理有限公司国际固定收益投资部总经理、基金经理，易方达资产管理（香港）有限公司副行政总裁兼首席投资官、就证券提供意见负责人员（RO）、提供资产管理负责人员（RO）、投资决策委员会委员。</w:t>
      </w:r>
    </w:p>
    <w:p w:rsidR="001366A8" w:rsidRPr="00054588" w:rsidP="001366A8">
      <w:pPr>
        <w:pStyle w:val="PlainText"/>
        <w:adjustRightInd w:val="0"/>
        <w:snapToGrid w:val="0"/>
        <w:spacing w:line="360" w:lineRule="auto"/>
        <w:ind w:firstLine="422"/>
        <w:textAlignment w:val="baseline"/>
        <w:rPr>
          <w:rStyle w:val="da"/>
          <w:rFonts w:asciiTheme="minorEastAsia" w:eastAsiaTheme="minorEastAsia" w:hAnsiTheme="minorEastAsia"/>
          <w:color w:val="000000" w:themeColor="text1"/>
        </w:rPr>
      </w:pPr>
      <w:bookmarkStart w:id="21" w:name="_Toc182920392"/>
      <w:bookmarkStart w:id="22" w:name="_Toc182920586"/>
      <w:bookmarkStart w:id="23" w:name="_Toc183353718"/>
      <w:bookmarkStart w:id="24" w:name="_Toc183400076"/>
      <w:bookmarkStart w:id="25" w:name="_Toc531317900"/>
      <w:bookmarkStart w:id="26" w:name="_Toc531323664"/>
      <w:r w:rsidRPr="00054588">
        <w:rPr>
          <w:rFonts w:asciiTheme="minorEastAsia" w:eastAsiaTheme="minorEastAsia" w:hAnsiTheme="minorEastAsia"/>
          <w:color w:val="000000" w:themeColor="text1"/>
          <w:kern w:val="0"/>
        </w:rPr>
        <w:t>4、上述人员之间均不存在近亲属关系。</w:t>
      </w:r>
    </w:p>
    <w:p w:rsidR="007228CC" w:rsidRPr="00054588" w:rsidP="009A1EA6">
      <w:pPr>
        <w:pStyle w:val="Heading2"/>
        <w:snapToGrid w:val="0"/>
        <w:spacing w:beforeLines="0" w:afterLines="0" w:line="360" w:lineRule="auto"/>
        <w:ind w:firstLine="0" w:firstLineChars="0"/>
        <w:rPr>
          <w:rFonts w:asciiTheme="minorEastAsia" w:eastAsiaTheme="minorEastAsia" w:hAnsiTheme="minorEastAsia" w:cs="仿宋_GB2312"/>
          <w:bCs/>
          <w:color w:val="000000" w:themeColor="text1"/>
        </w:rPr>
      </w:pPr>
      <w:bookmarkStart w:id="27" w:name="_Toc133292565"/>
      <w:bookmarkStart w:id="28" w:name="_Toc163189522"/>
      <w:bookmarkStart w:id="29" w:name="_Toc211920122"/>
      <w:bookmarkStart w:id="30" w:name="_Toc211927653"/>
      <w:bookmarkStart w:id="31" w:name="_Toc123296405"/>
      <w:bookmarkEnd w:id="21"/>
      <w:bookmarkEnd w:id="22"/>
      <w:bookmarkEnd w:id="23"/>
      <w:bookmarkEnd w:id="24"/>
      <w:bookmarkEnd w:id="25"/>
      <w:bookmarkEnd w:id="26"/>
      <w:r w:rsidRPr="00054588">
        <w:rPr>
          <w:rFonts w:asciiTheme="minorEastAsia" w:eastAsiaTheme="minorEastAsia" w:hAnsiTheme="minorEastAsia" w:hint="eastAsia"/>
          <w:bCs/>
          <w:color w:val="000000" w:themeColor="text1"/>
          <w:szCs w:val="21"/>
        </w:rPr>
        <w:t>（三）</w:t>
      </w:r>
      <w:r w:rsidRPr="00054588">
        <w:rPr>
          <w:rFonts w:asciiTheme="minorEastAsia" w:eastAsiaTheme="minorEastAsia" w:hAnsiTheme="minorEastAsia"/>
          <w:bCs/>
          <w:color w:val="000000" w:themeColor="text1"/>
          <w:szCs w:val="21"/>
        </w:rPr>
        <w:t>基金管理人的职责</w:t>
      </w:r>
      <w:bookmarkEnd w:id="27"/>
      <w:bookmarkEnd w:id="28"/>
      <w:bookmarkEnd w:id="29"/>
      <w:bookmarkEnd w:id="30"/>
      <w:bookmarkEnd w:id="31"/>
    </w:p>
    <w:p w:rsidR="007228CC" w:rsidRPr="00054588" w:rsidP="0081558F">
      <w:pPr>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1、</w:t>
      </w:r>
      <w:r w:rsidRPr="00054588" w:rsidR="00220D38">
        <w:rPr>
          <w:rFonts w:asciiTheme="minorEastAsia" w:eastAsiaTheme="minorEastAsia" w:hAnsiTheme="minorEastAsia" w:cs="Arial" w:hint="eastAsia"/>
          <w:color w:val="000000" w:themeColor="text1"/>
          <w:szCs w:val="21"/>
        </w:rPr>
        <w:t>依法募集资金，办理基金份额的发售和登记事宜</w:t>
      </w:r>
      <w:r w:rsidRPr="00054588">
        <w:rPr>
          <w:rFonts w:asciiTheme="minorEastAsia" w:eastAsiaTheme="minorEastAsia" w:hAnsiTheme="minorEastAsia" w:cs="Arial"/>
          <w:color w:val="000000" w:themeColor="text1"/>
          <w:szCs w:val="21"/>
        </w:rPr>
        <w:t>；</w:t>
      </w:r>
    </w:p>
    <w:p w:rsidR="007228CC" w:rsidRPr="00054588" w:rsidP="0081558F">
      <w:pPr>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2、</w:t>
      </w:r>
      <w:r w:rsidRPr="00054588">
        <w:rPr>
          <w:rFonts w:asciiTheme="minorEastAsia" w:eastAsiaTheme="minorEastAsia" w:hAnsiTheme="minorEastAsia" w:cs="Arial"/>
          <w:color w:val="000000" w:themeColor="text1"/>
          <w:szCs w:val="21"/>
        </w:rPr>
        <w:t>办理基金备案手续；</w:t>
      </w:r>
    </w:p>
    <w:p w:rsidR="007228CC" w:rsidRPr="00054588" w:rsidP="0081558F">
      <w:pPr>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3、</w:t>
      </w:r>
      <w:r w:rsidRPr="00054588">
        <w:rPr>
          <w:rFonts w:asciiTheme="minorEastAsia" w:eastAsiaTheme="minorEastAsia" w:hAnsiTheme="minorEastAsia" w:cs="Arial"/>
          <w:color w:val="000000" w:themeColor="text1"/>
          <w:szCs w:val="21"/>
        </w:rPr>
        <w:t>对所管理的不同基金财产分别管理、分别记账，进行证券投资；</w:t>
      </w:r>
    </w:p>
    <w:p w:rsidR="007228CC" w:rsidRPr="00054588" w:rsidP="0081558F">
      <w:pPr>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4、</w:t>
      </w:r>
      <w:r w:rsidRPr="00054588">
        <w:rPr>
          <w:rFonts w:asciiTheme="minorEastAsia" w:eastAsiaTheme="minorEastAsia" w:hAnsiTheme="minorEastAsia" w:cs="Arial"/>
          <w:color w:val="000000" w:themeColor="text1"/>
          <w:szCs w:val="21"/>
        </w:rPr>
        <w:t>按照基金合同的约定确定基金收益分配方案，及时向基金份额持有人分配收益；</w:t>
      </w:r>
    </w:p>
    <w:p w:rsidR="007228CC" w:rsidRPr="00054588" w:rsidP="0081558F">
      <w:pPr>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5、</w:t>
      </w:r>
      <w:r w:rsidRPr="00054588">
        <w:rPr>
          <w:rFonts w:asciiTheme="minorEastAsia" w:eastAsiaTheme="minorEastAsia" w:hAnsiTheme="minorEastAsia" w:cs="Arial"/>
          <w:color w:val="000000" w:themeColor="text1"/>
          <w:szCs w:val="21"/>
        </w:rPr>
        <w:t>进行基金会计核算并编制基金财务会计报告；</w:t>
      </w:r>
    </w:p>
    <w:p w:rsidR="007228CC" w:rsidRPr="00054588" w:rsidP="0081558F">
      <w:pPr>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6、</w:t>
      </w:r>
      <w:r w:rsidRPr="00054588">
        <w:rPr>
          <w:rFonts w:asciiTheme="minorEastAsia" w:eastAsiaTheme="minorEastAsia" w:hAnsiTheme="minorEastAsia" w:cs="Arial"/>
          <w:color w:val="000000" w:themeColor="text1"/>
          <w:szCs w:val="21"/>
        </w:rPr>
        <w:t>编制</w:t>
      </w:r>
      <w:r w:rsidRPr="00054588">
        <w:rPr>
          <w:rFonts w:asciiTheme="minorEastAsia" w:eastAsiaTheme="minorEastAsia" w:hAnsiTheme="minorEastAsia" w:cs="Arial" w:hint="eastAsia"/>
          <w:color w:val="000000" w:themeColor="text1"/>
          <w:szCs w:val="21"/>
        </w:rPr>
        <w:t>季度</w:t>
      </w:r>
      <w:r w:rsidRPr="00054588" w:rsidR="00575E02">
        <w:rPr>
          <w:rFonts w:asciiTheme="minorEastAsia" w:eastAsiaTheme="minorEastAsia" w:hAnsiTheme="minorEastAsia" w:cs="Arial" w:hint="eastAsia"/>
          <w:color w:val="000000" w:themeColor="text1"/>
          <w:szCs w:val="21"/>
        </w:rPr>
        <w:t>报告</w:t>
      </w:r>
      <w:r w:rsidRPr="00054588">
        <w:rPr>
          <w:rFonts w:asciiTheme="minorEastAsia" w:eastAsiaTheme="minorEastAsia" w:hAnsiTheme="minorEastAsia" w:cs="Arial" w:hint="eastAsia"/>
          <w:color w:val="000000" w:themeColor="text1"/>
          <w:szCs w:val="21"/>
        </w:rPr>
        <w:t>、</w:t>
      </w:r>
      <w:r w:rsidRPr="00054588" w:rsidR="00575E02">
        <w:rPr>
          <w:rFonts w:asciiTheme="minorEastAsia" w:eastAsiaTheme="minorEastAsia" w:hAnsiTheme="minorEastAsia" w:cs="Arial"/>
          <w:color w:val="000000" w:themeColor="text1"/>
          <w:szCs w:val="21"/>
        </w:rPr>
        <w:t>中期报告</w:t>
      </w:r>
      <w:r w:rsidRPr="00054588">
        <w:rPr>
          <w:rFonts w:asciiTheme="minorEastAsia" w:eastAsiaTheme="minorEastAsia" w:hAnsiTheme="minorEastAsia" w:cs="Arial"/>
          <w:color w:val="000000" w:themeColor="text1"/>
          <w:szCs w:val="21"/>
        </w:rPr>
        <w:t>和年度报告；</w:t>
      </w:r>
    </w:p>
    <w:p w:rsidR="007228CC" w:rsidRPr="00054588" w:rsidP="0081558F">
      <w:pPr>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7、</w:t>
      </w:r>
      <w:r w:rsidRPr="00054588">
        <w:rPr>
          <w:rFonts w:asciiTheme="minorEastAsia" w:eastAsiaTheme="minorEastAsia" w:hAnsiTheme="minorEastAsia" w:cs="Arial"/>
          <w:color w:val="000000" w:themeColor="text1"/>
          <w:szCs w:val="21"/>
        </w:rPr>
        <w:t>计算并公告基金净值</w:t>
      </w:r>
      <w:r w:rsidRPr="00054588" w:rsidR="00575E02">
        <w:rPr>
          <w:rFonts w:asciiTheme="minorEastAsia" w:eastAsiaTheme="minorEastAsia" w:hAnsiTheme="minorEastAsia" w:cs="Arial"/>
          <w:color w:val="000000" w:themeColor="text1"/>
          <w:szCs w:val="21"/>
        </w:rPr>
        <w:t>信息</w:t>
      </w:r>
      <w:r w:rsidRPr="00054588">
        <w:rPr>
          <w:rFonts w:asciiTheme="minorEastAsia" w:eastAsiaTheme="minorEastAsia" w:hAnsiTheme="minorEastAsia" w:cs="Arial"/>
          <w:color w:val="000000" w:themeColor="text1"/>
          <w:szCs w:val="21"/>
        </w:rPr>
        <w:t>；</w:t>
      </w:r>
    </w:p>
    <w:p w:rsidR="007228CC" w:rsidRPr="00054588" w:rsidP="0081558F">
      <w:pPr>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8、</w:t>
      </w:r>
      <w:r w:rsidRPr="00054588">
        <w:rPr>
          <w:rFonts w:asciiTheme="minorEastAsia" w:eastAsiaTheme="minorEastAsia" w:hAnsiTheme="minorEastAsia" w:cs="Arial"/>
          <w:color w:val="000000" w:themeColor="text1"/>
          <w:szCs w:val="21"/>
        </w:rPr>
        <w:t>办理与基金财产管理业务活动有关的信息披露事项；</w:t>
      </w:r>
    </w:p>
    <w:p w:rsidR="007228CC" w:rsidRPr="00054588" w:rsidP="00A138B5">
      <w:pPr>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9、</w:t>
      </w:r>
      <w:r w:rsidRPr="00054588" w:rsidR="00220D38">
        <w:rPr>
          <w:rFonts w:asciiTheme="minorEastAsia" w:eastAsiaTheme="minorEastAsia" w:hAnsiTheme="minorEastAsia" w:cs="Arial" w:hint="eastAsia"/>
          <w:color w:val="000000" w:themeColor="text1"/>
          <w:szCs w:val="21"/>
        </w:rPr>
        <w:t>按照规定</w:t>
      </w:r>
      <w:r w:rsidRPr="00054588">
        <w:rPr>
          <w:rFonts w:asciiTheme="minorEastAsia" w:eastAsiaTheme="minorEastAsia" w:hAnsiTheme="minorEastAsia" w:cs="Arial"/>
          <w:color w:val="000000" w:themeColor="text1"/>
          <w:szCs w:val="21"/>
        </w:rPr>
        <w:t>召集基金份额持有人大会；</w:t>
      </w:r>
    </w:p>
    <w:p w:rsidR="007228CC" w:rsidRPr="00054588" w:rsidP="0081558F">
      <w:pPr>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10、保存基</w:t>
      </w:r>
      <w:r w:rsidRPr="00054588">
        <w:rPr>
          <w:rFonts w:asciiTheme="minorEastAsia" w:eastAsiaTheme="minorEastAsia" w:hAnsiTheme="minorEastAsia" w:cs="Arial"/>
          <w:color w:val="000000" w:themeColor="text1"/>
          <w:szCs w:val="21"/>
        </w:rPr>
        <w:t>金财产管理业务活动的记录、账册、报表和其他相关资料；</w:t>
      </w:r>
    </w:p>
    <w:p w:rsidR="007228CC" w:rsidRPr="00054588" w:rsidP="0081558F">
      <w:pPr>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11、</w:t>
      </w:r>
      <w:r w:rsidRPr="00054588">
        <w:rPr>
          <w:rFonts w:asciiTheme="minorEastAsia" w:eastAsiaTheme="minorEastAsia" w:hAnsiTheme="minorEastAsia" w:cs="Arial"/>
          <w:color w:val="000000" w:themeColor="text1"/>
          <w:szCs w:val="21"/>
        </w:rPr>
        <w:t>以基金管理人名义，代表基金份额持有人利益行使诉讼权利或者实施其他法律行为；</w:t>
      </w:r>
    </w:p>
    <w:p w:rsidR="007228CC" w:rsidRPr="00054588" w:rsidP="0081558F">
      <w:pPr>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12、</w:t>
      </w:r>
      <w:r w:rsidRPr="00054588">
        <w:rPr>
          <w:rFonts w:asciiTheme="minorEastAsia" w:eastAsiaTheme="minorEastAsia" w:hAnsiTheme="minorEastAsia" w:cs="Arial"/>
          <w:color w:val="000000" w:themeColor="text1"/>
          <w:szCs w:val="21"/>
        </w:rPr>
        <w:t>国务院证券监督管理机构规定的其他职责。</w:t>
      </w:r>
    </w:p>
    <w:p w:rsidR="007228CC" w:rsidRPr="00054588" w:rsidP="009A1EA6">
      <w:pPr>
        <w:pStyle w:val="Heading2"/>
        <w:snapToGrid w:val="0"/>
        <w:spacing w:beforeLines="0" w:afterLines="0" w:line="360" w:lineRule="auto"/>
        <w:ind w:firstLine="0" w:firstLineChars="0"/>
        <w:rPr>
          <w:rFonts w:asciiTheme="minorEastAsia" w:eastAsiaTheme="minorEastAsia" w:hAnsiTheme="minorEastAsia"/>
          <w:color w:val="000000" w:themeColor="text1"/>
          <w:sz w:val="21"/>
        </w:rPr>
      </w:pPr>
      <w:bookmarkStart w:id="32" w:name="_Toc133292566"/>
      <w:bookmarkStart w:id="33" w:name="_Toc163189523"/>
      <w:bookmarkStart w:id="34" w:name="_Toc211920123"/>
      <w:bookmarkStart w:id="35" w:name="_Toc211927654"/>
      <w:bookmarkStart w:id="36" w:name="_Toc123296406"/>
      <w:r w:rsidRPr="00054588">
        <w:rPr>
          <w:rFonts w:asciiTheme="minorEastAsia" w:eastAsiaTheme="minorEastAsia" w:hAnsiTheme="minorEastAsia" w:hint="eastAsia"/>
          <w:bCs/>
          <w:color w:val="000000" w:themeColor="text1"/>
          <w:szCs w:val="21"/>
        </w:rPr>
        <w:t>（四）</w:t>
      </w:r>
      <w:r w:rsidRPr="00054588">
        <w:rPr>
          <w:rFonts w:asciiTheme="minorEastAsia" w:eastAsiaTheme="minorEastAsia" w:hAnsiTheme="minorEastAsia"/>
          <w:bCs/>
          <w:color w:val="000000" w:themeColor="text1"/>
          <w:szCs w:val="21"/>
        </w:rPr>
        <w:t>基金管理人的承诺</w:t>
      </w:r>
      <w:bookmarkEnd w:id="32"/>
      <w:bookmarkEnd w:id="33"/>
      <w:bookmarkEnd w:id="34"/>
      <w:bookmarkEnd w:id="35"/>
      <w:bookmarkEnd w:id="36"/>
    </w:p>
    <w:p w:rsidR="007228CC" w:rsidRPr="00054588" w:rsidP="0071223F">
      <w:pPr>
        <w:autoSpaceDE w:val="0"/>
        <w:autoSpaceDN w:val="0"/>
        <w:adjustRightInd w:val="0"/>
        <w:snapToGrid w:val="0"/>
        <w:spacing w:line="360" w:lineRule="auto"/>
        <w:ind w:firstLine="420"/>
        <w:jc w:val="left"/>
        <w:rPr>
          <w:rFonts w:asciiTheme="minorEastAsia" w:eastAsiaTheme="minorEastAsia" w:hAnsiTheme="minorEastAsia"/>
          <w:color w:val="000000" w:themeColor="text1"/>
          <w:kern w:val="0"/>
          <w:szCs w:val="21"/>
        </w:rPr>
      </w:pPr>
      <w:r w:rsidRPr="00054588">
        <w:rPr>
          <w:rFonts w:asciiTheme="minorEastAsia" w:eastAsiaTheme="minorEastAsia" w:hAnsiTheme="minorEastAsia"/>
          <w:color w:val="000000" w:themeColor="text1"/>
          <w:kern w:val="0"/>
          <w:szCs w:val="21"/>
        </w:rPr>
        <w:t>1</w:t>
      </w:r>
      <w:r w:rsidRPr="00054588" w:rsidR="0081558F">
        <w:rPr>
          <w:rFonts w:asciiTheme="minorEastAsia" w:eastAsiaTheme="minorEastAsia" w:hAnsiTheme="minorEastAsia" w:hint="eastAsia"/>
          <w:color w:val="000000" w:themeColor="text1"/>
          <w:kern w:val="0"/>
          <w:szCs w:val="21"/>
        </w:rPr>
        <w:t>、</w:t>
      </w:r>
      <w:r w:rsidRPr="00054588">
        <w:rPr>
          <w:rFonts w:asciiTheme="minorEastAsia" w:eastAsiaTheme="minorEastAsia" w:hAnsiTheme="minorEastAsia"/>
          <w:color w:val="000000" w:themeColor="text1"/>
        </w:rPr>
        <w:t>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7228CC" w:rsidRPr="00054588" w:rsidP="0071223F">
      <w:pPr>
        <w:autoSpaceDE w:val="0"/>
        <w:autoSpaceDN w:val="0"/>
        <w:adjustRightInd w:val="0"/>
        <w:snapToGrid w:val="0"/>
        <w:spacing w:line="360" w:lineRule="auto"/>
        <w:ind w:firstLine="420" w:firstLineChars="200"/>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kern w:val="0"/>
          <w:szCs w:val="21"/>
        </w:rPr>
        <w:t>2</w:t>
      </w:r>
      <w:r w:rsidRPr="00054588" w:rsidR="0081558F">
        <w:rPr>
          <w:rFonts w:asciiTheme="minorEastAsia" w:eastAsiaTheme="minorEastAsia" w:hAnsiTheme="minorEastAsia" w:hint="eastAsia"/>
          <w:color w:val="000000" w:themeColor="text1"/>
          <w:kern w:val="0"/>
          <w:szCs w:val="21"/>
        </w:rPr>
        <w:t>、</w:t>
      </w:r>
      <w:r w:rsidRPr="00054588">
        <w:rPr>
          <w:rFonts w:asciiTheme="minorEastAsia" w:eastAsiaTheme="minorEastAsia" w:hAnsiTheme="minorEastAsia"/>
          <w:color w:val="000000" w:themeColor="text1"/>
        </w:rPr>
        <w:t>本</w:t>
      </w:r>
      <w:r w:rsidRPr="00054588">
        <w:rPr>
          <w:rFonts w:asciiTheme="minorEastAsia" w:eastAsiaTheme="minorEastAsia" w:hAnsiTheme="minorEastAsia" w:hint="eastAsia"/>
          <w:color w:val="000000" w:themeColor="text1"/>
        </w:rPr>
        <w:t>基金管理人承诺严格遵守《证券法》、《基金法》及有关法律法规，建立健全内部控</w:t>
      </w:r>
      <w:r w:rsidRPr="00054588">
        <w:rPr>
          <w:rFonts w:asciiTheme="minorEastAsia" w:eastAsiaTheme="minorEastAsia" w:hAnsiTheme="minorEastAsia"/>
          <w:color w:val="000000" w:themeColor="text1"/>
        </w:rPr>
        <w:t>制制度，采取有效措施，防止下列行为发生：</w:t>
      </w:r>
    </w:p>
    <w:p w:rsidR="007228CC" w:rsidRPr="00ED3AB0" w:rsidP="00ED3AB0">
      <w:pPr>
        <w:autoSpaceDE w:val="0"/>
        <w:autoSpaceDN w:val="0"/>
        <w:adjustRightInd w:val="0"/>
        <w:snapToGrid w:val="0"/>
        <w:spacing w:line="360" w:lineRule="auto"/>
        <w:ind w:firstLine="426"/>
        <w:jc w:val="left"/>
        <w:rPr>
          <w:rFonts w:asciiTheme="minorEastAsia" w:eastAsiaTheme="minorEastAsia" w:hAnsiTheme="minorEastAsia"/>
          <w:color w:val="000000" w:themeColor="text1"/>
          <w:kern w:val="0"/>
          <w:szCs w:val="21"/>
        </w:rPr>
      </w:pPr>
      <w:r w:rsidRPr="00054588">
        <w:rPr>
          <w:rFonts w:asciiTheme="minorEastAsia" w:eastAsiaTheme="minorEastAsia" w:hAnsiTheme="minorEastAsia"/>
          <w:color w:val="000000" w:themeColor="text1"/>
          <w:kern w:val="0"/>
          <w:szCs w:val="21"/>
        </w:rPr>
        <w:t>（1）</w:t>
      </w:r>
      <w:r w:rsidRPr="00ED3AB0" w:rsidR="006A5EB9">
        <w:rPr>
          <w:rFonts w:asciiTheme="minorEastAsia" w:eastAsiaTheme="minorEastAsia" w:hAnsiTheme="minorEastAsia"/>
          <w:color w:val="000000" w:themeColor="text1"/>
          <w:kern w:val="0"/>
          <w:szCs w:val="21"/>
        </w:rPr>
        <w:t>将其固有财产或者他人财产混同于基金财产从事证券投资；</w:t>
      </w:r>
    </w:p>
    <w:p w:rsidR="007228CC" w:rsidRPr="00ED3AB0" w:rsidP="00ED3AB0">
      <w:pPr>
        <w:autoSpaceDE w:val="0"/>
        <w:autoSpaceDN w:val="0"/>
        <w:adjustRightInd w:val="0"/>
        <w:snapToGrid w:val="0"/>
        <w:spacing w:line="360" w:lineRule="auto"/>
        <w:ind w:firstLine="426"/>
        <w:jc w:val="left"/>
        <w:rPr>
          <w:rFonts w:asciiTheme="minorEastAsia" w:eastAsiaTheme="minorEastAsia" w:hAnsiTheme="minorEastAsia"/>
          <w:color w:val="000000" w:themeColor="text1"/>
          <w:kern w:val="0"/>
          <w:szCs w:val="21"/>
        </w:rPr>
      </w:pPr>
      <w:r w:rsidRPr="00054588">
        <w:rPr>
          <w:rFonts w:asciiTheme="minorEastAsia" w:eastAsiaTheme="minorEastAsia" w:hAnsiTheme="minorEastAsia"/>
          <w:color w:val="000000" w:themeColor="text1"/>
          <w:kern w:val="0"/>
          <w:szCs w:val="21"/>
        </w:rPr>
        <w:t>（</w:t>
      </w:r>
      <w:r>
        <w:rPr>
          <w:rFonts w:asciiTheme="minorEastAsia" w:eastAsiaTheme="minorEastAsia" w:hAnsiTheme="minorEastAsia"/>
          <w:color w:val="000000" w:themeColor="text1"/>
          <w:kern w:val="0"/>
          <w:szCs w:val="21"/>
        </w:rPr>
        <w:t>2</w:t>
      </w:r>
      <w:r w:rsidRPr="00054588">
        <w:rPr>
          <w:rFonts w:asciiTheme="minorEastAsia" w:eastAsiaTheme="minorEastAsia" w:hAnsiTheme="minorEastAsia"/>
          <w:color w:val="000000" w:themeColor="text1"/>
          <w:kern w:val="0"/>
          <w:szCs w:val="21"/>
        </w:rPr>
        <w:t>）</w:t>
      </w:r>
      <w:r w:rsidRPr="00ED3AB0" w:rsidR="006A5EB9">
        <w:rPr>
          <w:rFonts w:asciiTheme="minorEastAsia" w:eastAsiaTheme="minorEastAsia" w:hAnsiTheme="minorEastAsia"/>
          <w:color w:val="000000" w:themeColor="text1"/>
          <w:kern w:val="0"/>
          <w:szCs w:val="21"/>
        </w:rPr>
        <w:t>不公平地对待其管理的不同基金财产；</w:t>
      </w:r>
    </w:p>
    <w:p w:rsidR="007228CC" w:rsidRPr="00ED3AB0" w:rsidP="00ED3AB0">
      <w:pPr>
        <w:autoSpaceDE w:val="0"/>
        <w:autoSpaceDN w:val="0"/>
        <w:adjustRightInd w:val="0"/>
        <w:snapToGrid w:val="0"/>
        <w:spacing w:line="360" w:lineRule="auto"/>
        <w:ind w:firstLine="426"/>
        <w:jc w:val="left"/>
        <w:rPr>
          <w:rFonts w:asciiTheme="minorEastAsia" w:eastAsiaTheme="minorEastAsia" w:hAnsiTheme="minorEastAsia"/>
          <w:color w:val="000000" w:themeColor="text1"/>
          <w:kern w:val="0"/>
          <w:szCs w:val="21"/>
        </w:rPr>
      </w:pPr>
      <w:r w:rsidRPr="00054588">
        <w:rPr>
          <w:rFonts w:asciiTheme="minorEastAsia" w:eastAsiaTheme="minorEastAsia" w:hAnsiTheme="minorEastAsia"/>
          <w:color w:val="000000" w:themeColor="text1"/>
          <w:kern w:val="0"/>
          <w:szCs w:val="21"/>
        </w:rPr>
        <w:t>（</w:t>
      </w:r>
      <w:r>
        <w:rPr>
          <w:rFonts w:asciiTheme="minorEastAsia" w:eastAsiaTheme="minorEastAsia" w:hAnsiTheme="minorEastAsia"/>
          <w:color w:val="000000" w:themeColor="text1"/>
          <w:kern w:val="0"/>
          <w:szCs w:val="21"/>
        </w:rPr>
        <w:t>3</w:t>
      </w:r>
      <w:r w:rsidRPr="00054588">
        <w:rPr>
          <w:rFonts w:asciiTheme="minorEastAsia" w:eastAsiaTheme="minorEastAsia" w:hAnsiTheme="minorEastAsia"/>
          <w:color w:val="000000" w:themeColor="text1"/>
          <w:kern w:val="0"/>
          <w:szCs w:val="21"/>
        </w:rPr>
        <w:t>）</w:t>
      </w:r>
      <w:r w:rsidRPr="00ED3AB0" w:rsidR="006A5EB9">
        <w:rPr>
          <w:rFonts w:asciiTheme="minorEastAsia" w:eastAsiaTheme="minorEastAsia" w:hAnsiTheme="minorEastAsia"/>
          <w:color w:val="000000" w:themeColor="text1"/>
          <w:kern w:val="0"/>
          <w:szCs w:val="21"/>
        </w:rPr>
        <w:t>利用基金财产</w:t>
      </w:r>
      <w:r w:rsidRPr="00ED3AB0" w:rsidR="00220D38">
        <w:rPr>
          <w:rFonts w:asciiTheme="minorEastAsia" w:eastAsiaTheme="minorEastAsia" w:hAnsiTheme="minorEastAsia" w:hint="eastAsia"/>
          <w:color w:val="000000" w:themeColor="text1"/>
          <w:kern w:val="0"/>
          <w:szCs w:val="21"/>
        </w:rPr>
        <w:t>或者职务之便</w:t>
      </w:r>
      <w:r w:rsidRPr="00ED3AB0" w:rsidR="006A5EB9">
        <w:rPr>
          <w:rFonts w:asciiTheme="minorEastAsia" w:eastAsiaTheme="minorEastAsia" w:hAnsiTheme="minorEastAsia"/>
          <w:color w:val="000000" w:themeColor="text1"/>
          <w:kern w:val="0"/>
          <w:szCs w:val="21"/>
        </w:rPr>
        <w:t>为基金份额持有人以外的第三人谋取利益；</w:t>
      </w:r>
    </w:p>
    <w:p w:rsidR="007228CC" w:rsidRPr="00ED3AB0" w:rsidP="00ED3AB0">
      <w:pPr>
        <w:autoSpaceDE w:val="0"/>
        <w:autoSpaceDN w:val="0"/>
        <w:adjustRightInd w:val="0"/>
        <w:snapToGrid w:val="0"/>
        <w:spacing w:line="360" w:lineRule="auto"/>
        <w:ind w:firstLine="426"/>
        <w:jc w:val="left"/>
        <w:rPr>
          <w:rFonts w:asciiTheme="minorEastAsia" w:eastAsiaTheme="minorEastAsia" w:hAnsiTheme="minorEastAsia"/>
          <w:color w:val="000000" w:themeColor="text1"/>
          <w:kern w:val="0"/>
          <w:szCs w:val="21"/>
        </w:rPr>
      </w:pPr>
      <w:r w:rsidRPr="00054588">
        <w:rPr>
          <w:rFonts w:asciiTheme="minorEastAsia" w:eastAsiaTheme="minorEastAsia" w:hAnsiTheme="minorEastAsia"/>
          <w:color w:val="000000" w:themeColor="text1"/>
          <w:kern w:val="0"/>
          <w:szCs w:val="21"/>
        </w:rPr>
        <w:t>（</w:t>
      </w:r>
      <w:r>
        <w:rPr>
          <w:rFonts w:asciiTheme="minorEastAsia" w:eastAsiaTheme="minorEastAsia" w:hAnsiTheme="minorEastAsia"/>
          <w:color w:val="000000" w:themeColor="text1"/>
          <w:kern w:val="0"/>
          <w:szCs w:val="21"/>
        </w:rPr>
        <w:t>4</w:t>
      </w:r>
      <w:r w:rsidRPr="00054588">
        <w:rPr>
          <w:rFonts w:asciiTheme="minorEastAsia" w:eastAsiaTheme="minorEastAsia" w:hAnsiTheme="minorEastAsia"/>
          <w:color w:val="000000" w:themeColor="text1"/>
          <w:kern w:val="0"/>
          <w:szCs w:val="21"/>
        </w:rPr>
        <w:t>）</w:t>
      </w:r>
      <w:r w:rsidRPr="00ED3AB0" w:rsidR="006A5EB9">
        <w:rPr>
          <w:rFonts w:asciiTheme="minorEastAsia" w:eastAsiaTheme="minorEastAsia" w:hAnsiTheme="minorEastAsia"/>
          <w:color w:val="000000" w:themeColor="text1"/>
          <w:kern w:val="0"/>
          <w:szCs w:val="21"/>
        </w:rPr>
        <w:t>向基金份额持有人违规承诺收益或者承担损失；</w:t>
      </w:r>
    </w:p>
    <w:p w:rsidR="00220D38" w:rsidRPr="00ED3AB0" w:rsidP="00ED3AB0">
      <w:pPr>
        <w:autoSpaceDE w:val="0"/>
        <w:autoSpaceDN w:val="0"/>
        <w:adjustRightInd w:val="0"/>
        <w:snapToGrid w:val="0"/>
        <w:spacing w:line="360" w:lineRule="auto"/>
        <w:ind w:firstLine="426"/>
        <w:jc w:val="left"/>
        <w:rPr>
          <w:rFonts w:asciiTheme="minorEastAsia" w:eastAsiaTheme="minorEastAsia" w:hAnsiTheme="minorEastAsia"/>
          <w:color w:val="000000" w:themeColor="text1"/>
          <w:kern w:val="0"/>
          <w:szCs w:val="21"/>
        </w:rPr>
      </w:pPr>
      <w:r w:rsidRPr="00054588">
        <w:rPr>
          <w:rFonts w:asciiTheme="minorEastAsia" w:eastAsiaTheme="minorEastAsia" w:hAnsiTheme="minorEastAsia"/>
          <w:color w:val="000000" w:themeColor="text1"/>
          <w:kern w:val="0"/>
          <w:szCs w:val="21"/>
        </w:rPr>
        <w:t>（</w:t>
      </w:r>
      <w:r>
        <w:rPr>
          <w:rFonts w:asciiTheme="minorEastAsia" w:eastAsiaTheme="minorEastAsia" w:hAnsiTheme="minorEastAsia"/>
          <w:color w:val="000000" w:themeColor="text1"/>
          <w:kern w:val="0"/>
          <w:szCs w:val="21"/>
        </w:rPr>
        <w:t>5</w:t>
      </w:r>
      <w:r w:rsidRPr="00054588">
        <w:rPr>
          <w:rFonts w:asciiTheme="minorEastAsia" w:eastAsiaTheme="minorEastAsia" w:hAnsiTheme="minorEastAsia"/>
          <w:color w:val="000000" w:themeColor="text1"/>
          <w:kern w:val="0"/>
          <w:szCs w:val="21"/>
        </w:rPr>
        <w:t>）</w:t>
      </w:r>
      <w:r w:rsidRPr="00ED3AB0" w:rsidR="006A5EB9">
        <w:rPr>
          <w:rFonts w:asciiTheme="minorEastAsia" w:eastAsiaTheme="minorEastAsia" w:hAnsiTheme="minorEastAsia" w:hint="eastAsia"/>
          <w:color w:val="000000" w:themeColor="text1"/>
          <w:kern w:val="0"/>
          <w:szCs w:val="21"/>
        </w:rPr>
        <w:t>侵占、挪用基金财产；</w:t>
      </w:r>
    </w:p>
    <w:p w:rsidR="00220D38" w:rsidRPr="00ED3AB0" w:rsidP="00ED3AB0">
      <w:pPr>
        <w:autoSpaceDE w:val="0"/>
        <w:autoSpaceDN w:val="0"/>
        <w:adjustRightInd w:val="0"/>
        <w:snapToGrid w:val="0"/>
        <w:spacing w:line="360" w:lineRule="auto"/>
        <w:ind w:firstLine="426"/>
        <w:jc w:val="left"/>
        <w:rPr>
          <w:rFonts w:asciiTheme="minorEastAsia" w:eastAsiaTheme="minorEastAsia" w:hAnsiTheme="minorEastAsia"/>
          <w:color w:val="000000" w:themeColor="text1"/>
          <w:kern w:val="0"/>
          <w:szCs w:val="21"/>
        </w:rPr>
      </w:pPr>
      <w:r w:rsidRPr="00054588">
        <w:rPr>
          <w:rFonts w:asciiTheme="minorEastAsia" w:eastAsiaTheme="minorEastAsia" w:hAnsiTheme="minorEastAsia"/>
          <w:color w:val="000000" w:themeColor="text1"/>
          <w:kern w:val="0"/>
          <w:szCs w:val="21"/>
        </w:rPr>
        <w:t>（</w:t>
      </w:r>
      <w:r>
        <w:rPr>
          <w:rFonts w:asciiTheme="minorEastAsia" w:eastAsiaTheme="minorEastAsia" w:hAnsiTheme="minorEastAsia"/>
          <w:color w:val="000000" w:themeColor="text1"/>
          <w:kern w:val="0"/>
          <w:szCs w:val="21"/>
        </w:rPr>
        <w:t>6</w:t>
      </w:r>
      <w:r w:rsidRPr="00054588">
        <w:rPr>
          <w:rFonts w:asciiTheme="minorEastAsia" w:eastAsiaTheme="minorEastAsia" w:hAnsiTheme="minorEastAsia"/>
          <w:color w:val="000000" w:themeColor="text1"/>
          <w:kern w:val="0"/>
          <w:szCs w:val="21"/>
        </w:rPr>
        <w:t>）</w:t>
      </w:r>
      <w:r w:rsidRPr="00ED3AB0" w:rsidR="006A5EB9">
        <w:rPr>
          <w:rFonts w:asciiTheme="minorEastAsia" w:eastAsiaTheme="minorEastAsia" w:hAnsiTheme="minorEastAsia" w:hint="eastAsia"/>
          <w:color w:val="000000" w:themeColor="text1"/>
          <w:kern w:val="0"/>
          <w:szCs w:val="21"/>
        </w:rPr>
        <w:t>泄露因职务便利获取的未公开信息、利用该信息从事或者明示、暗示他人从事相关的交易活动；</w:t>
      </w:r>
    </w:p>
    <w:p w:rsidR="00220D38" w:rsidRPr="00ED3AB0" w:rsidP="00ED3AB0">
      <w:pPr>
        <w:autoSpaceDE w:val="0"/>
        <w:autoSpaceDN w:val="0"/>
        <w:adjustRightInd w:val="0"/>
        <w:snapToGrid w:val="0"/>
        <w:spacing w:line="360" w:lineRule="auto"/>
        <w:ind w:firstLine="426"/>
        <w:jc w:val="left"/>
        <w:rPr>
          <w:rFonts w:asciiTheme="minorEastAsia" w:eastAsiaTheme="minorEastAsia" w:hAnsiTheme="minorEastAsia"/>
          <w:color w:val="000000" w:themeColor="text1"/>
          <w:kern w:val="0"/>
          <w:szCs w:val="21"/>
        </w:rPr>
      </w:pPr>
      <w:r w:rsidRPr="00054588">
        <w:rPr>
          <w:rFonts w:asciiTheme="minorEastAsia" w:eastAsiaTheme="minorEastAsia" w:hAnsiTheme="minorEastAsia"/>
          <w:color w:val="000000" w:themeColor="text1"/>
          <w:kern w:val="0"/>
          <w:szCs w:val="21"/>
        </w:rPr>
        <w:t>（</w:t>
      </w:r>
      <w:r>
        <w:rPr>
          <w:rFonts w:asciiTheme="minorEastAsia" w:eastAsiaTheme="minorEastAsia" w:hAnsiTheme="minorEastAsia"/>
          <w:color w:val="000000" w:themeColor="text1"/>
          <w:kern w:val="0"/>
          <w:szCs w:val="21"/>
        </w:rPr>
        <w:t>7</w:t>
      </w:r>
      <w:r w:rsidRPr="00054588">
        <w:rPr>
          <w:rFonts w:asciiTheme="minorEastAsia" w:eastAsiaTheme="minorEastAsia" w:hAnsiTheme="minorEastAsia"/>
          <w:color w:val="000000" w:themeColor="text1"/>
          <w:kern w:val="0"/>
          <w:szCs w:val="21"/>
        </w:rPr>
        <w:t>）</w:t>
      </w:r>
      <w:r w:rsidRPr="00ED3AB0" w:rsidR="006A5EB9">
        <w:rPr>
          <w:rFonts w:asciiTheme="minorEastAsia" w:eastAsiaTheme="minorEastAsia" w:hAnsiTheme="minorEastAsia" w:hint="eastAsia"/>
          <w:color w:val="000000" w:themeColor="text1"/>
          <w:kern w:val="0"/>
          <w:szCs w:val="21"/>
        </w:rPr>
        <w:t>玩忽职守，不按照规定履行职责；</w:t>
      </w:r>
    </w:p>
    <w:p w:rsidR="007228CC" w:rsidRPr="00ED3AB0" w:rsidP="00ED3AB0">
      <w:pPr>
        <w:autoSpaceDE w:val="0"/>
        <w:autoSpaceDN w:val="0"/>
        <w:adjustRightInd w:val="0"/>
        <w:snapToGrid w:val="0"/>
        <w:spacing w:line="360" w:lineRule="auto"/>
        <w:ind w:firstLine="426"/>
        <w:jc w:val="left"/>
        <w:rPr>
          <w:rFonts w:asciiTheme="minorEastAsia" w:eastAsiaTheme="minorEastAsia" w:hAnsiTheme="minorEastAsia"/>
          <w:color w:val="000000" w:themeColor="text1"/>
          <w:kern w:val="0"/>
          <w:szCs w:val="21"/>
        </w:rPr>
      </w:pPr>
      <w:r w:rsidRPr="00054588">
        <w:rPr>
          <w:rFonts w:asciiTheme="minorEastAsia" w:eastAsiaTheme="minorEastAsia" w:hAnsiTheme="minorEastAsia"/>
          <w:color w:val="000000" w:themeColor="text1"/>
          <w:kern w:val="0"/>
          <w:szCs w:val="21"/>
        </w:rPr>
        <w:t>（</w:t>
      </w:r>
      <w:r>
        <w:rPr>
          <w:rFonts w:asciiTheme="minorEastAsia" w:eastAsiaTheme="minorEastAsia" w:hAnsiTheme="minorEastAsia"/>
          <w:color w:val="000000" w:themeColor="text1"/>
          <w:kern w:val="0"/>
          <w:szCs w:val="21"/>
        </w:rPr>
        <w:t>8</w:t>
      </w:r>
      <w:r w:rsidRPr="00054588">
        <w:rPr>
          <w:rFonts w:asciiTheme="minorEastAsia" w:eastAsiaTheme="minorEastAsia" w:hAnsiTheme="minorEastAsia"/>
          <w:color w:val="000000" w:themeColor="text1"/>
          <w:kern w:val="0"/>
          <w:szCs w:val="21"/>
        </w:rPr>
        <w:t>）</w:t>
      </w:r>
      <w:r w:rsidRPr="00ED3AB0" w:rsidR="006A5EB9">
        <w:rPr>
          <w:rFonts w:asciiTheme="minorEastAsia" w:eastAsiaTheme="minorEastAsia" w:hAnsiTheme="minorEastAsia" w:hint="eastAsia"/>
          <w:color w:val="000000" w:themeColor="text1"/>
          <w:kern w:val="0"/>
          <w:szCs w:val="21"/>
        </w:rPr>
        <w:t>法律、行政法规和中国证监会规定禁止的其他行为。</w:t>
      </w:r>
    </w:p>
    <w:p w:rsidR="007228CC" w:rsidRPr="00054588" w:rsidP="0071223F">
      <w:pPr>
        <w:autoSpaceDE w:val="0"/>
        <w:autoSpaceDN w:val="0"/>
        <w:adjustRightInd w:val="0"/>
        <w:snapToGrid w:val="0"/>
        <w:spacing w:line="360" w:lineRule="auto"/>
        <w:ind w:firstLine="420" w:firstLineChars="200"/>
        <w:jc w:val="left"/>
        <w:rPr>
          <w:rFonts w:asciiTheme="minorEastAsia" w:eastAsiaTheme="minorEastAsia" w:hAnsiTheme="minorEastAsia"/>
          <w:color w:val="000000" w:themeColor="text1"/>
          <w:kern w:val="0"/>
          <w:szCs w:val="21"/>
        </w:rPr>
      </w:pPr>
      <w:r w:rsidRPr="00054588">
        <w:rPr>
          <w:rFonts w:asciiTheme="minorEastAsia" w:eastAsiaTheme="minorEastAsia" w:hAnsiTheme="minorEastAsia"/>
          <w:color w:val="000000" w:themeColor="text1"/>
          <w:kern w:val="0"/>
          <w:szCs w:val="21"/>
        </w:rPr>
        <w:t>3</w:t>
      </w:r>
      <w:r w:rsidRPr="00054588" w:rsidR="0081558F">
        <w:rPr>
          <w:rFonts w:asciiTheme="minorEastAsia" w:eastAsiaTheme="minorEastAsia" w:hAnsiTheme="minorEastAsia" w:hint="eastAsia"/>
          <w:color w:val="000000" w:themeColor="text1"/>
          <w:kern w:val="0"/>
          <w:szCs w:val="21"/>
        </w:rPr>
        <w:t>、</w:t>
      </w:r>
      <w:r w:rsidRPr="00054588">
        <w:rPr>
          <w:rFonts w:asciiTheme="minorEastAsia" w:eastAsiaTheme="minorEastAsia" w:hAnsiTheme="minorEastAsia"/>
          <w:color w:val="000000" w:themeColor="text1"/>
          <w:kern w:val="0"/>
          <w:szCs w:val="21"/>
        </w:rPr>
        <w:t>本基金管理人承诺加强人员管理，强化职业操守，督促和约束员工遵守国家有关法律、法规及行业规范，诚实信用、勤勉尽责，不从事以下活动：</w:t>
      </w:r>
    </w:p>
    <w:p w:rsidR="007228CC" w:rsidRPr="00054588" w:rsidP="0071223F">
      <w:pPr>
        <w:autoSpaceDE w:val="0"/>
        <w:autoSpaceDN w:val="0"/>
        <w:adjustRightInd w:val="0"/>
        <w:snapToGrid w:val="0"/>
        <w:spacing w:line="360" w:lineRule="auto"/>
        <w:ind w:firstLine="426"/>
        <w:jc w:val="left"/>
        <w:rPr>
          <w:rFonts w:asciiTheme="minorEastAsia" w:eastAsiaTheme="minorEastAsia" w:hAnsiTheme="minorEastAsia"/>
          <w:color w:val="000000" w:themeColor="text1"/>
          <w:kern w:val="0"/>
          <w:szCs w:val="21"/>
        </w:rPr>
      </w:pPr>
      <w:r w:rsidRPr="00054588">
        <w:rPr>
          <w:rFonts w:asciiTheme="minorEastAsia" w:eastAsiaTheme="minorEastAsia" w:hAnsiTheme="minorEastAsia"/>
          <w:color w:val="000000" w:themeColor="text1"/>
          <w:kern w:val="0"/>
          <w:szCs w:val="21"/>
        </w:rPr>
        <w:t>（1）越权或违规经营；</w:t>
      </w:r>
    </w:p>
    <w:p w:rsidR="007228CC" w:rsidRPr="00054588" w:rsidP="0071223F">
      <w:pPr>
        <w:autoSpaceDE w:val="0"/>
        <w:autoSpaceDN w:val="0"/>
        <w:adjustRightInd w:val="0"/>
        <w:snapToGrid w:val="0"/>
        <w:spacing w:line="360" w:lineRule="auto"/>
        <w:ind w:firstLine="426"/>
        <w:jc w:val="left"/>
        <w:rPr>
          <w:rFonts w:asciiTheme="minorEastAsia" w:eastAsiaTheme="minorEastAsia" w:hAnsiTheme="minorEastAsia"/>
          <w:color w:val="000000" w:themeColor="text1"/>
          <w:kern w:val="0"/>
          <w:szCs w:val="21"/>
        </w:rPr>
      </w:pPr>
      <w:r w:rsidRPr="00054588">
        <w:rPr>
          <w:rFonts w:asciiTheme="minorEastAsia" w:eastAsiaTheme="minorEastAsia" w:hAnsiTheme="minorEastAsia"/>
          <w:color w:val="000000" w:themeColor="text1"/>
          <w:kern w:val="0"/>
          <w:szCs w:val="21"/>
        </w:rPr>
        <w:t>（2）违反基金合同或托管协议；</w:t>
      </w:r>
    </w:p>
    <w:p w:rsidR="007228CC" w:rsidRPr="00054588" w:rsidP="0071223F">
      <w:pPr>
        <w:autoSpaceDE w:val="0"/>
        <w:autoSpaceDN w:val="0"/>
        <w:adjustRightInd w:val="0"/>
        <w:snapToGrid w:val="0"/>
        <w:spacing w:line="360" w:lineRule="auto"/>
        <w:ind w:firstLine="426"/>
        <w:jc w:val="left"/>
        <w:rPr>
          <w:rFonts w:asciiTheme="minorEastAsia" w:eastAsiaTheme="minorEastAsia" w:hAnsiTheme="minorEastAsia"/>
          <w:color w:val="000000" w:themeColor="text1"/>
          <w:kern w:val="0"/>
          <w:szCs w:val="21"/>
        </w:rPr>
      </w:pPr>
      <w:r w:rsidRPr="00054588">
        <w:rPr>
          <w:rFonts w:asciiTheme="minorEastAsia" w:eastAsiaTheme="minorEastAsia" w:hAnsiTheme="minorEastAsia"/>
          <w:color w:val="000000" w:themeColor="text1"/>
          <w:kern w:val="0"/>
          <w:szCs w:val="21"/>
        </w:rPr>
        <w:t>（3）故意损害基金份额持有人或其他基金相关机构的合法利益；</w:t>
      </w:r>
    </w:p>
    <w:p w:rsidR="007228CC" w:rsidRPr="00054588" w:rsidP="0071223F">
      <w:pPr>
        <w:autoSpaceDE w:val="0"/>
        <w:autoSpaceDN w:val="0"/>
        <w:adjustRightInd w:val="0"/>
        <w:snapToGrid w:val="0"/>
        <w:spacing w:line="360" w:lineRule="auto"/>
        <w:ind w:firstLine="426"/>
        <w:jc w:val="left"/>
        <w:rPr>
          <w:rFonts w:asciiTheme="minorEastAsia" w:eastAsiaTheme="minorEastAsia" w:hAnsiTheme="minorEastAsia"/>
          <w:color w:val="000000" w:themeColor="text1"/>
          <w:kern w:val="0"/>
          <w:szCs w:val="21"/>
        </w:rPr>
      </w:pPr>
      <w:r w:rsidRPr="00054588">
        <w:rPr>
          <w:rFonts w:asciiTheme="minorEastAsia" w:eastAsiaTheme="minorEastAsia" w:hAnsiTheme="minorEastAsia"/>
          <w:color w:val="000000" w:themeColor="text1"/>
          <w:kern w:val="0"/>
          <w:szCs w:val="21"/>
        </w:rPr>
        <w:t>（4）在向中国证监会报送的资料中弄虚作假；</w:t>
      </w:r>
    </w:p>
    <w:p w:rsidR="007228CC" w:rsidRPr="00054588" w:rsidP="0071223F">
      <w:pPr>
        <w:autoSpaceDE w:val="0"/>
        <w:autoSpaceDN w:val="0"/>
        <w:adjustRightInd w:val="0"/>
        <w:snapToGrid w:val="0"/>
        <w:spacing w:line="360" w:lineRule="auto"/>
        <w:ind w:firstLine="426"/>
        <w:jc w:val="left"/>
        <w:rPr>
          <w:rFonts w:asciiTheme="minorEastAsia" w:eastAsiaTheme="minorEastAsia" w:hAnsiTheme="minorEastAsia"/>
          <w:color w:val="000000" w:themeColor="text1"/>
          <w:kern w:val="0"/>
          <w:szCs w:val="21"/>
        </w:rPr>
      </w:pPr>
      <w:r w:rsidRPr="00054588">
        <w:rPr>
          <w:rFonts w:asciiTheme="minorEastAsia" w:eastAsiaTheme="minorEastAsia" w:hAnsiTheme="minorEastAsia"/>
          <w:color w:val="000000" w:themeColor="text1"/>
          <w:kern w:val="0"/>
          <w:szCs w:val="21"/>
        </w:rPr>
        <w:t>（5）拒绝、干扰、阻挠或严重影响中国证监会依法监管；</w:t>
      </w:r>
    </w:p>
    <w:p w:rsidR="007228CC" w:rsidRPr="00054588" w:rsidP="0071223F">
      <w:pPr>
        <w:autoSpaceDE w:val="0"/>
        <w:autoSpaceDN w:val="0"/>
        <w:adjustRightInd w:val="0"/>
        <w:snapToGrid w:val="0"/>
        <w:spacing w:line="360" w:lineRule="auto"/>
        <w:ind w:firstLine="426"/>
        <w:jc w:val="left"/>
        <w:rPr>
          <w:rFonts w:asciiTheme="minorEastAsia" w:eastAsiaTheme="minorEastAsia" w:hAnsiTheme="minorEastAsia"/>
          <w:color w:val="000000" w:themeColor="text1"/>
          <w:kern w:val="0"/>
          <w:szCs w:val="21"/>
        </w:rPr>
      </w:pPr>
      <w:r w:rsidRPr="00054588">
        <w:rPr>
          <w:rFonts w:asciiTheme="minorEastAsia" w:eastAsiaTheme="minorEastAsia" w:hAnsiTheme="minorEastAsia"/>
          <w:color w:val="000000" w:themeColor="text1"/>
          <w:kern w:val="0"/>
          <w:szCs w:val="21"/>
        </w:rPr>
        <w:t>（6）玩忽职守、滥用职权；</w:t>
      </w:r>
    </w:p>
    <w:p w:rsidR="007228CC" w:rsidRPr="00054588" w:rsidP="0071223F">
      <w:pPr>
        <w:tabs>
          <w:tab w:val="left" w:pos="851"/>
        </w:tabs>
        <w:autoSpaceDE w:val="0"/>
        <w:autoSpaceDN w:val="0"/>
        <w:adjustRightInd w:val="0"/>
        <w:snapToGrid w:val="0"/>
        <w:spacing w:line="360" w:lineRule="auto"/>
        <w:ind w:firstLine="426"/>
        <w:jc w:val="left"/>
        <w:rPr>
          <w:rFonts w:asciiTheme="minorEastAsia" w:eastAsiaTheme="minorEastAsia" w:hAnsiTheme="minorEastAsia"/>
          <w:color w:val="000000" w:themeColor="text1"/>
          <w:kern w:val="0"/>
          <w:szCs w:val="21"/>
        </w:rPr>
      </w:pPr>
      <w:r w:rsidRPr="00054588">
        <w:rPr>
          <w:rFonts w:asciiTheme="minorEastAsia" w:eastAsiaTheme="minorEastAsia" w:hAnsiTheme="minorEastAsia"/>
          <w:color w:val="000000" w:themeColor="text1"/>
          <w:kern w:val="0"/>
          <w:szCs w:val="21"/>
        </w:rPr>
        <w:t>（7）违反现行有效的有关法律、法规、规章、基金合同和中国证监会的有关规定，泄漏在任职期间知悉的有关证券、基金的商业秘密，尚未依法公开的基金投资内容、基金投资计划等信息；</w:t>
      </w:r>
    </w:p>
    <w:p w:rsidR="007228CC" w:rsidRPr="00054588" w:rsidP="0071223F">
      <w:pPr>
        <w:tabs>
          <w:tab w:val="left" w:pos="851"/>
        </w:tabs>
        <w:autoSpaceDE w:val="0"/>
        <w:autoSpaceDN w:val="0"/>
        <w:adjustRightInd w:val="0"/>
        <w:snapToGrid w:val="0"/>
        <w:spacing w:line="360" w:lineRule="auto"/>
        <w:ind w:firstLine="424" w:firstLineChars="202"/>
        <w:jc w:val="left"/>
        <w:rPr>
          <w:rFonts w:asciiTheme="minorEastAsia" w:eastAsiaTheme="minorEastAsia" w:hAnsiTheme="minorEastAsia"/>
          <w:color w:val="000000" w:themeColor="text1"/>
          <w:kern w:val="0"/>
          <w:szCs w:val="21"/>
        </w:rPr>
      </w:pPr>
      <w:r w:rsidRPr="00054588">
        <w:rPr>
          <w:rFonts w:asciiTheme="minorEastAsia" w:eastAsiaTheme="minorEastAsia" w:hAnsiTheme="minorEastAsia"/>
          <w:color w:val="000000" w:themeColor="text1"/>
          <w:kern w:val="0"/>
          <w:szCs w:val="21"/>
        </w:rPr>
        <w:t>（8）违反证券交易场所业务规则，利用对敲、倒仓等手段操纵市场价格，扰乱市场秩序；</w:t>
      </w:r>
    </w:p>
    <w:p w:rsidR="007228CC" w:rsidRPr="00054588" w:rsidP="0071223F">
      <w:pPr>
        <w:tabs>
          <w:tab w:val="left" w:pos="851"/>
        </w:tabs>
        <w:autoSpaceDE w:val="0"/>
        <w:autoSpaceDN w:val="0"/>
        <w:adjustRightInd w:val="0"/>
        <w:snapToGrid w:val="0"/>
        <w:spacing w:line="360" w:lineRule="auto"/>
        <w:ind w:firstLine="424" w:firstLineChars="202"/>
        <w:jc w:val="left"/>
        <w:rPr>
          <w:rFonts w:asciiTheme="minorEastAsia" w:eastAsiaTheme="minorEastAsia" w:hAnsiTheme="minorEastAsia"/>
          <w:color w:val="000000" w:themeColor="text1"/>
          <w:kern w:val="0"/>
          <w:szCs w:val="21"/>
        </w:rPr>
      </w:pPr>
      <w:r w:rsidRPr="00054588">
        <w:rPr>
          <w:rFonts w:asciiTheme="minorEastAsia" w:eastAsiaTheme="minorEastAsia" w:hAnsiTheme="minorEastAsia"/>
          <w:color w:val="000000" w:themeColor="text1"/>
          <w:kern w:val="0"/>
          <w:szCs w:val="21"/>
        </w:rPr>
        <w:t>（9）贬损同行，以抬高自己；</w:t>
      </w:r>
    </w:p>
    <w:p w:rsidR="007228CC" w:rsidRPr="00054588" w:rsidP="0071223F">
      <w:pPr>
        <w:tabs>
          <w:tab w:val="left" w:pos="851"/>
        </w:tabs>
        <w:autoSpaceDE w:val="0"/>
        <w:autoSpaceDN w:val="0"/>
        <w:adjustRightInd w:val="0"/>
        <w:snapToGrid w:val="0"/>
        <w:spacing w:line="360" w:lineRule="auto"/>
        <w:ind w:firstLine="424" w:firstLineChars="202"/>
        <w:jc w:val="left"/>
        <w:rPr>
          <w:rFonts w:asciiTheme="minorEastAsia" w:eastAsiaTheme="minorEastAsia" w:hAnsiTheme="minorEastAsia"/>
          <w:color w:val="000000" w:themeColor="text1"/>
          <w:kern w:val="0"/>
          <w:szCs w:val="21"/>
        </w:rPr>
      </w:pPr>
      <w:r w:rsidRPr="00054588">
        <w:rPr>
          <w:rFonts w:asciiTheme="minorEastAsia" w:eastAsiaTheme="minorEastAsia" w:hAnsiTheme="minorEastAsia"/>
          <w:color w:val="000000" w:themeColor="text1"/>
          <w:kern w:val="0"/>
          <w:szCs w:val="21"/>
        </w:rPr>
        <w:t>（10）以不正当手段谋求业务发展；</w:t>
      </w:r>
    </w:p>
    <w:p w:rsidR="007228CC" w:rsidRPr="00054588" w:rsidP="0071223F">
      <w:pPr>
        <w:tabs>
          <w:tab w:val="left" w:pos="851"/>
        </w:tabs>
        <w:autoSpaceDE w:val="0"/>
        <w:autoSpaceDN w:val="0"/>
        <w:adjustRightInd w:val="0"/>
        <w:snapToGrid w:val="0"/>
        <w:spacing w:line="360" w:lineRule="auto"/>
        <w:ind w:firstLine="424" w:firstLineChars="202"/>
        <w:jc w:val="left"/>
        <w:rPr>
          <w:rFonts w:asciiTheme="minorEastAsia" w:eastAsiaTheme="minorEastAsia" w:hAnsiTheme="minorEastAsia"/>
          <w:color w:val="000000" w:themeColor="text1"/>
          <w:kern w:val="0"/>
          <w:szCs w:val="21"/>
        </w:rPr>
      </w:pPr>
      <w:r w:rsidRPr="00054588">
        <w:rPr>
          <w:rFonts w:asciiTheme="minorEastAsia" w:eastAsiaTheme="minorEastAsia" w:hAnsiTheme="minorEastAsia"/>
          <w:color w:val="000000" w:themeColor="text1"/>
          <w:kern w:val="0"/>
          <w:szCs w:val="21"/>
        </w:rPr>
        <w:t>（11）有悖社会公德，损害证券投资基金人员形象；</w:t>
      </w:r>
    </w:p>
    <w:p w:rsidR="007228CC" w:rsidRPr="00054588" w:rsidP="0071223F">
      <w:pPr>
        <w:tabs>
          <w:tab w:val="left" w:pos="851"/>
        </w:tabs>
        <w:autoSpaceDE w:val="0"/>
        <w:autoSpaceDN w:val="0"/>
        <w:adjustRightInd w:val="0"/>
        <w:snapToGrid w:val="0"/>
        <w:spacing w:line="360" w:lineRule="auto"/>
        <w:ind w:firstLine="424" w:firstLineChars="202"/>
        <w:jc w:val="left"/>
        <w:rPr>
          <w:rFonts w:asciiTheme="minorEastAsia" w:eastAsiaTheme="minorEastAsia" w:hAnsiTheme="minorEastAsia"/>
          <w:color w:val="000000" w:themeColor="text1"/>
          <w:kern w:val="0"/>
          <w:szCs w:val="21"/>
        </w:rPr>
      </w:pPr>
      <w:r w:rsidRPr="00054588">
        <w:rPr>
          <w:rFonts w:asciiTheme="minorEastAsia" w:eastAsiaTheme="minorEastAsia" w:hAnsiTheme="minorEastAsia"/>
          <w:color w:val="000000" w:themeColor="text1"/>
          <w:kern w:val="0"/>
          <w:szCs w:val="21"/>
        </w:rPr>
        <w:t>（12）在公开信息披露和广告中故意含有虚假、误导、欺诈成分；</w:t>
      </w:r>
    </w:p>
    <w:p w:rsidR="007228CC" w:rsidRPr="00054588" w:rsidP="0071223F">
      <w:pPr>
        <w:tabs>
          <w:tab w:val="left" w:pos="851"/>
        </w:tabs>
        <w:autoSpaceDE w:val="0"/>
        <w:autoSpaceDN w:val="0"/>
        <w:adjustRightInd w:val="0"/>
        <w:snapToGrid w:val="0"/>
        <w:spacing w:line="360" w:lineRule="auto"/>
        <w:ind w:firstLine="424" w:firstLineChars="202"/>
        <w:jc w:val="left"/>
        <w:rPr>
          <w:rFonts w:asciiTheme="minorEastAsia" w:eastAsiaTheme="minorEastAsia" w:hAnsiTheme="minorEastAsia"/>
          <w:color w:val="000000" w:themeColor="text1"/>
          <w:kern w:val="0"/>
          <w:szCs w:val="21"/>
        </w:rPr>
      </w:pPr>
      <w:r w:rsidRPr="00054588">
        <w:rPr>
          <w:rFonts w:asciiTheme="minorEastAsia" w:eastAsiaTheme="minorEastAsia" w:hAnsiTheme="minorEastAsia"/>
          <w:color w:val="000000" w:themeColor="text1"/>
          <w:kern w:val="0"/>
          <w:szCs w:val="21"/>
        </w:rPr>
        <w:t>（13）其他法律、行政法规以及中国证监会禁止的行为。</w:t>
      </w:r>
    </w:p>
    <w:p w:rsidR="007228CC" w:rsidRPr="00054588" w:rsidP="0071223F">
      <w:pPr>
        <w:autoSpaceDE w:val="0"/>
        <w:autoSpaceDN w:val="0"/>
        <w:adjustRightInd w:val="0"/>
        <w:snapToGrid w:val="0"/>
        <w:spacing w:line="360" w:lineRule="auto"/>
        <w:ind w:firstLine="420" w:firstLineChars="200"/>
        <w:jc w:val="left"/>
        <w:rPr>
          <w:rFonts w:asciiTheme="minorEastAsia" w:eastAsiaTheme="minorEastAsia" w:hAnsiTheme="minorEastAsia"/>
          <w:color w:val="000000" w:themeColor="text1"/>
          <w:kern w:val="0"/>
          <w:szCs w:val="21"/>
        </w:rPr>
      </w:pPr>
      <w:r w:rsidRPr="00054588">
        <w:rPr>
          <w:rFonts w:asciiTheme="minorEastAsia" w:eastAsiaTheme="minorEastAsia" w:hAnsiTheme="minorEastAsia"/>
          <w:color w:val="000000" w:themeColor="text1"/>
          <w:kern w:val="0"/>
          <w:szCs w:val="21"/>
        </w:rPr>
        <w:t>4</w:t>
      </w:r>
      <w:r w:rsidRPr="00054588" w:rsidR="0081558F">
        <w:rPr>
          <w:rFonts w:asciiTheme="minorEastAsia" w:eastAsiaTheme="minorEastAsia" w:hAnsiTheme="minorEastAsia" w:hint="eastAsia"/>
          <w:color w:val="000000" w:themeColor="text1"/>
          <w:kern w:val="0"/>
          <w:szCs w:val="21"/>
        </w:rPr>
        <w:t>、</w:t>
      </w:r>
      <w:r w:rsidRPr="00054588">
        <w:rPr>
          <w:rFonts w:asciiTheme="minorEastAsia" w:eastAsiaTheme="minorEastAsia" w:hAnsiTheme="minorEastAsia"/>
          <w:color w:val="000000" w:themeColor="text1"/>
          <w:kern w:val="0"/>
          <w:szCs w:val="21"/>
        </w:rPr>
        <w:t>基金经理承诺</w:t>
      </w:r>
    </w:p>
    <w:p w:rsidR="007228CC" w:rsidRPr="00054588" w:rsidP="0071223F">
      <w:pPr>
        <w:autoSpaceDE w:val="0"/>
        <w:autoSpaceDN w:val="0"/>
        <w:adjustRightInd w:val="0"/>
        <w:snapToGrid w:val="0"/>
        <w:spacing w:line="360" w:lineRule="auto"/>
        <w:ind w:firstLine="420" w:firstLineChars="200"/>
        <w:jc w:val="left"/>
        <w:rPr>
          <w:rFonts w:asciiTheme="minorEastAsia" w:eastAsiaTheme="minorEastAsia" w:hAnsiTheme="minorEastAsia"/>
          <w:color w:val="000000" w:themeColor="text1"/>
          <w:kern w:val="0"/>
          <w:szCs w:val="21"/>
        </w:rPr>
      </w:pPr>
      <w:r w:rsidRPr="00054588">
        <w:rPr>
          <w:rFonts w:asciiTheme="minorEastAsia" w:eastAsiaTheme="minorEastAsia" w:hAnsiTheme="minorEastAsia"/>
          <w:color w:val="000000" w:themeColor="text1"/>
          <w:kern w:val="0"/>
          <w:szCs w:val="21"/>
        </w:rPr>
        <w:t>（1）依照有关法律、法规和基金合同的规定，本着谨慎的原则为基金份额持有人谋取最大利益；</w:t>
      </w:r>
    </w:p>
    <w:p w:rsidR="007228CC" w:rsidRPr="00054588" w:rsidP="0071223F">
      <w:pPr>
        <w:autoSpaceDE w:val="0"/>
        <w:autoSpaceDN w:val="0"/>
        <w:adjustRightInd w:val="0"/>
        <w:snapToGrid w:val="0"/>
        <w:spacing w:line="360" w:lineRule="auto"/>
        <w:ind w:firstLine="420" w:firstLineChars="200"/>
        <w:jc w:val="left"/>
        <w:rPr>
          <w:rFonts w:asciiTheme="minorEastAsia" w:eastAsiaTheme="minorEastAsia" w:hAnsiTheme="minorEastAsia"/>
          <w:color w:val="000000" w:themeColor="text1"/>
          <w:kern w:val="0"/>
          <w:szCs w:val="21"/>
        </w:rPr>
      </w:pPr>
      <w:r w:rsidRPr="00054588">
        <w:rPr>
          <w:rFonts w:asciiTheme="minorEastAsia" w:eastAsiaTheme="minorEastAsia" w:hAnsiTheme="minorEastAsia"/>
          <w:color w:val="000000" w:themeColor="text1"/>
          <w:kern w:val="0"/>
          <w:szCs w:val="21"/>
        </w:rPr>
        <w:t>（2）不利用职务之便为自己及其代理人、受雇人或任何第三人谋取利益；</w:t>
      </w:r>
    </w:p>
    <w:p w:rsidR="007228CC" w:rsidRPr="00054588" w:rsidP="0071223F">
      <w:pPr>
        <w:autoSpaceDE w:val="0"/>
        <w:autoSpaceDN w:val="0"/>
        <w:adjustRightInd w:val="0"/>
        <w:snapToGrid w:val="0"/>
        <w:spacing w:line="360" w:lineRule="auto"/>
        <w:ind w:firstLine="420" w:firstLineChars="200"/>
        <w:jc w:val="left"/>
        <w:rPr>
          <w:rFonts w:asciiTheme="minorEastAsia" w:eastAsiaTheme="minorEastAsia" w:hAnsiTheme="minorEastAsia"/>
          <w:color w:val="000000" w:themeColor="text1"/>
          <w:kern w:val="0"/>
        </w:rPr>
      </w:pPr>
      <w:r w:rsidRPr="00054588">
        <w:rPr>
          <w:rFonts w:asciiTheme="minorEastAsia" w:eastAsiaTheme="minorEastAsia" w:hAnsiTheme="minorEastAsia"/>
          <w:color w:val="000000" w:themeColor="text1"/>
          <w:kern w:val="0"/>
        </w:rPr>
        <w:t>（3）不</w:t>
      </w:r>
      <w:r w:rsidRPr="00054588">
        <w:rPr>
          <w:rFonts w:asciiTheme="minorEastAsia" w:eastAsiaTheme="minorEastAsia" w:hAnsiTheme="minorEastAsia"/>
          <w:color w:val="000000" w:themeColor="text1"/>
          <w:kern w:val="0"/>
          <w:szCs w:val="21"/>
        </w:rPr>
        <w:t>违反现行有效的有关法律、法规、规章、基金合同和中国证监会的有关规定，</w:t>
      </w:r>
      <w:r w:rsidRPr="00054588">
        <w:rPr>
          <w:rFonts w:asciiTheme="minorEastAsia" w:eastAsiaTheme="minorEastAsia" w:hAnsiTheme="minorEastAsia"/>
          <w:color w:val="000000" w:themeColor="text1"/>
          <w:kern w:val="0"/>
        </w:rPr>
        <w:t>泄漏在任职期间知悉的有关证券、基金的商业秘密、尚未依法公开的基金投资内容、基金投资计划等信息；</w:t>
      </w:r>
    </w:p>
    <w:p w:rsidR="007228CC" w:rsidRPr="00054588" w:rsidP="0071223F">
      <w:pPr>
        <w:autoSpaceDE w:val="0"/>
        <w:autoSpaceDN w:val="0"/>
        <w:adjustRightInd w:val="0"/>
        <w:snapToGrid w:val="0"/>
        <w:spacing w:line="360" w:lineRule="auto"/>
        <w:ind w:firstLine="420" w:firstLineChars="200"/>
        <w:jc w:val="left"/>
        <w:rPr>
          <w:rFonts w:asciiTheme="minorEastAsia" w:eastAsiaTheme="minorEastAsia" w:hAnsiTheme="minorEastAsia"/>
          <w:color w:val="000000" w:themeColor="text1"/>
          <w:kern w:val="0"/>
        </w:rPr>
      </w:pPr>
      <w:r w:rsidRPr="00054588">
        <w:rPr>
          <w:rFonts w:asciiTheme="minorEastAsia" w:eastAsiaTheme="minorEastAsia" w:hAnsiTheme="minorEastAsia"/>
          <w:color w:val="000000" w:themeColor="text1"/>
          <w:kern w:val="0"/>
        </w:rPr>
        <w:t>（4）不从事损害基金财产和基金份额持有人利益的证券交易及其他活动。</w:t>
      </w:r>
    </w:p>
    <w:p w:rsidR="007228CC" w:rsidRPr="00054588" w:rsidP="009A1EA6">
      <w:pPr>
        <w:pStyle w:val="Heading2"/>
        <w:snapToGrid w:val="0"/>
        <w:spacing w:beforeLines="0" w:afterLines="0" w:line="360" w:lineRule="auto"/>
        <w:ind w:firstLine="0" w:firstLineChars="0"/>
        <w:rPr>
          <w:rStyle w:val="da"/>
          <w:rFonts w:asciiTheme="minorEastAsia" w:eastAsiaTheme="minorEastAsia" w:hAnsiTheme="minorEastAsia"/>
          <w:color w:val="000000" w:themeColor="text1"/>
          <w:sz w:val="21"/>
        </w:rPr>
      </w:pPr>
      <w:bookmarkStart w:id="37" w:name="_Toc133292567"/>
      <w:bookmarkStart w:id="38" w:name="_Toc163189524"/>
      <w:bookmarkStart w:id="39" w:name="_Toc211920124"/>
      <w:bookmarkStart w:id="40" w:name="_Toc211927655"/>
      <w:bookmarkStart w:id="41" w:name="_Toc123296407"/>
      <w:r w:rsidRPr="00054588">
        <w:rPr>
          <w:rFonts w:asciiTheme="minorEastAsia" w:eastAsiaTheme="minorEastAsia" w:hAnsiTheme="minorEastAsia" w:hint="eastAsia"/>
          <w:bCs/>
          <w:color w:val="000000" w:themeColor="text1"/>
          <w:szCs w:val="21"/>
        </w:rPr>
        <w:t>（五）</w:t>
      </w:r>
      <w:r w:rsidRPr="00054588">
        <w:rPr>
          <w:rFonts w:asciiTheme="minorEastAsia" w:eastAsiaTheme="minorEastAsia" w:hAnsiTheme="minorEastAsia"/>
          <w:bCs/>
          <w:color w:val="000000" w:themeColor="text1"/>
          <w:szCs w:val="21"/>
        </w:rPr>
        <w:t>基金管理人的内部控制制度</w:t>
      </w:r>
      <w:bookmarkEnd w:id="37"/>
      <w:bookmarkEnd w:id="38"/>
      <w:bookmarkEnd w:id="39"/>
      <w:bookmarkEnd w:id="40"/>
      <w:bookmarkEnd w:id="41"/>
    </w:p>
    <w:p w:rsidR="008E4F53" w:rsidRPr="00054588" w:rsidP="001C3F5B">
      <w:pPr>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为保证公司规范化运作，有效地防范和化解经营风险，促进公司诚信、合法、有效经营，保障基金份额持有人利益，维护公司及公司股东的合法权益，本基金管理人建立了科学、严密、高效的内部控制体系。</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1、公司内部控制的总体目标</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（1）保证公司经营管理活动的合法合规性；</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（2）保证各类基金份额持有人及委托人的合法权益不受侵犯；</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（3）防范和化解经营风险，提高经营管理效率，确保业务稳健经营运行和受托资产安全完整，实现公司的持续、健康发展，促进公司实现发展战略；</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（4）督促公司全体员工恪守职业操守，正直诚信，廉洁自律，勤勉尽责；</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（5）维护公司的声誉，保持公司的良好形象。</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2、公司内部控制遵循的原则</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（1）健全性原则。内部控制应当包括公司的各项业务、各个部门或机构和各级人员,并涵盖到决策、执行、监督、反馈等各个环节。</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（2）有效性原则。通过科学的内控手段和方法，建立合理的内控程序，维护内控制度的有效执行。</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（3）独立性原则。公司机构、部门和岗位职责应当保持相对独立，除非法律法规另有规定，公司基金资产、自有资产、其他资产的运作应当分离。</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（4）相互制约原则。公司内部部门和岗位的设置应当体现权责分明、相互制衡。</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（5）成本效益原则。公司运用科学化的经营管理方法降低运作成本，提高经济效益，力争以合理的控制成本达到最佳的内部控制效果。</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3、内部控制的制度体系</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部门和业务管理制度。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4、关于授权、研究、投资、交易等方面的控制点</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（1）授权制度</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公司的授权制度贯穿于整个公司活动。股东会、董事会、监事会和管理层必须充分履行各自的职权，健全公司逐级授权制度，确保公司各项规章制度的贯彻执行；各项经营业务和管理程序必须遵从管理层制定的操作规程，经办人员的每一项工作必须是在业务授权范围内进行。公司重大业务的授权必须采取书面形式，授权书应当明确授权内容。公司授权应适当，对已获授权的部门和人员应建立有效的评价和反馈机制，对已不适用的授权应及时修改或取消授权。</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（2）公司研究业务</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研究工作应保持独立、客观，不受任何部门及个人的不正当影响；建立严谨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（3）基金投资业务</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基金投资应确立科学的投资理念，根据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范围内；建立科学的投资业绩评价体系，及时回顾分析和评估投资结果。</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（4）交易业务</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建立集中交易部门和集中交易制度，投资指令通过集中交易部门完成；建立交易监测系统、预警系统和交易反馈系统，完善相关的安全设施；集中交易部门应对交易指令进行审核，建立公平的交易分配制度，确保公平对待不同基金；完善交易记录，并及时进行反馈、核对和存档保管；建立科学的投资交易绩效评价体系。</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（5）基金会计核算</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公司根据法律法规及业务的要求建立会计制度，并根据风险控制点建立健全规范的系统和流程，以基金为会计核算主体，独立建账、独立核算。通过合理的估值方法和估值程序等会计措施，真实、完整、及时地记载每一笔业务并正确进行会计核算和业务核算。同时建立会计档案保管制度，确保档案真实完整。</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（6）信息披露</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公司建立了完备的信息披露制度，指定了信息披露负责人，并建立了相应的制度流程规范相关信息的收集、组织、审核和发布，努力确保公开披露的信息真实、准确、完整、及时。</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（7）监察与合规管理</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公司设立督察长，由董事会聘任，向董事会负责。根据公司监察与合规管理工作的需要和董事会授权，督察长可以列席公司相关会议，调阅公司相关档案资料，就内部控制制度的执行情况独立地履行检查、评价、报告、建议职能。督察长定期和不定期向董事会报告公司内部控制执行情况，董事会对督察长的报告进行审议。</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公司设立监察合规管理部门，并保障其独立性。监察合规管理部门按照公司规定和督察长的安排履行监察与合规管理职责。</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监察合规管理部门通过定期或不定期检查内部控制制度的执行情况，督促公司和旗下基金的管理运作规范进行。</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公司董事会和管理层充分重视和支持监察与合规管理工作，对违反法律、法规和公司内部控制制度的，追究有关部门和人员的责任。</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5、基金管理人关于内部控制制度声明书</w:t>
      </w:r>
    </w:p>
    <w:p w:rsidR="009945FE" w:rsidRPr="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（1）本公司承诺以上关于内部控制制度的披露真实、准确；</w:t>
      </w:r>
    </w:p>
    <w:p w:rsidR="008E4F53" w:rsidRPr="00054588" w:rsidP="001C3F5B">
      <w:pPr>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（2）本公司承诺根据市场变化和公司业务发展不断完善内部控制制度。</w:t>
      </w:r>
    </w:p>
    <w:p w:rsidR="007228CC" w:rsidRPr="00054588" w:rsidP="0071223F">
      <w:pPr>
        <w:pStyle w:val="111"/>
        <w:numPr>
          <w:ilvl w:val="0"/>
          <w:numId w:val="7"/>
        </w:numPr>
        <w:tabs>
          <w:tab w:val="num" w:pos="0"/>
          <w:tab w:val="clear" w:pos="2798"/>
        </w:tabs>
        <w:snapToGrid w:val="0"/>
        <w:spacing w:beforeLines="0" w:afterLines="0" w:line="360" w:lineRule="auto"/>
        <w:ind w:left="0" w:firstLine="0" w:firstLineChars="0"/>
        <w:rPr>
          <w:rFonts w:asciiTheme="minorEastAsia" w:eastAsiaTheme="minorEastAsia" w:hAnsiTheme="minorEastAsia"/>
          <w:b/>
          <w:color w:val="000000" w:themeColor="text1"/>
        </w:rPr>
      </w:pPr>
      <w:bookmarkStart w:id="42" w:name="_Toc211920125"/>
      <w:bookmarkStart w:id="43" w:name="_Toc211927656"/>
      <w:bookmarkStart w:id="44" w:name="_Toc123296408"/>
      <w:r w:rsidRPr="00054588">
        <w:rPr>
          <w:rFonts w:asciiTheme="minorEastAsia" w:eastAsiaTheme="minorEastAsia" w:hAnsiTheme="minorEastAsia" w:hint="eastAsia"/>
          <w:b/>
          <w:color w:val="000000" w:themeColor="text1"/>
        </w:rPr>
        <w:t>基金托管人</w:t>
      </w:r>
      <w:bookmarkEnd w:id="42"/>
      <w:bookmarkEnd w:id="43"/>
      <w:bookmarkEnd w:id="44"/>
    </w:p>
    <w:p w:rsidR="00A41B05" w:rsidRPr="00054588" w:rsidP="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（一）基金托管人情况</w:t>
      </w:r>
    </w:p>
    <w:p w:rsidR="00A41B05" w:rsidRPr="00054588" w:rsidP="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1</w:t>
      </w:r>
      <w:r w:rsidRPr="00054588">
        <w:rPr>
          <w:rFonts w:asciiTheme="minorEastAsia" w:eastAsiaTheme="minorEastAsia" w:hAnsiTheme="minorEastAsia"/>
          <w:color w:val="000000" w:themeColor="text1"/>
        </w:rPr>
        <w:t>、</w:t>
      </w:r>
      <w:r w:rsidRPr="00054588">
        <w:rPr>
          <w:rFonts w:asciiTheme="minorEastAsia" w:eastAsiaTheme="minorEastAsia" w:hAnsiTheme="minorEastAsia" w:hint="eastAsia"/>
          <w:color w:val="000000" w:themeColor="text1"/>
        </w:rPr>
        <w:t>基本情况</w:t>
      </w:r>
    </w:p>
    <w:p w:rsidR="00A41B05" w:rsidRPr="00054588" w:rsidP="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名称：中国建设银行股份有限公司(简称：中国建设银行)</w:t>
      </w:r>
    </w:p>
    <w:p w:rsidR="00A41B05" w:rsidRPr="00054588" w:rsidP="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住所：北京市西城区金融大街25号</w:t>
      </w:r>
    </w:p>
    <w:p w:rsidR="00A41B05" w:rsidRPr="00054588" w:rsidP="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办公地址：北京市西城区闹市口大街1号院1号楼</w:t>
      </w:r>
    </w:p>
    <w:p w:rsidR="00A41B05" w:rsidRPr="00054588" w:rsidP="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法定代表人：田国立</w:t>
      </w:r>
    </w:p>
    <w:p w:rsidR="00A41B05" w:rsidRPr="00054588" w:rsidP="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成立时间：</w:t>
      </w:r>
      <w:smartTag w:uri="urn:schemas-microsoft-com:office:smarttags" w:element="chsdate">
        <w:smartTagPr>
          <w:attr w:name="Day" w:val="17"/>
          <w:attr w:name="IsLunarDate" w:val="False"/>
          <w:attr w:name="IsROCDate" w:val="False"/>
          <w:attr w:name="Month" w:val="09"/>
          <w:attr w:name="Year" w:val="2004"/>
        </w:smartTagPr>
        <w:r w:rsidRPr="00054588">
          <w:rPr>
            <w:rFonts w:asciiTheme="minorEastAsia" w:eastAsiaTheme="minorEastAsia" w:hAnsiTheme="minorEastAsia" w:hint="eastAsia"/>
            <w:color w:val="000000" w:themeColor="text1"/>
          </w:rPr>
          <w:t>2004年09月17日</w:t>
        </w:r>
      </w:smartTag>
    </w:p>
    <w:p w:rsidR="00A41B05" w:rsidRPr="00054588" w:rsidP="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组织形式：股份有限公司</w:t>
      </w:r>
    </w:p>
    <w:p w:rsidR="00A41B05" w:rsidRPr="00054588" w:rsidP="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注册资本：贰仟伍佰亿壹仟零玖拾柒万柒仟肆佰捌拾陆元整</w:t>
      </w:r>
    </w:p>
    <w:p w:rsidR="00A41B05" w:rsidRPr="00054588" w:rsidP="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存续期间：持续经营</w:t>
      </w:r>
    </w:p>
    <w:p w:rsidR="00A41B05" w:rsidRPr="00054588" w:rsidP="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基金托管资格批文及文号：中国证监会证监基字[1998]12号</w:t>
      </w:r>
    </w:p>
    <w:p w:rsidR="00A41B05" w:rsidRPr="00054588" w:rsidP="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 xml:space="preserve">联系人：李申 </w:t>
      </w:r>
    </w:p>
    <w:p w:rsidR="00A41B05" w:rsidRPr="00054588" w:rsidP="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联系电话：(021)6063 7102</w:t>
      </w:r>
    </w:p>
    <w:p w:rsidR="00A41B05" w:rsidRPr="00054588" w:rsidP="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2、主要人员情况</w:t>
      </w:r>
    </w:p>
    <w:p w:rsidR="00A41B05" w:rsidRPr="00054588" w:rsidP="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中国建设银行总行设资产托管业务部，下设综合处、基金市场处、证券保险资产市场处、理财信托股权市场处、全球托管处、养老金托管处、新兴业务处、运营管理处、跨境托管运营处、社保及大客户服务处、托管应用系统支持处、合规监督处等12个职能处室，在安徽合肥设有托管运营中心，在上海设有托管运营中心上海分中心，共有员工300余人。自2007年起，托管部连续聘请外部会计师事务所对托管业务进行内部控制审计，并已经成为常规化的内控工作手段。</w:t>
      </w:r>
    </w:p>
    <w:p w:rsidR="00A41B05" w:rsidRPr="00054588" w:rsidP="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3、基金托管业务经营情况</w:t>
      </w:r>
    </w:p>
    <w:p w:rsidR="00A41B05" w:rsidRPr="00054588" w:rsidP="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存托业务等产品在内的托管业务体系，是目前国内托管业务品种最齐全的商业银行之一。截至2022年2季度末，中国建设银行已托管1224只证券投资基金。中国建设银行专业高效的托管服务能力和业务水平，赢得了业内的高度认同。截至目前，中国建设银行先后多次被《全球托管人》、 《财资》、《环球金融》杂志及《中国基金报》评选为“最佳托管银行”、连续多年荣获中央国债登记结算有限责任公司（中债）“优秀资产托管机构”、银行间市场清算所股份有限公司（上清所）“优秀托管银行”奖项、并先后荣获《亚洲银行家》颁发的2017年度“最佳托管系统实施奖”、2019年度“中国年度托管业务科技实施奖”、2021年度“中国最佳数字化资产托管银行”、以及 2020及2022年度“中国年度托管银行（大型银行）”奖项。</w:t>
      </w:r>
    </w:p>
    <w:p w:rsidR="00A41B05" w:rsidRPr="00054588" w:rsidP="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（二）基金托管人的内部控制制度</w:t>
      </w:r>
    </w:p>
    <w:p w:rsidR="00A41B05" w:rsidRPr="00054588" w:rsidP="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1、内部控制目标</w:t>
      </w:r>
    </w:p>
    <w:p w:rsidR="00A41B05" w:rsidRPr="00054588" w:rsidP="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作为基金托管人，中国建设银行严格遵守国家有关托管业务的法律法规、行业监管规章和本行内有关管理规定，守法经营、规范运作、严格检查，确保业务的稳健运行，保证基金财产的安全完整，确保有关信息的真实、准确、完整、及时，保护基金份额持有人的合法权益。</w:t>
      </w:r>
    </w:p>
    <w:p w:rsidR="00A41B05" w:rsidRPr="00054588" w:rsidP="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2、内部控制组织结构</w:t>
      </w:r>
    </w:p>
    <w:p w:rsidR="00A41B05" w:rsidRPr="00054588" w:rsidP="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rsidR="00A41B05" w:rsidRPr="00054588" w:rsidP="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3、内部控制制度及措施</w:t>
      </w:r>
    </w:p>
    <w:p w:rsidR="00A41B05" w:rsidRPr="00054588" w:rsidP="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A41B05" w:rsidRPr="00054588" w:rsidP="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（三）基金托管人对基金管理人运作基金进行监督的方法和程序</w:t>
      </w:r>
    </w:p>
    <w:p w:rsidR="00A41B05" w:rsidRPr="00054588" w:rsidP="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1、监督方法</w:t>
      </w:r>
    </w:p>
    <w:p w:rsidR="00A41B05" w:rsidRPr="00054588" w:rsidP="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rsidR="00A41B05" w:rsidRPr="00054588" w:rsidP="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2、监督流程</w:t>
      </w:r>
    </w:p>
    <w:p w:rsidR="00A41B05" w:rsidRPr="00054588" w:rsidP="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1）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rsidR="00A41B05" w:rsidRPr="00054588" w:rsidP="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（2）收到基金管理人的划款指令后，对指令要素等内容进行核查。</w:t>
      </w:r>
    </w:p>
    <w:p w:rsidR="00A41B05" w:rsidRPr="00054588" w:rsidP="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（3）通过技术或非技术手段发现基金涉嫌违规交易，电话或书面要求基金管理人进行解释或举证，如有必要将及时报告中国证监会。</w:t>
      </w:r>
    </w:p>
    <w:p w:rsidR="00A41B05" w:rsidRPr="00054588" w:rsidP="00054588">
      <w:pPr>
        <w:spacing w:line="360" w:lineRule="auto"/>
        <w:ind w:firstLine="420"/>
        <w:rPr>
          <w:rFonts w:asciiTheme="minorEastAsia" w:eastAsiaTheme="minorEastAsia" w:hAnsiTheme="minorEastAsia"/>
          <w:color w:val="000000" w:themeColor="text1"/>
        </w:rPr>
      </w:pPr>
    </w:p>
    <w:p w:rsidR="000D7868" w:rsidRPr="00054588" w:rsidP="00054588">
      <w:pPr>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 xml:space="preserve"> </w:t>
      </w:r>
      <w:r w:rsidRPr="00054588">
        <w:rPr>
          <w:rFonts w:asciiTheme="minorEastAsia" w:eastAsiaTheme="minorEastAsia" w:hAnsiTheme="minorEastAsia"/>
          <w:color w:val="000000" w:themeColor="text1"/>
        </w:rPr>
        <w:br w:type="page"/>
      </w:r>
    </w:p>
    <w:p w:rsidR="007228CC" w:rsidRPr="00054588" w:rsidP="0071223F">
      <w:pPr>
        <w:pStyle w:val="111"/>
        <w:numPr>
          <w:ilvl w:val="0"/>
          <w:numId w:val="7"/>
        </w:numPr>
        <w:tabs>
          <w:tab w:val="num" w:pos="0"/>
          <w:tab w:val="clear" w:pos="2798"/>
        </w:tabs>
        <w:snapToGrid w:val="0"/>
        <w:spacing w:beforeLines="0" w:afterLines="0" w:line="360" w:lineRule="auto"/>
        <w:ind w:left="0" w:firstLine="0" w:firstLineChars="0"/>
        <w:rPr>
          <w:rFonts w:asciiTheme="minorEastAsia" w:eastAsiaTheme="minorEastAsia" w:hAnsiTheme="minorEastAsia"/>
          <w:b/>
          <w:color w:val="000000" w:themeColor="text1"/>
        </w:rPr>
      </w:pPr>
      <w:bookmarkStart w:id="45" w:name="_Toc211920129"/>
      <w:bookmarkStart w:id="46" w:name="_Toc211927660"/>
      <w:bookmarkStart w:id="47" w:name="_Toc123296409"/>
      <w:r w:rsidRPr="00054588">
        <w:rPr>
          <w:rFonts w:asciiTheme="minorEastAsia" w:eastAsiaTheme="minorEastAsia" w:hAnsiTheme="minorEastAsia" w:hint="eastAsia"/>
          <w:b/>
          <w:color w:val="000000" w:themeColor="text1"/>
        </w:rPr>
        <w:t>相关服务机构</w:t>
      </w:r>
      <w:bookmarkEnd w:id="45"/>
      <w:bookmarkEnd w:id="46"/>
      <w:bookmarkEnd w:id="47"/>
    </w:p>
    <w:p w:rsidR="007228CC" w:rsidRPr="00054588" w:rsidP="00941EC8">
      <w:pPr>
        <w:pStyle w:val="Heading2"/>
        <w:snapToGrid w:val="0"/>
        <w:spacing w:beforeLines="0" w:afterLines="0" w:line="360" w:lineRule="auto"/>
        <w:ind w:firstLine="0" w:firstLineChars="0"/>
        <w:rPr>
          <w:rFonts w:asciiTheme="minorEastAsia" w:eastAsiaTheme="minorEastAsia" w:hAnsiTheme="minorEastAsia"/>
          <w:bCs/>
          <w:color w:val="000000" w:themeColor="text1"/>
          <w:szCs w:val="21"/>
        </w:rPr>
      </w:pPr>
      <w:bookmarkStart w:id="48" w:name="_Toc211920130"/>
      <w:bookmarkStart w:id="49" w:name="_Toc211927661"/>
      <w:bookmarkStart w:id="50" w:name="_Toc123296410"/>
      <w:r w:rsidRPr="00054588">
        <w:rPr>
          <w:rFonts w:asciiTheme="minorEastAsia" w:eastAsiaTheme="minorEastAsia" w:hAnsiTheme="minorEastAsia" w:hint="eastAsia"/>
          <w:bCs/>
          <w:color w:val="000000" w:themeColor="text1"/>
          <w:szCs w:val="21"/>
        </w:rPr>
        <w:t>（一）基金份额</w:t>
      </w:r>
      <w:r w:rsidRPr="00054588" w:rsidR="008D22FF">
        <w:rPr>
          <w:rFonts w:asciiTheme="minorEastAsia" w:eastAsiaTheme="minorEastAsia" w:hAnsiTheme="minorEastAsia" w:hint="eastAsia"/>
          <w:bCs/>
          <w:color w:val="000000" w:themeColor="text1"/>
          <w:szCs w:val="21"/>
        </w:rPr>
        <w:t>销售</w:t>
      </w:r>
      <w:r w:rsidRPr="00054588">
        <w:rPr>
          <w:rFonts w:asciiTheme="minorEastAsia" w:eastAsiaTheme="minorEastAsia" w:hAnsiTheme="minorEastAsia" w:hint="eastAsia"/>
          <w:bCs/>
          <w:color w:val="000000" w:themeColor="text1"/>
          <w:szCs w:val="21"/>
        </w:rPr>
        <w:t>机构</w:t>
      </w:r>
      <w:bookmarkEnd w:id="48"/>
      <w:bookmarkEnd w:id="49"/>
      <w:bookmarkEnd w:id="50"/>
    </w:p>
    <w:p w:rsidR="009945FE" w:rsidRPr="00054588" w:rsidP="00114951">
      <w:pPr>
        <w:snapToGrid w:val="0"/>
        <w:spacing w:line="360" w:lineRule="auto"/>
        <w:ind w:firstLine="48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1、直销机构：易方达基金管理有限公司</w:t>
      </w:r>
    </w:p>
    <w:p w:rsidR="009945FE" w:rsidRPr="00054588" w:rsidP="00114951">
      <w:pPr>
        <w:snapToGrid w:val="0"/>
        <w:spacing w:line="360" w:lineRule="auto"/>
        <w:ind w:firstLine="48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注册地址：广东省珠海市横琴新区荣粤道188号6层</w:t>
      </w:r>
    </w:p>
    <w:p w:rsidR="009945FE" w:rsidRPr="00054588" w:rsidP="00114951">
      <w:pPr>
        <w:snapToGrid w:val="0"/>
        <w:spacing w:line="360" w:lineRule="auto"/>
        <w:ind w:firstLine="48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办公地址：广州市天河区珠江新城珠江东路30号广州银行大厦40-43楼</w:t>
      </w:r>
    </w:p>
    <w:p w:rsidR="009945FE" w:rsidRPr="00054588" w:rsidP="00114951">
      <w:pPr>
        <w:snapToGrid w:val="0"/>
        <w:spacing w:line="360" w:lineRule="auto"/>
        <w:ind w:firstLine="48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法定代表人：刘晓艳</w:t>
      </w:r>
    </w:p>
    <w:p w:rsidR="009945FE" w:rsidRPr="00054588" w:rsidP="00114951">
      <w:pPr>
        <w:snapToGrid w:val="0"/>
        <w:spacing w:line="360" w:lineRule="auto"/>
        <w:ind w:firstLine="48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电话：020-85102506</w:t>
      </w:r>
    </w:p>
    <w:p w:rsidR="009945FE" w:rsidRPr="00054588" w:rsidP="00114951">
      <w:pPr>
        <w:snapToGrid w:val="0"/>
        <w:spacing w:line="360" w:lineRule="auto"/>
        <w:ind w:firstLine="48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传真：4008818099</w:t>
      </w:r>
    </w:p>
    <w:p w:rsidR="009945FE" w:rsidRPr="00054588" w:rsidP="00114951">
      <w:pPr>
        <w:snapToGrid w:val="0"/>
        <w:spacing w:line="360" w:lineRule="auto"/>
        <w:ind w:firstLine="48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联系人：梁美</w:t>
      </w:r>
    </w:p>
    <w:p w:rsidR="009945FE" w:rsidRPr="00054588" w:rsidP="00114951">
      <w:pPr>
        <w:snapToGrid w:val="0"/>
        <w:spacing w:line="360" w:lineRule="auto"/>
        <w:ind w:firstLine="48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网址：www.efunds.com.cn</w:t>
      </w:r>
      <w:bookmarkStart w:id="51" w:name="_GoBack"/>
      <w:bookmarkEnd w:id="51"/>
    </w:p>
    <w:p w:rsidR="009945FE" w:rsidRPr="00054588" w:rsidP="00114951">
      <w:pPr>
        <w:snapToGrid w:val="0"/>
        <w:spacing w:line="360" w:lineRule="auto"/>
        <w:ind w:firstLine="48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直销机构网点信息：</w:t>
      </w:r>
    </w:p>
    <w:p w:rsidR="009945FE" w:rsidRPr="00054588" w:rsidP="00114951">
      <w:pPr>
        <w:snapToGrid w:val="0"/>
        <w:spacing w:line="360" w:lineRule="auto"/>
        <w:ind w:firstLine="48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本公司直销中心和网上直销系统销售本基金，网点具体信息详见本公司网站。</w:t>
      </w:r>
    </w:p>
    <w:p w:rsidR="007228CC" w:rsidRPr="00114951" w:rsidP="00114951">
      <w:pPr>
        <w:snapToGrid w:val="0"/>
        <w:spacing w:line="360" w:lineRule="auto"/>
        <w:ind w:firstLine="480"/>
        <w:rPr>
          <w:rFonts w:asciiTheme="minorEastAsia" w:eastAsiaTheme="minorEastAsia" w:hAnsiTheme="minorEastAsia"/>
          <w:color w:val="000000" w:themeColor="text1"/>
        </w:rPr>
      </w:pPr>
      <w:r w:rsidRPr="00114951">
        <w:rPr>
          <w:rFonts w:asciiTheme="minorEastAsia" w:eastAsiaTheme="minorEastAsia" w:hAnsiTheme="minorEastAsia" w:hint="eastAsia"/>
          <w:color w:val="000000" w:themeColor="text1"/>
        </w:rPr>
        <w:t>2、</w:t>
      </w:r>
      <w:r w:rsidRPr="00114951" w:rsidR="00B47054">
        <w:rPr>
          <w:rFonts w:asciiTheme="minorEastAsia" w:eastAsiaTheme="minorEastAsia" w:hAnsiTheme="minorEastAsia" w:hint="eastAsia"/>
          <w:color w:val="000000" w:themeColor="text1"/>
        </w:rPr>
        <w:t>非直销销售</w:t>
      </w:r>
      <w:r w:rsidRPr="00114951">
        <w:rPr>
          <w:rFonts w:asciiTheme="minorEastAsia" w:eastAsiaTheme="minorEastAsia" w:hAnsiTheme="minorEastAsia" w:hint="eastAsia"/>
          <w:color w:val="000000" w:themeColor="text1"/>
        </w:rPr>
        <w:t>机构</w:t>
      </w:r>
    </w:p>
    <w:p w:rsidR="009945FE" w:rsidRPr="00054588" w:rsidP="00114951">
      <w:pPr>
        <w:snapToGrid w:val="0"/>
        <w:spacing w:line="360" w:lineRule="auto"/>
        <w:ind w:firstLine="48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本基金非直销销售机构信息详见基金管理人网站公示。</w:t>
      </w:r>
    </w:p>
    <w:p w:rsidR="007228CC" w:rsidRPr="00054588" w:rsidP="00941EC8">
      <w:pPr>
        <w:pStyle w:val="Heading2"/>
        <w:snapToGrid w:val="0"/>
        <w:spacing w:beforeLines="0" w:afterLines="0" w:line="360" w:lineRule="auto"/>
        <w:ind w:firstLine="0" w:firstLineChars="0"/>
        <w:rPr>
          <w:rFonts w:asciiTheme="minorEastAsia" w:eastAsiaTheme="minorEastAsia" w:hAnsiTheme="minorEastAsia"/>
          <w:bCs/>
          <w:color w:val="000000" w:themeColor="text1"/>
          <w:szCs w:val="21"/>
        </w:rPr>
      </w:pPr>
      <w:bookmarkStart w:id="52" w:name="_Toc123296411"/>
      <w:r w:rsidRPr="00054588">
        <w:rPr>
          <w:rFonts w:asciiTheme="minorEastAsia" w:eastAsiaTheme="minorEastAsia" w:hAnsiTheme="minorEastAsia" w:hint="eastAsia"/>
          <w:bCs/>
          <w:color w:val="000000" w:themeColor="text1"/>
          <w:szCs w:val="21"/>
        </w:rPr>
        <w:t>（二）基金注册登记机构</w:t>
      </w:r>
      <w:bookmarkEnd w:id="52"/>
    </w:p>
    <w:p w:rsidR="007228CC" w:rsidRPr="00054588" w:rsidP="0071223F">
      <w:pPr>
        <w:snapToGrid w:val="0"/>
        <w:spacing w:line="360" w:lineRule="auto"/>
        <w:ind w:firstLine="48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名称：易方达基金管理有限公司</w:t>
      </w:r>
    </w:p>
    <w:p w:rsidR="00B850EA" w:rsidRPr="00054588" w:rsidP="0071223F">
      <w:pPr>
        <w:snapToGrid w:val="0"/>
        <w:spacing w:line="360" w:lineRule="auto"/>
        <w:ind w:firstLine="48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注册地址：</w:t>
      </w:r>
      <w:r w:rsidRPr="00054588" w:rsidR="005D4CA4">
        <w:rPr>
          <w:rFonts w:asciiTheme="minorEastAsia" w:eastAsiaTheme="minorEastAsia" w:hAnsiTheme="minorEastAsia" w:cs="宋体" w:hint="eastAsia"/>
          <w:color w:val="000000" w:themeColor="text1"/>
          <w:kern w:val="0"/>
          <w:szCs w:val="21"/>
        </w:rPr>
        <w:t>广东省珠海市横琴新区荣粤道188号6层</w:t>
      </w:r>
    </w:p>
    <w:p w:rsidR="007228CC" w:rsidRPr="00054588" w:rsidP="0071223F">
      <w:pPr>
        <w:snapToGrid w:val="0"/>
        <w:spacing w:line="360" w:lineRule="auto"/>
        <w:ind w:firstLine="48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rPr>
        <w:t>办公地址：广州市天河区珠江新城珠江东路30号广州银行大厦40-43楼</w:t>
      </w:r>
    </w:p>
    <w:p w:rsidR="007228CC" w:rsidRPr="00054588" w:rsidP="0071223F">
      <w:pPr>
        <w:snapToGrid w:val="0"/>
        <w:spacing w:line="360" w:lineRule="auto"/>
        <w:ind w:firstLine="48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法定代表人：</w:t>
      </w:r>
      <w:r w:rsidRPr="00054588" w:rsidR="0007593B">
        <w:rPr>
          <w:rFonts w:asciiTheme="minorEastAsia" w:eastAsiaTheme="minorEastAsia" w:hAnsiTheme="minorEastAsia" w:hint="eastAsia"/>
          <w:color w:val="000000" w:themeColor="text1"/>
          <w:szCs w:val="21"/>
        </w:rPr>
        <w:t>刘晓艳</w:t>
      </w:r>
    </w:p>
    <w:p w:rsidR="007228CC" w:rsidRPr="00054588" w:rsidP="0071223F">
      <w:pPr>
        <w:snapToGrid w:val="0"/>
        <w:spacing w:line="360" w:lineRule="auto"/>
        <w:ind w:firstLine="48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电话：4008818088</w:t>
      </w:r>
    </w:p>
    <w:p w:rsidR="007228CC" w:rsidRPr="00054588" w:rsidP="0071223F">
      <w:pPr>
        <w:snapToGrid w:val="0"/>
        <w:spacing w:line="360" w:lineRule="auto"/>
        <w:ind w:firstLine="48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传真：</w:t>
      </w:r>
      <w:r w:rsidRPr="00054588">
        <w:rPr>
          <w:rFonts w:asciiTheme="minorEastAsia" w:eastAsiaTheme="minorEastAsia" w:hAnsiTheme="minorEastAsia"/>
          <w:color w:val="000000" w:themeColor="text1"/>
          <w:szCs w:val="21"/>
        </w:rPr>
        <w:t>020</w:t>
      </w:r>
      <w:r w:rsidRPr="00054588">
        <w:rPr>
          <w:rFonts w:asciiTheme="minorEastAsia" w:eastAsiaTheme="minorEastAsia" w:hAnsiTheme="minorEastAsia" w:hint="eastAsia"/>
          <w:color w:val="000000" w:themeColor="text1"/>
          <w:szCs w:val="21"/>
        </w:rPr>
        <w:t>-38799249</w:t>
      </w:r>
    </w:p>
    <w:p w:rsidR="007228CC" w:rsidRPr="00054588" w:rsidP="0071223F">
      <w:pPr>
        <w:snapToGrid w:val="0"/>
        <w:spacing w:line="360" w:lineRule="auto"/>
        <w:ind w:firstLine="48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联系人：余贤高</w:t>
      </w:r>
    </w:p>
    <w:p w:rsidR="007228CC" w:rsidRPr="00054588"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53" w:name="_Toc182018733"/>
      <w:bookmarkStart w:id="54" w:name="_Toc211920132"/>
      <w:bookmarkStart w:id="55" w:name="_Toc211927663"/>
      <w:bookmarkStart w:id="56" w:name="_Toc123296412"/>
      <w:bookmarkStart w:id="57" w:name="_Toc38432430"/>
      <w:r w:rsidRPr="00054588">
        <w:rPr>
          <w:rFonts w:asciiTheme="minorEastAsia" w:eastAsiaTheme="minorEastAsia" w:hAnsiTheme="minorEastAsia" w:hint="eastAsia"/>
          <w:color w:val="000000" w:themeColor="text1"/>
        </w:rPr>
        <w:t>（三）律师事务所和经办律师</w:t>
      </w:r>
      <w:bookmarkEnd w:id="53"/>
      <w:bookmarkEnd w:id="54"/>
      <w:bookmarkEnd w:id="55"/>
      <w:bookmarkEnd w:id="56"/>
    </w:p>
    <w:p w:rsidR="007228CC" w:rsidRPr="00054588" w:rsidP="0071223F">
      <w:pPr>
        <w:snapToGrid w:val="0"/>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律师事务所：北京市天元律师事务所</w:t>
      </w:r>
    </w:p>
    <w:p w:rsidR="007228CC" w:rsidRPr="00054588" w:rsidP="0071223F">
      <w:pPr>
        <w:snapToGrid w:val="0"/>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地址：北京市西城区丰盛胡同</w:t>
      </w:r>
      <w:r w:rsidRPr="00054588">
        <w:rPr>
          <w:rFonts w:asciiTheme="minorEastAsia" w:eastAsiaTheme="minorEastAsia" w:hAnsiTheme="minorEastAsia"/>
          <w:color w:val="000000" w:themeColor="text1"/>
        </w:rPr>
        <w:t>28</w:t>
      </w:r>
      <w:r w:rsidRPr="00054588">
        <w:rPr>
          <w:rFonts w:asciiTheme="minorEastAsia" w:eastAsiaTheme="minorEastAsia" w:hAnsiTheme="minorEastAsia" w:hint="eastAsia"/>
          <w:color w:val="000000" w:themeColor="text1"/>
        </w:rPr>
        <w:t>号太平洋保险大厦</w:t>
      </w:r>
      <w:r w:rsidRPr="00054588">
        <w:rPr>
          <w:rFonts w:asciiTheme="minorEastAsia" w:eastAsiaTheme="minorEastAsia" w:hAnsiTheme="minorEastAsia"/>
          <w:color w:val="000000" w:themeColor="text1"/>
        </w:rPr>
        <w:t>10</w:t>
      </w:r>
      <w:r w:rsidRPr="00054588">
        <w:rPr>
          <w:rFonts w:asciiTheme="minorEastAsia" w:eastAsiaTheme="minorEastAsia" w:hAnsiTheme="minorEastAsia" w:hint="eastAsia"/>
          <w:color w:val="000000" w:themeColor="text1"/>
        </w:rPr>
        <w:t>层</w:t>
      </w:r>
    </w:p>
    <w:p w:rsidR="007228CC" w:rsidRPr="00054588" w:rsidP="0071223F">
      <w:pPr>
        <w:snapToGrid w:val="0"/>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负责人：王立华</w:t>
      </w:r>
    </w:p>
    <w:p w:rsidR="007228CC" w:rsidRPr="00054588" w:rsidP="0071223F">
      <w:pPr>
        <w:snapToGrid w:val="0"/>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电话：010-88092188</w:t>
      </w:r>
    </w:p>
    <w:p w:rsidR="007228CC" w:rsidRPr="00054588" w:rsidP="0071223F">
      <w:pPr>
        <w:snapToGrid w:val="0"/>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传真：010-88092150</w:t>
      </w:r>
    </w:p>
    <w:p w:rsidR="007228CC" w:rsidRPr="00054588" w:rsidP="0071223F">
      <w:pPr>
        <w:snapToGrid w:val="0"/>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经办律师：朱小辉、陈华</w:t>
      </w:r>
      <w:bookmarkStart w:id="58" w:name="_Toc182018734"/>
    </w:p>
    <w:p w:rsidR="007228CC" w:rsidRPr="00054588" w:rsidP="0071223F">
      <w:pPr>
        <w:snapToGrid w:val="0"/>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联系人：王立华</w:t>
      </w:r>
    </w:p>
    <w:p w:rsidR="007228CC" w:rsidRPr="00054588"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59" w:name="_Toc123296413"/>
      <w:r w:rsidRPr="00054588">
        <w:rPr>
          <w:rFonts w:asciiTheme="minorEastAsia" w:eastAsiaTheme="minorEastAsia" w:hAnsiTheme="minorEastAsia" w:hint="eastAsia"/>
          <w:color w:val="000000" w:themeColor="text1"/>
        </w:rPr>
        <w:t>（四）会计师事务所和经办注册会计师</w:t>
      </w:r>
      <w:bookmarkEnd w:id="58"/>
      <w:bookmarkEnd w:id="59"/>
    </w:p>
    <w:p w:rsidR="005C228C" w:rsidRPr="00054588" w:rsidP="0071223F">
      <w:pPr>
        <w:snapToGrid w:val="0"/>
        <w:spacing w:line="360" w:lineRule="auto"/>
        <w:ind w:firstLine="420" w:firstLineChars="200"/>
        <w:rPr>
          <w:rFonts w:asciiTheme="minorEastAsia" w:eastAsiaTheme="minorEastAsia" w:hAnsiTheme="minorEastAsia"/>
          <w:color w:val="000000" w:themeColor="text1"/>
          <w:szCs w:val="21"/>
        </w:rPr>
      </w:pPr>
      <w:bookmarkStart w:id="60" w:name="_Toc198959672"/>
      <w:bookmarkStart w:id="61" w:name="_Toc211920134"/>
      <w:bookmarkStart w:id="62" w:name="_Toc211927665"/>
      <w:bookmarkEnd w:id="57"/>
      <w:r w:rsidRPr="00054588">
        <w:rPr>
          <w:rFonts w:asciiTheme="minorEastAsia" w:eastAsiaTheme="minorEastAsia" w:hAnsiTheme="minorEastAsia" w:hint="eastAsia"/>
          <w:color w:val="000000" w:themeColor="text1"/>
          <w:szCs w:val="21"/>
        </w:rPr>
        <w:t>会计师事务所：普华永道中天会计师事务所（特殊普通合伙）</w:t>
      </w:r>
    </w:p>
    <w:p w:rsidR="005C228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住所：</w:t>
      </w:r>
      <w:r w:rsidRPr="00054588" w:rsidR="00C6218B">
        <w:rPr>
          <w:rFonts w:asciiTheme="minorEastAsia" w:eastAsiaTheme="minorEastAsia" w:hAnsiTheme="minorEastAsia" w:hint="eastAsia"/>
          <w:color w:val="000000" w:themeColor="text1"/>
          <w:szCs w:val="21"/>
        </w:rPr>
        <w:t>上海市湖滨路202号普华永道中心11楼</w:t>
      </w:r>
    </w:p>
    <w:p w:rsidR="005C228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办公地址：上海市湖滨路202号普华永道中心11楼</w:t>
      </w:r>
    </w:p>
    <w:p w:rsidR="005C228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首席合伙人：李丹</w:t>
      </w:r>
    </w:p>
    <w:p w:rsidR="005C228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电话：（021）23238888</w:t>
      </w:r>
    </w:p>
    <w:p w:rsidR="005C228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传真：（021）23238800</w:t>
      </w:r>
    </w:p>
    <w:p w:rsidR="005C228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rPr>
        <w:t>经办注册会计师：陈熹、陈轶杰</w:t>
      </w:r>
    </w:p>
    <w:p w:rsidR="005C228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联系人：</w:t>
      </w:r>
      <w:r w:rsidRPr="00054588" w:rsidR="00C6218B">
        <w:rPr>
          <w:rFonts w:asciiTheme="minorEastAsia" w:eastAsiaTheme="minorEastAsia" w:hAnsiTheme="minorEastAsia" w:hint="eastAsia"/>
          <w:color w:val="000000" w:themeColor="text1"/>
          <w:szCs w:val="21"/>
        </w:rPr>
        <w:t>周祎</w:t>
      </w:r>
    </w:p>
    <w:p w:rsidR="005C228C" w:rsidRPr="00054588" w:rsidP="0071223F">
      <w:pPr>
        <w:snapToGrid w:val="0"/>
        <w:spacing w:line="360" w:lineRule="auto"/>
        <w:ind w:firstLine="420" w:firstLineChars="200"/>
        <w:rPr>
          <w:rFonts w:asciiTheme="minorEastAsia" w:eastAsiaTheme="minorEastAsia" w:hAnsiTheme="minorEastAsia"/>
          <w:color w:val="000000" w:themeColor="text1"/>
        </w:rPr>
        <w:sectPr w:rsidSect="00234E1D">
          <w:pgSz w:w="11906" w:h="16838" w:code="9"/>
          <w:pgMar w:top="1440" w:right="1800" w:bottom="1440" w:left="1800" w:header="851" w:footer="992" w:gutter="0"/>
          <w:pgNumType w:start="1"/>
          <w:cols w:space="425"/>
          <w:docGrid w:type="lines" w:linePitch="312"/>
        </w:sectPr>
      </w:pPr>
    </w:p>
    <w:p w:rsidR="007228CC" w:rsidRPr="00054588" w:rsidP="00941EC8">
      <w:pPr>
        <w:pStyle w:val="111"/>
        <w:numPr>
          <w:ilvl w:val="0"/>
          <w:numId w:val="7"/>
        </w:numPr>
        <w:tabs>
          <w:tab w:val="num" w:pos="0"/>
          <w:tab w:val="clear" w:pos="2798"/>
        </w:tabs>
        <w:snapToGrid w:val="0"/>
        <w:spacing w:beforeLines="0" w:afterLines="0" w:line="360" w:lineRule="auto"/>
        <w:ind w:left="0" w:firstLine="0" w:firstLineChars="0"/>
        <w:rPr>
          <w:rFonts w:asciiTheme="minorEastAsia" w:eastAsiaTheme="minorEastAsia" w:hAnsiTheme="minorEastAsia"/>
          <w:b/>
          <w:color w:val="000000" w:themeColor="text1"/>
        </w:rPr>
      </w:pPr>
      <w:bookmarkStart w:id="63" w:name="_Toc123296414"/>
      <w:r w:rsidRPr="00054588">
        <w:rPr>
          <w:rFonts w:asciiTheme="minorEastAsia" w:eastAsiaTheme="minorEastAsia" w:hAnsiTheme="minorEastAsia" w:hint="eastAsia"/>
          <w:b/>
          <w:color w:val="000000" w:themeColor="text1"/>
        </w:rPr>
        <w:t>基金的募集</w:t>
      </w:r>
      <w:bookmarkEnd w:id="63"/>
    </w:p>
    <w:p w:rsidR="007228CC" w:rsidRPr="00054588" w:rsidP="0071223F">
      <w:pPr>
        <w:snapToGrid w:val="0"/>
        <w:spacing w:line="360" w:lineRule="auto"/>
        <w:ind w:firstLine="420" w:firstLineChars="20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本基金由基金管理人依照《基金法》、《运作办法》、《销售办法》、基金合同的相关规定、并经中国证券监督管理委员会</w:t>
      </w:r>
      <w:r w:rsidRPr="00054588" w:rsidR="00861FDF">
        <w:rPr>
          <w:rFonts w:asciiTheme="minorEastAsia" w:eastAsiaTheme="minorEastAsia" w:hAnsiTheme="minorEastAsia" w:hint="eastAsia"/>
          <w:color w:val="000000" w:themeColor="text1"/>
          <w:szCs w:val="21"/>
        </w:rPr>
        <w:t>2008年2月3日</w:t>
      </w:r>
      <w:r w:rsidRPr="00054588">
        <w:rPr>
          <w:rFonts w:asciiTheme="minorEastAsia" w:eastAsiaTheme="minorEastAsia" w:hAnsiTheme="minorEastAsia" w:hint="eastAsia"/>
          <w:color w:val="000000" w:themeColor="text1"/>
        </w:rPr>
        <w:t>《关于核准易方达增强回报债券型证券投资基金募集的批复》（证监基金字</w:t>
      </w:r>
      <w:r w:rsidRPr="00054588">
        <w:rPr>
          <w:rFonts w:asciiTheme="minorEastAsia" w:eastAsiaTheme="minorEastAsia" w:hAnsiTheme="minorEastAsia"/>
          <w:color w:val="000000" w:themeColor="text1"/>
        </w:rPr>
        <w:t>[200</w:t>
      </w:r>
      <w:r w:rsidRPr="00054588">
        <w:rPr>
          <w:rFonts w:asciiTheme="minorEastAsia" w:eastAsiaTheme="minorEastAsia" w:hAnsiTheme="minorEastAsia" w:hint="eastAsia"/>
          <w:color w:val="000000" w:themeColor="text1"/>
        </w:rPr>
        <w:t>8]226号）核准募集。</w:t>
      </w:r>
    </w:p>
    <w:p w:rsidR="007228CC" w:rsidRPr="00054588" w:rsidP="0071223F">
      <w:pPr>
        <w:snapToGrid w:val="0"/>
        <w:spacing w:line="360" w:lineRule="auto"/>
        <w:ind w:firstLine="420" w:firstLineChars="20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本基金为</w:t>
      </w:r>
      <w:r w:rsidRPr="00054588">
        <w:rPr>
          <w:rFonts w:asciiTheme="minorEastAsia" w:eastAsiaTheme="minorEastAsia" w:hAnsiTheme="minorEastAsia"/>
          <w:color w:val="000000" w:themeColor="text1"/>
        </w:rPr>
        <w:t>契约型开放式</w:t>
      </w:r>
      <w:r w:rsidRPr="00054588">
        <w:rPr>
          <w:rFonts w:asciiTheme="minorEastAsia" w:eastAsiaTheme="minorEastAsia" w:hAnsiTheme="minorEastAsia" w:hint="eastAsia"/>
          <w:color w:val="000000" w:themeColor="text1"/>
        </w:rPr>
        <w:t>债券型基金</w:t>
      </w:r>
      <w:r w:rsidRPr="00054588">
        <w:rPr>
          <w:rFonts w:asciiTheme="minorEastAsia" w:eastAsiaTheme="minorEastAsia" w:hAnsiTheme="minorEastAsia"/>
          <w:color w:val="000000" w:themeColor="text1"/>
        </w:rPr>
        <w:t>。基金</w:t>
      </w:r>
      <w:r w:rsidRPr="00054588">
        <w:rPr>
          <w:rFonts w:asciiTheme="minorEastAsia" w:eastAsiaTheme="minorEastAsia" w:hAnsiTheme="minorEastAsia" w:hint="eastAsia"/>
          <w:color w:val="000000" w:themeColor="text1"/>
        </w:rPr>
        <w:t>的</w:t>
      </w:r>
      <w:r w:rsidRPr="00054588">
        <w:rPr>
          <w:rFonts w:asciiTheme="minorEastAsia" w:eastAsiaTheme="minorEastAsia" w:hAnsiTheme="minorEastAsia"/>
          <w:color w:val="000000" w:themeColor="text1"/>
        </w:rPr>
        <w:t>存续期间</w:t>
      </w:r>
      <w:r w:rsidRPr="00054588">
        <w:rPr>
          <w:rFonts w:asciiTheme="minorEastAsia" w:eastAsiaTheme="minorEastAsia" w:hAnsiTheme="minorEastAsia" w:hint="eastAsia"/>
          <w:color w:val="000000" w:themeColor="text1"/>
        </w:rPr>
        <w:t>为</w:t>
      </w:r>
      <w:r w:rsidRPr="00054588">
        <w:rPr>
          <w:rFonts w:asciiTheme="minorEastAsia" w:eastAsiaTheme="minorEastAsia" w:hAnsiTheme="minorEastAsia"/>
          <w:color w:val="000000" w:themeColor="text1"/>
        </w:rPr>
        <w:t>不定期</w:t>
      </w:r>
      <w:r w:rsidRPr="00054588">
        <w:rPr>
          <w:rFonts w:asciiTheme="minorEastAsia" w:eastAsiaTheme="minorEastAsia" w:hAnsiTheme="minorEastAsia" w:hint="eastAsia"/>
          <w:color w:val="000000" w:themeColor="text1"/>
        </w:rPr>
        <w:t>。</w:t>
      </w:r>
    </w:p>
    <w:p w:rsidR="007228CC" w:rsidRPr="00054588" w:rsidP="0071223F">
      <w:pPr>
        <w:snapToGrid w:val="0"/>
        <w:spacing w:line="360" w:lineRule="auto"/>
        <w:ind w:firstLine="420" w:firstLineChars="20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本基金</w:t>
      </w:r>
      <w:r w:rsidRPr="00054588">
        <w:rPr>
          <w:rFonts w:asciiTheme="minorEastAsia" w:eastAsiaTheme="minorEastAsia" w:hAnsiTheme="minorEastAsia" w:hint="eastAsia"/>
          <w:color w:val="000000" w:themeColor="text1"/>
        </w:rPr>
        <w:t>募集期间</w:t>
      </w:r>
      <w:r w:rsidRPr="00054588">
        <w:rPr>
          <w:rFonts w:asciiTheme="minorEastAsia" w:eastAsiaTheme="minorEastAsia" w:hAnsiTheme="minorEastAsia"/>
          <w:color w:val="000000" w:themeColor="text1"/>
        </w:rPr>
        <w:t>每份基金份额的</w:t>
      </w:r>
      <w:r w:rsidRPr="00054588">
        <w:rPr>
          <w:rFonts w:asciiTheme="minorEastAsia" w:eastAsiaTheme="minorEastAsia" w:hAnsiTheme="minorEastAsia" w:hint="eastAsia"/>
          <w:color w:val="000000" w:themeColor="text1"/>
        </w:rPr>
        <w:t>初始</w:t>
      </w:r>
      <w:r w:rsidRPr="00054588">
        <w:rPr>
          <w:rFonts w:asciiTheme="minorEastAsia" w:eastAsiaTheme="minorEastAsia" w:hAnsiTheme="minorEastAsia"/>
          <w:color w:val="000000" w:themeColor="text1"/>
        </w:rPr>
        <w:t>面值为人民币1.00元</w:t>
      </w:r>
      <w:r w:rsidRPr="00054588">
        <w:rPr>
          <w:rFonts w:asciiTheme="minorEastAsia" w:eastAsiaTheme="minorEastAsia" w:hAnsiTheme="minorEastAsia" w:hint="eastAsia"/>
          <w:color w:val="000000" w:themeColor="text1"/>
        </w:rPr>
        <w:t>。</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本基金募集期自</w:t>
      </w:r>
      <w:r w:rsidRPr="00054588">
        <w:rPr>
          <w:rFonts w:asciiTheme="minorEastAsia" w:eastAsiaTheme="minorEastAsia" w:hAnsiTheme="minorEastAsia"/>
          <w:color w:val="000000" w:themeColor="text1"/>
          <w:szCs w:val="21"/>
        </w:rPr>
        <w:t>2008年2月28日</w:t>
      </w:r>
      <w:r w:rsidRPr="00054588">
        <w:rPr>
          <w:rFonts w:asciiTheme="minorEastAsia" w:eastAsiaTheme="minorEastAsia" w:hAnsiTheme="minorEastAsia" w:hint="eastAsia"/>
          <w:color w:val="000000" w:themeColor="text1"/>
          <w:szCs w:val="21"/>
        </w:rPr>
        <w:t>至</w:t>
      </w:r>
      <w:r w:rsidRPr="00054588">
        <w:rPr>
          <w:rFonts w:asciiTheme="minorEastAsia" w:eastAsiaTheme="minorEastAsia" w:hAnsiTheme="minorEastAsia"/>
          <w:color w:val="000000" w:themeColor="text1"/>
          <w:szCs w:val="21"/>
        </w:rPr>
        <w:t>2008年3月</w:t>
      </w:r>
      <w:r w:rsidRPr="00054588">
        <w:rPr>
          <w:rFonts w:asciiTheme="minorEastAsia" w:eastAsiaTheme="minorEastAsia" w:hAnsiTheme="minorEastAsia" w:hint="eastAsia"/>
          <w:color w:val="000000" w:themeColor="text1"/>
          <w:szCs w:val="21"/>
        </w:rPr>
        <w:t>13</w:t>
      </w:r>
      <w:r w:rsidRPr="00054588">
        <w:rPr>
          <w:rFonts w:asciiTheme="minorEastAsia" w:eastAsiaTheme="minorEastAsia" w:hAnsiTheme="minorEastAsia"/>
          <w:color w:val="000000" w:themeColor="text1"/>
          <w:szCs w:val="21"/>
        </w:rPr>
        <w:t>日</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hint="eastAsia"/>
          <w:color w:val="000000" w:themeColor="text1"/>
        </w:rPr>
        <w:t>募集对象为符合法律法规规定的可投资于证券投资基金的个人投资者、机构投资者和合格境外机构投资者以及法律法规或中国证监会允许购买证券投资基金的其他投资人。</w:t>
      </w:r>
    </w:p>
    <w:p w:rsidR="007228CC" w:rsidRPr="00054588" w:rsidP="0071223F">
      <w:pPr>
        <w:snapToGrid w:val="0"/>
        <w:spacing w:line="360" w:lineRule="auto"/>
        <w:ind w:firstLine="640"/>
        <w:rPr>
          <w:rFonts w:asciiTheme="minorEastAsia" w:eastAsiaTheme="minorEastAsia" w:hAnsiTheme="minorEastAsia"/>
          <w:color w:val="000000" w:themeColor="text1"/>
        </w:rPr>
      </w:pPr>
    </w:p>
    <w:p w:rsidR="007228CC" w:rsidRPr="00054588" w:rsidP="00941EC8">
      <w:pPr>
        <w:pStyle w:val="111"/>
        <w:numPr>
          <w:ilvl w:val="0"/>
          <w:numId w:val="7"/>
        </w:numPr>
        <w:tabs>
          <w:tab w:val="num" w:pos="0"/>
          <w:tab w:val="clear" w:pos="2798"/>
        </w:tabs>
        <w:snapToGrid w:val="0"/>
        <w:spacing w:beforeLines="0" w:afterLines="0" w:line="360" w:lineRule="auto"/>
        <w:ind w:left="0" w:firstLine="0" w:firstLineChars="0"/>
        <w:rPr>
          <w:rFonts w:asciiTheme="minorEastAsia" w:eastAsiaTheme="minorEastAsia" w:hAnsiTheme="minorEastAsia"/>
          <w:b/>
          <w:color w:val="000000" w:themeColor="text1"/>
        </w:rPr>
      </w:pPr>
      <w:bookmarkStart w:id="64" w:name="_Toc123296415"/>
      <w:r w:rsidRPr="00054588">
        <w:rPr>
          <w:rFonts w:asciiTheme="minorEastAsia" w:eastAsiaTheme="minorEastAsia" w:hAnsiTheme="minorEastAsia" w:hint="eastAsia"/>
          <w:b/>
          <w:color w:val="000000" w:themeColor="text1"/>
        </w:rPr>
        <w:t>基金合同的生效</w:t>
      </w:r>
      <w:bookmarkEnd w:id="64"/>
    </w:p>
    <w:p w:rsidR="00425732" w:rsidRPr="00054588" w:rsidP="009A1EA6">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65" w:name="_Toc322594135"/>
      <w:bookmarkStart w:id="66" w:name="_Toc123296416"/>
      <w:bookmarkEnd w:id="60"/>
      <w:bookmarkEnd w:id="61"/>
      <w:bookmarkEnd w:id="62"/>
      <w:r w:rsidRPr="00054588">
        <w:rPr>
          <w:rFonts w:asciiTheme="minorEastAsia" w:eastAsiaTheme="minorEastAsia" w:hAnsiTheme="minorEastAsia" w:hint="eastAsia"/>
          <w:color w:val="000000" w:themeColor="text1"/>
        </w:rPr>
        <w:t>（一）基金合同的生效</w:t>
      </w:r>
      <w:bookmarkEnd w:id="65"/>
      <w:bookmarkEnd w:id="66"/>
    </w:p>
    <w:p w:rsidR="007228CC" w:rsidRPr="00054588" w:rsidP="0071223F">
      <w:pPr>
        <w:snapToGrid w:val="0"/>
        <w:spacing w:line="360" w:lineRule="auto"/>
        <w:ind w:firstLine="408"/>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本基金</w:t>
      </w:r>
      <w:r w:rsidRPr="00054588">
        <w:rPr>
          <w:rFonts w:asciiTheme="minorEastAsia" w:eastAsiaTheme="minorEastAsia" w:hAnsiTheme="minorEastAsia" w:hint="eastAsia"/>
          <w:color w:val="000000" w:themeColor="text1"/>
        </w:rPr>
        <w:t>基金合同于2008年3月19日正式生效。自基金合同生效日起，本基金管理人正式开始管理本基金。</w:t>
      </w:r>
    </w:p>
    <w:p w:rsidR="007228CC" w:rsidRPr="00054588" w:rsidP="009A1EA6">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67" w:name="_Toc123296417"/>
      <w:r w:rsidRPr="00054588">
        <w:rPr>
          <w:rFonts w:asciiTheme="minorEastAsia" w:eastAsiaTheme="minorEastAsia" w:hAnsiTheme="minorEastAsia" w:hint="eastAsia"/>
          <w:color w:val="000000" w:themeColor="text1"/>
        </w:rPr>
        <w:t>（二）基金存续期内的基金份额持有人数量和资产规模</w:t>
      </w:r>
      <w:bookmarkEnd w:id="67"/>
    </w:p>
    <w:p w:rsidR="007228CC" w:rsidRPr="00054588" w:rsidP="0071223F">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基金合同生效后的存续期内，基金份额持有人数量不满200人或者基金资产净值低于5000万元，基金管理人应当及时报告中国证监会；基金份额持有人数量连续</w:t>
      </w:r>
      <w:r w:rsidRPr="00054588">
        <w:rPr>
          <w:rFonts w:asciiTheme="minorEastAsia" w:eastAsiaTheme="minorEastAsia" w:hAnsiTheme="minorEastAsia"/>
          <w:color w:val="000000" w:themeColor="text1"/>
        </w:rPr>
        <w:t>20</w:t>
      </w:r>
      <w:r w:rsidRPr="00054588">
        <w:rPr>
          <w:rFonts w:asciiTheme="minorEastAsia" w:eastAsiaTheme="minorEastAsia" w:hAnsiTheme="minorEastAsia" w:hint="eastAsia"/>
          <w:color w:val="000000" w:themeColor="text1"/>
        </w:rPr>
        <w:t>个工作日达不到2</w:t>
      </w:r>
      <w:r w:rsidRPr="00054588">
        <w:rPr>
          <w:rFonts w:asciiTheme="minorEastAsia" w:eastAsiaTheme="minorEastAsia" w:hAnsiTheme="minorEastAsia"/>
          <w:color w:val="000000" w:themeColor="text1"/>
        </w:rPr>
        <w:t>00</w:t>
      </w:r>
      <w:r w:rsidRPr="00054588">
        <w:rPr>
          <w:rFonts w:asciiTheme="minorEastAsia" w:eastAsiaTheme="minorEastAsia" w:hAnsiTheme="minorEastAsia" w:hint="eastAsia"/>
          <w:color w:val="000000" w:themeColor="text1"/>
        </w:rPr>
        <w:t>人，或连续</w:t>
      </w:r>
      <w:r w:rsidRPr="00054588">
        <w:rPr>
          <w:rFonts w:asciiTheme="minorEastAsia" w:eastAsiaTheme="minorEastAsia" w:hAnsiTheme="minorEastAsia"/>
          <w:color w:val="000000" w:themeColor="text1"/>
        </w:rPr>
        <w:t>20</w:t>
      </w:r>
      <w:r w:rsidRPr="00054588">
        <w:rPr>
          <w:rFonts w:asciiTheme="minorEastAsia" w:eastAsiaTheme="minorEastAsia" w:hAnsiTheme="minorEastAsia" w:hint="eastAsia"/>
          <w:color w:val="000000" w:themeColor="text1"/>
        </w:rPr>
        <w:t>个工作日基金资产净值低于</w:t>
      </w:r>
      <w:r w:rsidRPr="00054588">
        <w:rPr>
          <w:rFonts w:asciiTheme="minorEastAsia" w:eastAsiaTheme="minorEastAsia" w:hAnsiTheme="minorEastAsia"/>
          <w:color w:val="000000" w:themeColor="text1"/>
        </w:rPr>
        <w:t>5000</w:t>
      </w:r>
      <w:r w:rsidRPr="00054588">
        <w:rPr>
          <w:rFonts w:asciiTheme="minorEastAsia" w:eastAsiaTheme="minorEastAsia" w:hAnsiTheme="minorEastAsia" w:hint="eastAsia"/>
          <w:color w:val="000000" w:themeColor="text1"/>
        </w:rPr>
        <w:t>万元，基金管理人应当向中国证监会说明出现上述情况的原因并提出解决方案。</w:t>
      </w:r>
    </w:p>
    <w:p w:rsidR="007228CC" w:rsidRPr="00054588" w:rsidP="00941EC8">
      <w:pPr>
        <w:pStyle w:val="111"/>
        <w:numPr>
          <w:ilvl w:val="0"/>
          <w:numId w:val="7"/>
        </w:numPr>
        <w:tabs>
          <w:tab w:val="num" w:pos="0"/>
          <w:tab w:val="clear" w:pos="2798"/>
        </w:tabs>
        <w:snapToGrid w:val="0"/>
        <w:spacing w:beforeLines="0" w:afterLines="0" w:line="360" w:lineRule="auto"/>
        <w:ind w:left="0" w:firstLine="0" w:firstLineChars="0"/>
        <w:rPr>
          <w:rFonts w:asciiTheme="minorEastAsia" w:eastAsiaTheme="minorEastAsia" w:hAnsiTheme="minorEastAsia"/>
          <w:b/>
          <w:color w:val="000000" w:themeColor="text1"/>
        </w:rPr>
      </w:pPr>
      <w:bookmarkStart w:id="68" w:name="_Toc123296418"/>
      <w:r w:rsidRPr="00054588">
        <w:rPr>
          <w:rFonts w:asciiTheme="minorEastAsia" w:eastAsiaTheme="minorEastAsia" w:hAnsiTheme="minorEastAsia" w:hint="eastAsia"/>
          <w:b/>
          <w:color w:val="000000" w:themeColor="text1"/>
        </w:rPr>
        <w:t>基金份额的申购、赎回</w:t>
      </w:r>
      <w:bookmarkEnd w:id="68"/>
    </w:p>
    <w:p w:rsidR="007228CC" w:rsidRPr="00054588"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69" w:name="_Toc211920137"/>
      <w:bookmarkStart w:id="70" w:name="_Toc211927668"/>
      <w:bookmarkStart w:id="71" w:name="_Toc123296419"/>
      <w:r w:rsidRPr="00054588">
        <w:rPr>
          <w:rFonts w:asciiTheme="minorEastAsia" w:eastAsiaTheme="minorEastAsia" w:hAnsiTheme="minorEastAsia" w:hint="eastAsia"/>
          <w:color w:val="000000" w:themeColor="text1"/>
        </w:rPr>
        <w:t>（一）基金投资者范围</w:t>
      </w:r>
      <w:bookmarkEnd w:id="69"/>
      <w:bookmarkEnd w:id="70"/>
      <w:bookmarkEnd w:id="71"/>
    </w:p>
    <w:p w:rsidR="007228CC" w:rsidRPr="00054588" w:rsidP="0071223F">
      <w:pPr>
        <w:autoSpaceDE w:val="0"/>
        <w:autoSpaceDN w:val="0"/>
        <w:adjustRightInd w:val="0"/>
        <w:snapToGrid w:val="0"/>
        <w:spacing w:line="360" w:lineRule="auto"/>
        <w:ind w:firstLine="458" w:firstLineChars="218"/>
        <w:jc w:val="left"/>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rPr>
        <w:t>符合法律法规规定的可投资于证券投资基金的个人投资者、机构投资者和合格境外机构投资者以及法律法规或中国证监会允许购买证券投资基金的其他投资人。</w:t>
      </w:r>
    </w:p>
    <w:p w:rsidR="007228CC" w:rsidRPr="00054588"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72" w:name="_Toc211920138"/>
      <w:bookmarkStart w:id="73" w:name="_Toc211927669"/>
      <w:bookmarkStart w:id="74" w:name="_Toc123296420"/>
      <w:r w:rsidRPr="00054588">
        <w:rPr>
          <w:rFonts w:asciiTheme="minorEastAsia" w:eastAsiaTheme="minorEastAsia" w:hAnsiTheme="minorEastAsia" w:hint="eastAsia"/>
          <w:color w:val="000000" w:themeColor="text1"/>
        </w:rPr>
        <w:t>（二）申购和赎回办理的场所</w:t>
      </w:r>
      <w:bookmarkEnd w:id="72"/>
      <w:bookmarkEnd w:id="73"/>
      <w:bookmarkEnd w:id="74"/>
    </w:p>
    <w:p w:rsidR="007228CC" w:rsidRPr="00054588" w:rsidP="0071223F">
      <w:pPr>
        <w:pStyle w:val="20"/>
        <w:autoSpaceDE w:val="0"/>
        <w:autoSpaceDN w:val="0"/>
        <w:snapToGrid w:val="0"/>
        <w:spacing w:before="0" w:beforeAutospacing="0" w:after="0" w:afterAutospacing="0"/>
        <w:ind w:firstLine="420" w:firstLineChars="0"/>
        <w:textAlignment w:val="bottom"/>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w:t>
      </w:r>
      <w:r w:rsidRPr="00054588" w:rsidR="002A7F91">
        <w:rPr>
          <w:rFonts w:asciiTheme="minorEastAsia" w:eastAsiaTheme="minorEastAsia" w:hAnsiTheme="minorEastAsia" w:hint="eastAsia"/>
          <w:color w:val="000000" w:themeColor="text1"/>
        </w:rPr>
        <w:t>、</w:t>
      </w:r>
      <w:r w:rsidRPr="00054588">
        <w:rPr>
          <w:rFonts w:asciiTheme="minorEastAsia" w:eastAsiaTheme="minorEastAsia" w:hAnsiTheme="minorEastAsia"/>
          <w:color w:val="000000" w:themeColor="text1"/>
        </w:rPr>
        <w:t>基金管理</w:t>
      </w:r>
      <w:r w:rsidRPr="00054588">
        <w:rPr>
          <w:rFonts w:asciiTheme="minorEastAsia" w:eastAsiaTheme="minorEastAsia" w:hAnsiTheme="minorEastAsia" w:hint="eastAsia"/>
          <w:color w:val="000000" w:themeColor="text1"/>
        </w:rPr>
        <w:t>人直销</w:t>
      </w:r>
      <w:r w:rsidRPr="00054588" w:rsidR="00AA175D">
        <w:rPr>
          <w:rFonts w:asciiTheme="minorEastAsia" w:eastAsiaTheme="minorEastAsia" w:hAnsiTheme="minorEastAsia" w:hint="eastAsia"/>
          <w:color w:val="000000" w:themeColor="text1"/>
        </w:rPr>
        <w:t>中心</w:t>
      </w:r>
      <w:r w:rsidRPr="00054588">
        <w:rPr>
          <w:rFonts w:asciiTheme="minorEastAsia" w:eastAsiaTheme="minorEastAsia" w:hAnsiTheme="minorEastAsia" w:hint="eastAsia"/>
          <w:color w:val="000000" w:themeColor="text1"/>
        </w:rPr>
        <w:t>、网上交易系统(www.efunds.com.cn)</w:t>
      </w:r>
      <w:r w:rsidRPr="00054588">
        <w:rPr>
          <w:rFonts w:asciiTheme="minorEastAsia" w:eastAsiaTheme="minorEastAsia" w:hAnsiTheme="minorEastAsia"/>
          <w:color w:val="000000" w:themeColor="text1"/>
        </w:rPr>
        <w:t>；</w:t>
      </w:r>
    </w:p>
    <w:p w:rsidR="007228CC" w:rsidRPr="00054588" w:rsidP="0071223F">
      <w:pPr>
        <w:pStyle w:val="20"/>
        <w:autoSpaceDE w:val="0"/>
        <w:autoSpaceDN w:val="0"/>
        <w:snapToGrid w:val="0"/>
        <w:spacing w:before="0" w:beforeAutospacing="0" w:after="0" w:afterAutospacing="0"/>
        <w:ind w:firstLine="420" w:firstLineChars="0"/>
        <w:textAlignment w:val="bottom"/>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w:t>
      </w:r>
      <w:r w:rsidRPr="00054588" w:rsidR="002A7F91">
        <w:rPr>
          <w:rFonts w:asciiTheme="minorEastAsia" w:eastAsiaTheme="minorEastAsia" w:hAnsiTheme="minorEastAsia" w:hint="eastAsia"/>
          <w:color w:val="000000" w:themeColor="text1"/>
        </w:rPr>
        <w:t>、</w:t>
      </w:r>
      <w:r w:rsidRPr="00054588">
        <w:rPr>
          <w:rFonts w:asciiTheme="minorEastAsia" w:eastAsiaTheme="minorEastAsia" w:hAnsiTheme="minorEastAsia"/>
          <w:color w:val="000000" w:themeColor="text1"/>
        </w:rPr>
        <w:t>各</w:t>
      </w:r>
      <w:r w:rsidRPr="00054588" w:rsidR="00B47054">
        <w:rPr>
          <w:rFonts w:asciiTheme="minorEastAsia" w:eastAsiaTheme="minorEastAsia" w:hAnsiTheme="minorEastAsia" w:hint="eastAsia"/>
          <w:color w:val="000000" w:themeColor="text1"/>
        </w:rPr>
        <w:t>非直销销售</w:t>
      </w:r>
      <w:r w:rsidRPr="00054588">
        <w:rPr>
          <w:rFonts w:asciiTheme="minorEastAsia" w:eastAsiaTheme="minorEastAsia" w:hAnsiTheme="minorEastAsia" w:hint="eastAsia"/>
          <w:color w:val="000000" w:themeColor="text1"/>
        </w:rPr>
        <w:t>机构</w:t>
      </w:r>
      <w:r w:rsidRPr="00054588">
        <w:rPr>
          <w:rFonts w:asciiTheme="minorEastAsia" w:eastAsiaTheme="minorEastAsia" w:hAnsiTheme="minorEastAsia"/>
          <w:color w:val="000000" w:themeColor="text1"/>
        </w:rPr>
        <w:t>开办开放式基金业务的营业网点。</w:t>
      </w:r>
    </w:p>
    <w:p w:rsidR="007228CC" w:rsidRPr="00054588" w:rsidP="0071223F">
      <w:pPr>
        <w:pStyle w:val="20"/>
        <w:autoSpaceDE w:val="0"/>
        <w:autoSpaceDN w:val="0"/>
        <w:snapToGrid w:val="0"/>
        <w:spacing w:before="0" w:beforeAutospacing="0" w:after="0" w:afterAutospacing="0"/>
        <w:ind w:firstLine="420" w:firstLineChars="0"/>
        <w:textAlignment w:val="bottom"/>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基金管理人可根据情况变更基金的销售机构</w:t>
      </w:r>
      <w:r w:rsidRPr="00054588" w:rsidR="00575E02">
        <w:rPr>
          <w:rFonts w:asciiTheme="minorEastAsia" w:eastAsiaTheme="minorEastAsia" w:hAnsiTheme="minorEastAsia" w:hint="eastAsia"/>
          <w:color w:val="000000" w:themeColor="text1"/>
        </w:rPr>
        <w:t>，并在基金管理人网站公示</w:t>
      </w:r>
      <w:r w:rsidRPr="00054588">
        <w:rPr>
          <w:rFonts w:asciiTheme="minorEastAsia" w:eastAsiaTheme="minorEastAsia" w:hAnsiTheme="minorEastAsia" w:hint="eastAsia"/>
          <w:color w:val="000000" w:themeColor="text1"/>
        </w:rPr>
        <w:t>。</w:t>
      </w:r>
    </w:p>
    <w:p w:rsidR="007228CC" w:rsidRPr="00054588" w:rsidP="0071223F">
      <w:pPr>
        <w:pStyle w:val="20"/>
        <w:autoSpaceDE w:val="0"/>
        <w:autoSpaceDN w:val="0"/>
        <w:snapToGrid w:val="0"/>
        <w:spacing w:before="0" w:beforeAutospacing="0" w:after="0" w:afterAutospacing="0"/>
        <w:ind w:firstLine="420" w:firstLineChars="0"/>
        <w:textAlignment w:val="bottom"/>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投资者还可通过基金管理人或者指定的基金</w:t>
      </w:r>
      <w:r w:rsidRPr="00054588" w:rsidR="00B47054">
        <w:rPr>
          <w:rFonts w:asciiTheme="minorEastAsia" w:eastAsiaTheme="minorEastAsia" w:hAnsiTheme="minorEastAsia" w:hint="eastAsia"/>
          <w:color w:val="000000" w:themeColor="text1"/>
        </w:rPr>
        <w:t>销售</w:t>
      </w:r>
      <w:r w:rsidRPr="00054588">
        <w:rPr>
          <w:rFonts w:asciiTheme="minorEastAsia" w:eastAsiaTheme="minorEastAsia" w:hAnsiTheme="minorEastAsia" w:hint="eastAsia"/>
          <w:color w:val="000000" w:themeColor="text1"/>
        </w:rPr>
        <w:t>机构以电话或互联网或</w:t>
      </w:r>
      <w:r w:rsidRPr="00054588">
        <w:rPr>
          <w:rFonts w:asciiTheme="minorEastAsia" w:eastAsiaTheme="minorEastAsia" w:hAnsiTheme="minorEastAsia"/>
          <w:color w:val="000000" w:themeColor="text1"/>
        </w:rPr>
        <w:t>其他电子交易方式</w:t>
      </w:r>
      <w:r w:rsidRPr="00054588">
        <w:rPr>
          <w:rFonts w:asciiTheme="minorEastAsia" w:eastAsiaTheme="minorEastAsia" w:hAnsiTheme="minorEastAsia" w:hint="eastAsia"/>
          <w:color w:val="000000" w:themeColor="text1"/>
        </w:rPr>
        <w:t>进行申购、赎回</w:t>
      </w:r>
      <w:r w:rsidRPr="00054588">
        <w:rPr>
          <w:rFonts w:asciiTheme="minorEastAsia" w:eastAsiaTheme="minorEastAsia" w:hAnsiTheme="minorEastAsia" w:hint="eastAsia"/>
          <w:color w:val="000000" w:themeColor="text1"/>
          <w:szCs w:val="24"/>
        </w:rPr>
        <w:t>，具体以各销售机构的规定为准</w:t>
      </w:r>
      <w:r w:rsidRPr="00054588">
        <w:rPr>
          <w:rFonts w:asciiTheme="minorEastAsia" w:eastAsiaTheme="minorEastAsia" w:hAnsiTheme="minorEastAsia" w:hint="eastAsia"/>
          <w:color w:val="000000" w:themeColor="text1"/>
        </w:rPr>
        <w:t>。</w:t>
      </w:r>
    </w:p>
    <w:p w:rsidR="007228CC" w:rsidRPr="00054588"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75" w:name="_Toc211920139"/>
      <w:bookmarkStart w:id="76" w:name="_Toc211927670"/>
      <w:bookmarkStart w:id="77" w:name="_Toc123296421"/>
      <w:r w:rsidRPr="00054588">
        <w:rPr>
          <w:rFonts w:asciiTheme="minorEastAsia" w:eastAsiaTheme="minorEastAsia" w:hAnsiTheme="minorEastAsia" w:hint="eastAsia"/>
          <w:color w:val="000000" w:themeColor="text1"/>
        </w:rPr>
        <w:t>（三）申购与赎回办理的开放日及时间</w:t>
      </w:r>
      <w:bookmarkEnd w:id="75"/>
      <w:bookmarkEnd w:id="76"/>
      <w:bookmarkEnd w:id="77"/>
    </w:p>
    <w:p w:rsidR="007228CC" w:rsidRPr="00054588" w:rsidP="0071223F">
      <w:pPr>
        <w:snapToGrid w:val="0"/>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本基金已于2008年4月30日开始办理日常赎回业务，于2008年8月5日开始办理日常申购业务。</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cs="宋体" w:hint="eastAsia"/>
          <w:color w:val="000000" w:themeColor="text1"/>
          <w:kern w:val="0"/>
          <w:szCs w:val="21"/>
        </w:rPr>
        <w:t>上海证券交易所和深圳证券交易所同时开放交易的工作日为本基金的开放日。</w:t>
      </w:r>
      <w:r w:rsidRPr="00054588">
        <w:rPr>
          <w:rFonts w:asciiTheme="minorEastAsia" w:eastAsiaTheme="minorEastAsia" w:hAnsiTheme="minorEastAsia" w:hint="eastAsia"/>
          <w:color w:val="000000" w:themeColor="text1"/>
          <w:szCs w:val="21"/>
        </w:rPr>
        <w:t>但基金管理人根据法律法规、中国证监会的要求或本基金合同的规定公告暂停申购、赎回时除外。</w:t>
      </w:r>
      <w:r w:rsidRPr="00054588">
        <w:rPr>
          <w:rFonts w:asciiTheme="minorEastAsia" w:eastAsiaTheme="minorEastAsia" w:hAnsiTheme="minorEastAsia"/>
          <w:color w:val="000000" w:themeColor="text1"/>
          <w:szCs w:val="21"/>
        </w:rPr>
        <w:t>投资</w:t>
      </w:r>
      <w:r w:rsidRPr="00054588">
        <w:rPr>
          <w:rFonts w:asciiTheme="minorEastAsia" w:eastAsiaTheme="minorEastAsia" w:hAnsiTheme="minorEastAsia" w:hint="eastAsia"/>
          <w:color w:val="000000" w:themeColor="text1"/>
          <w:szCs w:val="21"/>
        </w:rPr>
        <w:t>人</w:t>
      </w:r>
      <w:r w:rsidRPr="00054588">
        <w:rPr>
          <w:rFonts w:asciiTheme="minorEastAsia" w:eastAsiaTheme="minorEastAsia" w:hAnsiTheme="minorEastAsia"/>
          <w:color w:val="000000" w:themeColor="text1"/>
          <w:szCs w:val="21"/>
        </w:rPr>
        <w:t>在开放日办理基金份额的申购和赎回</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具体办理时间为上海证券交易所、深圳证券交易所的正常交易日的交易时间</w:t>
      </w:r>
      <w:r w:rsidRPr="00054588">
        <w:rPr>
          <w:rFonts w:asciiTheme="minorEastAsia" w:eastAsiaTheme="minorEastAsia" w:hAnsiTheme="minorEastAsia" w:hint="eastAsia"/>
          <w:color w:val="000000" w:themeColor="text1"/>
          <w:szCs w:val="21"/>
        </w:rPr>
        <w:t>。</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基金合同生效后，若出现新的证券交易市场、证券交易所交易时间变更或其他特殊情况，基金管理人将视情况对前述开放日及开放时间进行相应的调整</w:t>
      </w:r>
      <w:r w:rsidRPr="00054588">
        <w:rPr>
          <w:rFonts w:asciiTheme="minorEastAsia" w:eastAsiaTheme="minorEastAsia" w:hAnsiTheme="minorEastAsia" w:hint="eastAsia"/>
          <w:color w:val="000000" w:themeColor="text1"/>
          <w:szCs w:val="21"/>
        </w:rPr>
        <w:t>，但应在实施日前依照《信息披露办法》的有关规定在</w:t>
      </w:r>
      <w:r w:rsidRPr="00054588" w:rsidR="00575E02">
        <w:rPr>
          <w:rFonts w:asciiTheme="minorEastAsia" w:eastAsiaTheme="minorEastAsia" w:hAnsiTheme="minorEastAsia" w:hint="eastAsia"/>
          <w:color w:val="000000" w:themeColor="text1"/>
          <w:szCs w:val="21"/>
        </w:rPr>
        <w:t>指定媒介</w:t>
      </w:r>
      <w:r w:rsidRPr="00054588">
        <w:rPr>
          <w:rFonts w:asciiTheme="minorEastAsia" w:eastAsiaTheme="minorEastAsia" w:hAnsiTheme="minorEastAsia" w:hint="eastAsia"/>
          <w:color w:val="000000" w:themeColor="text1"/>
          <w:szCs w:val="21"/>
        </w:rPr>
        <w:t>上公告。</w:t>
      </w:r>
    </w:p>
    <w:p w:rsidR="007228CC" w:rsidRPr="00054588" w:rsidP="0071223F">
      <w:pPr>
        <w:widowControl/>
        <w:snapToGrid w:val="0"/>
        <w:spacing w:line="360" w:lineRule="auto"/>
        <w:ind w:firstLine="480"/>
        <w:jc w:val="left"/>
        <w:textAlignment w:val="bottom"/>
        <w:rPr>
          <w:rFonts w:asciiTheme="minorEastAsia" w:eastAsiaTheme="minorEastAsia" w:hAnsiTheme="minorEastAsia" w:cs="宋体"/>
          <w:color w:val="000000" w:themeColor="text1"/>
          <w:kern w:val="0"/>
          <w:szCs w:val="21"/>
        </w:rPr>
      </w:pPr>
      <w:r w:rsidRPr="00054588">
        <w:rPr>
          <w:rFonts w:asciiTheme="minorEastAsia" w:eastAsiaTheme="minorEastAsia" w:hAnsiTheme="minorEastAsia" w:cs="宋体" w:hint="eastAsia"/>
          <w:color w:val="000000" w:themeColor="text1"/>
          <w:kern w:val="0"/>
          <w:szCs w:val="21"/>
        </w:rPr>
        <w:t>投资人在基金合同约定之外的日期和时间提出申购、赎回或者转换申请的，其基金份额申购、赎回价格为下次办理基金份额申购、赎回时间所在开放日的价格。</w:t>
      </w:r>
    </w:p>
    <w:p w:rsidR="007228CC" w:rsidRPr="00054588" w:rsidP="00941EC8">
      <w:pPr>
        <w:pStyle w:val="Heading2"/>
        <w:snapToGrid w:val="0"/>
        <w:spacing w:beforeLines="0" w:afterLines="0" w:line="360" w:lineRule="auto"/>
        <w:ind w:firstLine="0" w:firstLineChars="0"/>
        <w:rPr>
          <w:rFonts w:asciiTheme="minorEastAsia" w:eastAsiaTheme="minorEastAsia" w:hAnsiTheme="minorEastAsia"/>
          <w:bCs/>
          <w:color w:val="000000" w:themeColor="text1"/>
        </w:rPr>
      </w:pPr>
      <w:bookmarkStart w:id="78" w:name="_Toc211920140"/>
      <w:bookmarkStart w:id="79" w:name="_Toc211927671"/>
      <w:bookmarkStart w:id="80" w:name="_Toc123296422"/>
      <w:r w:rsidRPr="00054588">
        <w:rPr>
          <w:rFonts w:asciiTheme="minorEastAsia" w:eastAsiaTheme="minorEastAsia" w:hAnsiTheme="minorEastAsia" w:hint="eastAsia"/>
          <w:bCs/>
          <w:color w:val="000000" w:themeColor="text1"/>
        </w:rPr>
        <w:t>（四）申购与赎回的原则</w:t>
      </w:r>
      <w:bookmarkEnd w:id="78"/>
      <w:bookmarkEnd w:id="79"/>
      <w:bookmarkEnd w:id="80"/>
    </w:p>
    <w:p w:rsidR="007228CC" w:rsidRPr="00054588" w:rsidP="002A7F91">
      <w:pPr>
        <w:snapToGrid w:val="0"/>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1、“</w:t>
      </w:r>
      <w:r w:rsidRPr="00054588">
        <w:rPr>
          <w:rFonts w:asciiTheme="minorEastAsia" w:eastAsiaTheme="minorEastAsia" w:hAnsiTheme="minorEastAsia"/>
          <w:color w:val="000000" w:themeColor="text1"/>
        </w:rPr>
        <w:t>未知价原则</w:t>
      </w:r>
      <w:r w:rsidRPr="00054588">
        <w:rPr>
          <w:rFonts w:asciiTheme="minorEastAsia" w:eastAsiaTheme="minorEastAsia" w:hAnsiTheme="minorEastAsia" w:hint="eastAsia"/>
          <w:color w:val="000000" w:themeColor="text1"/>
        </w:rPr>
        <w:t>”</w:t>
      </w:r>
      <w:r w:rsidRPr="00054588">
        <w:rPr>
          <w:rFonts w:asciiTheme="minorEastAsia" w:eastAsiaTheme="minorEastAsia" w:hAnsiTheme="minorEastAsia"/>
          <w:color w:val="000000" w:themeColor="text1"/>
        </w:rPr>
        <w:t>，</w:t>
      </w:r>
      <w:r w:rsidRPr="00054588">
        <w:rPr>
          <w:rFonts w:asciiTheme="minorEastAsia" w:eastAsiaTheme="minorEastAsia" w:hAnsiTheme="minorEastAsia" w:hint="eastAsia"/>
          <w:color w:val="000000" w:themeColor="text1"/>
        </w:rPr>
        <w:t>即本基金的申购与赎回价格以受理申请当日收市后计算的基金份额净值为基准进行计算；</w:t>
      </w:r>
    </w:p>
    <w:p w:rsidR="007228CC" w:rsidRPr="00054588" w:rsidP="002A7F91">
      <w:pPr>
        <w:snapToGrid w:val="0"/>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2、本基金采用</w:t>
      </w:r>
      <w:r w:rsidRPr="00054588">
        <w:rPr>
          <w:rFonts w:asciiTheme="minorEastAsia" w:eastAsiaTheme="minorEastAsia" w:hAnsiTheme="minorEastAsia"/>
          <w:color w:val="000000" w:themeColor="text1"/>
        </w:rPr>
        <w:t>金额申购、份额赎回原则</w:t>
      </w:r>
      <w:r w:rsidRPr="00054588">
        <w:rPr>
          <w:rFonts w:asciiTheme="minorEastAsia" w:eastAsiaTheme="minorEastAsia" w:hAnsiTheme="minorEastAsia" w:hint="eastAsia"/>
          <w:color w:val="000000" w:themeColor="text1"/>
        </w:rPr>
        <w:t>，</w:t>
      </w:r>
      <w:r w:rsidRPr="00054588">
        <w:rPr>
          <w:rFonts w:asciiTheme="minorEastAsia" w:eastAsiaTheme="minorEastAsia" w:hAnsiTheme="minorEastAsia"/>
          <w:color w:val="000000" w:themeColor="text1"/>
        </w:rPr>
        <w:t>即申购以金额申请</w:t>
      </w:r>
      <w:r w:rsidRPr="00054588">
        <w:rPr>
          <w:rFonts w:asciiTheme="minorEastAsia" w:eastAsiaTheme="minorEastAsia" w:hAnsiTheme="minorEastAsia" w:hint="eastAsia"/>
          <w:color w:val="000000" w:themeColor="text1"/>
        </w:rPr>
        <w:t>，</w:t>
      </w:r>
      <w:r w:rsidRPr="00054588">
        <w:rPr>
          <w:rFonts w:asciiTheme="minorEastAsia" w:eastAsiaTheme="minorEastAsia" w:hAnsiTheme="minorEastAsia"/>
          <w:color w:val="000000" w:themeColor="text1"/>
        </w:rPr>
        <w:t>赎回以份额申请；</w:t>
      </w:r>
    </w:p>
    <w:p w:rsidR="007228CC" w:rsidRPr="00054588" w:rsidP="002A7F91">
      <w:pPr>
        <w:snapToGrid w:val="0"/>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3、基金份额持有人赎回时，除指定赎回外，基金管理人按先进先出的原则，对该持有人账户在该销售机构托管的基金份额进行处理，即注册日期在先的基金份额先赎回，注册日期在后的基金份额后赎回；</w:t>
      </w:r>
    </w:p>
    <w:p w:rsidR="007228CC" w:rsidRPr="00054588" w:rsidP="002A7F91">
      <w:pPr>
        <w:snapToGrid w:val="0"/>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4、当日的申购、赎回申请可以在当日交易结束时间前撤销，在当日的交易时间结束后不得撤销；</w:t>
      </w:r>
    </w:p>
    <w:p w:rsidR="007228CC" w:rsidRPr="00054588" w:rsidP="002A7F91">
      <w:pPr>
        <w:snapToGrid w:val="0"/>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5、基金管理人可根据基金运作的实际情况依法对上述原则进行调整。基金管理人必须在新规则开始实施前依照《信息披露办法》的有关规定在</w:t>
      </w:r>
      <w:r w:rsidRPr="00054588" w:rsidR="00575E02">
        <w:rPr>
          <w:rFonts w:asciiTheme="minorEastAsia" w:eastAsiaTheme="minorEastAsia" w:hAnsiTheme="minorEastAsia" w:hint="eastAsia"/>
          <w:color w:val="000000" w:themeColor="text1"/>
        </w:rPr>
        <w:t>指定媒介</w:t>
      </w:r>
      <w:r w:rsidRPr="00054588">
        <w:rPr>
          <w:rFonts w:asciiTheme="minorEastAsia" w:eastAsiaTheme="minorEastAsia" w:hAnsiTheme="minorEastAsia" w:hint="eastAsia"/>
          <w:color w:val="000000" w:themeColor="text1"/>
        </w:rPr>
        <w:t>上公告。</w:t>
      </w:r>
    </w:p>
    <w:p w:rsidR="007228CC" w:rsidRPr="00054588"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81" w:name="_Toc211920141"/>
      <w:bookmarkStart w:id="82" w:name="_Toc211927672"/>
      <w:bookmarkStart w:id="83" w:name="_Toc123296423"/>
      <w:r w:rsidRPr="00054588">
        <w:rPr>
          <w:rFonts w:asciiTheme="minorEastAsia" w:eastAsiaTheme="minorEastAsia" w:hAnsiTheme="minorEastAsia" w:hint="eastAsia"/>
          <w:color w:val="000000" w:themeColor="text1"/>
        </w:rPr>
        <w:t>（五）申购与赎回的程序</w:t>
      </w:r>
      <w:bookmarkEnd w:id="81"/>
      <w:bookmarkEnd w:id="82"/>
      <w:bookmarkEnd w:id="83"/>
    </w:p>
    <w:p w:rsidR="007228CC" w:rsidRPr="00054588" w:rsidP="002A7F91">
      <w:pPr>
        <w:snapToGrid w:val="0"/>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1、申购、赎回的申请方式</w:t>
      </w:r>
    </w:p>
    <w:p w:rsidR="007228CC" w:rsidRPr="00054588" w:rsidP="0071223F">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基金投资者必须根据基金管理人和基金</w:t>
      </w:r>
      <w:r w:rsidRPr="00054588" w:rsidR="00B47054">
        <w:rPr>
          <w:rFonts w:asciiTheme="minorEastAsia" w:eastAsiaTheme="minorEastAsia" w:hAnsiTheme="minorEastAsia" w:hint="eastAsia"/>
          <w:color w:val="000000" w:themeColor="text1"/>
        </w:rPr>
        <w:t>销售</w:t>
      </w:r>
      <w:r w:rsidRPr="00054588">
        <w:rPr>
          <w:rFonts w:asciiTheme="minorEastAsia" w:eastAsiaTheme="minorEastAsia" w:hAnsiTheme="minorEastAsia" w:hint="eastAsia"/>
          <w:color w:val="000000" w:themeColor="text1"/>
        </w:rPr>
        <w:t>机构规定的手续，在开放日的</w:t>
      </w:r>
      <w:r w:rsidRPr="00054588">
        <w:rPr>
          <w:rFonts w:asciiTheme="minorEastAsia" w:eastAsiaTheme="minorEastAsia" w:hAnsiTheme="minorEastAsia" w:hint="eastAsia"/>
          <w:color w:val="000000" w:themeColor="text1"/>
          <w:szCs w:val="21"/>
        </w:rPr>
        <w:t>业务办理时间</w:t>
      </w:r>
      <w:r w:rsidRPr="00054588">
        <w:rPr>
          <w:rFonts w:asciiTheme="minorEastAsia" w:eastAsiaTheme="minorEastAsia" w:hAnsiTheme="minorEastAsia" w:hint="eastAsia"/>
          <w:color w:val="000000" w:themeColor="text1"/>
        </w:rPr>
        <w:t>提出申购、赎回的申请。</w:t>
      </w:r>
    </w:p>
    <w:p w:rsidR="007228CC" w:rsidRPr="00054588" w:rsidP="0071223F">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投资人在提交申购申请时须按销售机构规定的方式备足申购资金，投资人在提交赎回申请时须持有足够的基金份额余额，否则所提交的申购、赎回申请无效。</w:t>
      </w:r>
    </w:p>
    <w:p w:rsidR="007228CC" w:rsidRPr="00054588" w:rsidP="002A7F91">
      <w:pPr>
        <w:snapToGrid w:val="0"/>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2、申购、赎回申请的确认</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基金管理人应以交易时间结束前受理申购和赎回申请的当天作为申购或赎回申请日(</w:t>
      </w:r>
      <w:r w:rsidRPr="00054588">
        <w:rPr>
          <w:rFonts w:asciiTheme="minorEastAsia" w:eastAsiaTheme="minorEastAsia" w:hAnsiTheme="minorEastAsia"/>
          <w:color w:val="000000" w:themeColor="text1"/>
          <w:szCs w:val="21"/>
        </w:rPr>
        <w:t>T</w:t>
      </w:r>
      <w:r w:rsidRPr="00054588">
        <w:rPr>
          <w:rFonts w:asciiTheme="minorEastAsia" w:eastAsiaTheme="minorEastAsia" w:hAnsiTheme="minorEastAsia" w:hint="eastAsia"/>
          <w:color w:val="000000" w:themeColor="text1"/>
          <w:szCs w:val="21"/>
        </w:rPr>
        <w:t>日)，在正常情况下，本基金</w:t>
      </w:r>
      <w:r w:rsidRPr="00054588">
        <w:rPr>
          <w:rFonts w:asciiTheme="minorEastAsia" w:eastAsiaTheme="minorEastAsia" w:hAnsiTheme="minorEastAsia"/>
          <w:color w:val="000000" w:themeColor="text1"/>
          <w:szCs w:val="21"/>
        </w:rPr>
        <w:t>注册登记</w:t>
      </w:r>
      <w:r w:rsidRPr="00054588">
        <w:rPr>
          <w:rFonts w:asciiTheme="minorEastAsia" w:eastAsiaTheme="minorEastAsia" w:hAnsiTheme="minorEastAsia" w:hint="eastAsia"/>
          <w:color w:val="000000" w:themeColor="text1"/>
          <w:szCs w:val="21"/>
        </w:rPr>
        <w:t>机构在</w:t>
      </w:r>
      <w:r w:rsidRPr="00054588">
        <w:rPr>
          <w:rFonts w:asciiTheme="minorEastAsia" w:eastAsiaTheme="minorEastAsia" w:hAnsiTheme="minorEastAsia"/>
          <w:color w:val="000000" w:themeColor="text1"/>
          <w:szCs w:val="21"/>
        </w:rPr>
        <w:t>T+1日</w:t>
      </w:r>
      <w:r w:rsidRPr="00054588">
        <w:rPr>
          <w:rFonts w:asciiTheme="minorEastAsia" w:eastAsiaTheme="minorEastAsia" w:hAnsiTheme="minorEastAsia" w:hint="eastAsia"/>
          <w:color w:val="000000" w:themeColor="text1"/>
          <w:szCs w:val="21"/>
        </w:rPr>
        <w:t>内对该交易的有效性进行确认。</w:t>
      </w:r>
      <w:r w:rsidRPr="00054588">
        <w:rPr>
          <w:rFonts w:asciiTheme="minorEastAsia" w:eastAsiaTheme="minorEastAsia" w:hAnsiTheme="minorEastAsia"/>
          <w:color w:val="000000" w:themeColor="text1"/>
          <w:szCs w:val="21"/>
        </w:rPr>
        <w:t>T日提交的有效申请，投资人可在T+</w:t>
      </w:r>
      <w:r w:rsidRPr="00054588">
        <w:rPr>
          <w:rFonts w:asciiTheme="minorEastAsia" w:eastAsiaTheme="minorEastAsia" w:hAnsiTheme="minorEastAsia" w:hint="eastAsia"/>
          <w:color w:val="000000" w:themeColor="text1"/>
          <w:szCs w:val="21"/>
        </w:rPr>
        <w:t>2</w:t>
      </w:r>
      <w:r w:rsidRPr="00054588">
        <w:rPr>
          <w:rFonts w:asciiTheme="minorEastAsia" w:eastAsiaTheme="minorEastAsia" w:hAnsiTheme="minorEastAsia"/>
          <w:color w:val="000000" w:themeColor="text1"/>
          <w:szCs w:val="21"/>
        </w:rPr>
        <w:t>日</w:t>
      </w:r>
      <w:r w:rsidRPr="00054588">
        <w:rPr>
          <w:rFonts w:asciiTheme="minorEastAsia" w:eastAsiaTheme="minorEastAsia" w:hAnsiTheme="minorEastAsia" w:hint="eastAsia"/>
          <w:color w:val="000000" w:themeColor="text1"/>
          <w:szCs w:val="21"/>
        </w:rPr>
        <w:t>后（包括该日）</w:t>
      </w:r>
      <w:r w:rsidRPr="00054588">
        <w:rPr>
          <w:rFonts w:asciiTheme="minorEastAsia" w:eastAsiaTheme="minorEastAsia" w:hAnsiTheme="minorEastAsia"/>
          <w:color w:val="000000" w:themeColor="text1"/>
          <w:szCs w:val="21"/>
        </w:rPr>
        <w:t>到销售网点柜台或以销售机构规定的其他方式查询申请的确认情况</w:t>
      </w:r>
      <w:r w:rsidRPr="00054588">
        <w:rPr>
          <w:rFonts w:asciiTheme="minorEastAsia" w:eastAsiaTheme="minorEastAsia" w:hAnsiTheme="minorEastAsia" w:hint="eastAsia"/>
          <w:color w:val="000000" w:themeColor="text1"/>
        </w:rPr>
        <w:t>，基金管理人及销售机构不承担其他通知义务，由于投资者未进行查询造成的责任和后果由投资者承担</w:t>
      </w:r>
      <w:r w:rsidRPr="00054588">
        <w:rPr>
          <w:rFonts w:asciiTheme="minorEastAsia" w:eastAsiaTheme="minorEastAsia" w:hAnsiTheme="minorEastAsia" w:hint="eastAsia"/>
          <w:color w:val="000000" w:themeColor="text1"/>
          <w:szCs w:val="21"/>
        </w:rPr>
        <w:t>。</w:t>
      </w:r>
    </w:p>
    <w:p w:rsidR="007228CC" w:rsidRPr="00054588" w:rsidP="002A7F91">
      <w:pPr>
        <w:snapToGrid w:val="0"/>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3、申购和赎回的款项支付</w:t>
      </w:r>
    </w:p>
    <w:p w:rsidR="007228CC" w:rsidRPr="00054588" w:rsidP="0071223F">
      <w:pPr>
        <w:snapToGrid w:val="0"/>
        <w:spacing w:line="360" w:lineRule="auto"/>
        <w:ind w:firstLine="42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申购采用全额缴款方式，若申购资金在规定时间内未全额到账则申购不成功。若申购不成功或无效，基金管理人或基金管理人指定的</w:t>
      </w:r>
      <w:r w:rsidRPr="00054588" w:rsidR="00B47054">
        <w:rPr>
          <w:rFonts w:asciiTheme="minorEastAsia" w:eastAsiaTheme="minorEastAsia" w:hAnsiTheme="minorEastAsia" w:hint="eastAsia"/>
          <w:color w:val="000000" w:themeColor="text1"/>
          <w:szCs w:val="21"/>
        </w:rPr>
        <w:t>销售</w:t>
      </w:r>
      <w:r w:rsidRPr="00054588">
        <w:rPr>
          <w:rFonts w:asciiTheme="minorEastAsia" w:eastAsiaTheme="minorEastAsia" w:hAnsiTheme="minorEastAsia" w:hint="eastAsia"/>
          <w:color w:val="000000" w:themeColor="text1"/>
          <w:szCs w:val="21"/>
        </w:rPr>
        <w:t>机构将投资人已缴付的申购款项退还给投资人。</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投资人赎回申请成功后，基金管理人将在</w:t>
      </w:r>
      <w:r w:rsidRPr="00054588">
        <w:rPr>
          <w:rFonts w:asciiTheme="minorEastAsia" w:eastAsiaTheme="minorEastAsia" w:hAnsiTheme="minorEastAsia"/>
          <w:color w:val="000000" w:themeColor="text1"/>
          <w:szCs w:val="21"/>
        </w:rPr>
        <w:t>T</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7</w:t>
      </w:r>
      <w:r w:rsidRPr="00054588">
        <w:rPr>
          <w:rFonts w:asciiTheme="minorEastAsia" w:eastAsiaTheme="minorEastAsia" w:hAnsiTheme="minorEastAsia" w:hint="eastAsia"/>
          <w:color w:val="000000" w:themeColor="text1"/>
          <w:szCs w:val="21"/>
        </w:rPr>
        <w:t>日(包括该日)内支付赎回款项。在发生巨额赎回时，款项的支付办法参照本基金合同有关条款处理。</w:t>
      </w:r>
    </w:p>
    <w:p w:rsidR="007228CC" w:rsidRPr="00054588"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84" w:name="_Toc211920142"/>
      <w:bookmarkStart w:id="85" w:name="_Toc211927673"/>
      <w:bookmarkStart w:id="86" w:name="_Toc123296424"/>
      <w:r w:rsidRPr="00054588">
        <w:rPr>
          <w:rFonts w:asciiTheme="minorEastAsia" w:eastAsiaTheme="minorEastAsia" w:hAnsiTheme="minorEastAsia" w:hint="eastAsia"/>
          <w:color w:val="000000" w:themeColor="text1"/>
        </w:rPr>
        <w:t>（六）申购和赎回的数额限制</w:t>
      </w:r>
      <w:bookmarkEnd w:id="84"/>
      <w:bookmarkEnd w:id="85"/>
      <w:bookmarkEnd w:id="86"/>
    </w:p>
    <w:p w:rsidR="007228CC" w:rsidRPr="00054588" w:rsidP="002A7F91">
      <w:pPr>
        <w:snapToGrid w:val="0"/>
        <w:spacing w:line="360" w:lineRule="auto"/>
        <w:ind w:left="42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1、申购基金的金额限制</w:t>
      </w:r>
    </w:p>
    <w:p w:rsidR="007228CC" w:rsidRPr="00054588" w:rsidP="0071223F">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投资者通过</w:t>
      </w:r>
      <w:r w:rsidRPr="00054588" w:rsidR="00B47054">
        <w:rPr>
          <w:rFonts w:asciiTheme="minorEastAsia" w:eastAsiaTheme="minorEastAsia" w:hAnsiTheme="minorEastAsia" w:hint="eastAsia"/>
          <w:color w:val="000000" w:themeColor="text1"/>
        </w:rPr>
        <w:t>非直销销售机构</w:t>
      </w:r>
      <w:r w:rsidRPr="00054588">
        <w:rPr>
          <w:rFonts w:asciiTheme="minorEastAsia" w:eastAsiaTheme="minorEastAsia" w:hAnsiTheme="minorEastAsia" w:hint="eastAsia"/>
          <w:color w:val="000000" w:themeColor="text1"/>
        </w:rPr>
        <w:t>或本公司网上交易系统首次申购的单笔最低金额为</w:t>
      </w:r>
      <w:r w:rsidRPr="00054588" w:rsidR="005B2687">
        <w:rPr>
          <w:rFonts w:asciiTheme="minorEastAsia" w:eastAsiaTheme="minorEastAsia" w:hAnsiTheme="minorEastAsia" w:hint="eastAsia"/>
          <w:color w:val="000000" w:themeColor="text1"/>
        </w:rPr>
        <w:t>1</w:t>
      </w:r>
      <w:r w:rsidRPr="00054588">
        <w:rPr>
          <w:rFonts w:asciiTheme="minorEastAsia" w:eastAsiaTheme="minorEastAsia" w:hAnsiTheme="minorEastAsia" w:hint="eastAsia"/>
          <w:color w:val="000000" w:themeColor="text1"/>
        </w:rPr>
        <w:t>元人民币</w:t>
      </w:r>
      <w:r w:rsidRPr="00054588" w:rsidR="00B47054">
        <w:rPr>
          <w:rFonts w:asciiTheme="minorEastAsia" w:eastAsiaTheme="minorEastAsia" w:hAnsiTheme="minorEastAsia" w:hint="eastAsia"/>
          <w:color w:val="000000" w:themeColor="text1"/>
        </w:rPr>
        <w:t>，追加申购单笔最低金额为</w:t>
      </w:r>
      <w:r w:rsidRPr="00054588" w:rsidR="005B2687">
        <w:rPr>
          <w:rFonts w:asciiTheme="minorEastAsia" w:eastAsiaTheme="minorEastAsia" w:hAnsiTheme="minorEastAsia" w:hint="eastAsia"/>
          <w:color w:val="000000" w:themeColor="text1"/>
        </w:rPr>
        <w:t>1</w:t>
      </w:r>
      <w:r w:rsidRPr="00054588" w:rsidR="00B47054">
        <w:rPr>
          <w:rFonts w:asciiTheme="minorEastAsia" w:eastAsiaTheme="minorEastAsia" w:hAnsiTheme="minorEastAsia" w:hint="eastAsia"/>
          <w:color w:val="000000" w:themeColor="text1"/>
        </w:rPr>
        <w:t>元人民币；</w:t>
      </w:r>
      <w:r w:rsidRPr="00054588">
        <w:rPr>
          <w:rFonts w:asciiTheme="minorEastAsia" w:eastAsiaTheme="minorEastAsia" w:hAnsiTheme="minorEastAsia" w:hint="eastAsia"/>
          <w:color w:val="000000" w:themeColor="text1"/>
        </w:rPr>
        <w:t>通过</w:t>
      </w:r>
      <w:r w:rsidRPr="00054588" w:rsidR="009A707A">
        <w:rPr>
          <w:rFonts w:asciiTheme="minorEastAsia" w:eastAsiaTheme="minorEastAsia" w:hAnsiTheme="minorEastAsia" w:hint="eastAsia"/>
          <w:color w:val="000000" w:themeColor="text1"/>
        </w:rPr>
        <w:t>本公司</w:t>
      </w:r>
      <w:r w:rsidRPr="00054588">
        <w:rPr>
          <w:rFonts w:asciiTheme="minorEastAsia" w:eastAsiaTheme="minorEastAsia" w:hAnsiTheme="minorEastAsia" w:hint="eastAsia"/>
          <w:color w:val="000000" w:themeColor="text1"/>
        </w:rPr>
        <w:t>直销中心首次申购的单笔最低金额为50000元人民币，追加申购单笔最低金额为1000元人民币。</w:t>
      </w:r>
      <w:r w:rsidRPr="00054588" w:rsidR="00AA4F26">
        <w:rPr>
          <w:rFonts w:asciiTheme="minorEastAsia" w:eastAsiaTheme="minorEastAsia" w:hAnsiTheme="minorEastAsia" w:hint="eastAsia"/>
          <w:color w:val="000000" w:themeColor="text1"/>
        </w:rPr>
        <w:t>在符合法律法规规定的前提下，</w:t>
      </w:r>
      <w:r w:rsidRPr="00054588">
        <w:rPr>
          <w:rFonts w:asciiTheme="minorEastAsia" w:eastAsiaTheme="minorEastAsia" w:hAnsiTheme="minorEastAsia" w:hint="eastAsia"/>
          <w:color w:val="000000" w:themeColor="text1"/>
        </w:rPr>
        <w:t>各</w:t>
      </w:r>
      <w:r w:rsidRPr="00054588" w:rsidR="00B47054">
        <w:rPr>
          <w:rFonts w:asciiTheme="minorEastAsia" w:eastAsiaTheme="minorEastAsia" w:hAnsiTheme="minorEastAsia" w:hint="eastAsia"/>
          <w:color w:val="000000" w:themeColor="text1"/>
        </w:rPr>
        <w:t>销售</w:t>
      </w:r>
      <w:r w:rsidRPr="00054588">
        <w:rPr>
          <w:rFonts w:asciiTheme="minorEastAsia" w:eastAsiaTheme="minorEastAsia" w:hAnsiTheme="minorEastAsia" w:hint="eastAsia"/>
          <w:color w:val="000000" w:themeColor="text1"/>
        </w:rPr>
        <w:t>机构对最低申购限额及交易级差有其他规定的,</w:t>
      </w:r>
      <w:r w:rsidRPr="00054588" w:rsidR="007C3B09">
        <w:rPr>
          <w:rFonts w:asciiTheme="minorEastAsia" w:eastAsiaTheme="minorEastAsia" w:hAnsiTheme="minorEastAsia" w:hint="eastAsia"/>
          <w:color w:val="000000" w:themeColor="text1"/>
        </w:rPr>
        <w:t>需同时遵循该销售机构的相关规定</w:t>
      </w:r>
      <w:r w:rsidRPr="00054588">
        <w:rPr>
          <w:rFonts w:asciiTheme="minorEastAsia" w:eastAsiaTheme="minorEastAsia" w:hAnsiTheme="minorEastAsia" w:hint="eastAsia"/>
          <w:color w:val="000000" w:themeColor="text1"/>
        </w:rPr>
        <w:t>。</w:t>
      </w:r>
      <w:r w:rsidRPr="00054588" w:rsidR="005E04E3">
        <w:rPr>
          <w:rFonts w:asciiTheme="minorEastAsia" w:eastAsiaTheme="minorEastAsia" w:hAnsiTheme="minorEastAsia" w:hint="eastAsia"/>
          <w:color w:val="000000" w:themeColor="text1"/>
          <w:szCs w:val="21"/>
        </w:rPr>
        <w:t>（以上金额均含申购费）</w:t>
      </w:r>
    </w:p>
    <w:p w:rsidR="007228CC" w:rsidRPr="00054588" w:rsidP="0071223F">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投资者将当期分配的基金收益转购基金份额或采用定期定额投资计划时，不受最低申购金额的限制。</w:t>
      </w:r>
    </w:p>
    <w:p w:rsidR="007228CC" w:rsidRPr="00054588" w:rsidP="0071223F">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投资者可多次申购，对单个投资者累计持有份额不设上限限制。</w:t>
      </w:r>
      <w:r w:rsidRPr="00054588" w:rsidR="00C609DD">
        <w:rPr>
          <w:rFonts w:asciiTheme="minorEastAsia" w:eastAsiaTheme="minorEastAsia" w:hAnsiTheme="minorEastAsia" w:hint="eastAsia"/>
          <w:color w:val="000000" w:themeColor="text1"/>
          <w:szCs w:val="21"/>
        </w:rPr>
        <w:t>但对于可能导致单一投资者持有基金份额的比例达到或者超过50%，或者变相规避50%集中度的情形，基金管理人有权按照相关法律法规采取控制措施。</w:t>
      </w:r>
      <w:r w:rsidRPr="00054588">
        <w:rPr>
          <w:rFonts w:asciiTheme="minorEastAsia" w:eastAsiaTheme="minorEastAsia" w:hAnsiTheme="minorEastAsia" w:hint="eastAsia"/>
          <w:color w:val="000000" w:themeColor="text1"/>
        </w:rPr>
        <w:t>法律法规、中国证监会另有规定的除外。</w:t>
      </w:r>
    </w:p>
    <w:p w:rsidR="007228CC" w:rsidRPr="00054588" w:rsidP="002A7F91">
      <w:pPr>
        <w:snapToGrid w:val="0"/>
        <w:spacing w:line="360" w:lineRule="auto"/>
        <w:ind w:left="420"/>
        <w:rPr>
          <w:rFonts w:asciiTheme="minorEastAsia" w:eastAsiaTheme="minorEastAsia" w:hAnsiTheme="minorEastAsia"/>
          <w:color w:val="000000" w:themeColor="text1"/>
          <w:szCs w:val="21"/>
        </w:rPr>
      </w:pPr>
      <w:bookmarkStart w:id="87" w:name="OLE_LINK2"/>
      <w:r w:rsidRPr="00054588">
        <w:rPr>
          <w:rFonts w:asciiTheme="minorEastAsia" w:eastAsiaTheme="minorEastAsia" w:hAnsiTheme="minorEastAsia" w:hint="eastAsia"/>
          <w:color w:val="000000" w:themeColor="text1"/>
          <w:szCs w:val="21"/>
        </w:rPr>
        <w:t>2、赎回的份额限制</w:t>
      </w:r>
    </w:p>
    <w:p w:rsidR="007228CC" w:rsidRPr="00054588" w:rsidP="0071223F">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投资者可将其全部或部分基金</w:t>
      </w:r>
      <w:r w:rsidRPr="00054588">
        <w:rPr>
          <w:rFonts w:asciiTheme="minorEastAsia" w:eastAsiaTheme="minorEastAsia" w:hAnsiTheme="minorEastAsia" w:hint="eastAsia"/>
          <w:color w:val="000000" w:themeColor="text1"/>
        </w:rPr>
        <w:t>份额</w:t>
      </w:r>
      <w:r w:rsidRPr="00054588">
        <w:rPr>
          <w:rFonts w:asciiTheme="minorEastAsia" w:eastAsiaTheme="minorEastAsia" w:hAnsiTheme="minorEastAsia"/>
          <w:color w:val="000000" w:themeColor="text1"/>
        </w:rPr>
        <w:t>赎回。</w:t>
      </w:r>
      <w:r w:rsidRPr="00054588">
        <w:rPr>
          <w:rFonts w:asciiTheme="minorEastAsia" w:eastAsiaTheme="minorEastAsia" w:hAnsiTheme="minorEastAsia" w:hint="eastAsia"/>
          <w:color w:val="000000" w:themeColor="text1"/>
        </w:rPr>
        <w:t>每类基金份额</w:t>
      </w:r>
      <w:r w:rsidRPr="00054588">
        <w:rPr>
          <w:rFonts w:asciiTheme="minorEastAsia" w:eastAsiaTheme="minorEastAsia" w:hAnsiTheme="minorEastAsia"/>
          <w:color w:val="000000" w:themeColor="text1"/>
        </w:rPr>
        <w:t>单笔赎回或转换不得少于</w:t>
      </w:r>
      <w:r w:rsidRPr="00054588" w:rsidR="005B2687">
        <w:rPr>
          <w:rFonts w:asciiTheme="minorEastAsia" w:eastAsiaTheme="minorEastAsia" w:hAnsiTheme="minorEastAsia" w:hint="eastAsia"/>
          <w:color w:val="000000" w:themeColor="text1"/>
        </w:rPr>
        <w:t>1</w:t>
      </w:r>
      <w:r w:rsidRPr="00054588">
        <w:rPr>
          <w:rFonts w:asciiTheme="minorEastAsia" w:eastAsiaTheme="minorEastAsia" w:hAnsiTheme="minorEastAsia"/>
          <w:color w:val="000000" w:themeColor="text1"/>
        </w:rPr>
        <w:t>份(</w:t>
      </w:r>
      <w:r w:rsidRPr="00054588" w:rsidR="007F6FE2">
        <w:rPr>
          <w:rFonts w:asciiTheme="minorEastAsia" w:eastAsiaTheme="minorEastAsia" w:hAnsiTheme="minorEastAsia"/>
          <w:color w:val="000000" w:themeColor="text1"/>
        </w:rPr>
        <w:t>如该</w:t>
      </w:r>
      <w:r w:rsidRPr="00054588" w:rsidR="007F6FE2">
        <w:rPr>
          <w:rFonts w:asciiTheme="minorEastAsia" w:eastAsiaTheme="minorEastAsia" w:hAnsiTheme="minorEastAsia" w:hint="eastAsia"/>
          <w:color w:val="000000" w:themeColor="text1"/>
        </w:rPr>
        <w:t>账户</w:t>
      </w:r>
      <w:r w:rsidRPr="00054588" w:rsidR="007F6FE2">
        <w:rPr>
          <w:rFonts w:asciiTheme="minorEastAsia" w:eastAsiaTheme="minorEastAsia" w:hAnsiTheme="minorEastAsia"/>
          <w:color w:val="000000" w:themeColor="text1"/>
        </w:rPr>
        <w:t>在该销售机构托管的</w:t>
      </w:r>
      <w:r w:rsidRPr="00054588" w:rsidR="007F6FE2">
        <w:rPr>
          <w:rFonts w:asciiTheme="minorEastAsia" w:eastAsiaTheme="minorEastAsia" w:hAnsiTheme="minorEastAsia" w:hint="eastAsia"/>
          <w:color w:val="000000" w:themeColor="text1"/>
        </w:rPr>
        <w:t>该类</w:t>
      </w:r>
      <w:r w:rsidRPr="00054588" w:rsidR="007F6FE2">
        <w:rPr>
          <w:rFonts w:asciiTheme="minorEastAsia" w:eastAsiaTheme="minorEastAsia" w:hAnsiTheme="minorEastAsia"/>
          <w:color w:val="000000" w:themeColor="text1"/>
        </w:rPr>
        <w:t>基金余额不足</w:t>
      </w:r>
      <w:r w:rsidRPr="00054588" w:rsidR="005B2687">
        <w:rPr>
          <w:rFonts w:asciiTheme="minorEastAsia" w:eastAsiaTheme="minorEastAsia" w:hAnsiTheme="minorEastAsia" w:hint="eastAsia"/>
          <w:color w:val="000000" w:themeColor="text1"/>
        </w:rPr>
        <w:t>1</w:t>
      </w:r>
      <w:r w:rsidRPr="00054588">
        <w:rPr>
          <w:rFonts w:asciiTheme="minorEastAsia" w:eastAsiaTheme="minorEastAsia" w:hAnsiTheme="minorEastAsia"/>
          <w:color w:val="000000" w:themeColor="text1"/>
        </w:rPr>
        <w:t>份</w:t>
      </w:r>
      <w:r w:rsidRPr="00054588">
        <w:rPr>
          <w:rFonts w:asciiTheme="minorEastAsia" w:eastAsiaTheme="minorEastAsia" w:hAnsiTheme="minorEastAsia" w:hint="eastAsia"/>
          <w:color w:val="000000" w:themeColor="text1"/>
        </w:rPr>
        <w:t>，</w:t>
      </w:r>
      <w:r w:rsidRPr="00054588">
        <w:rPr>
          <w:rFonts w:asciiTheme="minorEastAsia" w:eastAsiaTheme="minorEastAsia" w:hAnsiTheme="minorEastAsia"/>
          <w:color w:val="000000" w:themeColor="text1"/>
        </w:rPr>
        <w:t>则必须一次性赎回或转出该</w:t>
      </w:r>
      <w:r w:rsidRPr="00054588">
        <w:rPr>
          <w:rFonts w:asciiTheme="minorEastAsia" w:eastAsiaTheme="minorEastAsia" w:hAnsiTheme="minorEastAsia" w:hint="eastAsia"/>
          <w:color w:val="000000" w:themeColor="text1"/>
        </w:rPr>
        <w:t>类</w:t>
      </w:r>
      <w:r w:rsidRPr="00054588">
        <w:rPr>
          <w:rFonts w:asciiTheme="minorEastAsia" w:eastAsiaTheme="minorEastAsia" w:hAnsiTheme="minorEastAsia"/>
          <w:color w:val="000000" w:themeColor="text1"/>
        </w:rPr>
        <w:t>基金全部份额)；若某笔赎回将导致投资者在</w:t>
      </w:r>
      <w:r w:rsidRPr="00054588" w:rsidR="007F6FE2">
        <w:rPr>
          <w:rFonts w:asciiTheme="minorEastAsia" w:eastAsiaTheme="minorEastAsia" w:hAnsiTheme="minorEastAsia" w:hint="eastAsia"/>
          <w:color w:val="000000" w:themeColor="text1"/>
        </w:rPr>
        <w:t>该</w:t>
      </w:r>
      <w:r w:rsidRPr="00054588">
        <w:rPr>
          <w:rFonts w:asciiTheme="minorEastAsia" w:eastAsiaTheme="minorEastAsia" w:hAnsiTheme="minorEastAsia"/>
          <w:color w:val="000000" w:themeColor="text1"/>
        </w:rPr>
        <w:t>销售机构托管的</w:t>
      </w:r>
      <w:r w:rsidRPr="00054588">
        <w:rPr>
          <w:rFonts w:asciiTheme="minorEastAsia" w:eastAsiaTheme="minorEastAsia" w:hAnsiTheme="minorEastAsia" w:hint="eastAsia"/>
          <w:color w:val="000000" w:themeColor="text1"/>
        </w:rPr>
        <w:t>该类</w:t>
      </w:r>
      <w:r w:rsidRPr="00054588">
        <w:rPr>
          <w:rFonts w:asciiTheme="minorEastAsia" w:eastAsiaTheme="minorEastAsia" w:hAnsiTheme="minorEastAsia"/>
          <w:color w:val="000000" w:themeColor="text1"/>
        </w:rPr>
        <w:t>基金余额不足</w:t>
      </w:r>
      <w:r w:rsidRPr="00054588" w:rsidR="005B2687">
        <w:rPr>
          <w:rFonts w:asciiTheme="minorEastAsia" w:eastAsiaTheme="minorEastAsia" w:hAnsiTheme="minorEastAsia" w:hint="eastAsia"/>
          <w:color w:val="000000" w:themeColor="text1"/>
        </w:rPr>
        <w:t>1</w:t>
      </w:r>
      <w:r w:rsidRPr="00054588">
        <w:rPr>
          <w:rFonts w:asciiTheme="minorEastAsia" w:eastAsiaTheme="minorEastAsia" w:hAnsiTheme="minorEastAsia"/>
          <w:color w:val="000000" w:themeColor="text1"/>
        </w:rPr>
        <w:t>份时</w:t>
      </w:r>
      <w:r w:rsidRPr="00054588">
        <w:rPr>
          <w:rFonts w:asciiTheme="minorEastAsia" w:eastAsiaTheme="minorEastAsia" w:hAnsiTheme="minorEastAsia" w:hint="eastAsia"/>
          <w:color w:val="000000" w:themeColor="text1"/>
        </w:rPr>
        <w:t>，</w:t>
      </w:r>
      <w:r w:rsidRPr="00054588">
        <w:rPr>
          <w:rFonts w:asciiTheme="minorEastAsia" w:eastAsiaTheme="minorEastAsia" w:hAnsiTheme="minorEastAsia"/>
          <w:color w:val="000000" w:themeColor="text1"/>
        </w:rPr>
        <w:t>基金管理人有权将投资者在该销售机构托管的该</w:t>
      </w:r>
      <w:r w:rsidRPr="00054588">
        <w:rPr>
          <w:rFonts w:asciiTheme="minorEastAsia" w:eastAsiaTheme="minorEastAsia" w:hAnsiTheme="minorEastAsia" w:hint="eastAsia"/>
          <w:color w:val="000000" w:themeColor="text1"/>
        </w:rPr>
        <w:t>类</w:t>
      </w:r>
      <w:r w:rsidRPr="00054588">
        <w:rPr>
          <w:rFonts w:asciiTheme="minorEastAsia" w:eastAsiaTheme="minorEastAsia" w:hAnsiTheme="minorEastAsia"/>
          <w:color w:val="000000" w:themeColor="text1"/>
        </w:rPr>
        <w:t>基金剩余份额一次性全部赎回</w:t>
      </w:r>
      <w:r w:rsidRPr="00054588" w:rsidR="005B2687">
        <w:rPr>
          <w:rFonts w:asciiTheme="minorEastAsia" w:eastAsiaTheme="minorEastAsia" w:hAnsiTheme="minorEastAsia" w:hint="eastAsia"/>
          <w:color w:val="000000" w:themeColor="text1"/>
          <w:szCs w:val="21"/>
        </w:rPr>
        <w:t>。</w:t>
      </w:r>
      <w:r w:rsidRPr="00054588" w:rsidR="007F6B48">
        <w:rPr>
          <w:rFonts w:asciiTheme="minorEastAsia" w:eastAsiaTheme="minorEastAsia" w:hAnsiTheme="minorEastAsia" w:hint="eastAsia"/>
          <w:color w:val="000000" w:themeColor="text1"/>
          <w:szCs w:val="21"/>
        </w:rPr>
        <w:t>在符合法律法规规定的前提下，各销售机构对赎回份额限制有其他规定的，需同时遵循该销售机构的相关规定。</w:t>
      </w:r>
    </w:p>
    <w:bookmarkEnd w:id="87"/>
    <w:p w:rsidR="00C609DD" w:rsidRPr="00054588" w:rsidP="002A7F91">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3、</w:t>
      </w:r>
      <w:r w:rsidRPr="00054588">
        <w:rPr>
          <w:rFonts w:asciiTheme="minorEastAsia" w:eastAsiaTheme="minorEastAsia" w:hAnsiTheme="minorEastAsia" w:hint="eastAsia"/>
          <w:color w:val="000000" w:themeColor="text1"/>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7228CC" w:rsidRPr="00054588" w:rsidP="002A7F91">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4</w:t>
      </w:r>
      <w:r w:rsidRPr="00054588">
        <w:rPr>
          <w:rFonts w:asciiTheme="minorEastAsia" w:eastAsiaTheme="minorEastAsia" w:hAnsiTheme="minorEastAsia"/>
          <w:color w:val="000000" w:themeColor="text1"/>
        </w:rPr>
        <w:t>、</w:t>
      </w:r>
      <w:r w:rsidRPr="00054588">
        <w:rPr>
          <w:rFonts w:asciiTheme="minorEastAsia" w:eastAsiaTheme="minorEastAsia" w:hAnsiTheme="minorEastAsia" w:hint="eastAsia"/>
          <w:color w:val="000000" w:themeColor="text1"/>
        </w:rPr>
        <w:t>基金管理人可根据市场情况制定或调整上述申购、赎回的程序及有关限制，</w:t>
      </w:r>
      <w:r w:rsidRPr="00054588">
        <w:rPr>
          <w:rFonts w:asciiTheme="minorEastAsia" w:eastAsiaTheme="minorEastAsia" w:hAnsiTheme="minorEastAsia" w:hint="eastAsia"/>
          <w:color w:val="000000" w:themeColor="text1"/>
          <w:szCs w:val="21"/>
        </w:rPr>
        <w:t>或者新增基金规模控制措施，</w:t>
      </w:r>
      <w:r w:rsidRPr="00054588">
        <w:rPr>
          <w:rFonts w:asciiTheme="minorEastAsia" w:eastAsiaTheme="minorEastAsia" w:hAnsiTheme="minorEastAsia" w:hint="eastAsia"/>
          <w:color w:val="000000" w:themeColor="text1"/>
        </w:rPr>
        <w:t>但应在调整生效前2日至少在一家指定报刊及网站公告。</w:t>
      </w:r>
    </w:p>
    <w:p w:rsidR="007228CC" w:rsidRPr="00054588"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88" w:name="_Toc211920143"/>
      <w:bookmarkStart w:id="89" w:name="_Toc211927674"/>
      <w:bookmarkStart w:id="90" w:name="_Toc123296425"/>
      <w:r w:rsidRPr="00054588">
        <w:rPr>
          <w:rFonts w:asciiTheme="minorEastAsia" w:eastAsiaTheme="minorEastAsia" w:hAnsiTheme="minorEastAsia" w:hint="eastAsia"/>
          <w:color w:val="000000" w:themeColor="text1"/>
        </w:rPr>
        <w:t>（七）申购与赎回的费率</w:t>
      </w:r>
      <w:bookmarkEnd w:id="88"/>
      <w:bookmarkEnd w:id="89"/>
      <w:bookmarkEnd w:id="90"/>
    </w:p>
    <w:p w:rsidR="00107B19" w:rsidRPr="00054588" w:rsidP="00CA6FB1">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本基金</w:t>
      </w:r>
      <w:r w:rsidRPr="00054588" w:rsidR="004F66AC">
        <w:rPr>
          <w:rFonts w:asciiTheme="minorEastAsia" w:eastAsiaTheme="minorEastAsia" w:hAnsiTheme="minorEastAsia" w:hint="eastAsia"/>
          <w:color w:val="000000" w:themeColor="text1"/>
          <w:szCs w:val="21"/>
        </w:rPr>
        <w:t>A</w:t>
      </w:r>
      <w:r w:rsidRPr="00054588" w:rsidR="004F66AC">
        <w:rPr>
          <w:rFonts w:asciiTheme="minorEastAsia" w:eastAsiaTheme="minorEastAsia" w:hAnsiTheme="minorEastAsia"/>
          <w:color w:val="000000" w:themeColor="text1"/>
          <w:szCs w:val="21"/>
        </w:rPr>
        <w:t>类基金份额</w:t>
      </w:r>
      <w:r w:rsidRPr="00054588">
        <w:rPr>
          <w:rFonts w:asciiTheme="minorEastAsia" w:eastAsiaTheme="minorEastAsia" w:hAnsiTheme="minorEastAsia" w:hint="eastAsia"/>
          <w:color w:val="000000" w:themeColor="text1"/>
          <w:szCs w:val="21"/>
        </w:rPr>
        <w:t>对通过直销中心申购的特定投资群体与除此之外的其他投资者实施差别的申购</w:t>
      </w:r>
      <w:r w:rsidRPr="00054588" w:rsidR="004F66AC">
        <w:rPr>
          <w:rFonts w:asciiTheme="minorEastAsia" w:eastAsiaTheme="minorEastAsia" w:hAnsiTheme="minorEastAsia" w:hint="eastAsia"/>
          <w:color w:val="000000" w:themeColor="text1"/>
          <w:szCs w:val="21"/>
        </w:rPr>
        <w:t>费率。</w:t>
      </w:r>
      <w:r w:rsidRPr="00054588">
        <w:rPr>
          <w:rFonts w:asciiTheme="minorEastAsia" w:eastAsiaTheme="minorEastAsia" w:hAnsiTheme="minorEastAsia" w:hint="eastAsia"/>
          <w:color w:val="000000" w:themeColor="text1"/>
          <w:szCs w:val="21"/>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rsidR="00E035E7" w:rsidRPr="00054588" w:rsidP="0071223F">
      <w:pPr>
        <w:snapToGrid w:val="0"/>
        <w:spacing w:line="360" w:lineRule="auto"/>
        <w:jc w:val="center"/>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通过基金管理人的直销中心申购本基金A类份额的特定投资群体申购费率</w:t>
      </w:r>
      <w:r w:rsidRPr="00054588" w:rsidR="004903CE">
        <w:rPr>
          <w:rFonts w:asciiTheme="minorEastAsia" w:eastAsiaTheme="minorEastAsia" w:hAnsiTheme="minorEastAsia" w:hint="eastAsia"/>
          <w:color w:val="000000" w:themeColor="text1"/>
          <w:szCs w:val="21"/>
        </w:rPr>
        <w:t>为</w:t>
      </w:r>
      <w:r w:rsidRPr="00054588">
        <w:rPr>
          <w:rFonts w:asciiTheme="minorEastAsia" w:eastAsiaTheme="minorEastAsia" w:hAnsiTheme="minorEastAsia" w:hint="eastAsia"/>
          <w:color w:val="000000" w:themeColor="text1"/>
          <w:szCs w:val="21"/>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2880"/>
      </w:tblGrid>
      <w:tr w:rsidTr="00795B37">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3420" w:type="dxa"/>
          </w:tcPr>
          <w:p w:rsidR="00E035E7" w:rsidRPr="00054588" w:rsidP="0071223F">
            <w:pPr>
              <w:snapToGrid w:val="0"/>
              <w:spacing w:line="360" w:lineRule="auto"/>
              <w:jc w:val="center"/>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申购金额M（元）（含申购费）</w:t>
            </w:r>
          </w:p>
        </w:tc>
        <w:tc>
          <w:tcPr>
            <w:tcW w:w="2880" w:type="dxa"/>
          </w:tcPr>
          <w:p w:rsidR="00E035E7" w:rsidRPr="00054588" w:rsidP="0071223F">
            <w:pPr>
              <w:snapToGrid w:val="0"/>
              <w:spacing w:line="360" w:lineRule="auto"/>
              <w:jc w:val="center"/>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申购费率</w:t>
            </w:r>
          </w:p>
        </w:tc>
      </w:tr>
      <w:tr w:rsidTr="00795B37">
        <w:tblPrEx>
          <w:tblW w:w="0" w:type="auto"/>
          <w:tblInd w:w="828" w:type="dxa"/>
          <w:tblLayout w:type="fixed"/>
          <w:tblLook w:val="01E0"/>
        </w:tblPrEx>
        <w:tc>
          <w:tcPr>
            <w:tcW w:w="3420" w:type="dxa"/>
          </w:tcPr>
          <w:p w:rsidR="00E035E7" w:rsidRPr="00054588" w:rsidP="0071223F">
            <w:pPr>
              <w:snapToGrid w:val="0"/>
              <w:spacing w:line="360" w:lineRule="auto"/>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M&lt;100万</w:t>
            </w:r>
          </w:p>
        </w:tc>
        <w:tc>
          <w:tcPr>
            <w:tcW w:w="2880" w:type="dxa"/>
          </w:tcPr>
          <w:p w:rsidR="00E035E7" w:rsidRPr="00054588" w:rsidP="0071223F">
            <w:pPr>
              <w:snapToGrid w:val="0"/>
              <w:spacing w:line="360" w:lineRule="auto"/>
              <w:jc w:val="center"/>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0.08%</w:t>
            </w:r>
          </w:p>
        </w:tc>
      </w:tr>
      <w:tr w:rsidTr="00795B37">
        <w:tblPrEx>
          <w:tblW w:w="0" w:type="auto"/>
          <w:tblInd w:w="828" w:type="dxa"/>
          <w:tblLayout w:type="fixed"/>
          <w:tblLook w:val="01E0"/>
        </w:tblPrEx>
        <w:tc>
          <w:tcPr>
            <w:tcW w:w="3420" w:type="dxa"/>
          </w:tcPr>
          <w:p w:rsidR="00E035E7" w:rsidRPr="00054588" w:rsidP="006472BD">
            <w:pPr>
              <w:snapToGrid w:val="0"/>
              <w:spacing w:line="360" w:lineRule="auto"/>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100万</w:t>
            </w:r>
            <w:r w:rsidRPr="00054588" w:rsidR="006472BD">
              <w:rPr>
                <w:rFonts w:asciiTheme="minorEastAsia" w:eastAsiaTheme="minorEastAsia" w:hAnsiTheme="minorEastAsia" w:hint="eastAsia"/>
                <w:color w:val="000000" w:themeColor="text1"/>
                <w:szCs w:val="21"/>
              </w:rPr>
              <w:t>≤</w:t>
            </w:r>
            <w:r w:rsidRPr="00054588">
              <w:rPr>
                <w:rFonts w:asciiTheme="minorEastAsia" w:eastAsiaTheme="minorEastAsia" w:hAnsiTheme="minorEastAsia" w:hint="eastAsia"/>
                <w:color w:val="000000" w:themeColor="text1"/>
                <w:szCs w:val="21"/>
              </w:rPr>
              <w:t>M&lt;500万</w:t>
            </w:r>
          </w:p>
        </w:tc>
        <w:tc>
          <w:tcPr>
            <w:tcW w:w="2880" w:type="dxa"/>
          </w:tcPr>
          <w:p w:rsidR="00E035E7" w:rsidRPr="00054588" w:rsidP="0071223F">
            <w:pPr>
              <w:snapToGrid w:val="0"/>
              <w:spacing w:line="360" w:lineRule="auto"/>
              <w:jc w:val="center"/>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0.04%</w:t>
            </w:r>
          </w:p>
        </w:tc>
      </w:tr>
      <w:tr w:rsidTr="00795B37">
        <w:tblPrEx>
          <w:tblW w:w="0" w:type="auto"/>
          <w:tblInd w:w="828" w:type="dxa"/>
          <w:tblLayout w:type="fixed"/>
          <w:tblLook w:val="01E0"/>
        </w:tblPrEx>
        <w:tc>
          <w:tcPr>
            <w:tcW w:w="3420" w:type="dxa"/>
          </w:tcPr>
          <w:p w:rsidR="00E035E7" w:rsidRPr="00054588" w:rsidP="006472BD">
            <w:pPr>
              <w:snapToGrid w:val="0"/>
              <w:spacing w:line="360" w:lineRule="auto"/>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500万</w:t>
            </w:r>
            <w:r w:rsidRPr="00054588" w:rsidR="006472BD">
              <w:rPr>
                <w:rFonts w:asciiTheme="minorEastAsia" w:eastAsiaTheme="minorEastAsia" w:hAnsiTheme="minorEastAsia" w:hint="eastAsia"/>
                <w:color w:val="000000" w:themeColor="text1"/>
                <w:szCs w:val="21"/>
              </w:rPr>
              <w:t>≤</w:t>
            </w:r>
            <w:r w:rsidRPr="00054588">
              <w:rPr>
                <w:rFonts w:asciiTheme="minorEastAsia" w:eastAsiaTheme="minorEastAsia" w:hAnsiTheme="minorEastAsia" w:hint="eastAsia"/>
                <w:color w:val="000000" w:themeColor="text1"/>
                <w:szCs w:val="21"/>
              </w:rPr>
              <w:t>M&lt;1000万</w:t>
            </w:r>
          </w:p>
        </w:tc>
        <w:tc>
          <w:tcPr>
            <w:tcW w:w="2880" w:type="dxa"/>
          </w:tcPr>
          <w:p w:rsidR="00E035E7" w:rsidRPr="00054588" w:rsidP="0071223F">
            <w:pPr>
              <w:snapToGrid w:val="0"/>
              <w:spacing w:line="360" w:lineRule="auto"/>
              <w:jc w:val="center"/>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0.01%</w:t>
            </w:r>
          </w:p>
        </w:tc>
      </w:tr>
      <w:tr w:rsidTr="00795B37">
        <w:tblPrEx>
          <w:tblW w:w="0" w:type="auto"/>
          <w:tblInd w:w="828" w:type="dxa"/>
          <w:tblLayout w:type="fixed"/>
          <w:tblLook w:val="01E0"/>
        </w:tblPrEx>
        <w:tc>
          <w:tcPr>
            <w:tcW w:w="3420" w:type="dxa"/>
          </w:tcPr>
          <w:p w:rsidR="00E035E7" w:rsidRPr="00054588" w:rsidP="0071223F">
            <w:pPr>
              <w:snapToGrid w:val="0"/>
              <w:spacing w:line="360" w:lineRule="auto"/>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1000万</w:t>
            </w:r>
            <w:r w:rsidRPr="00054588" w:rsidR="009A707A">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M</w:t>
            </w:r>
          </w:p>
        </w:tc>
        <w:tc>
          <w:tcPr>
            <w:tcW w:w="2880" w:type="dxa"/>
          </w:tcPr>
          <w:p w:rsidR="00E035E7" w:rsidRPr="00054588" w:rsidP="0071223F">
            <w:pPr>
              <w:snapToGrid w:val="0"/>
              <w:spacing w:line="360" w:lineRule="auto"/>
              <w:jc w:val="center"/>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每笔1000元</w:t>
            </w:r>
          </w:p>
        </w:tc>
      </w:tr>
    </w:tbl>
    <w:p w:rsidR="007228CC" w:rsidRPr="00054588" w:rsidP="0071223F">
      <w:pPr>
        <w:snapToGrid w:val="0"/>
        <w:spacing w:line="360" w:lineRule="auto"/>
        <w:ind w:firstLine="48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其他投资者申购本基金A类基金份额的申购费率为：</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2880"/>
      </w:tblGrid>
      <w:tr w:rsidTr="00DE4B5E">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3420" w:type="dxa"/>
          </w:tcPr>
          <w:p w:rsidR="007228CC" w:rsidRPr="00054588" w:rsidP="0071223F">
            <w:pPr>
              <w:snapToGrid w:val="0"/>
              <w:spacing w:line="360" w:lineRule="auto"/>
              <w:jc w:val="center"/>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申购金额M（元）（含申购费）</w:t>
            </w:r>
          </w:p>
        </w:tc>
        <w:tc>
          <w:tcPr>
            <w:tcW w:w="2880" w:type="dxa"/>
          </w:tcPr>
          <w:p w:rsidR="007228CC" w:rsidRPr="00054588" w:rsidP="0071223F">
            <w:pPr>
              <w:snapToGrid w:val="0"/>
              <w:spacing w:line="360" w:lineRule="auto"/>
              <w:jc w:val="center"/>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申购费率</w:t>
            </w:r>
          </w:p>
        </w:tc>
      </w:tr>
      <w:tr w:rsidTr="00DE4B5E">
        <w:tblPrEx>
          <w:tblW w:w="0" w:type="auto"/>
          <w:tblInd w:w="828" w:type="dxa"/>
          <w:tblLayout w:type="fixed"/>
          <w:tblLook w:val="01E0"/>
        </w:tblPrEx>
        <w:tc>
          <w:tcPr>
            <w:tcW w:w="3420" w:type="dxa"/>
          </w:tcPr>
          <w:p w:rsidR="007228CC" w:rsidRPr="00054588" w:rsidP="0071223F">
            <w:pPr>
              <w:snapToGrid w:val="0"/>
              <w:spacing w:line="360" w:lineRule="auto"/>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M&lt;100万</w:t>
            </w:r>
          </w:p>
        </w:tc>
        <w:tc>
          <w:tcPr>
            <w:tcW w:w="2880" w:type="dxa"/>
          </w:tcPr>
          <w:p w:rsidR="007228CC" w:rsidRPr="00054588" w:rsidP="0071223F">
            <w:pPr>
              <w:snapToGrid w:val="0"/>
              <w:spacing w:line="360" w:lineRule="auto"/>
              <w:jc w:val="center"/>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0.8%</w:t>
            </w:r>
          </w:p>
        </w:tc>
      </w:tr>
      <w:tr w:rsidTr="00DE4B5E">
        <w:tblPrEx>
          <w:tblW w:w="0" w:type="auto"/>
          <w:tblInd w:w="828" w:type="dxa"/>
          <w:tblLayout w:type="fixed"/>
          <w:tblLook w:val="01E0"/>
        </w:tblPrEx>
        <w:tc>
          <w:tcPr>
            <w:tcW w:w="3420" w:type="dxa"/>
          </w:tcPr>
          <w:p w:rsidR="007228CC" w:rsidRPr="00054588" w:rsidP="006472BD">
            <w:pPr>
              <w:snapToGrid w:val="0"/>
              <w:spacing w:line="360" w:lineRule="auto"/>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100万</w:t>
            </w:r>
            <w:r w:rsidRPr="00054588" w:rsidR="006472BD">
              <w:rPr>
                <w:rFonts w:asciiTheme="minorEastAsia" w:eastAsiaTheme="minorEastAsia" w:hAnsiTheme="minorEastAsia" w:hint="eastAsia"/>
                <w:color w:val="000000" w:themeColor="text1"/>
                <w:szCs w:val="21"/>
              </w:rPr>
              <w:t>≤</w:t>
            </w:r>
            <w:r w:rsidRPr="00054588">
              <w:rPr>
                <w:rFonts w:asciiTheme="minorEastAsia" w:eastAsiaTheme="minorEastAsia" w:hAnsiTheme="minorEastAsia" w:hint="eastAsia"/>
                <w:color w:val="000000" w:themeColor="text1"/>
                <w:szCs w:val="21"/>
              </w:rPr>
              <w:t>M&lt;500万</w:t>
            </w:r>
          </w:p>
        </w:tc>
        <w:tc>
          <w:tcPr>
            <w:tcW w:w="2880" w:type="dxa"/>
          </w:tcPr>
          <w:p w:rsidR="007228CC" w:rsidRPr="00054588" w:rsidP="0071223F">
            <w:pPr>
              <w:snapToGrid w:val="0"/>
              <w:spacing w:line="360" w:lineRule="auto"/>
              <w:jc w:val="center"/>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0.4%</w:t>
            </w:r>
          </w:p>
        </w:tc>
      </w:tr>
      <w:tr w:rsidTr="00DE4B5E">
        <w:tblPrEx>
          <w:tblW w:w="0" w:type="auto"/>
          <w:tblInd w:w="828" w:type="dxa"/>
          <w:tblLayout w:type="fixed"/>
          <w:tblLook w:val="01E0"/>
        </w:tblPrEx>
        <w:tc>
          <w:tcPr>
            <w:tcW w:w="3420" w:type="dxa"/>
          </w:tcPr>
          <w:p w:rsidR="007228CC" w:rsidRPr="00054588" w:rsidP="006472BD">
            <w:pPr>
              <w:snapToGrid w:val="0"/>
              <w:spacing w:line="360" w:lineRule="auto"/>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500万</w:t>
            </w:r>
            <w:r w:rsidRPr="00054588" w:rsidR="006472BD">
              <w:rPr>
                <w:rFonts w:asciiTheme="minorEastAsia" w:eastAsiaTheme="minorEastAsia" w:hAnsiTheme="minorEastAsia" w:hint="eastAsia"/>
                <w:color w:val="000000" w:themeColor="text1"/>
                <w:szCs w:val="21"/>
              </w:rPr>
              <w:t>≤</w:t>
            </w:r>
            <w:r w:rsidRPr="00054588">
              <w:rPr>
                <w:rFonts w:asciiTheme="minorEastAsia" w:eastAsiaTheme="minorEastAsia" w:hAnsiTheme="minorEastAsia" w:hint="eastAsia"/>
                <w:color w:val="000000" w:themeColor="text1"/>
                <w:szCs w:val="21"/>
              </w:rPr>
              <w:t>M&lt;1000万</w:t>
            </w:r>
          </w:p>
        </w:tc>
        <w:tc>
          <w:tcPr>
            <w:tcW w:w="2880" w:type="dxa"/>
          </w:tcPr>
          <w:p w:rsidR="007228CC" w:rsidRPr="00054588" w:rsidP="0071223F">
            <w:pPr>
              <w:snapToGrid w:val="0"/>
              <w:spacing w:line="360" w:lineRule="auto"/>
              <w:jc w:val="center"/>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0.1%</w:t>
            </w:r>
          </w:p>
        </w:tc>
      </w:tr>
      <w:tr w:rsidTr="00DE4B5E">
        <w:tblPrEx>
          <w:tblW w:w="0" w:type="auto"/>
          <w:tblInd w:w="828" w:type="dxa"/>
          <w:tblLayout w:type="fixed"/>
          <w:tblLook w:val="01E0"/>
        </w:tblPrEx>
        <w:tc>
          <w:tcPr>
            <w:tcW w:w="3420" w:type="dxa"/>
          </w:tcPr>
          <w:p w:rsidR="007228CC" w:rsidRPr="00054588" w:rsidP="0071223F">
            <w:pPr>
              <w:snapToGrid w:val="0"/>
              <w:spacing w:line="360" w:lineRule="auto"/>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1000万</w:t>
            </w:r>
            <w:r w:rsidRPr="00054588" w:rsidR="009A707A">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M</w:t>
            </w:r>
          </w:p>
        </w:tc>
        <w:tc>
          <w:tcPr>
            <w:tcW w:w="2880" w:type="dxa"/>
          </w:tcPr>
          <w:p w:rsidR="007228CC" w:rsidRPr="00054588" w:rsidP="0071223F">
            <w:pPr>
              <w:snapToGrid w:val="0"/>
              <w:spacing w:line="360" w:lineRule="auto"/>
              <w:jc w:val="center"/>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每笔1000元</w:t>
            </w:r>
          </w:p>
        </w:tc>
      </w:tr>
    </w:tbl>
    <w:p w:rsidR="007228CC" w:rsidRPr="00054588" w:rsidP="0071223F">
      <w:pPr>
        <w:widowControl/>
        <w:snapToGrid w:val="0"/>
        <w:spacing w:line="360" w:lineRule="auto"/>
        <w:ind w:firstLine="420" w:firstLineChars="200"/>
        <w:jc w:val="left"/>
        <w:rPr>
          <w:rFonts w:asciiTheme="minorEastAsia" w:eastAsiaTheme="minorEastAsia" w:hAnsiTheme="minorEastAsia" w:cs="宋体"/>
          <w:color w:val="000000" w:themeColor="text1"/>
          <w:kern w:val="0"/>
          <w:szCs w:val="21"/>
        </w:rPr>
      </w:pPr>
      <w:r w:rsidRPr="00054588">
        <w:rPr>
          <w:rFonts w:asciiTheme="minorEastAsia" w:eastAsiaTheme="minorEastAsia" w:hAnsiTheme="minorEastAsia" w:cs="宋体" w:hint="eastAsia"/>
          <w:color w:val="000000" w:themeColor="text1"/>
          <w:kern w:val="0"/>
          <w:szCs w:val="21"/>
        </w:rPr>
        <w:t>在申购费按金额分档的情况下，如果投资者多次申购，申购费适用单笔申购金额所对应的费率。</w:t>
      </w:r>
    </w:p>
    <w:p w:rsidR="00C609DD" w:rsidRPr="00054588" w:rsidP="0071223F">
      <w:pPr>
        <w:widowControl/>
        <w:snapToGrid w:val="0"/>
        <w:spacing w:line="360" w:lineRule="auto"/>
        <w:ind w:firstLine="420" w:firstLineChars="200"/>
        <w:jc w:val="left"/>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本基金B类基金份额不收取申购费。</w:t>
      </w:r>
    </w:p>
    <w:p w:rsidR="00C609DD" w:rsidRPr="00054588" w:rsidP="0071223F">
      <w:pPr>
        <w:widowControl/>
        <w:snapToGrid w:val="0"/>
        <w:spacing w:line="360" w:lineRule="auto"/>
        <w:ind w:firstLine="420" w:firstLineChars="200"/>
        <w:jc w:val="left"/>
        <w:rPr>
          <w:rFonts w:asciiTheme="minorEastAsia" w:eastAsiaTheme="minorEastAsia" w:hAnsiTheme="minorEastAsia" w:cs="宋体"/>
          <w:color w:val="000000" w:themeColor="text1"/>
          <w:kern w:val="0"/>
          <w:szCs w:val="21"/>
        </w:rPr>
      </w:pPr>
      <w:r w:rsidRPr="00054588">
        <w:rPr>
          <w:rFonts w:asciiTheme="minorEastAsia" w:eastAsiaTheme="minorEastAsia" w:hAnsiTheme="minorEastAsia" w:hint="eastAsia"/>
          <w:color w:val="000000" w:themeColor="text1"/>
        </w:rPr>
        <w:t>本基金的申购费由申购人承担，不计入基金财产。</w:t>
      </w:r>
    </w:p>
    <w:p w:rsidR="007228CC" w:rsidRPr="00054588" w:rsidP="0071223F">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rPr>
        <w:t>本基金</w:t>
      </w:r>
      <w:r w:rsidRPr="00054588">
        <w:rPr>
          <w:rFonts w:asciiTheme="minorEastAsia" w:eastAsiaTheme="minorEastAsia" w:hAnsiTheme="minorEastAsia" w:hint="eastAsia"/>
          <w:color w:val="000000" w:themeColor="text1"/>
          <w:szCs w:val="21"/>
        </w:rPr>
        <w:t>A类基金份额的赎回费率为：</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2880"/>
      </w:tblGrid>
      <w:tr w:rsidTr="00DE4B5E">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66"/>
        </w:trPr>
        <w:tc>
          <w:tcPr>
            <w:tcW w:w="3420" w:type="dxa"/>
          </w:tcPr>
          <w:p w:rsidR="007228CC" w:rsidRPr="00054588" w:rsidP="0071223F">
            <w:pPr>
              <w:widowControl/>
              <w:snapToGrid w:val="0"/>
              <w:spacing w:line="360" w:lineRule="auto"/>
              <w:jc w:val="center"/>
              <w:rPr>
                <w:rFonts w:asciiTheme="minorEastAsia" w:eastAsiaTheme="minorEastAsia" w:hAnsiTheme="minorEastAsia"/>
                <w:color w:val="000000" w:themeColor="text1"/>
                <w:kern w:val="0"/>
                <w:szCs w:val="21"/>
              </w:rPr>
            </w:pPr>
            <w:r w:rsidRPr="00054588">
              <w:rPr>
                <w:rFonts w:asciiTheme="minorEastAsia" w:eastAsiaTheme="minorEastAsia" w:hAnsiTheme="minorEastAsia" w:hint="eastAsia"/>
                <w:color w:val="000000" w:themeColor="text1"/>
                <w:kern w:val="0"/>
                <w:szCs w:val="21"/>
              </w:rPr>
              <w:t>持有</w:t>
            </w:r>
            <w:r w:rsidRPr="00054588" w:rsidR="00737A69">
              <w:rPr>
                <w:rFonts w:asciiTheme="minorEastAsia" w:eastAsiaTheme="minorEastAsia" w:hAnsiTheme="minorEastAsia" w:hint="eastAsia"/>
                <w:color w:val="000000" w:themeColor="text1"/>
                <w:kern w:val="0"/>
                <w:szCs w:val="21"/>
              </w:rPr>
              <w:t>时间（天）</w:t>
            </w:r>
          </w:p>
        </w:tc>
        <w:tc>
          <w:tcPr>
            <w:tcW w:w="2880" w:type="dxa"/>
          </w:tcPr>
          <w:p w:rsidR="007228CC" w:rsidRPr="00054588" w:rsidP="0071223F">
            <w:pPr>
              <w:widowControl/>
              <w:snapToGrid w:val="0"/>
              <w:spacing w:line="360" w:lineRule="auto"/>
              <w:jc w:val="center"/>
              <w:rPr>
                <w:rFonts w:asciiTheme="minorEastAsia" w:eastAsiaTheme="minorEastAsia" w:hAnsiTheme="minorEastAsia"/>
                <w:color w:val="000000" w:themeColor="text1"/>
                <w:kern w:val="0"/>
                <w:szCs w:val="21"/>
              </w:rPr>
            </w:pPr>
            <w:r w:rsidRPr="00054588">
              <w:rPr>
                <w:rFonts w:asciiTheme="minorEastAsia" w:eastAsiaTheme="minorEastAsia" w:hAnsiTheme="minorEastAsia" w:hint="eastAsia"/>
                <w:color w:val="000000" w:themeColor="text1"/>
                <w:kern w:val="0"/>
                <w:szCs w:val="21"/>
              </w:rPr>
              <w:t>赎回费率</w:t>
            </w:r>
          </w:p>
        </w:tc>
      </w:tr>
      <w:tr w:rsidTr="00DE4B5E">
        <w:tblPrEx>
          <w:tblW w:w="0" w:type="auto"/>
          <w:tblInd w:w="828" w:type="dxa"/>
          <w:tblLayout w:type="fixed"/>
          <w:tblLook w:val="01E0"/>
        </w:tblPrEx>
        <w:trPr>
          <w:trHeight w:val="366"/>
        </w:trPr>
        <w:tc>
          <w:tcPr>
            <w:tcW w:w="3420" w:type="dxa"/>
          </w:tcPr>
          <w:p w:rsidR="007F6B48" w:rsidRPr="00054588" w:rsidP="0071223F">
            <w:pPr>
              <w:widowControl/>
              <w:snapToGrid w:val="0"/>
              <w:spacing w:line="360" w:lineRule="auto"/>
              <w:jc w:val="center"/>
              <w:rPr>
                <w:rFonts w:asciiTheme="minorEastAsia" w:eastAsiaTheme="minorEastAsia" w:hAnsiTheme="minorEastAsia"/>
                <w:color w:val="000000" w:themeColor="text1"/>
                <w:kern w:val="0"/>
                <w:szCs w:val="21"/>
              </w:rPr>
            </w:pPr>
            <w:r w:rsidRPr="00054588">
              <w:rPr>
                <w:rFonts w:asciiTheme="minorEastAsia" w:eastAsiaTheme="minorEastAsia" w:hAnsiTheme="minorEastAsia"/>
                <w:color w:val="000000" w:themeColor="text1"/>
                <w:kern w:val="0"/>
                <w:szCs w:val="21"/>
              </w:rPr>
              <w:t>0-6</w:t>
            </w:r>
          </w:p>
        </w:tc>
        <w:tc>
          <w:tcPr>
            <w:tcW w:w="2880" w:type="dxa"/>
          </w:tcPr>
          <w:p w:rsidR="007F6B48" w:rsidRPr="00054588" w:rsidP="0071223F">
            <w:pPr>
              <w:widowControl/>
              <w:snapToGrid w:val="0"/>
              <w:spacing w:line="360" w:lineRule="auto"/>
              <w:jc w:val="center"/>
              <w:rPr>
                <w:rFonts w:asciiTheme="minorEastAsia" w:eastAsiaTheme="minorEastAsia" w:hAnsiTheme="minorEastAsia"/>
                <w:color w:val="000000" w:themeColor="text1"/>
                <w:kern w:val="0"/>
                <w:szCs w:val="21"/>
              </w:rPr>
            </w:pPr>
            <w:r w:rsidRPr="00054588">
              <w:rPr>
                <w:rFonts w:asciiTheme="minorEastAsia" w:eastAsiaTheme="minorEastAsia" w:hAnsiTheme="minorEastAsia"/>
                <w:color w:val="000000" w:themeColor="text1"/>
                <w:kern w:val="0"/>
                <w:szCs w:val="21"/>
              </w:rPr>
              <w:t>1.5%</w:t>
            </w:r>
          </w:p>
        </w:tc>
      </w:tr>
      <w:tr w:rsidTr="00DE4B5E">
        <w:tblPrEx>
          <w:tblW w:w="0" w:type="auto"/>
          <w:tblInd w:w="828" w:type="dxa"/>
          <w:tblLayout w:type="fixed"/>
          <w:tblLook w:val="01E0"/>
        </w:tblPrEx>
        <w:trPr>
          <w:trHeight w:val="366"/>
        </w:trPr>
        <w:tc>
          <w:tcPr>
            <w:tcW w:w="3420" w:type="dxa"/>
          </w:tcPr>
          <w:p w:rsidR="00737A69" w:rsidRPr="00054588">
            <w:pPr>
              <w:widowControl/>
              <w:snapToGrid w:val="0"/>
              <w:spacing w:line="360" w:lineRule="auto"/>
              <w:jc w:val="center"/>
              <w:rPr>
                <w:rFonts w:asciiTheme="minorEastAsia" w:eastAsiaTheme="minorEastAsia" w:hAnsiTheme="minorEastAsia"/>
                <w:color w:val="000000" w:themeColor="text1"/>
                <w:kern w:val="0"/>
                <w:szCs w:val="21"/>
              </w:rPr>
            </w:pPr>
            <w:r w:rsidRPr="00054588">
              <w:rPr>
                <w:rFonts w:asciiTheme="minorEastAsia" w:eastAsiaTheme="minorEastAsia" w:hAnsiTheme="minorEastAsia"/>
                <w:color w:val="000000" w:themeColor="text1"/>
                <w:kern w:val="0"/>
                <w:szCs w:val="21"/>
              </w:rPr>
              <w:t>7-29</w:t>
            </w:r>
          </w:p>
        </w:tc>
        <w:tc>
          <w:tcPr>
            <w:tcW w:w="2880" w:type="dxa"/>
          </w:tcPr>
          <w:p w:rsidR="00737A69" w:rsidRPr="00054588" w:rsidP="0071223F">
            <w:pPr>
              <w:widowControl/>
              <w:snapToGrid w:val="0"/>
              <w:spacing w:line="360" w:lineRule="auto"/>
              <w:jc w:val="center"/>
              <w:rPr>
                <w:rFonts w:asciiTheme="minorEastAsia" w:eastAsiaTheme="minorEastAsia" w:hAnsiTheme="minorEastAsia"/>
                <w:color w:val="000000" w:themeColor="text1"/>
                <w:kern w:val="0"/>
                <w:szCs w:val="21"/>
              </w:rPr>
            </w:pPr>
            <w:r w:rsidRPr="00054588">
              <w:rPr>
                <w:rFonts w:asciiTheme="minorEastAsia" w:eastAsiaTheme="minorEastAsia" w:hAnsiTheme="minorEastAsia" w:hint="eastAsia"/>
                <w:color w:val="000000" w:themeColor="text1"/>
                <w:kern w:val="0"/>
                <w:szCs w:val="21"/>
              </w:rPr>
              <w:t>0.75%</w:t>
            </w:r>
          </w:p>
        </w:tc>
      </w:tr>
      <w:tr w:rsidTr="00DE4B5E">
        <w:tblPrEx>
          <w:tblW w:w="0" w:type="auto"/>
          <w:tblInd w:w="828" w:type="dxa"/>
          <w:tblLayout w:type="fixed"/>
          <w:tblLook w:val="01E0"/>
        </w:tblPrEx>
        <w:trPr>
          <w:trHeight w:val="366"/>
        </w:trPr>
        <w:tc>
          <w:tcPr>
            <w:tcW w:w="3420" w:type="dxa"/>
          </w:tcPr>
          <w:p w:rsidR="007228CC" w:rsidRPr="00054588" w:rsidP="0071223F">
            <w:pPr>
              <w:widowControl/>
              <w:snapToGrid w:val="0"/>
              <w:spacing w:line="360" w:lineRule="auto"/>
              <w:jc w:val="center"/>
              <w:rPr>
                <w:rFonts w:asciiTheme="minorEastAsia" w:eastAsiaTheme="minorEastAsia" w:hAnsiTheme="minorEastAsia"/>
                <w:color w:val="000000" w:themeColor="text1"/>
                <w:kern w:val="0"/>
                <w:szCs w:val="21"/>
              </w:rPr>
            </w:pPr>
            <w:r w:rsidRPr="00054588">
              <w:rPr>
                <w:rFonts w:asciiTheme="minorEastAsia" w:eastAsiaTheme="minorEastAsia" w:hAnsiTheme="minorEastAsia"/>
                <w:color w:val="000000" w:themeColor="text1"/>
                <w:kern w:val="0"/>
                <w:szCs w:val="21"/>
              </w:rPr>
              <w:t>30-364</w:t>
            </w:r>
          </w:p>
        </w:tc>
        <w:tc>
          <w:tcPr>
            <w:tcW w:w="2880" w:type="dxa"/>
          </w:tcPr>
          <w:p w:rsidR="007228CC" w:rsidRPr="00054588" w:rsidP="0071223F">
            <w:pPr>
              <w:widowControl/>
              <w:snapToGrid w:val="0"/>
              <w:spacing w:line="360" w:lineRule="auto"/>
              <w:jc w:val="center"/>
              <w:rPr>
                <w:rFonts w:asciiTheme="minorEastAsia" w:eastAsiaTheme="minorEastAsia" w:hAnsiTheme="minorEastAsia"/>
                <w:color w:val="000000" w:themeColor="text1"/>
                <w:kern w:val="0"/>
                <w:szCs w:val="21"/>
              </w:rPr>
            </w:pPr>
            <w:r w:rsidRPr="00054588">
              <w:rPr>
                <w:rFonts w:asciiTheme="minorEastAsia" w:eastAsiaTheme="minorEastAsia" w:hAnsiTheme="minorEastAsia"/>
                <w:color w:val="000000" w:themeColor="text1"/>
                <w:kern w:val="0"/>
                <w:szCs w:val="21"/>
              </w:rPr>
              <w:t>0.</w:t>
            </w:r>
            <w:r w:rsidRPr="00054588">
              <w:rPr>
                <w:rFonts w:asciiTheme="minorEastAsia" w:eastAsiaTheme="minorEastAsia" w:hAnsiTheme="minorEastAsia" w:hint="eastAsia"/>
                <w:color w:val="000000" w:themeColor="text1"/>
                <w:kern w:val="0"/>
                <w:szCs w:val="21"/>
              </w:rPr>
              <w:t>1</w:t>
            </w:r>
            <w:r w:rsidRPr="00054588">
              <w:rPr>
                <w:rFonts w:asciiTheme="minorEastAsia" w:eastAsiaTheme="minorEastAsia" w:hAnsiTheme="minorEastAsia"/>
                <w:color w:val="000000" w:themeColor="text1"/>
                <w:kern w:val="0"/>
                <w:szCs w:val="21"/>
              </w:rPr>
              <w:t>%</w:t>
            </w:r>
          </w:p>
        </w:tc>
      </w:tr>
      <w:tr w:rsidTr="00DE4B5E">
        <w:tblPrEx>
          <w:tblW w:w="0" w:type="auto"/>
          <w:tblInd w:w="828" w:type="dxa"/>
          <w:tblLayout w:type="fixed"/>
          <w:tblLook w:val="01E0"/>
        </w:tblPrEx>
        <w:trPr>
          <w:trHeight w:val="366"/>
        </w:trPr>
        <w:tc>
          <w:tcPr>
            <w:tcW w:w="3420" w:type="dxa"/>
          </w:tcPr>
          <w:p w:rsidR="007228CC" w:rsidRPr="00054588" w:rsidP="0071223F">
            <w:pPr>
              <w:widowControl/>
              <w:snapToGrid w:val="0"/>
              <w:spacing w:line="360" w:lineRule="auto"/>
              <w:jc w:val="center"/>
              <w:rPr>
                <w:rFonts w:asciiTheme="minorEastAsia" w:eastAsiaTheme="minorEastAsia" w:hAnsiTheme="minorEastAsia"/>
                <w:color w:val="000000" w:themeColor="text1"/>
                <w:kern w:val="0"/>
                <w:szCs w:val="21"/>
              </w:rPr>
            </w:pPr>
            <w:r w:rsidRPr="00054588">
              <w:rPr>
                <w:rFonts w:asciiTheme="minorEastAsia" w:eastAsiaTheme="minorEastAsia" w:hAnsiTheme="minorEastAsia"/>
                <w:color w:val="000000" w:themeColor="text1"/>
                <w:kern w:val="0"/>
                <w:szCs w:val="21"/>
              </w:rPr>
              <w:t>365-729</w:t>
            </w:r>
          </w:p>
        </w:tc>
        <w:tc>
          <w:tcPr>
            <w:tcW w:w="2880" w:type="dxa"/>
          </w:tcPr>
          <w:p w:rsidR="007228CC" w:rsidRPr="00054588" w:rsidP="0071223F">
            <w:pPr>
              <w:widowControl/>
              <w:snapToGrid w:val="0"/>
              <w:spacing w:line="360" w:lineRule="auto"/>
              <w:jc w:val="center"/>
              <w:rPr>
                <w:rFonts w:asciiTheme="minorEastAsia" w:eastAsiaTheme="minorEastAsia" w:hAnsiTheme="minorEastAsia"/>
                <w:color w:val="000000" w:themeColor="text1"/>
                <w:kern w:val="0"/>
                <w:szCs w:val="21"/>
              </w:rPr>
            </w:pPr>
            <w:r w:rsidRPr="00054588">
              <w:rPr>
                <w:rFonts w:asciiTheme="minorEastAsia" w:eastAsiaTheme="minorEastAsia" w:hAnsiTheme="minorEastAsia" w:hint="eastAsia"/>
                <w:color w:val="000000" w:themeColor="text1"/>
                <w:kern w:val="0"/>
                <w:szCs w:val="21"/>
              </w:rPr>
              <w:t>0.05%</w:t>
            </w:r>
          </w:p>
        </w:tc>
      </w:tr>
      <w:tr w:rsidTr="00DE4B5E">
        <w:tblPrEx>
          <w:tblW w:w="0" w:type="auto"/>
          <w:tblInd w:w="828" w:type="dxa"/>
          <w:tblLayout w:type="fixed"/>
          <w:tblLook w:val="01E0"/>
        </w:tblPrEx>
        <w:trPr>
          <w:trHeight w:val="366"/>
        </w:trPr>
        <w:tc>
          <w:tcPr>
            <w:tcW w:w="3420" w:type="dxa"/>
          </w:tcPr>
          <w:p w:rsidR="007228CC" w:rsidRPr="00054588" w:rsidP="0071223F">
            <w:pPr>
              <w:widowControl/>
              <w:snapToGrid w:val="0"/>
              <w:spacing w:line="360" w:lineRule="auto"/>
              <w:jc w:val="center"/>
              <w:rPr>
                <w:rFonts w:asciiTheme="minorEastAsia" w:eastAsiaTheme="minorEastAsia" w:hAnsiTheme="minorEastAsia"/>
                <w:color w:val="000000" w:themeColor="text1"/>
                <w:kern w:val="0"/>
                <w:szCs w:val="21"/>
              </w:rPr>
            </w:pPr>
            <w:r w:rsidRPr="00054588">
              <w:rPr>
                <w:rFonts w:asciiTheme="minorEastAsia" w:eastAsiaTheme="minorEastAsia" w:hAnsiTheme="minorEastAsia"/>
                <w:color w:val="000000" w:themeColor="text1"/>
                <w:kern w:val="0"/>
                <w:szCs w:val="21"/>
              </w:rPr>
              <w:t>730</w:t>
            </w:r>
            <w:r w:rsidRPr="00054588">
              <w:rPr>
                <w:rFonts w:asciiTheme="minorEastAsia" w:eastAsiaTheme="minorEastAsia" w:hAnsiTheme="minorEastAsia" w:hint="eastAsia"/>
                <w:color w:val="000000" w:themeColor="text1"/>
                <w:kern w:val="0"/>
                <w:szCs w:val="21"/>
              </w:rPr>
              <w:t>及以上</w:t>
            </w:r>
          </w:p>
        </w:tc>
        <w:tc>
          <w:tcPr>
            <w:tcW w:w="2880" w:type="dxa"/>
          </w:tcPr>
          <w:p w:rsidR="007228CC" w:rsidRPr="00054588" w:rsidP="0071223F">
            <w:pPr>
              <w:widowControl/>
              <w:snapToGrid w:val="0"/>
              <w:spacing w:line="360" w:lineRule="auto"/>
              <w:jc w:val="center"/>
              <w:rPr>
                <w:rFonts w:asciiTheme="minorEastAsia" w:eastAsiaTheme="minorEastAsia" w:hAnsiTheme="minorEastAsia"/>
                <w:color w:val="000000" w:themeColor="text1"/>
                <w:kern w:val="0"/>
                <w:szCs w:val="21"/>
              </w:rPr>
            </w:pPr>
            <w:r w:rsidRPr="00054588">
              <w:rPr>
                <w:rFonts w:asciiTheme="minorEastAsia" w:eastAsiaTheme="minorEastAsia" w:hAnsiTheme="minorEastAsia"/>
                <w:color w:val="000000" w:themeColor="text1"/>
                <w:kern w:val="0"/>
                <w:szCs w:val="21"/>
              </w:rPr>
              <w:t>0%</w:t>
            </w:r>
          </w:p>
        </w:tc>
      </w:tr>
    </w:tbl>
    <w:p w:rsidR="00F45307" w:rsidRPr="00054588" w:rsidP="00AE7D92">
      <w:pPr>
        <w:pStyle w:val="BodyText"/>
        <w:tabs>
          <w:tab w:val="left" w:pos="420"/>
        </w:tabs>
        <w:snapToGrid w:val="0"/>
        <w:spacing w:after="0" w:line="360" w:lineRule="auto"/>
        <w:rPr>
          <w:rFonts w:asciiTheme="minorEastAsia" w:eastAsiaTheme="minorEastAsia" w:hAnsiTheme="minorEastAsia"/>
          <w:color w:val="000000" w:themeColor="text1"/>
          <w:szCs w:val="21"/>
        </w:rPr>
      </w:pPr>
      <w:bookmarkStart w:id="91" w:name="_Toc182920433"/>
      <w:bookmarkStart w:id="92" w:name="_Toc182920629"/>
      <w:r w:rsidRPr="00054588">
        <w:rPr>
          <w:rFonts w:asciiTheme="minorEastAsia" w:eastAsiaTheme="minorEastAsia" w:hAnsiTheme="minorEastAsia" w:hint="eastAsia"/>
          <w:color w:val="000000" w:themeColor="text1"/>
          <w:szCs w:val="21"/>
        </w:rPr>
        <w:t xml:space="preserve">  </w:t>
      </w:r>
      <w:r w:rsidRPr="00054588">
        <w:rPr>
          <w:rFonts w:asciiTheme="minorEastAsia" w:eastAsiaTheme="minorEastAsia" w:hAnsiTheme="minorEastAsia"/>
          <w:color w:val="000000" w:themeColor="text1"/>
          <w:szCs w:val="21"/>
        </w:rPr>
        <w:t xml:space="preserve">  </w:t>
      </w:r>
      <w:r w:rsidRPr="00054588" w:rsidR="00D75BAA">
        <w:rPr>
          <w:rFonts w:asciiTheme="minorEastAsia" w:eastAsiaTheme="minorEastAsia" w:hAnsiTheme="minorEastAsia" w:hint="eastAsia"/>
          <w:color w:val="000000" w:themeColor="text1"/>
        </w:rPr>
        <w:t>本基金</w:t>
      </w:r>
      <w:r w:rsidRPr="00054588" w:rsidR="00D75BAA">
        <w:rPr>
          <w:rFonts w:asciiTheme="minorEastAsia" w:eastAsiaTheme="minorEastAsia" w:hAnsiTheme="minorEastAsia" w:hint="eastAsia"/>
          <w:color w:val="000000" w:themeColor="text1"/>
          <w:szCs w:val="21"/>
        </w:rPr>
        <w:t>B类基金份额的赎回费率为：</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2880"/>
      </w:tblGrid>
      <w:tr w:rsidTr="00D75BAA">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66"/>
        </w:trPr>
        <w:tc>
          <w:tcPr>
            <w:tcW w:w="3420" w:type="dxa"/>
          </w:tcPr>
          <w:p w:rsidR="00D75BAA" w:rsidRPr="00054588" w:rsidP="00D75BAA">
            <w:pPr>
              <w:widowControl/>
              <w:snapToGrid w:val="0"/>
              <w:spacing w:line="360" w:lineRule="auto"/>
              <w:jc w:val="center"/>
              <w:rPr>
                <w:rFonts w:asciiTheme="minorEastAsia" w:eastAsiaTheme="minorEastAsia" w:hAnsiTheme="minorEastAsia"/>
                <w:color w:val="000000" w:themeColor="text1"/>
                <w:kern w:val="0"/>
                <w:szCs w:val="21"/>
              </w:rPr>
            </w:pPr>
            <w:r w:rsidRPr="00054588">
              <w:rPr>
                <w:rFonts w:asciiTheme="minorEastAsia" w:eastAsiaTheme="minorEastAsia" w:hAnsiTheme="minorEastAsia" w:hint="eastAsia"/>
                <w:color w:val="000000" w:themeColor="text1"/>
                <w:kern w:val="0"/>
                <w:szCs w:val="21"/>
              </w:rPr>
              <w:t>持有</w:t>
            </w:r>
            <w:r w:rsidRPr="00054588" w:rsidR="00737A69">
              <w:rPr>
                <w:rFonts w:asciiTheme="minorEastAsia" w:eastAsiaTheme="minorEastAsia" w:hAnsiTheme="minorEastAsia" w:hint="eastAsia"/>
                <w:color w:val="000000" w:themeColor="text1"/>
                <w:kern w:val="0"/>
                <w:szCs w:val="21"/>
              </w:rPr>
              <w:t>时间（天）</w:t>
            </w:r>
          </w:p>
        </w:tc>
        <w:tc>
          <w:tcPr>
            <w:tcW w:w="2880" w:type="dxa"/>
          </w:tcPr>
          <w:p w:rsidR="00D75BAA" w:rsidRPr="00054588" w:rsidP="00D75BAA">
            <w:pPr>
              <w:widowControl/>
              <w:snapToGrid w:val="0"/>
              <w:spacing w:line="360" w:lineRule="auto"/>
              <w:jc w:val="center"/>
              <w:rPr>
                <w:rFonts w:asciiTheme="minorEastAsia" w:eastAsiaTheme="minorEastAsia" w:hAnsiTheme="minorEastAsia"/>
                <w:color w:val="000000" w:themeColor="text1"/>
                <w:kern w:val="0"/>
                <w:szCs w:val="21"/>
              </w:rPr>
            </w:pPr>
            <w:r w:rsidRPr="00054588">
              <w:rPr>
                <w:rFonts w:asciiTheme="minorEastAsia" w:eastAsiaTheme="minorEastAsia" w:hAnsiTheme="minorEastAsia" w:hint="eastAsia"/>
                <w:color w:val="000000" w:themeColor="text1"/>
                <w:kern w:val="0"/>
                <w:szCs w:val="21"/>
              </w:rPr>
              <w:t>赎回费率</w:t>
            </w:r>
          </w:p>
        </w:tc>
      </w:tr>
      <w:tr w:rsidTr="00D75BAA">
        <w:tblPrEx>
          <w:tblW w:w="0" w:type="auto"/>
          <w:tblInd w:w="828" w:type="dxa"/>
          <w:tblLayout w:type="fixed"/>
          <w:tblLook w:val="01E0"/>
        </w:tblPrEx>
        <w:trPr>
          <w:trHeight w:val="366"/>
        </w:trPr>
        <w:tc>
          <w:tcPr>
            <w:tcW w:w="3420" w:type="dxa"/>
          </w:tcPr>
          <w:p w:rsidR="00D75BAA" w:rsidRPr="00054588" w:rsidP="00D75BAA">
            <w:pPr>
              <w:widowControl/>
              <w:snapToGrid w:val="0"/>
              <w:spacing w:line="360" w:lineRule="auto"/>
              <w:jc w:val="center"/>
              <w:rPr>
                <w:rFonts w:asciiTheme="minorEastAsia" w:eastAsiaTheme="minorEastAsia" w:hAnsiTheme="minorEastAsia"/>
                <w:color w:val="000000" w:themeColor="text1"/>
                <w:kern w:val="0"/>
                <w:szCs w:val="21"/>
              </w:rPr>
            </w:pPr>
            <w:r w:rsidRPr="00054588">
              <w:rPr>
                <w:rFonts w:asciiTheme="minorEastAsia" w:eastAsiaTheme="minorEastAsia" w:hAnsiTheme="minorEastAsia"/>
                <w:color w:val="000000" w:themeColor="text1"/>
                <w:kern w:val="0"/>
                <w:szCs w:val="21"/>
              </w:rPr>
              <w:t>0-6</w:t>
            </w:r>
          </w:p>
        </w:tc>
        <w:tc>
          <w:tcPr>
            <w:tcW w:w="2880" w:type="dxa"/>
          </w:tcPr>
          <w:p w:rsidR="00D75BAA" w:rsidRPr="00054588" w:rsidP="00D75BAA">
            <w:pPr>
              <w:widowControl/>
              <w:snapToGrid w:val="0"/>
              <w:spacing w:line="360" w:lineRule="auto"/>
              <w:jc w:val="center"/>
              <w:rPr>
                <w:rFonts w:asciiTheme="minorEastAsia" w:eastAsiaTheme="minorEastAsia" w:hAnsiTheme="minorEastAsia"/>
                <w:color w:val="000000" w:themeColor="text1"/>
                <w:kern w:val="0"/>
                <w:szCs w:val="21"/>
              </w:rPr>
            </w:pPr>
            <w:r w:rsidRPr="00054588">
              <w:rPr>
                <w:rFonts w:asciiTheme="minorEastAsia" w:eastAsiaTheme="minorEastAsia" w:hAnsiTheme="minorEastAsia"/>
                <w:color w:val="000000" w:themeColor="text1"/>
                <w:kern w:val="0"/>
                <w:szCs w:val="21"/>
              </w:rPr>
              <w:t>1.5%</w:t>
            </w:r>
          </w:p>
        </w:tc>
      </w:tr>
      <w:tr w:rsidTr="00D75BAA">
        <w:tblPrEx>
          <w:tblW w:w="0" w:type="auto"/>
          <w:tblInd w:w="828" w:type="dxa"/>
          <w:tblLayout w:type="fixed"/>
          <w:tblLook w:val="01E0"/>
        </w:tblPrEx>
        <w:trPr>
          <w:trHeight w:val="366"/>
        </w:trPr>
        <w:tc>
          <w:tcPr>
            <w:tcW w:w="3420" w:type="dxa"/>
          </w:tcPr>
          <w:p w:rsidR="00737A69" w:rsidRPr="00054588" w:rsidP="00D75BAA">
            <w:pPr>
              <w:widowControl/>
              <w:snapToGrid w:val="0"/>
              <w:spacing w:line="360" w:lineRule="auto"/>
              <w:jc w:val="center"/>
              <w:rPr>
                <w:rFonts w:asciiTheme="minorEastAsia" w:eastAsiaTheme="minorEastAsia" w:hAnsiTheme="minorEastAsia"/>
                <w:color w:val="000000" w:themeColor="text1"/>
                <w:kern w:val="0"/>
                <w:szCs w:val="21"/>
              </w:rPr>
            </w:pPr>
            <w:r w:rsidRPr="00054588">
              <w:rPr>
                <w:rFonts w:asciiTheme="minorEastAsia" w:eastAsiaTheme="minorEastAsia" w:hAnsiTheme="minorEastAsia"/>
                <w:color w:val="000000" w:themeColor="text1"/>
                <w:kern w:val="0"/>
                <w:szCs w:val="21"/>
              </w:rPr>
              <w:t>7-29</w:t>
            </w:r>
          </w:p>
        </w:tc>
        <w:tc>
          <w:tcPr>
            <w:tcW w:w="2880" w:type="dxa"/>
          </w:tcPr>
          <w:p w:rsidR="00737A69" w:rsidRPr="00054588" w:rsidP="00D75BAA">
            <w:pPr>
              <w:widowControl/>
              <w:snapToGrid w:val="0"/>
              <w:spacing w:line="360" w:lineRule="auto"/>
              <w:jc w:val="center"/>
              <w:rPr>
                <w:rFonts w:asciiTheme="minorEastAsia" w:eastAsiaTheme="minorEastAsia" w:hAnsiTheme="minorEastAsia"/>
                <w:color w:val="000000" w:themeColor="text1"/>
                <w:kern w:val="0"/>
                <w:szCs w:val="21"/>
              </w:rPr>
            </w:pPr>
            <w:r w:rsidRPr="00054588">
              <w:rPr>
                <w:rFonts w:asciiTheme="minorEastAsia" w:eastAsiaTheme="minorEastAsia" w:hAnsiTheme="minorEastAsia" w:hint="eastAsia"/>
                <w:color w:val="000000" w:themeColor="text1"/>
                <w:kern w:val="0"/>
                <w:szCs w:val="21"/>
              </w:rPr>
              <w:t>0.75%</w:t>
            </w:r>
          </w:p>
        </w:tc>
      </w:tr>
      <w:tr w:rsidTr="00D75BAA">
        <w:tblPrEx>
          <w:tblW w:w="0" w:type="auto"/>
          <w:tblInd w:w="828" w:type="dxa"/>
          <w:tblLayout w:type="fixed"/>
          <w:tblLook w:val="01E0"/>
        </w:tblPrEx>
        <w:trPr>
          <w:trHeight w:val="366"/>
        </w:trPr>
        <w:tc>
          <w:tcPr>
            <w:tcW w:w="3420" w:type="dxa"/>
          </w:tcPr>
          <w:p w:rsidR="00D75BAA" w:rsidRPr="00054588" w:rsidP="00D75BAA">
            <w:pPr>
              <w:widowControl/>
              <w:snapToGrid w:val="0"/>
              <w:spacing w:line="360" w:lineRule="auto"/>
              <w:jc w:val="center"/>
              <w:rPr>
                <w:rFonts w:asciiTheme="minorEastAsia" w:eastAsiaTheme="minorEastAsia" w:hAnsiTheme="minorEastAsia"/>
                <w:color w:val="000000" w:themeColor="text1"/>
                <w:kern w:val="0"/>
                <w:szCs w:val="21"/>
              </w:rPr>
            </w:pPr>
            <w:r w:rsidRPr="00054588">
              <w:rPr>
                <w:rFonts w:asciiTheme="minorEastAsia" w:eastAsiaTheme="minorEastAsia" w:hAnsiTheme="minorEastAsia"/>
                <w:color w:val="000000" w:themeColor="text1"/>
                <w:kern w:val="0"/>
                <w:szCs w:val="21"/>
              </w:rPr>
              <w:t>30</w:t>
            </w:r>
            <w:r w:rsidRPr="00054588">
              <w:rPr>
                <w:rFonts w:asciiTheme="minorEastAsia" w:eastAsiaTheme="minorEastAsia" w:hAnsiTheme="minorEastAsia" w:hint="eastAsia"/>
                <w:color w:val="000000" w:themeColor="text1"/>
                <w:kern w:val="0"/>
                <w:szCs w:val="21"/>
              </w:rPr>
              <w:t>及以上</w:t>
            </w:r>
          </w:p>
        </w:tc>
        <w:tc>
          <w:tcPr>
            <w:tcW w:w="2880" w:type="dxa"/>
          </w:tcPr>
          <w:p w:rsidR="00D75BAA" w:rsidRPr="00054588" w:rsidP="00D75BAA">
            <w:pPr>
              <w:widowControl/>
              <w:snapToGrid w:val="0"/>
              <w:spacing w:line="360" w:lineRule="auto"/>
              <w:jc w:val="center"/>
              <w:rPr>
                <w:rFonts w:asciiTheme="minorEastAsia" w:eastAsiaTheme="minorEastAsia" w:hAnsiTheme="minorEastAsia"/>
                <w:color w:val="000000" w:themeColor="text1"/>
                <w:kern w:val="0"/>
                <w:szCs w:val="21"/>
              </w:rPr>
            </w:pPr>
            <w:r w:rsidRPr="00054588">
              <w:rPr>
                <w:rFonts w:asciiTheme="minorEastAsia" w:eastAsiaTheme="minorEastAsia" w:hAnsiTheme="minorEastAsia"/>
                <w:color w:val="000000" w:themeColor="text1"/>
                <w:kern w:val="0"/>
                <w:szCs w:val="21"/>
              </w:rPr>
              <w:t>0%</w:t>
            </w:r>
          </w:p>
        </w:tc>
      </w:tr>
    </w:tbl>
    <w:p w:rsidR="007228CC" w:rsidRPr="00054588" w:rsidP="0071223F">
      <w:pPr>
        <w:snapToGrid w:val="0"/>
        <w:spacing w:line="360" w:lineRule="auto"/>
        <w:ind w:firstLine="424" w:firstLineChars="202"/>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szCs w:val="21"/>
        </w:rPr>
        <w:t>本基金的赎回费由赎回人承担，在基金份额持有人赎回基金份额时收取，对持有期少于7天（不含）的基金份额持有人所收取赎回费全额计入基金财产，对持有期在7天以上（含）的基金份额持有人所收取赎回费用总额的25%计入基金资产，其余用于支付注册登记费和其他必要的手续费。</w:t>
      </w:r>
    </w:p>
    <w:p w:rsidR="007228CC" w:rsidRPr="00054588" w:rsidP="0071223F">
      <w:pPr>
        <w:snapToGrid w:val="0"/>
        <w:spacing w:line="360" w:lineRule="auto"/>
        <w:ind w:firstLine="424" w:firstLineChars="202"/>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基金管理人可以在基金合同规定的范围内调整申购费率和赎回费率。上述费率如发生变更，基金管理人还应最</w:t>
      </w:r>
      <w:r w:rsidRPr="00054588">
        <w:rPr>
          <w:rFonts w:asciiTheme="minorEastAsia" w:eastAsiaTheme="minorEastAsia" w:hAnsiTheme="minorEastAsia" w:hint="eastAsia"/>
          <w:color w:val="000000" w:themeColor="text1"/>
        </w:rPr>
        <w:t>迟</w:t>
      </w:r>
      <w:r w:rsidRPr="00054588">
        <w:rPr>
          <w:rFonts w:asciiTheme="minorEastAsia" w:eastAsiaTheme="minorEastAsia" w:hAnsiTheme="minorEastAsia"/>
          <w:color w:val="000000" w:themeColor="text1"/>
        </w:rPr>
        <w:t>于新的费率实施前2日在至少一家指定</w:t>
      </w:r>
      <w:r w:rsidRPr="00054588" w:rsidR="00D53B98">
        <w:rPr>
          <w:rFonts w:asciiTheme="minorEastAsia" w:eastAsiaTheme="minorEastAsia" w:hAnsiTheme="minorEastAsia" w:hint="eastAsia"/>
          <w:color w:val="000000" w:themeColor="text1"/>
        </w:rPr>
        <w:t>媒介</w:t>
      </w:r>
      <w:r w:rsidRPr="00054588">
        <w:rPr>
          <w:rFonts w:asciiTheme="minorEastAsia" w:eastAsiaTheme="minorEastAsia" w:hAnsiTheme="minorEastAsia"/>
          <w:color w:val="000000" w:themeColor="text1"/>
        </w:rPr>
        <w:t>公告。</w:t>
      </w:r>
    </w:p>
    <w:p w:rsidR="007228CC" w:rsidRPr="00054588" w:rsidP="0071223F">
      <w:pPr>
        <w:snapToGrid w:val="0"/>
        <w:spacing w:line="360" w:lineRule="auto"/>
        <w:ind w:firstLine="424" w:firstLineChars="202"/>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7228CC" w:rsidRPr="00054588"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93" w:name="_Toc211920144"/>
      <w:bookmarkStart w:id="94" w:name="_Toc211927675"/>
      <w:bookmarkStart w:id="95" w:name="_Toc123296426"/>
      <w:bookmarkEnd w:id="91"/>
      <w:bookmarkEnd w:id="92"/>
      <w:r w:rsidRPr="00054588">
        <w:rPr>
          <w:rFonts w:asciiTheme="minorEastAsia" w:eastAsiaTheme="minorEastAsia" w:hAnsiTheme="minorEastAsia" w:hint="eastAsia"/>
          <w:color w:val="000000" w:themeColor="text1"/>
        </w:rPr>
        <w:t>（八）申购份额与赎回金额的计算方式</w:t>
      </w:r>
      <w:bookmarkEnd w:id="93"/>
      <w:bookmarkEnd w:id="94"/>
      <w:bookmarkEnd w:id="95"/>
    </w:p>
    <w:p w:rsidR="007228CC" w:rsidRPr="00054588" w:rsidP="0071223F">
      <w:pPr>
        <w:snapToGrid w:val="0"/>
        <w:spacing w:line="360" w:lineRule="auto"/>
        <w:ind w:firstLine="424" w:firstLineChars="202"/>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1、申购份额的计算</w:t>
      </w:r>
    </w:p>
    <w:p w:rsidR="007228CC" w:rsidRPr="00054588" w:rsidP="00A138B5">
      <w:pPr>
        <w:widowControl/>
        <w:adjustRightInd w:val="0"/>
        <w:snapToGrid w:val="0"/>
        <w:spacing w:line="360" w:lineRule="auto"/>
        <w:ind w:firstLine="420"/>
        <w:jc w:val="left"/>
        <w:rPr>
          <w:rFonts w:asciiTheme="minorEastAsia" w:eastAsiaTheme="minorEastAsia" w:hAnsiTheme="minorEastAsia" w:cs="宋体"/>
          <w:color w:val="000000" w:themeColor="text1"/>
          <w:kern w:val="0"/>
          <w:szCs w:val="21"/>
        </w:rPr>
      </w:pPr>
      <w:r w:rsidRPr="00054588">
        <w:rPr>
          <w:rFonts w:asciiTheme="minorEastAsia" w:eastAsiaTheme="minorEastAsia" w:hAnsiTheme="minorEastAsia" w:cs="宋体" w:hint="eastAsia"/>
          <w:color w:val="000000" w:themeColor="text1"/>
          <w:kern w:val="0"/>
          <w:szCs w:val="21"/>
        </w:rPr>
        <w:t>(1)A类基金份额申购份额的计算</w:t>
      </w:r>
    </w:p>
    <w:p w:rsidR="007228CC" w:rsidRPr="00054588" w:rsidP="0071223F">
      <w:pPr>
        <w:widowControl/>
        <w:adjustRightInd w:val="0"/>
        <w:snapToGrid w:val="0"/>
        <w:spacing w:line="360" w:lineRule="auto"/>
        <w:ind w:firstLine="420"/>
        <w:jc w:val="left"/>
        <w:rPr>
          <w:rFonts w:asciiTheme="minorEastAsia" w:eastAsiaTheme="minorEastAsia" w:hAnsiTheme="minorEastAsia" w:cs="宋体"/>
          <w:color w:val="000000" w:themeColor="text1"/>
          <w:kern w:val="0"/>
          <w:szCs w:val="21"/>
        </w:rPr>
      </w:pPr>
      <w:r w:rsidRPr="00054588">
        <w:rPr>
          <w:rFonts w:asciiTheme="minorEastAsia" w:eastAsiaTheme="minorEastAsia" w:hAnsiTheme="minorEastAsia" w:cs="宋体" w:hint="eastAsia"/>
          <w:color w:val="000000" w:themeColor="text1"/>
          <w:kern w:val="0"/>
          <w:szCs w:val="21"/>
        </w:rPr>
        <w:t>申</w:t>
      </w:r>
      <w:r w:rsidRPr="00054588">
        <w:rPr>
          <w:rFonts w:asciiTheme="minorEastAsia" w:eastAsiaTheme="minorEastAsia" w:hAnsiTheme="minorEastAsia" w:cs="宋体"/>
          <w:color w:val="000000" w:themeColor="text1"/>
          <w:kern w:val="0"/>
          <w:szCs w:val="21"/>
        </w:rPr>
        <w:t>购费用=</w:t>
      </w:r>
      <w:r w:rsidRPr="00054588">
        <w:rPr>
          <w:rFonts w:asciiTheme="minorEastAsia" w:eastAsiaTheme="minorEastAsia" w:hAnsiTheme="minorEastAsia" w:cs="宋体" w:hint="eastAsia"/>
          <w:color w:val="000000" w:themeColor="text1"/>
          <w:kern w:val="0"/>
          <w:szCs w:val="21"/>
        </w:rPr>
        <w:t>申</w:t>
      </w:r>
      <w:r w:rsidRPr="00054588">
        <w:rPr>
          <w:rFonts w:asciiTheme="minorEastAsia" w:eastAsiaTheme="minorEastAsia" w:hAnsiTheme="minorEastAsia" w:cs="宋体"/>
          <w:color w:val="000000" w:themeColor="text1"/>
          <w:kern w:val="0"/>
          <w:szCs w:val="21"/>
        </w:rPr>
        <w:t>购金额/（1＋</w:t>
      </w:r>
      <w:r w:rsidRPr="00054588">
        <w:rPr>
          <w:rFonts w:asciiTheme="minorEastAsia" w:eastAsiaTheme="minorEastAsia" w:hAnsiTheme="minorEastAsia" w:cs="宋体" w:hint="eastAsia"/>
          <w:color w:val="000000" w:themeColor="text1"/>
          <w:kern w:val="0"/>
          <w:szCs w:val="21"/>
        </w:rPr>
        <w:t>申</w:t>
      </w:r>
      <w:r w:rsidRPr="00054588">
        <w:rPr>
          <w:rFonts w:asciiTheme="minorEastAsia" w:eastAsiaTheme="minorEastAsia" w:hAnsiTheme="minorEastAsia" w:cs="宋体"/>
          <w:color w:val="000000" w:themeColor="text1"/>
          <w:kern w:val="0"/>
          <w:szCs w:val="21"/>
        </w:rPr>
        <w:t>购费率）×</w:t>
      </w:r>
      <w:r w:rsidRPr="00054588">
        <w:rPr>
          <w:rFonts w:asciiTheme="minorEastAsia" w:eastAsiaTheme="minorEastAsia" w:hAnsiTheme="minorEastAsia" w:cs="宋体" w:hint="eastAsia"/>
          <w:color w:val="000000" w:themeColor="text1"/>
          <w:kern w:val="0"/>
          <w:szCs w:val="21"/>
        </w:rPr>
        <w:t>申</w:t>
      </w:r>
      <w:r w:rsidRPr="00054588">
        <w:rPr>
          <w:rFonts w:asciiTheme="minorEastAsia" w:eastAsiaTheme="minorEastAsia" w:hAnsiTheme="minorEastAsia" w:cs="宋体"/>
          <w:color w:val="000000" w:themeColor="text1"/>
          <w:kern w:val="0"/>
          <w:szCs w:val="21"/>
        </w:rPr>
        <w:t>购费率，对于1000万元（含）以上的</w:t>
      </w:r>
      <w:r w:rsidRPr="00054588">
        <w:rPr>
          <w:rFonts w:asciiTheme="minorEastAsia" w:eastAsiaTheme="minorEastAsia" w:hAnsiTheme="minorEastAsia" w:cs="宋体" w:hint="eastAsia"/>
          <w:color w:val="000000" w:themeColor="text1"/>
          <w:kern w:val="0"/>
          <w:szCs w:val="21"/>
        </w:rPr>
        <w:t>申</w:t>
      </w:r>
      <w:r w:rsidRPr="00054588">
        <w:rPr>
          <w:rFonts w:asciiTheme="minorEastAsia" w:eastAsiaTheme="minorEastAsia" w:hAnsiTheme="minorEastAsia" w:cs="宋体"/>
          <w:color w:val="000000" w:themeColor="text1"/>
          <w:kern w:val="0"/>
          <w:szCs w:val="21"/>
        </w:rPr>
        <w:t>购适用绝对数额的</w:t>
      </w:r>
      <w:r w:rsidRPr="00054588">
        <w:rPr>
          <w:rFonts w:asciiTheme="minorEastAsia" w:eastAsiaTheme="minorEastAsia" w:hAnsiTheme="minorEastAsia" w:cs="宋体" w:hint="eastAsia"/>
          <w:color w:val="000000" w:themeColor="text1"/>
          <w:kern w:val="0"/>
          <w:szCs w:val="21"/>
        </w:rPr>
        <w:t>申</w:t>
      </w:r>
      <w:r w:rsidRPr="00054588">
        <w:rPr>
          <w:rFonts w:asciiTheme="minorEastAsia" w:eastAsiaTheme="minorEastAsia" w:hAnsiTheme="minorEastAsia" w:cs="宋体"/>
          <w:color w:val="000000" w:themeColor="text1"/>
          <w:kern w:val="0"/>
          <w:szCs w:val="21"/>
        </w:rPr>
        <w:t>购费金额</w:t>
      </w:r>
    </w:p>
    <w:p w:rsidR="007228CC" w:rsidRPr="00054588" w:rsidP="0071223F">
      <w:pPr>
        <w:widowControl/>
        <w:adjustRightInd w:val="0"/>
        <w:snapToGrid w:val="0"/>
        <w:spacing w:line="360" w:lineRule="auto"/>
        <w:ind w:firstLine="420"/>
        <w:jc w:val="left"/>
        <w:rPr>
          <w:rFonts w:asciiTheme="minorEastAsia" w:eastAsiaTheme="minorEastAsia" w:hAnsiTheme="minorEastAsia" w:cs="宋体"/>
          <w:color w:val="000000" w:themeColor="text1"/>
          <w:kern w:val="0"/>
          <w:szCs w:val="21"/>
        </w:rPr>
      </w:pPr>
      <w:r w:rsidRPr="00054588">
        <w:rPr>
          <w:rFonts w:asciiTheme="minorEastAsia" w:eastAsiaTheme="minorEastAsia" w:hAnsiTheme="minorEastAsia" w:cs="宋体"/>
          <w:color w:val="000000" w:themeColor="text1"/>
          <w:kern w:val="0"/>
          <w:szCs w:val="21"/>
        </w:rPr>
        <w:t>净</w:t>
      </w:r>
      <w:r w:rsidRPr="00054588">
        <w:rPr>
          <w:rFonts w:asciiTheme="minorEastAsia" w:eastAsiaTheme="minorEastAsia" w:hAnsiTheme="minorEastAsia" w:cs="宋体" w:hint="eastAsia"/>
          <w:color w:val="000000" w:themeColor="text1"/>
          <w:kern w:val="0"/>
          <w:szCs w:val="21"/>
        </w:rPr>
        <w:t>申</w:t>
      </w:r>
      <w:r w:rsidRPr="00054588">
        <w:rPr>
          <w:rFonts w:asciiTheme="minorEastAsia" w:eastAsiaTheme="minorEastAsia" w:hAnsiTheme="minorEastAsia" w:cs="宋体"/>
          <w:color w:val="000000" w:themeColor="text1"/>
          <w:kern w:val="0"/>
          <w:szCs w:val="21"/>
        </w:rPr>
        <w:t>购金额=</w:t>
      </w:r>
      <w:r w:rsidRPr="00054588">
        <w:rPr>
          <w:rFonts w:asciiTheme="minorEastAsia" w:eastAsiaTheme="minorEastAsia" w:hAnsiTheme="minorEastAsia" w:cs="宋体" w:hint="eastAsia"/>
          <w:color w:val="000000" w:themeColor="text1"/>
          <w:kern w:val="0"/>
          <w:szCs w:val="21"/>
        </w:rPr>
        <w:t>申</w:t>
      </w:r>
      <w:r w:rsidRPr="00054588">
        <w:rPr>
          <w:rFonts w:asciiTheme="minorEastAsia" w:eastAsiaTheme="minorEastAsia" w:hAnsiTheme="minorEastAsia" w:cs="宋体"/>
          <w:color w:val="000000" w:themeColor="text1"/>
          <w:kern w:val="0"/>
          <w:szCs w:val="21"/>
        </w:rPr>
        <w:t>购金额-</w:t>
      </w:r>
      <w:r w:rsidRPr="00054588">
        <w:rPr>
          <w:rFonts w:asciiTheme="minorEastAsia" w:eastAsiaTheme="minorEastAsia" w:hAnsiTheme="minorEastAsia" w:cs="宋体" w:hint="eastAsia"/>
          <w:color w:val="000000" w:themeColor="text1"/>
          <w:kern w:val="0"/>
          <w:szCs w:val="21"/>
        </w:rPr>
        <w:t>申</w:t>
      </w:r>
      <w:r w:rsidRPr="00054588">
        <w:rPr>
          <w:rFonts w:asciiTheme="minorEastAsia" w:eastAsiaTheme="minorEastAsia" w:hAnsiTheme="minorEastAsia" w:cs="宋体"/>
          <w:color w:val="000000" w:themeColor="text1"/>
          <w:kern w:val="0"/>
          <w:szCs w:val="21"/>
        </w:rPr>
        <w:t>购费用</w:t>
      </w:r>
    </w:p>
    <w:p w:rsidR="007228CC" w:rsidRPr="00054588" w:rsidP="0071223F">
      <w:pPr>
        <w:widowControl/>
        <w:adjustRightInd w:val="0"/>
        <w:snapToGrid w:val="0"/>
        <w:spacing w:line="360" w:lineRule="auto"/>
        <w:ind w:firstLine="420"/>
        <w:jc w:val="left"/>
        <w:rPr>
          <w:rFonts w:asciiTheme="minorEastAsia" w:eastAsiaTheme="minorEastAsia" w:hAnsiTheme="minorEastAsia" w:cs="宋体"/>
          <w:color w:val="000000" w:themeColor="text1"/>
          <w:kern w:val="0"/>
          <w:szCs w:val="21"/>
        </w:rPr>
      </w:pPr>
      <w:r w:rsidRPr="00054588">
        <w:rPr>
          <w:rFonts w:asciiTheme="minorEastAsia" w:eastAsiaTheme="minorEastAsia" w:hAnsiTheme="minorEastAsia" w:cs="宋体" w:hint="eastAsia"/>
          <w:color w:val="000000" w:themeColor="text1"/>
          <w:kern w:val="0"/>
          <w:szCs w:val="21"/>
        </w:rPr>
        <w:t>申购份额=净申购金额/T日基金份额净值</w:t>
      </w:r>
    </w:p>
    <w:p w:rsidR="007228CC" w:rsidRPr="00054588" w:rsidP="0071223F">
      <w:pPr>
        <w:widowControl/>
        <w:adjustRightInd w:val="0"/>
        <w:snapToGrid w:val="0"/>
        <w:spacing w:line="360" w:lineRule="auto"/>
        <w:ind w:firstLine="420"/>
        <w:jc w:val="left"/>
        <w:rPr>
          <w:rFonts w:asciiTheme="minorEastAsia" w:eastAsiaTheme="minorEastAsia" w:hAnsiTheme="minorEastAsia" w:cs="宋体"/>
          <w:color w:val="000000" w:themeColor="text1"/>
          <w:kern w:val="0"/>
          <w:szCs w:val="21"/>
        </w:rPr>
      </w:pPr>
      <w:r w:rsidRPr="00054588">
        <w:rPr>
          <w:rFonts w:asciiTheme="minorEastAsia" w:eastAsiaTheme="minorEastAsia" w:hAnsiTheme="minorEastAsia" w:cs="宋体" w:hint="eastAsia"/>
          <w:color w:val="000000" w:themeColor="text1"/>
          <w:kern w:val="0"/>
          <w:szCs w:val="21"/>
        </w:rPr>
        <w:t>例一：假定投资者</w:t>
      </w:r>
      <w:r w:rsidRPr="00054588" w:rsidR="00E035E7">
        <w:rPr>
          <w:rFonts w:asciiTheme="minorEastAsia" w:eastAsiaTheme="minorEastAsia" w:hAnsiTheme="minorEastAsia" w:cs="宋体" w:hint="eastAsia"/>
          <w:color w:val="000000" w:themeColor="text1"/>
          <w:kern w:val="0"/>
          <w:szCs w:val="21"/>
        </w:rPr>
        <w:t>（非特定投资群体）</w:t>
      </w:r>
      <w:r w:rsidRPr="00054588">
        <w:rPr>
          <w:rFonts w:asciiTheme="minorEastAsia" w:eastAsiaTheme="minorEastAsia" w:hAnsiTheme="minorEastAsia" w:cs="宋体" w:hint="eastAsia"/>
          <w:color w:val="000000" w:themeColor="text1"/>
          <w:kern w:val="0"/>
          <w:szCs w:val="21"/>
        </w:rPr>
        <w:t>在T日申购10，000元A类基金份额，T日A类基金份额净值为2.000元，则其可得到的申购份额计算方法为：</w:t>
      </w:r>
    </w:p>
    <w:p w:rsidR="007228CC" w:rsidRPr="00054588" w:rsidP="0071223F">
      <w:pPr>
        <w:widowControl/>
        <w:adjustRightInd w:val="0"/>
        <w:snapToGrid w:val="0"/>
        <w:spacing w:line="360" w:lineRule="auto"/>
        <w:ind w:firstLine="420"/>
        <w:jc w:val="left"/>
        <w:rPr>
          <w:rFonts w:asciiTheme="minorEastAsia" w:eastAsiaTheme="minorEastAsia" w:hAnsiTheme="minorEastAsia"/>
          <w:color w:val="000000" w:themeColor="text1"/>
          <w:szCs w:val="21"/>
        </w:rPr>
      </w:pPr>
      <w:r w:rsidRPr="00054588">
        <w:rPr>
          <w:rFonts w:asciiTheme="minorEastAsia" w:eastAsiaTheme="minorEastAsia" w:hAnsiTheme="minorEastAsia" w:cs="宋体" w:hint="eastAsia"/>
          <w:color w:val="000000" w:themeColor="text1"/>
          <w:kern w:val="0"/>
          <w:szCs w:val="21"/>
        </w:rPr>
        <w:t>申</w:t>
      </w:r>
      <w:r w:rsidRPr="00054588">
        <w:rPr>
          <w:rFonts w:asciiTheme="minorEastAsia" w:eastAsiaTheme="minorEastAsia" w:hAnsiTheme="minorEastAsia" w:cs="宋体"/>
          <w:color w:val="000000" w:themeColor="text1"/>
          <w:kern w:val="0"/>
          <w:szCs w:val="21"/>
        </w:rPr>
        <w:t>购费用</w:t>
      </w:r>
      <w:r w:rsidRPr="00054588">
        <w:rPr>
          <w:rFonts w:asciiTheme="minorEastAsia" w:eastAsiaTheme="minorEastAsia" w:hAnsiTheme="minorEastAsia" w:cs="宋体" w:hint="eastAsia"/>
          <w:color w:val="000000" w:themeColor="text1"/>
          <w:kern w:val="0"/>
          <w:szCs w:val="21"/>
        </w:rPr>
        <w:t>=</w:t>
      </w:r>
      <w:r w:rsidRPr="00054588" w:rsidR="00065CF9">
        <w:rPr>
          <w:rFonts w:asciiTheme="minorEastAsia" w:eastAsiaTheme="minorEastAsia" w:hAnsiTheme="minorEastAsia" w:hint="eastAsia"/>
          <w:color w:val="000000" w:themeColor="text1"/>
          <w:szCs w:val="21"/>
        </w:rPr>
        <w:t>10,000</w:t>
      </w:r>
      <w:r w:rsidRPr="00054588">
        <w:rPr>
          <w:rFonts w:asciiTheme="minorEastAsia" w:eastAsiaTheme="minorEastAsia" w:hAnsiTheme="minorEastAsia" w:cs="宋体" w:hint="eastAsia"/>
          <w:color w:val="000000" w:themeColor="text1"/>
          <w:kern w:val="0"/>
          <w:szCs w:val="21"/>
        </w:rPr>
        <w:t>/(1+</w:t>
      </w:r>
      <w:r w:rsidRPr="00054588">
        <w:rPr>
          <w:rFonts w:asciiTheme="minorEastAsia" w:eastAsiaTheme="minorEastAsia" w:hAnsiTheme="minorEastAsia" w:hint="eastAsia"/>
          <w:color w:val="000000" w:themeColor="text1"/>
          <w:szCs w:val="21"/>
        </w:rPr>
        <w:t>0.8%)</w:t>
      </w:r>
      <w:r w:rsidRPr="00054588">
        <w:rPr>
          <w:rFonts w:asciiTheme="minorEastAsia" w:eastAsiaTheme="minorEastAsia" w:hAnsiTheme="minorEastAsia" w:cs="宋体"/>
          <w:color w:val="000000" w:themeColor="text1"/>
          <w:kern w:val="0"/>
          <w:szCs w:val="21"/>
        </w:rPr>
        <w:t>×</w:t>
      </w:r>
      <w:r w:rsidRPr="00054588">
        <w:rPr>
          <w:rFonts w:asciiTheme="minorEastAsia" w:eastAsiaTheme="minorEastAsia" w:hAnsiTheme="minorEastAsia" w:hint="eastAsia"/>
          <w:color w:val="000000" w:themeColor="text1"/>
          <w:szCs w:val="21"/>
        </w:rPr>
        <w:t>0.8%=79.37元</w:t>
      </w:r>
    </w:p>
    <w:p w:rsidR="007228CC" w:rsidRPr="00054588" w:rsidP="0071223F">
      <w:pPr>
        <w:autoSpaceDE w:val="0"/>
        <w:autoSpaceDN w:val="0"/>
        <w:adjustRightInd w:val="0"/>
        <w:snapToGrid w:val="0"/>
        <w:spacing w:line="360" w:lineRule="auto"/>
        <w:ind w:firstLine="420"/>
        <w:jc w:val="left"/>
        <w:rPr>
          <w:rFonts w:asciiTheme="minorEastAsia" w:eastAsiaTheme="minorEastAsia" w:hAnsiTheme="minorEastAsia" w:cs="宋体"/>
          <w:color w:val="000000" w:themeColor="text1"/>
          <w:kern w:val="0"/>
          <w:szCs w:val="21"/>
        </w:rPr>
      </w:pPr>
      <w:r w:rsidRPr="00054588">
        <w:rPr>
          <w:rFonts w:asciiTheme="minorEastAsia" w:eastAsiaTheme="minorEastAsia" w:hAnsiTheme="minorEastAsia" w:cs="宋体"/>
          <w:color w:val="000000" w:themeColor="text1"/>
          <w:kern w:val="0"/>
          <w:szCs w:val="21"/>
        </w:rPr>
        <w:t>净</w:t>
      </w:r>
      <w:r w:rsidRPr="00054588">
        <w:rPr>
          <w:rFonts w:asciiTheme="minorEastAsia" w:eastAsiaTheme="minorEastAsia" w:hAnsiTheme="minorEastAsia" w:cs="宋体" w:hint="eastAsia"/>
          <w:color w:val="000000" w:themeColor="text1"/>
          <w:kern w:val="0"/>
          <w:szCs w:val="21"/>
        </w:rPr>
        <w:t>申</w:t>
      </w:r>
      <w:r w:rsidRPr="00054588">
        <w:rPr>
          <w:rFonts w:asciiTheme="minorEastAsia" w:eastAsiaTheme="minorEastAsia" w:hAnsiTheme="minorEastAsia" w:cs="宋体"/>
          <w:color w:val="000000" w:themeColor="text1"/>
          <w:kern w:val="0"/>
          <w:szCs w:val="21"/>
        </w:rPr>
        <w:t>购金额</w:t>
      </w:r>
      <w:r w:rsidRPr="00054588">
        <w:rPr>
          <w:rFonts w:asciiTheme="minorEastAsia" w:eastAsiaTheme="minorEastAsia" w:hAnsiTheme="minorEastAsia" w:cs="宋体" w:hint="eastAsia"/>
          <w:color w:val="000000" w:themeColor="text1"/>
          <w:kern w:val="0"/>
          <w:szCs w:val="21"/>
        </w:rPr>
        <w:t>=</w:t>
      </w:r>
      <w:r w:rsidRPr="00054588">
        <w:rPr>
          <w:rFonts w:asciiTheme="minorEastAsia" w:eastAsiaTheme="minorEastAsia" w:hAnsiTheme="minorEastAsia" w:hint="eastAsia"/>
          <w:color w:val="000000" w:themeColor="text1"/>
          <w:szCs w:val="21"/>
        </w:rPr>
        <w:t>10,000-79.37=9,920.63元</w:t>
      </w:r>
    </w:p>
    <w:p w:rsidR="007228CC" w:rsidRPr="00054588" w:rsidP="0071223F">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申购份额=9,920.63/2.000=4,960.32份</w:t>
      </w:r>
    </w:p>
    <w:p w:rsidR="00E035E7" w:rsidRPr="00054588" w:rsidP="0071223F">
      <w:pPr>
        <w:widowControl/>
        <w:adjustRightInd w:val="0"/>
        <w:snapToGrid w:val="0"/>
        <w:spacing w:line="360" w:lineRule="auto"/>
        <w:ind w:firstLine="420"/>
        <w:jc w:val="left"/>
        <w:rPr>
          <w:rFonts w:asciiTheme="minorEastAsia" w:eastAsiaTheme="minorEastAsia" w:hAnsiTheme="minorEastAsia" w:cs="宋体"/>
          <w:color w:val="000000" w:themeColor="text1"/>
          <w:kern w:val="0"/>
          <w:szCs w:val="21"/>
        </w:rPr>
      </w:pPr>
      <w:r w:rsidRPr="00054588">
        <w:rPr>
          <w:rFonts w:asciiTheme="minorEastAsia" w:eastAsiaTheme="minorEastAsia" w:hAnsiTheme="minorEastAsia" w:cs="宋体" w:hint="eastAsia"/>
          <w:color w:val="000000" w:themeColor="text1"/>
          <w:kern w:val="0"/>
          <w:szCs w:val="21"/>
        </w:rPr>
        <w:t>例二：假定投资者（特定投资群体）通过本管理人的直销中心在T日申购100，000元A类基金份额，T日A类基金份额净值为2.000元，则其可得到的申购份额计算方法为：</w:t>
      </w:r>
    </w:p>
    <w:p w:rsidR="00E035E7" w:rsidRPr="00054588" w:rsidP="0071223F">
      <w:pPr>
        <w:widowControl/>
        <w:adjustRightInd w:val="0"/>
        <w:snapToGrid w:val="0"/>
        <w:spacing w:line="360" w:lineRule="auto"/>
        <w:ind w:firstLine="420"/>
        <w:jc w:val="left"/>
        <w:rPr>
          <w:rFonts w:asciiTheme="minorEastAsia" w:eastAsiaTheme="minorEastAsia" w:hAnsiTheme="minorEastAsia"/>
          <w:color w:val="000000" w:themeColor="text1"/>
          <w:szCs w:val="21"/>
        </w:rPr>
      </w:pPr>
      <w:r w:rsidRPr="00054588">
        <w:rPr>
          <w:rFonts w:asciiTheme="minorEastAsia" w:eastAsiaTheme="minorEastAsia" w:hAnsiTheme="minorEastAsia" w:cs="宋体" w:hint="eastAsia"/>
          <w:color w:val="000000" w:themeColor="text1"/>
          <w:kern w:val="0"/>
          <w:szCs w:val="21"/>
        </w:rPr>
        <w:t>申</w:t>
      </w:r>
      <w:r w:rsidRPr="00054588">
        <w:rPr>
          <w:rFonts w:asciiTheme="minorEastAsia" w:eastAsiaTheme="minorEastAsia" w:hAnsiTheme="minorEastAsia" w:cs="宋体"/>
          <w:color w:val="000000" w:themeColor="text1"/>
          <w:kern w:val="0"/>
          <w:szCs w:val="21"/>
        </w:rPr>
        <w:t>购费用</w:t>
      </w:r>
      <w:r w:rsidRPr="00054588">
        <w:rPr>
          <w:rFonts w:asciiTheme="minorEastAsia" w:eastAsiaTheme="minorEastAsia" w:hAnsiTheme="minorEastAsia" w:cs="宋体" w:hint="eastAsia"/>
          <w:color w:val="000000" w:themeColor="text1"/>
          <w:kern w:val="0"/>
          <w:szCs w:val="21"/>
        </w:rPr>
        <w:t>=</w:t>
      </w:r>
      <w:r w:rsidRPr="00054588" w:rsidR="00065CF9">
        <w:rPr>
          <w:rFonts w:asciiTheme="minorEastAsia" w:eastAsiaTheme="minorEastAsia" w:hAnsiTheme="minorEastAsia" w:hint="eastAsia"/>
          <w:color w:val="000000" w:themeColor="text1"/>
          <w:szCs w:val="21"/>
        </w:rPr>
        <w:t>100,000</w:t>
      </w:r>
      <w:r w:rsidRPr="00054588">
        <w:rPr>
          <w:rFonts w:asciiTheme="minorEastAsia" w:eastAsiaTheme="minorEastAsia" w:hAnsiTheme="minorEastAsia" w:cs="宋体" w:hint="eastAsia"/>
          <w:color w:val="000000" w:themeColor="text1"/>
          <w:kern w:val="0"/>
          <w:szCs w:val="21"/>
        </w:rPr>
        <w:t>/(1+</w:t>
      </w:r>
      <w:r w:rsidRPr="00054588">
        <w:rPr>
          <w:rFonts w:asciiTheme="minorEastAsia" w:eastAsiaTheme="minorEastAsia" w:hAnsiTheme="minorEastAsia" w:hint="eastAsia"/>
          <w:color w:val="000000" w:themeColor="text1"/>
          <w:szCs w:val="21"/>
        </w:rPr>
        <w:t>0.</w:t>
      </w:r>
      <w:r w:rsidRPr="00054588" w:rsidR="00065CF9">
        <w:rPr>
          <w:rFonts w:asciiTheme="minorEastAsia" w:eastAsiaTheme="minorEastAsia" w:hAnsiTheme="minorEastAsia" w:hint="eastAsia"/>
          <w:color w:val="000000" w:themeColor="text1"/>
          <w:szCs w:val="21"/>
        </w:rPr>
        <w:t>0</w:t>
      </w:r>
      <w:r w:rsidRPr="00054588">
        <w:rPr>
          <w:rFonts w:asciiTheme="minorEastAsia" w:eastAsiaTheme="minorEastAsia" w:hAnsiTheme="minorEastAsia" w:hint="eastAsia"/>
          <w:color w:val="000000" w:themeColor="text1"/>
          <w:szCs w:val="21"/>
        </w:rPr>
        <w:t>8%)</w:t>
      </w:r>
      <w:r w:rsidRPr="00054588">
        <w:rPr>
          <w:rFonts w:asciiTheme="minorEastAsia" w:eastAsiaTheme="minorEastAsia" w:hAnsiTheme="minorEastAsia" w:cs="宋体"/>
          <w:color w:val="000000" w:themeColor="text1"/>
          <w:kern w:val="0"/>
          <w:szCs w:val="21"/>
        </w:rPr>
        <w:t>×</w:t>
      </w:r>
      <w:r w:rsidRPr="00054588">
        <w:rPr>
          <w:rFonts w:asciiTheme="minorEastAsia" w:eastAsiaTheme="minorEastAsia" w:hAnsiTheme="minorEastAsia" w:hint="eastAsia"/>
          <w:color w:val="000000" w:themeColor="text1"/>
          <w:szCs w:val="21"/>
        </w:rPr>
        <w:t>0.</w:t>
      </w:r>
      <w:r w:rsidRPr="00054588" w:rsidR="00065CF9">
        <w:rPr>
          <w:rFonts w:asciiTheme="minorEastAsia" w:eastAsiaTheme="minorEastAsia" w:hAnsiTheme="minorEastAsia" w:hint="eastAsia"/>
          <w:color w:val="000000" w:themeColor="text1"/>
          <w:szCs w:val="21"/>
        </w:rPr>
        <w:t>0</w:t>
      </w:r>
      <w:r w:rsidRPr="00054588">
        <w:rPr>
          <w:rFonts w:asciiTheme="minorEastAsia" w:eastAsiaTheme="minorEastAsia" w:hAnsiTheme="minorEastAsia" w:hint="eastAsia"/>
          <w:color w:val="000000" w:themeColor="text1"/>
          <w:szCs w:val="21"/>
        </w:rPr>
        <w:t>8%=79.</w:t>
      </w:r>
      <w:r w:rsidRPr="00054588" w:rsidR="00065CF9">
        <w:rPr>
          <w:rFonts w:asciiTheme="minorEastAsia" w:eastAsiaTheme="minorEastAsia" w:hAnsiTheme="minorEastAsia" w:hint="eastAsia"/>
          <w:color w:val="000000" w:themeColor="text1"/>
          <w:szCs w:val="21"/>
        </w:rPr>
        <w:t>94</w:t>
      </w:r>
      <w:r w:rsidRPr="00054588">
        <w:rPr>
          <w:rFonts w:asciiTheme="minorEastAsia" w:eastAsiaTheme="minorEastAsia" w:hAnsiTheme="minorEastAsia" w:hint="eastAsia"/>
          <w:color w:val="000000" w:themeColor="text1"/>
          <w:szCs w:val="21"/>
        </w:rPr>
        <w:t>元</w:t>
      </w:r>
    </w:p>
    <w:p w:rsidR="00E035E7" w:rsidRPr="00054588" w:rsidP="0071223F">
      <w:pPr>
        <w:autoSpaceDE w:val="0"/>
        <w:autoSpaceDN w:val="0"/>
        <w:adjustRightInd w:val="0"/>
        <w:snapToGrid w:val="0"/>
        <w:spacing w:line="360" w:lineRule="auto"/>
        <w:ind w:firstLine="420"/>
        <w:jc w:val="left"/>
        <w:rPr>
          <w:rFonts w:asciiTheme="minorEastAsia" w:eastAsiaTheme="minorEastAsia" w:hAnsiTheme="minorEastAsia" w:cs="宋体"/>
          <w:color w:val="000000" w:themeColor="text1"/>
          <w:kern w:val="0"/>
          <w:szCs w:val="21"/>
        </w:rPr>
      </w:pPr>
      <w:r w:rsidRPr="00054588">
        <w:rPr>
          <w:rFonts w:asciiTheme="minorEastAsia" w:eastAsiaTheme="minorEastAsia" w:hAnsiTheme="minorEastAsia" w:cs="宋体"/>
          <w:color w:val="000000" w:themeColor="text1"/>
          <w:kern w:val="0"/>
          <w:szCs w:val="21"/>
        </w:rPr>
        <w:t>净</w:t>
      </w:r>
      <w:r w:rsidRPr="00054588">
        <w:rPr>
          <w:rFonts w:asciiTheme="minorEastAsia" w:eastAsiaTheme="minorEastAsia" w:hAnsiTheme="minorEastAsia" w:cs="宋体" w:hint="eastAsia"/>
          <w:color w:val="000000" w:themeColor="text1"/>
          <w:kern w:val="0"/>
          <w:szCs w:val="21"/>
        </w:rPr>
        <w:t>申</w:t>
      </w:r>
      <w:r w:rsidRPr="00054588">
        <w:rPr>
          <w:rFonts w:asciiTheme="minorEastAsia" w:eastAsiaTheme="minorEastAsia" w:hAnsiTheme="minorEastAsia" w:cs="宋体"/>
          <w:color w:val="000000" w:themeColor="text1"/>
          <w:kern w:val="0"/>
          <w:szCs w:val="21"/>
        </w:rPr>
        <w:t>购金额</w:t>
      </w:r>
      <w:r w:rsidRPr="00054588">
        <w:rPr>
          <w:rFonts w:asciiTheme="minorEastAsia" w:eastAsiaTheme="minorEastAsia" w:hAnsiTheme="minorEastAsia" w:cs="宋体" w:hint="eastAsia"/>
          <w:color w:val="000000" w:themeColor="text1"/>
          <w:kern w:val="0"/>
          <w:szCs w:val="21"/>
        </w:rPr>
        <w:t>=</w:t>
      </w:r>
      <w:r w:rsidRPr="00054588">
        <w:rPr>
          <w:rFonts w:asciiTheme="minorEastAsia" w:eastAsiaTheme="minorEastAsia" w:hAnsiTheme="minorEastAsia" w:hint="eastAsia"/>
          <w:color w:val="000000" w:themeColor="text1"/>
          <w:szCs w:val="21"/>
        </w:rPr>
        <w:t>10</w:t>
      </w:r>
      <w:r w:rsidRPr="00054588" w:rsidR="00065CF9">
        <w:rPr>
          <w:rFonts w:asciiTheme="minorEastAsia" w:eastAsiaTheme="minorEastAsia" w:hAnsiTheme="minorEastAsia" w:hint="eastAsia"/>
          <w:color w:val="000000" w:themeColor="text1"/>
          <w:szCs w:val="21"/>
        </w:rPr>
        <w:t>0</w:t>
      </w:r>
      <w:r w:rsidRPr="00054588">
        <w:rPr>
          <w:rFonts w:asciiTheme="minorEastAsia" w:eastAsiaTheme="minorEastAsia" w:hAnsiTheme="minorEastAsia" w:hint="eastAsia"/>
          <w:color w:val="000000" w:themeColor="text1"/>
          <w:szCs w:val="21"/>
        </w:rPr>
        <w:t>,000-79.</w:t>
      </w:r>
      <w:r w:rsidRPr="00054588" w:rsidR="00065CF9">
        <w:rPr>
          <w:rFonts w:asciiTheme="minorEastAsia" w:eastAsiaTheme="minorEastAsia" w:hAnsiTheme="minorEastAsia" w:hint="eastAsia"/>
          <w:color w:val="000000" w:themeColor="text1"/>
          <w:szCs w:val="21"/>
        </w:rPr>
        <w:t>94</w:t>
      </w:r>
      <w:r w:rsidRPr="00054588">
        <w:rPr>
          <w:rFonts w:asciiTheme="minorEastAsia" w:eastAsiaTheme="minorEastAsia" w:hAnsiTheme="minorEastAsia" w:hint="eastAsia"/>
          <w:color w:val="000000" w:themeColor="text1"/>
          <w:szCs w:val="21"/>
        </w:rPr>
        <w:t>=9</w:t>
      </w:r>
      <w:r w:rsidRPr="00054588" w:rsidR="00065CF9">
        <w:rPr>
          <w:rFonts w:asciiTheme="minorEastAsia" w:eastAsiaTheme="minorEastAsia" w:hAnsiTheme="minorEastAsia" w:hint="eastAsia"/>
          <w:color w:val="000000" w:themeColor="text1"/>
          <w:szCs w:val="21"/>
        </w:rPr>
        <w:t>9</w:t>
      </w:r>
      <w:r w:rsidRPr="00054588">
        <w:rPr>
          <w:rFonts w:asciiTheme="minorEastAsia" w:eastAsiaTheme="minorEastAsia" w:hAnsiTheme="minorEastAsia" w:hint="eastAsia"/>
          <w:color w:val="000000" w:themeColor="text1"/>
          <w:szCs w:val="21"/>
        </w:rPr>
        <w:t>,920.</w:t>
      </w:r>
      <w:r w:rsidRPr="00054588" w:rsidR="00065CF9">
        <w:rPr>
          <w:rFonts w:asciiTheme="minorEastAsia" w:eastAsiaTheme="minorEastAsia" w:hAnsiTheme="minorEastAsia" w:hint="eastAsia"/>
          <w:color w:val="000000" w:themeColor="text1"/>
          <w:szCs w:val="21"/>
        </w:rPr>
        <w:t>06</w:t>
      </w:r>
      <w:r w:rsidRPr="00054588">
        <w:rPr>
          <w:rFonts w:asciiTheme="minorEastAsia" w:eastAsiaTheme="minorEastAsia" w:hAnsiTheme="minorEastAsia" w:hint="eastAsia"/>
          <w:color w:val="000000" w:themeColor="text1"/>
          <w:szCs w:val="21"/>
        </w:rPr>
        <w:t>元</w:t>
      </w:r>
    </w:p>
    <w:p w:rsidR="00E035E7" w:rsidRPr="00054588" w:rsidP="0071223F">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申购份额=9</w:t>
      </w:r>
      <w:r w:rsidRPr="00054588" w:rsidR="00065CF9">
        <w:rPr>
          <w:rFonts w:asciiTheme="minorEastAsia" w:eastAsiaTheme="minorEastAsia" w:hAnsiTheme="minorEastAsia" w:hint="eastAsia"/>
          <w:color w:val="000000" w:themeColor="text1"/>
        </w:rPr>
        <w:t>9</w:t>
      </w:r>
      <w:r w:rsidRPr="00054588">
        <w:rPr>
          <w:rFonts w:asciiTheme="minorEastAsia" w:eastAsiaTheme="minorEastAsia" w:hAnsiTheme="minorEastAsia" w:hint="eastAsia"/>
          <w:color w:val="000000" w:themeColor="text1"/>
        </w:rPr>
        <w:t>,920.</w:t>
      </w:r>
      <w:r w:rsidRPr="00054588" w:rsidR="00065CF9">
        <w:rPr>
          <w:rFonts w:asciiTheme="minorEastAsia" w:eastAsiaTheme="minorEastAsia" w:hAnsiTheme="minorEastAsia" w:hint="eastAsia"/>
          <w:color w:val="000000" w:themeColor="text1"/>
        </w:rPr>
        <w:t>06</w:t>
      </w:r>
      <w:r w:rsidRPr="00054588">
        <w:rPr>
          <w:rFonts w:asciiTheme="minorEastAsia" w:eastAsiaTheme="minorEastAsia" w:hAnsiTheme="minorEastAsia" w:hint="eastAsia"/>
          <w:color w:val="000000" w:themeColor="text1"/>
        </w:rPr>
        <w:t>/2.000=4</w:t>
      </w:r>
      <w:r w:rsidRPr="00054588" w:rsidR="00065CF9">
        <w:rPr>
          <w:rFonts w:asciiTheme="minorEastAsia" w:eastAsiaTheme="minorEastAsia" w:hAnsiTheme="minorEastAsia" w:hint="eastAsia"/>
          <w:color w:val="000000" w:themeColor="text1"/>
        </w:rPr>
        <w:t>9</w:t>
      </w:r>
      <w:r w:rsidRPr="00054588">
        <w:rPr>
          <w:rFonts w:asciiTheme="minorEastAsia" w:eastAsiaTheme="minorEastAsia" w:hAnsiTheme="minorEastAsia" w:hint="eastAsia"/>
          <w:color w:val="000000" w:themeColor="text1"/>
        </w:rPr>
        <w:t>,960.</w:t>
      </w:r>
      <w:r w:rsidRPr="00054588" w:rsidR="00065CF9">
        <w:rPr>
          <w:rFonts w:asciiTheme="minorEastAsia" w:eastAsiaTheme="minorEastAsia" w:hAnsiTheme="minorEastAsia" w:hint="eastAsia"/>
          <w:color w:val="000000" w:themeColor="text1"/>
        </w:rPr>
        <w:t>03</w:t>
      </w:r>
      <w:r w:rsidRPr="00054588">
        <w:rPr>
          <w:rFonts w:asciiTheme="minorEastAsia" w:eastAsiaTheme="minorEastAsia" w:hAnsiTheme="minorEastAsia" w:hint="eastAsia"/>
          <w:color w:val="000000" w:themeColor="text1"/>
        </w:rPr>
        <w:t>份</w:t>
      </w:r>
    </w:p>
    <w:p w:rsidR="007228CC" w:rsidRPr="00054588" w:rsidP="00A138B5">
      <w:pPr>
        <w:widowControl/>
        <w:adjustRightInd w:val="0"/>
        <w:snapToGrid w:val="0"/>
        <w:spacing w:line="360" w:lineRule="auto"/>
        <w:ind w:firstLine="420"/>
        <w:jc w:val="left"/>
        <w:rPr>
          <w:rFonts w:asciiTheme="minorEastAsia" w:eastAsiaTheme="minorEastAsia" w:hAnsiTheme="minorEastAsia" w:cs="宋体"/>
          <w:color w:val="000000" w:themeColor="text1"/>
          <w:kern w:val="0"/>
          <w:szCs w:val="21"/>
        </w:rPr>
      </w:pPr>
      <w:r w:rsidRPr="00054588">
        <w:rPr>
          <w:rFonts w:asciiTheme="minorEastAsia" w:eastAsiaTheme="minorEastAsia" w:hAnsiTheme="minorEastAsia" w:cs="宋体" w:hint="eastAsia"/>
          <w:color w:val="000000" w:themeColor="text1"/>
          <w:kern w:val="0"/>
          <w:szCs w:val="21"/>
        </w:rPr>
        <w:t>(2)B类基金份额申购份额的计算</w:t>
      </w:r>
    </w:p>
    <w:p w:rsidR="007228CC" w:rsidRPr="00054588" w:rsidP="0071223F">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申购份额＝申购金额／T日基金份额净值</w:t>
      </w:r>
    </w:p>
    <w:p w:rsidR="007228CC" w:rsidRPr="00054588" w:rsidP="0071223F">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例</w:t>
      </w:r>
      <w:r w:rsidRPr="00054588" w:rsidR="00065CF9">
        <w:rPr>
          <w:rFonts w:asciiTheme="minorEastAsia" w:eastAsiaTheme="minorEastAsia" w:hAnsiTheme="minorEastAsia" w:hint="eastAsia"/>
          <w:color w:val="000000" w:themeColor="text1"/>
        </w:rPr>
        <w:t>三</w:t>
      </w:r>
      <w:r w:rsidRPr="00054588">
        <w:rPr>
          <w:rFonts w:asciiTheme="minorEastAsia" w:eastAsiaTheme="minorEastAsia" w:hAnsiTheme="minorEastAsia" w:hint="eastAsia"/>
          <w:color w:val="000000" w:themeColor="text1"/>
        </w:rPr>
        <w:t>：假定投资者在T日申购10,000元B类基金份额,T日B类基金份额净值为2.000元，则其可得到的申购份额计算方法为：</w:t>
      </w:r>
    </w:p>
    <w:p w:rsidR="007228CC" w:rsidRPr="00054588" w:rsidP="0071223F">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申购份额=10,000/2.000=5,000份</w:t>
      </w:r>
    </w:p>
    <w:p w:rsidR="007228CC" w:rsidRPr="00054588" w:rsidP="0071223F">
      <w:pPr>
        <w:autoSpaceDE w:val="0"/>
        <w:autoSpaceDN w:val="0"/>
        <w:adjustRightInd w:val="0"/>
        <w:snapToGrid w:val="0"/>
        <w:spacing w:line="360" w:lineRule="auto"/>
        <w:ind w:firstLine="420"/>
        <w:jc w:val="left"/>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rPr>
        <w:t>以上计算结果按</w:t>
      </w:r>
      <w:r w:rsidRPr="00054588">
        <w:rPr>
          <w:rFonts w:asciiTheme="minorEastAsia" w:eastAsiaTheme="minorEastAsia" w:hAnsiTheme="minorEastAsia" w:hint="eastAsia"/>
          <w:color w:val="000000" w:themeColor="text1"/>
          <w:szCs w:val="21"/>
        </w:rPr>
        <w:t>四舍五入方法，保留到小数点后两位，</w:t>
      </w:r>
      <w:r w:rsidRPr="00054588">
        <w:rPr>
          <w:rFonts w:asciiTheme="minorEastAsia" w:eastAsiaTheme="minorEastAsia" w:hAnsiTheme="minorEastAsia"/>
          <w:color w:val="000000" w:themeColor="text1"/>
          <w:szCs w:val="21"/>
        </w:rPr>
        <w:t>由此产生的</w:t>
      </w:r>
      <w:r w:rsidRPr="00054588">
        <w:rPr>
          <w:rFonts w:asciiTheme="minorEastAsia" w:eastAsiaTheme="minorEastAsia" w:hAnsiTheme="minorEastAsia" w:hint="eastAsia"/>
          <w:color w:val="000000" w:themeColor="text1"/>
          <w:szCs w:val="21"/>
        </w:rPr>
        <w:t>收益或</w:t>
      </w:r>
      <w:r w:rsidRPr="00054588">
        <w:rPr>
          <w:rFonts w:asciiTheme="minorEastAsia" w:eastAsiaTheme="minorEastAsia" w:hAnsiTheme="minorEastAsia"/>
          <w:color w:val="000000" w:themeColor="text1"/>
          <w:szCs w:val="21"/>
        </w:rPr>
        <w:t>损失由基金财产承担。</w:t>
      </w:r>
    </w:p>
    <w:p w:rsidR="007228CC" w:rsidRPr="00054588" w:rsidP="0071223F">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2、基金赎回金额的计算</w:t>
      </w:r>
    </w:p>
    <w:p w:rsidR="007228CC" w:rsidRPr="00054588" w:rsidP="0071223F">
      <w:pPr>
        <w:widowControl/>
        <w:adjustRightInd w:val="0"/>
        <w:snapToGrid w:val="0"/>
        <w:spacing w:line="360" w:lineRule="auto"/>
        <w:ind w:firstLine="420"/>
        <w:jc w:val="left"/>
        <w:rPr>
          <w:rFonts w:asciiTheme="minorEastAsia" w:eastAsiaTheme="minorEastAsia" w:hAnsiTheme="minorEastAsia" w:cs="宋体"/>
          <w:color w:val="000000" w:themeColor="text1"/>
          <w:kern w:val="0"/>
          <w:szCs w:val="21"/>
        </w:rPr>
      </w:pPr>
      <w:r w:rsidRPr="00054588">
        <w:rPr>
          <w:rFonts w:asciiTheme="minorEastAsia" w:eastAsiaTheme="minorEastAsia" w:hAnsiTheme="minorEastAsia" w:cs="宋体" w:hint="eastAsia"/>
          <w:color w:val="000000" w:themeColor="text1"/>
          <w:kern w:val="0"/>
          <w:szCs w:val="21"/>
        </w:rPr>
        <w:t>（1）A类基金份额赎回金额的计算</w:t>
      </w:r>
    </w:p>
    <w:p w:rsidR="007228CC" w:rsidRPr="00054588" w:rsidP="0071223F">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本基金的赎回金额为赎回总额扣减赎回费用，其中：</w:t>
      </w:r>
    </w:p>
    <w:p w:rsidR="007228CC" w:rsidRPr="00054588" w:rsidP="0071223F">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赎回总额=赎回数量</w:t>
      </w:r>
      <w:r w:rsidRPr="00054588">
        <w:rPr>
          <w:rFonts w:ascii="Symbol" w:hAnsi="Symbol" w:eastAsiaTheme="minorEastAsia"/>
          <w:color w:val="000000" w:themeColor="text1"/>
        </w:rPr>
        <w:sym w:font="Symbol" w:char="F0B4"/>
      </w:r>
      <w:r w:rsidRPr="00054588">
        <w:rPr>
          <w:rFonts w:asciiTheme="minorEastAsia" w:eastAsiaTheme="minorEastAsia" w:hAnsiTheme="minorEastAsia" w:hint="eastAsia"/>
          <w:color w:val="000000" w:themeColor="text1"/>
        </w:rPr>
        <w:t>T日基金份额净值</w:t>
      </w:r>
    </w:p>
    <w:p w:rsidR="007228CC" w:rsidRPr="00054588" w:rsidP="0071223F">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赎回费用=赎回总额</w:t>
      </w:r>
      <w:r w:rsidRPr="00054588">
        <w:rPr>
          <w:rFonts w:ascii="Symbol" w:hAnsi="Symbol" w:eastAsiaTheme="minorEastAsia"/>
          <w:color w:val="000000" w:themeColor="text1"/>
        </w:rPr>
        <w:sym w:font="Symbol" w:char="F0B4"/>
      </w:r>
      <w:r w:rsidRPr="00054588">
        <w:rPr>
          <w:rFonts w:asciiTheme="minorEastAsia" w:eastAsiaTheme="minorEastAsia" w:hAnsiTheme="minorEastAsia" w:hint="eastAsia"/>
          <w:color w:val="000000" w:themeColor="text1"/>
        </w:rPr>
        <w:t>赎回费率</w:t>
      </w:r>
    </w:p>
    <w:p w:rsidR="007228CC" w:rsidRPr="00054588" w:rsidP="0071223F">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赎回金额=赎回总额</w:t>
      </w:r>
      <w:r w:rsidRPr="00054588">
        <w:rPr>
          <w:rFonts w:ascii="Symbol" w:hAnsi="Symbol" w:eastAsiaTheme="minorEastAsia"/>
          <w:color w:val="000000" w:themeColor="text1"/>
        </w:rPr>
        <w:sym w:font="Symbol" w:char="F02D"/>
      </w:r>
      <w:r w:rsidRPr="00054588">
        <w:rPr>
          <w:rFonts w:asciiTheme="minorEastAsia" w:eastAsiaTheme="minorEastAsia" w:hAnsiTheme="minorEastAsia" w:hint="eastAsia"/>
          <w:color w:val="000000" w:themeColor="text1"/>
        </w:rPr>
        <w:t>赎回费用</w:t>
      </w:r>
    </w:p>
    <w:p w:rsidR="007228CC" w:rsidRPr="00054588" w:rsidP="0071223F">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例</w:t>
      </w:r>
      <w:r w:rsidRPr="00054588" w:rsidR="00065CF9">
        <w:rPr>
          <w:rFonts w:asciiTheme="minorEastAsia" w:eastAsiaTheme="minorEastAsia" w:hAnsiTheme="minorEastAsia" w:hint="eastAsia"/>
          <w:color w:val="000000" w:themeColor="text1"/>
        </w:rPr>
        <w:t>四</w:t>
      </w:r>
      <w:r w:rsidRPr="00054588">
        <w:rPr>
          <w:rFonts w:asciiTheme="minorEastAsia" w:eastAsiaTheme="minorEastAsia" w:hAnsiTheme="minorEastAsia" w:hint="eastAsia"/>
          <w:color w:val="000000" w:themeColor="text1"/>
        </w:rPr>
        <w:t>：假定某投资者在T日赎回10</w:t>
      </w:r>
      <w:r w:rsidRPr="00054588">
        <w:rPr>
          <w:rFonts w:asciiTheme="minorEastAsia" w:eastAsiaTheme="minorEastAsia" w:hAnsiTheme="minorEastAsia"/>
          <w:color w:val="000000" w:themeColor="text1"/>
        </w:rPr>
        <w:t>,000</w:t>
      </w:r>
      <w:r w:rsidRPr="00054588">
        <w:rPr>
          <w:rFonts w:asciiTheme="minorEastAsia" w:eastAsiaTheme="minorEastAsia" w:hAnsiTheme="minorEastAsia" w:hint="eastAsia"/>
          <w:color w:val="000000" w:themeColor="text1"/>
        </w:rPr>
        <w:t>份A类基金份额，持有时间为100天，T日A类基金份额净值为2.000元,则其获得的赎回金额计算如下:</w:t>
      </w:r>
    </w:p>
    <w:p w:rsidR="007228CC" w:rsidRPr="00054588" w:rsidP="0071223F">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赎回总额=10,000</w:t>
      </w:r>
      <w:r w:rsidRPr="00054588">
        <w:rPr>
          <w:rFonts w:ascii="Symbol" w:hAnsi="Symbol" w:eastAsiaTheme="minorEastAsia"/>
          <w:color w:val="000000" w:themeColor="text1"/>
        </w:rPr>
        <w:sym w:font="Symbol" w:char="F0B4"/>
      </w:r>
      <w:r w:rsidRPr="00054588">
        <w:rPr>
          <w:rFonts w:asciiTheme="minorEastAsia" w:eastAsiaTheme="minorEastAsia" w:hAnsiTheme="minorEastAsia" w:hint="eastAsia"/>
          <w:color w:val="000000" w:themeColor="text1"/>
        </w:rPr>
        <w:t>2.000=20,000.00元</w:t>
      </w:r>
    </w:p>
    <w:p w:rsidR="007228CC" w:rsidRPr="00054588" w:rsidP="0071223F">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赎回费用=20,000.00</w:t>
      </w:r>
      <w:r w:rsidRPr="00054588">
        <w:rPr>
          <w:rFonts w:ascii="Symbol" w:hAnsi="Symbol" w:eastAsiaTheme="minorEastAsia"/>
          <w:color w:val="000000" w:themeColor="text1"/>
        </w:rPr>
        <w:sym w:font="Symbol" w:char="F0B4"/>
      </w:r>
      <w:r w:rsidRPr="00054588">
        <w:rPr>
          <w:rFonts w:asciiTheme="minorEastAsia" w:eastAsiaTheme="minorEastAsia" w:hAnsiTheme="minorEastAsia" w:hint="eastAsia"/>
          <w:color w:val="000000" w:themeColor="text1"/>
        </w:rPr>
        <w:t>0.1%=20.00元</w:t>
      </w:r>
    </w:p>
    <w:p w:rsidR="007228CC" w:rsidRPr="00054588" w:rsidP="0071223F">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赎回金额=20,000.00</w:t>
      </w:r>
      <w:r w:rsidRPr="00054588">
        <w:rPr>
          <w:rFonts w:ascii="Symbol" w:hAnsi="Symbol" w:eastAsiaTheme="minorEastAsia"/>
          <w:color w:val="000000" w:themeColor="text1"/>
        </w:rPr>
        <w:sym w:font="Symbol" w:char="F02D"/>
      </w:r>
      <w:r w:rsidRPr="00054588">
        <w:rPr>
          <w:rFonts w:asciiTheme="minorEastAsia" w:eastAsiaTheme="minorEastAsia" w:hAnsiTheme="minorEastAsia" w:hint="eastAsia"/>
          <w:color w:val="000000" w:themeColor="text1"/>
        </w:rPr>
        <w:t>20.00=19,980.00元</w:t>
      </w:r>
    </w:p>
    <w:p w:rsidR="00154B54" w:rsidRPr="00054588" w:rsidP="00154B54">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例五</w:t>
      </w:r>
      <w:r w:rsidRPr="00054588">
        <w:rPr>
          <w:rFonts w:asciiTheme="minorEastAsia" w:eastAsiaTheme="minorEastAsia" w:hAnsiTheme="minorEastAsia"/>
          <w:color w:val="000000" w:themeColor="text1"/>
        </w:rPr>
        <w:t>：</w:t>
      </w:r>
      <w:r w:rsidRPr="00054588">
        <w:rPr>
          <w:rFonts w:asciiTheme="minorEastAsia" w:eastAsiaTheme="minorEastAsia" w:hAnsiTheme="minorEastAsia" w:hint="eastAsia"/>
          <w:color w:val="000000" w:themeColor="text1"/>
        </w:rPr>
        <w:t>假定某投资者在T日赎回10</w:t>
      </w:r>
      <w:r w:rsidRPr="00054588">
        <w:rPr>
          <w:rFonts w:asciiTheme="minorEastAsia" w:eastAsiaTheme="minorEastAsia" w:hAnsiTheme="minorEastAsia"/>
          <w:color w:val="000000" w:themeColor="text1"/>
        </w:rPr>
        <w:t>,000</w:t>
      </w:r>
      <w:r w:rsidRPr="00054588">
        <w:rPr>
          <w:rFonts w:asciiTheme="minorEastAsia" w:eastAsiaTheme="minorEastAsia" w:hAnsiTheme="minorEastAsia" w:hint="eastAsia"/>
          <w:color w:val="000000" w:themeColor="text1"/>
        </w:rPr>
        <w:t>份A类基金份额，持有时间为</w:t>
      </w:r>
      <w:r w:rsidRPr="00054588">
        <w:rPr>
          <w:rFonts w:asciiTheme="minorEastAsia" w:eastAsiaTheme="minorEastAsia" w:hAnsiTheme="minorEastAsia"/>
          <w:color w:val="000000" w:themeColor="text1"/>
        </w:rPr>
        <w:t>6</w:t>
      </w:r>
      <w:r w:rsidRPr="00054588">
        <w:rPr>
          <w:rFonts w:asciiTheme="minorEastAsia" w:eastAsiaTheme="minorEastAsia" w:hAnsiTheme="minorEastAsia" w:hint="eastAsia"/>
          <w:color w:val="000000" w:themeColor="text1"/>
        </w:rPr>
        <w:t>天，T日A类基金份额净值为2.000元,则其获得的赎回金额计算如下:</w:t>
      </w:r>
    </w:p>
    <w:p w:rsidR="00154B54" w:rsidRPr="00054588" w:rsidP="00154B54">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赎回总额=10,000</w:t>
      </w:r>
      <w:r w:rsidRPr="00054588">
        <w:rPr>
          <w:rFonts w:ascii="Symbol" w:hAnsi="Symbol" w:eastAsiaTheme="minorEastAsia"/>
          <w:color w:val="000000" w:themeColor="text1"/>
        </w:rPr>
        <w:sym w:font="Symbol" w:char="F0B4"/>
      </w:r>
      <w:r w:rsidRPr="00054588">
        <w:rPr>
          <w:rFonts w:asciiTheme="minorEastAsia" w:eastAsiaTheme="minorEastAsia" w:hAnsiTheme="minorEastAsia" w:hint="eastAsia"/>
          <w:color w:val="000000" w:themeColor="text1"/>
        </w:rPr>
        <w:t>2.000=20,000.00元</w:t>
      </w:r>
    </w:p>
    <w:p w:rsidR="00154B54" w:rsidRPr="00054588" w:rsidP="00154B54">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赎回费用=20,000.00</w:t>
      </w:r>
      <w:r w:rsidRPr="00054588">
        <w:rPr>
          <w:rFonts w:ascii="Symbol" w:hAnsi="Symbol" w:eastAsiaTheme="minorEastAsia"/>
          <w:color w:val="000000" w:themeColor="text1"/>
        </w:rPr>
        <w:sym w:font="Symbol" w:char="F0B4"/>
      </w:r>
      <w:r w:rsidRPr="00054588">
        <w:rPr>
          <w:rFonts w:asciiTheme="minorEastAsia" w:eastAsiaTheme="minorEastAsia" w:hAnsiTheme="minorEastAsia"/>
          <w:color w:val="000000" w:themeColor="text1"/>
        </w:rPr>
        <w:t>1.5</w:t>
      </w:r>
      <w:r w:rsidRPr="00054588">
        <w:rPr>
          <w:rFonts w:asciiTheme="minorEastAsia" w:eastAsiaTheme="minorEastAsia" w:hAnsiTheme="minorEastAsia" w:hint="eastAsia"/>
          <w:color w:val="000000" w:themeColor="text1"/>
        </w:rPr>
        <w:t>%=</w:t>
      </w:r>
      <w:r w:rsidRPr="00054588">
        <w:rPr>
          <w:rFonts w:asciiTheme="minorEastAsia" w:eastAsiaTheme="minorEastAsia" w:hAnsiTheme="minorEastAsia"/>
          <w:color w:val="000000" w:themeColor="text1"/>
        </w:rPr>
        <w:t>300</w:t>
      </w:r>
      <w:r w:rsidRPr="00054588">
        <w:rPr>
          <w:rFonts w:asciiTheme="minorEastAsia" w:eastAsiaTheme="minorEastAsia" w:hAnsiTheme="minorEastAsia" w:hint="eastAsia"/>
          <w:color w:val="000000" w:themeColor="text1"/>
        </w:rPr>
        <w:t>.00元</w:t>
      </w:r>
    </w:p>
    <w:p w:rsidR="00154B54" w:rsidRPr="00054588" w:rsidP="00154B54">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赎回金额=20,000.00</w:t>
      </w:r>
      <w:r w:rsidRPr="00054588">
        <w:rPr>
          <w:rFonts w:ascii="Symbol" w:hAnsi="Symbol" w:eastAsiaTheme="minorEastAsia"/>
          <w:color w:val="000000" w:themeColor="text1"/>
        </w:rPr>
        <w:sym w:font="Symbol" w:char="F02D"/>
      </w:r>
      <w:r w:rsidRPr="00054588">
        <w:rPr>
          <w:rFonts w:asciiTheme="minorEastAsia" w:eastAsiaTheme="minorEastAsia" w:hAnsiTheme="minorEastAsia"/>
          <w:color w:val="000000" w:themeColor="text1"/>
        </w:rPr>
        <w:t>300</w:t>
      </w:r>
      <w:r w:rsidRPr="00054588">
        <w:rPr>
          <w:rFonts w:asciiTheme="minorEastAsia" w:eastAsiaTheme="minorEastAsia" w:hAnsiTheme="minorEastAsia" w:hint="eastAsia"/>
          <w:color w:val="000000" w:themeColor="text1"/>
        </w:rPr>
        <w:t>.00=19,</w:t>
      </w:r>
      <w:r w:rsidRPr="00054588">
        <w:rPr>
          <w:rFonts w:asciiTheme="minorEastAsia" w:eastAsiaTheme="minorEastAsia" w:hAnsiTheme="minorEastAsia"/>
          <w:color w:val="000000" w:themeColor="text1"/>
        </w:rPr>
        <w:t>70</w:t>
      </w:r>
      <w:r w:rsidRPr="00054588">
        <w:rPr>
          <w:rFonts w:asciiTheme="minorEastAsia" w:eastAsiaTheme="minorEastAsia" w:hAnsiTheme="minorEastAsia" w:hint="eastAsia"/>
          <w:color w:val="000000" w:themeColor="text1"/>
        </w:rPr>
        <w:t>0.00元</w:t>
      </w:r>
    </w:p>
    <w:p w:rsidR="007228CC" w:rsidRPr="00054588" w:rsidP="0071223F">
      <w:pPr>
        <w:widowControl/>
        <w:adjustRightInd w:val="0"/>
        <w:snapToGrid w:val="0"/>
        <w:spacing w:line="360" w:lineRule="auto"/>
        <w:ind w:firstLine="420"/>
        <w:jc w:val="left"/>
        <w:rPr>
          <w:rFonts w:asciiTheme="minorEastAsia" w:eastAsiaTheme="minorEastAsia" w:hAnsiTheme="minorEastAsia" w:cs="宋体"/>
          <w:color w:val="000000" w:themeColor="text1"/>
          <w:kern w:val="0"/>
          <w:szCs w:val="21"/>
        </w:rPr>
      </w:pPr>
      <w:r w:rsidRPr="00054588">
        <w:rPr>
          <w:rFonts w:asciiTheme="minorEastAsia" w:eastAsiaTheme="minorEastAsia" w:hAnsiTheme="minorEastAsia" w:cs="宋体" w:hint="eastAsia"/>
          <w:color w:val="000000" w:themeColor="text1"/>
          <w:kern w:val="0"/>
          <w:szCs w:val="21"/>
        </w:rPr>
        <w:t>（2）B类基金份额赎回金额的计算</w:t>
      </w:r>
    </w:p>
    <w:p w:rsidR="007228CC" w:rsidRPr="00054588" w:rsidP="0071223F">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赎回金额=赎回份额×T日基金份额净值</w:t>
      </w:r>
    </w:p>
    <w:p w:rsidR="007228CC" w:rsidRPr="00054588" w:rsidP="0071223F">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例六：假定某投资者在T日赎回10</w:t>
      </w:r>
      <w:r w:rsidRPr="00054588">
        <w:rPr>
          <w:rFonts w:asciiTheme="minorEastAsia" w:eastAsiaTheme="minorEastAsia" w:hAnsiTheme="minorEastAsia"/>
          <w:color w:val="000000" w:themeColor="text1"/>
        </w:rPr>
        <w:t>,000</w:t>
      </w:r>
      <w:r w:rsidRPr="00054588">
        <w:rPr>
          <w:rFonts w:asciiTheme="minorEastAsia" w:eastAsiaTheme="minorEastAsia" w:hAnsiTheme="minorEastAsia" w:hint="eastAsia"/>
          <w:color w:val="000000" w:themeColor="text1"/>
        </w:rPr>
        <w:t>份B类基金份额，持有时间为100天，T日B类基金份额净值为2.000元，则其获得的赎回金额计算如下：</w:t>
      </w:r>
    </w:p>
    <w:p w:rsidR="007228CC" w:rsidRPr="00054588" w:rsidP="0071223F">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赎回金额=</w:t>
      </w:r>
      <w:r w:rsidRPr="00054588">
        <w:rPr>
          <w:rFonts w:asciiTheme="minorEastAsia" w:eastAsiaTheme="minorEastAsia" w:hAnsiTheme="minorEastAsia"/>
          <w:color w:val="000000" w:themeColor="text1"/>
        </w:rPr>
        <w:t>10</w:t>
      </w:r>
      <w:r w:rsidRPr="00054588">
        <w:rPr>
          <w:rFonts w:asciiTheme="minorEastAsia" w:eastAsiaTheme="minorEastAsia" w:hAnsiTheme="minorEastAsia" w:hint="eastAsia"/>
          <w:color w:val="000000" w:themeColor="text1"/>
        </w:rPr>
        <w:t>,</w:t>
      </w:r>
      <w:r w:rsidRPr="00054588">
        <w:rPr>
          <w:rFonts w:asciiTheme="minorEastAsia" w:eastAsiaTheme="minorEastAsia" w:hAnsiTheme="minorEastAsia"/>
          <w:color w:val="000000" w:themeColor="text1"/>
        </w:rPr>
        <w:t>000</w:t>
      </w:r>
      <w:r w:rsidRPr="00054588">
        <w:rPr>
          <w:rFonts w:asciiTheme="minorEastAsia" w:eastAsiaTheme="minorEastAsia" w:hAnsiTheme="minorEastAsia" w:hint="eastAsia"/>
          <w:color w:val="000000" w:themeColor="text1"/>
        </w:rPr>
        <w:t>×2.000=20,000.00元</w:t>
      </w:r>
    </w:p>
    <w:p w:rsidR="00154B54" w:rsidRPr="00054588" w:rsidP="0071223F">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例七</w:t>
      </w:r>
      <w:r w:rsidRPr="00054588">
        <w:rPr>
          <w:rFonts w:asciiTheme="minorEastAsia" w:eastAsiaTheme="minorEastAsia" w:hAnsiTheme="minorEastAsia"/>
          <w:color w:val="000000" w:themeColor="text1"/>
        </w:rPr>
        <w:t>：</w:t>
      </w:r>
      <w:r w:rsidRPr="00054588">
        <w:rPr>
          <w:rFonts w:asciiTheme="minorEastAsia" w:eastAsiaTheme="minorEastAsia" w:hAnsiTheme="minorEastAsia" w:hint="eastAsia"/>
          <w:color w:val="000000" w:themeColor="text1"/>
        </w:rPr>
        <w:t>假定某投资者在T日赎回10</w:t>
      </w:r>
      <w:r w:rsidRPr="00054588">
        <w:rPr>
          <w:rFonts w:asciiTheme="minorEastAsia" w:eastAsiaTheme="minorEastAsia" w:hAnsiTheme="minorEastAsia"/>
          <w:color w:val="000000" w:themeColor="text1"/>
        </w:rPr>
        <w:t>,000</w:t>
      </w:r>
      <w:r w:rsidRPr="00054588">
        <w:rPr>
          <w:rFonts w:asciiTheme="minorEastAsia" w:eastAsiaTheme="minorEastAsia" w:hAnsiTheme="minorEastAsia" w:hint="eastAsia"/>
          <w:color w:val="000000" w:themeColor="text1"/>
        </w:rPr>
        <w:t>份B类基金份额，持有时间为</w:t>
      </w:r>
      <w:r w:rsidRPr="00054588">
        <w:rPr>
          <w:rFonts w:asciiTheme="minorEastAsia" w:eastAsiaTheme="minorEastAsia" w:hAnsiTheme="minorEastAsia"/>
          <w:color w:val="000000" w:themeColor="text1"/>
        </w:rPr>
        <w:t>6</w:t>
      </w:r>
      <w:r w:rsidRPr="00054588">
        <w:rPr>
          <w:rFonts w:asciiTheme="minorEastAsia" w:eastAsiaTheme="minorEastAsia" w:hAnsiTheme="minorEastAsia" w:hint="eastAsia"/>
          <w:color w:val="000000" w:themeColor="text1"/>
        </w:rPr>
        <w:t>天，T日B类基金份额净值为2.000元，则其获得的赎回金额计算如下：</w:t>
      </w:r>
    </w:p>
    <w:p w:rsidR="00154B54" w:rsidRPr="00054588" w:rsidP="00154B54">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赎回总额=10,000</w:t>
      </w:r>
      <w:r w:rsidRPr="00054588">
        <w:rPr>
          <w:rFonts w:ascii="Symbol" w:hAnsi="Symbol" w:eastAsiaTheme="minorEastAsia"/>
          <w:color w:val="000000" w:themeColor="text1"/>
        </w:rPr>
        <w:sym w:font="Symbol" w:char="F0B4"/>
      </w:r>
      <w:r w:rsidRPr="00054588">
        <w:rPr>
          <w:rFonts w:asciiTheme="minorEastAsia" w:eastAsiaTheme="minorEastAsia" w:hAnsiTheme="minorEastAsia" w:hint="eastAsia"/>
          <w:color w:val="000000" w:themeColor="text1"/>
        </w:rPr>
        <w:t>2.000=20,000.00元</w:t>
      </w:r>
    </w:p>
    <w:p w:rsidR="00154B54" w:rsidRPr="00054588" w:rsidP="00154B54">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赎回费用=20,000.00</w:t>
      </w:r>
      <w:r w:rsidRPr="00054588">
        <w:rPr>
          <w:rFonts w:ascii="Symbol" w:hAnsi="Symbol" w:eastAsiaTheme="minorEastAsia"/>
          <w:color w:val="000000" w:themeColor="text1"/>
        </w:rPr>
        <w:sym w:font="Symbol" w:char="F0B4"/>
      </w:r>
      <w:r w:rsidRPr="00054588">
        <w:rPr>
          <w:rFonts w:asciiTheme="minorEastAsia" w:eastAsiaTheme="minorEastAsia" w:hAnsiTheme="minorEastAsia"/>
          <w:color w:val="000000" w:themeColor="text1"/>
        </w:rPr>
        <w:t>1.5</w:t>
      </w:r>
      <w:r w:rsidRPr="00054588">
        <w:rPr>
          <w:rFonts w:asciiTheme="minorEastAsia" w:eastAsiaTheme="minorEastAsia" w:hAnsiTheme="minorEastAsia" w:hint="eastAsia"/>
          <w:color w:val="000000" w:themeColor="text1"/>
        </w:rPr>
        <w:t>%=</w:t>
      </w:r>
      <w:r w:rsidRPr="00054588">
        <w:rPr>
          <w:rFonts w:asciiTheme="minorEastAsia" w:eastAsiaTheme="minorEastAsia" w:hAnsiTheme="minorEastAsia"/>
          <w:color w:val="000000" w:themeColor="text1"/>
        </w:rPr>
        <w:t>300</w:t>
      </w:r>
      <w:r w:rsidRPr="00054588">
        <w:rPr>
          <w:rFonts w:asciiTheme="minorEastAsia" w:eastAsiaTheme="minorEastAsia" w:hAnsiTheme="minorEastAsia" w:hint="eastAsia"/>
          <w:color w:val="000000" w:themeColor="text1"/>
        </w:rPr>
        <w:t>.00元</w:t>
      </w:r>
    </w:p>
    <w:p w:rsidR="00154B54" w:rsidRPr="00054588" w:rsidP="00154B54">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赎回金额=20,000.00</w:t>
      </w:r>
      <w:r w:rsidRPr="00054588">
        <w:rPr>
          <w:rFonts w:ascii="Symbol" w:hAnsi="Symbol" w:eastAsiaTheme="minorEastAsia"/>
          <w:color w:val="000000" w:themeColor="text1"/>
        </w:rPr>
        <w:sym w:font="Symbol" w:char="F02D"/>
      </w:r>
      <w:r w:rsidRPr="00054588">
        <w:rPr>
          <w:rFonts w:asciiTheme="minorEastAsia" w:eastAsiaTheme="minorEastAsia" w:hAnsiTheme="minorEastAsia"/>
          <w:color w:val="000000" w:themeColor="text1"/>
        </w:rPr>
        <w:t>300</w:t>
      </w:r>
      <w:r w:rsidRPr="00054588">
        <w:rPr>
          <w:rFonts w:asciiTheme="minorEastAsia" w:eastAsiaTheme="minorEastAsia" w:hAnsiTheme="minorEastAsia" w:hint="eastAsia"/>
          <w:color w:val="000000" w:themeColor="text1"/>
        </w:rPr>
        <w:t>.00=19,</w:t>
      </w:r>
      <w:r w:rsidRPr="00054588">
        <w:rPr>
          <w:rFonts w:asciiTheme="minorEastAsia" w:eastAsiaTheme="minorEastAsia" w:hAnsiTheme="minorEastAsia"/>
          <w:color w:val="000000" w:themeColor="text1"/>
        </w:rPr>
        <w:t>70</w:t>
      </w:r>
      <w:r w:rsidRPr="00054588">
        <w:rPr>
          <w:rFonts w:asciiTheme="minorEastAsia" w:eastAsiaTheme="minorEastAsia" w:hAnsiTheme="minorEastAsia" w:hint="eastAsia"/>
          <w:color w:val="000000" w:themeColor="text1"/>
        </w:rPr>
        <w:t>0.00元</w:t>
      </w:r>
    </w:p>
    <w:p w:rsidR="007228CC" w:rsidRPr="00054588" w:rsidP="0071223F">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上</w:t>
      </w:r>
      <w:r w:rsidRPr="00054588">
        <w:rPr>
          <w:rFonts w:asciiTheme="minorEastAsia" w:eastAsiaTheme="minorEastAsia" w:hAnsiTheme="minorEastAsia"/>
          <w:color w:val="000000" w:themeColor="text1"/>
        </w:rPr>
        <w:t>述计算结果均按四舍五入方法，保留</w:t>
      </w:r>
      <w:r w:rsidRPr="00054588">
        <w:rPr>
          <w:rFonts w:asciiTheme="minorEastAsia" w:eastAsiaTheme="minorEastAsia" w:hAnsiTheme="minorEastAsia" w:hint="eastAsia"/>
          <w:color w:val="000000" w:themeColor="text1"/>
        </w:rPr>
        <w:t>到</w:t>
      </w:r>
      <w:r w:rsidRPr="00054588">
        <w:rPr>
          <w:rFonts w:asciiTheme="minorEastAsia" w:eastAsiaTheme="minorEastAsia" w:hAnsiTheme="minorEastAsia"/>
          <w:color w:val="000000" w:themeColor="text1"/>
        </w:rPr>
        <w:t>小数点后两位</w:t>
      </w:r>
      <w:r w:rsidRPr="00054588">
        <w:rPr>
          <w:rFonts w:asciiTheme="minorEastAsia" w:eastAsiaTheme="minorEastAsia" w:hAnsiTheme="minorEastAsia" w:hint="eastAsia"/>
          <w:color w:val="000000" w:themeColor="text1"/>
        </w:rPr>
        <w:t>，</w:t>
      </w:r>
      <w:r w:rsidRPr="00054588">
        <w:rPr>
          <w:rFonts w:asciiTheme="minorEastAsia" w:eastAsiaTheme="minorEastAsia" w:hAnsiTheme="minorEastAsia"/>
          <w:color w:val="000000" w:themeColor="text1"/>
        </w:rPr>
        <w:t>由此产生的</w:t>
      </w:r>
      <w:r w:rsidRPr="00054588">
        <w:rPr>
          <w:rFonts w:asciiTheme="minorEastAsia" w:eastAsiaTheme="minorEastAsia" w:hAnsiTheme="minorEastAsia" w:hint="eastAsia"/>
          <w:color w:val="000000" w:themeColor="text1"/>
        </w:rPr>
        <w:t>收益或</w:t>
      </w:r>
      <w:r w:rsidRPr="00054588">
        <w:rPr>
          <w:rFonts w:asciiTheme="minorEastAsia" w:eastAsiaTheme="minorEastAsia" w:hAnsiTheme="minorEastAsia"/>
          <w:color w:val="000000" w:themeColor="text1"/>
        </w:rPr>
        <w:t>损失</w:t>
      </w:r>
      <w:r w:rsidRPr="00054588">
        <w:rPr>
          <w:rFonts w:asciiTheme="minorEastAsia" w:eastAsiaTheme="minorEastAsia" w:hAnsiTheme="minorEastAsia" w:hint="eastAsia"/>
          <w:color w:val="000000" w:themeColor="text1"/>
        </w:rPr>
        <w:t>归入</w:t>
      </w:r>
      <w:r w:rsidRPr="00054588">
        <w:rPr>
          <w:rFonts w:asciiTheme="minorEastAsia" w:eastAsiaTheme="minorEastAsia" w:hAnsiTheme="minorEastAsia"/>
          <w:color w:val="000000" w:themeColor="text1"/>
        </w:rPr>
        <w:t>基金财产</w:t>
      </w:r>
      <w:r w:rsidRPr="00054588">
        <w:rPr>
          <w:rFonts w:asciiTheme="minorEastAsia" w:eastAsiaTheme="minorEastAsia" w:hAnsiTheme="minorEastAsia" w:hint="eastAsia"/>
          <w:color w:val="000000" w:themeColor="text1"/>
        </w:rPr>
        <w:t>。</w:t>
      </w:r>
    </w:p>
    <w:p w:rsidR="007228CC" w:rsidRPr="00054588" w:rsidP="0071223F">
      <w:pPr>
        <w:snapToGrid w:val="0"/>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3</w:t>
      </w:r>
      <w:r w:rsidRPr="00054588" w:rsidR="002A7F91">
        <w:rPr>
          <w:rFonts w:asciiTheme="minorEastAsia" w:eastAsiaTheme="minorEastAsia" w:hAnsiTheme="minorEastAsia" w:hint="eastAsia"/>
          <w:color w:val="000000" w:themeColor="text1"/>
        </w:rPr>
        <w:t>、</w:t>
      </w:r>
      <w:r w:rsidRPr="00054588">
        <w:rPr>
          <w:rFonts w:asciiTheme="minorEastAsia" w:eastAsiaTheme="minorEastAsia" w:hAnsiTheme="minorEastAsia" w:hint="eastAsia"/>
          <w:color w:val="000000" w:themeColor="text1"/>
        </w:rPr>
        <w:t>T日的基金份额净值在当天收市后计算，并在T+1日内公告。遇特殊情况，可以适当延迟计算或公告。其计算公式为：计算日该级基金份额净值=计算日该级基金资产净值/计算日该级基金总份额。本基金份额净值的计算，保留到小数点后3位，小数点后第4位四舍五入</w:t>
      </w:r>
      <w:r w:rsidRPr="00054588">
        <w:rPr>
          <w:rFonts w:asciiTheme="minorEastAsia" w:eastAsiaTheme="minorEastAsia" w:hAnsiTheme="minorEastAsia"/>
          <w:color w:val="000000" w:themeColor="text1"/>
        </w:rPr>
        <w:t>，由此产生</w:t>
      </w:r>
      <w:r w:rsidRPr="00054588">
        <w:rPr>
          <w:rFonts w:asciiTheme="minorEastAsia" w:eastAsiaTheme="minorEastAsia" w:hAnsiTheme="minorEastAsia" w:hint="eastAsia"/>
          <w:color w:val="000000" w:themeColor="text1"/>
        </w:rPr>
        <w:t>的收益或损失归入基金财产。</w:t>
      </w:r>
    </w:p>
    <w:p w:rsidR="00B722D3" w:rsidRPr="00054588" w:rsidP="00B722D3">
      <w:pPr>
        <w:snapToGrid w:val="0"/>
        <w:spacing w:line="360" w:lineRule="auto"/>
        <w:ind w:firstLine="424" w:firstLineChars="202"/>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4、</w:t>
      </w:r>
      <w:r w:rsidRPr="00054588" w:rsidR="007228CC">
        <w:rPr>
          <w:rFonts w:asciiTheme="minorEastAsia" w:eastAsiaTheme="minorEastAsia" w:hAnsiTheme="minorEastAsia" w:hint="eastAsia"/>
          <w:color w:val="000000" w:themeColor="text1"/>
          <w:szCs w:val="21"/>
        </w:rPr>
        <w:t>本基金的申购费由投资人承担，不列入基金财产</w:t>
      </w:r>
      <w:r w:rsidRPr="00054588" w:rsidR="007228CC">
        <w:rPr>
          <w:rFonts w:asciiTheme="minorEastAsia" w:eastAsiaTheme="minorEastAsia" w:hAnsiTheme="minorEastAsia"/>
          <w:color w:val="000000" w:themeColor="text1"/>
          <w:szCs w:val="21"/>
        </w:rPr>
        <w:t>，主要用于本基金的市场推广、销售、注册登记等各项费用</w:t>
      </w:r>
      <w:r w:rsidRPr="00054588" w:rsidR="007228CC">
        <w:rPr>
          <w:rFonts w:asciiTheme="minorEastAsia" w:eastAsiaTheme="minorEastAsia" w:hAnsiTheme="minorEastAsia" w:hint="eastAsia"/>
          <w:color w:val="000000" w:themeColor="text1"/>
          <w:szCs w:val="21"/>
        </w:rPr>
        <w:t>；</w:t>
      </w:r>
      <w:r w:rsidRPr="00054588" w:rsidR="00C609DD">
        <w:rPr>
          <w:rFonts w:asciiTheme="minorEastAsia" w:eastAsiaTheme="minorEastAsia" w:hAnsiTheme="minorEastAsia" w:hint="eastAsia"/>
          <w:color w:val="000000" w:themeColor="text1"/>
          <w:szCs w:val="21"/>
        </w:rPr>
        <w:t>本基金的赎回费由赎回人承担，在基金份额持有人赎回基金份额时收取，对持有期少于7天（不含）的基金份额持有人所收取赎回费全额计入基金财产，对持有期在7天以上（含）的基金份额持有人所收取赎回费用总额的25%计入基金资产，其余用于支付注册登记费和其他必要的手续费。</w:t>
      </w:r>
    </w:p>
    <w:p w:rsidR="007228CC" w:rsidRPr="00054588" w:rsidP="0071223F">
      <w:pPr>
        <w:snapToGrid w:val="0"/>
        <w:spacing w:line="360" w:lineRule="auto"/>
        <w:ind w:firstLine="424" w:firstLineChars="202"/>
        <w:rPr>
          <w:rFonts w:asciiTheme="minorEastAsia" w:eastAsiaTheme="minorEastAsia" w:hAnsiTheme="minorEastAsia"/>
          <w:color w:val="000000" w:themeColor="text1"/>
          <w:szCs w:val="21"/>
        </w:rPr>
      </w:pPr>
    </w:p>
    <w:p w:rsidR="007228CC" w:rsidRPr="00054588"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szCs w:val="21"/>
        </w:rPr>
      </w:pPr>
      <w:bookmarkStart w:id="96" w:name="_Toc211920145"/>
      <w:bookmarkStart w:id="97" w:name="_Toc211927676"/>
      <w:bookmarkStart w:id="98" w:name="_Toc123296427"/>
      <w:r w:rsidRPr="00054588">
        <w:rPr>
          <w:rFonts w:asciiTheme="minorEastAsia" w:eastAsiaTheme="minorEastAsia" w:hAnsiTheme="minorEastAsia" w:hint="eastAsia"/>
          <w:color w:val="000000" w:themeColor="text1"/>
        </w:rPr>
        <w:t>（九）申购、赎回的注册登记</w:t>
      </w:r>
      <w:bookmarkEnd w:id="96"/>
      <w:bookmarkEnd w:id="97"/>
      <w:bookmarkEnd w:id="98"/>
    </w:p>
    <w:p w:rsidR="007228CC" w:rsidRPr="00054588" w:rsidP="0071223F">
      <w:pPr>
        <w:snapToGrid w:val="0"/>
        <w:spacing w:line="360" w:lineRule="auto"/>
        <w:ind w:firstLine="424" w:firstLineChars="202"/>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1、投资者申购基金成功后，正常情况下，基金注册登记机构在T+1工作日为投资者增加权益并办理注册登记手续，投资者自T+2工作日起有权赎回该部分基金份额。</w:t>
      </w:r>
    </w:p>
    <w:p w:rsidR="007228CC" w:rsidRPr="00054588" w:rsidP="0071223F">
      <w:pPr>
        <w:snapToGrid w:val="0"/>
        <w:spacing w:line="360" w:lineRule="auto"/>
        <w:ind w:firstLine="424" w:firstLineChars="202"/>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2、投资者赎回基金成功后，正常情况下，基金注册登记机构在T+1工作日为投资者扣除权益并办理相应的注册登记手续。</w:t>
      </w:r>
    </w:p>
    <w:p w:rsidR="007228CC" w:rsidRPr="00054588" w:rsidP="0071223F">
      <w:pPr>
        <w:snapToGrid w:val="0"/>
        <w:spacing w:line="360" w:lineRule="auto"/>
        <w:ind w:firstLine="424" w:firstLineChars="202"/>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基金管理人可在法律法规允许的范围内，对上述注册登记办理时间进行调整，并最迟于开始实施前2日予以公告。</w:t>
      </w:r>
    </w:p>
    <w:p w:rsidR="007228CC" w:rsidRPr="00054588"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99" w:name="_Toc211920146"/>
      <w:bookmarkStart w:id="100" w:name="_Toc211927677"/>
      <w:bookmarkStart w:id="101" w:name="_Toc123296428"/>
      <w:r w:rsidRPr="00054588">
        <w:rPr>
          <w:rFonts w:asciiTheme="minorEastAsia" w:eastAsiaTheme="minorEastAsia" w:hAnsiTheme="minorEastAsia" w:hint="eastAsia"/>
          <w:color w:val="000000" w:themeColor="text1"/>
        </w:rPr>
        <w:t>（十）巨额赎回的认定及处理方式</w:t>
      </w:r>
      <w:bookmarkEnd w:id="99"/>
      <w:bookmarkEnd w:id="100"/>
      <w:bookmarkEnd w:id="101"/>
    </w:p>
    <w:p w:rsidR="007228CC" w:rsidRPr="00054588" w:rsidP="0071223F">
      <w:pPr>
        <w:snapToGrid w:val="0"/>
        <w:spacing w:line="360" w:lineRule="auto"/>
        <w:ind w:firstLine="420" w:firstLineChars="20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1、巨额赎回的认定</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若本基金单个开放日内的基金份额净赎回申请(</w:t>
      </w:r>
      <w:r w:rsidRPr="00054588">
        <w:rPr>
          <w:rFonts w:asciiTheme="minorEastAsia" w:eastAsiaTheme="minorEastAsia" w:hAnsiTheme="minorEastAsia"/>
          <w:color w:val="000000" w:themeColor="text1"/>
          <w:szCs w:val="21"/>
        </w:rPr>
        <w:t>赎回申请份额总数加上基金转换中转出申请份额总数后扣除申购申请份额总数及基金转换中转入申请份额总数后的余额</w:t>
      </w:r>
      <w:r w:rsidRPr="00054588">
        <w:rPr>
          <w:rFonts w:asciiTheme="minorEastAsia" w:eastAsiaTheme="minorEastAsia" w:hAnsiTheme="minorEastAsia" w:hint="eastAsia"/>
          <w:color w:val="000000" w:themeColor="text1"/>
          <w:szCs w:val="21"/>
        </w:rPr>
        <w:t>)超过前一开放日的基金总份额的</w:t>
      </w:r>
      <w:r w:rsidRPr="00054588">
        <w:rPr>
          <w:rFonts w:asciiTheme="minorEastAsia" w:eastAsiaTheme="minorEastAsia" w:hAnsiTheme="minorEastAsia"/>
          <w:color w:val="000000" w:themeColor="text1"/>
          <w:szCs w:val="21"/>
        </w:rPr>
        <w:t>10%</w:t>
      </w:r>
      <w:r w:rsidRPr="00054588">
        <w:rPr>
          <w:rFonts w:asciiTheme="minorEastAsia" w:eastAsiaTheme="minorEastAsia" w:hAnsiTheme="minorEastAsia" w:hint="eastAsia"/>
          <w:color w:val="000000" w:themeColor="text1"/>
          <w:szCs w:val="21"/>
        </w:rPr>
        <w:t>，即认为是发生了巨额赎回。</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2、巨额赎回的处理方式</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当基金出现巨额赎回时，基金管理人可以根据基金当时的资产组合状况决定全额赎回或部分延期赎回。</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(1)全额赎回：当基金管理人认为有能力支付投资人的全部赎回申请时，按正常赎回程序执行。</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054588">
        <w:rPr>
          <w:rFonts w:asciiTheme="minorEastAsia" w:eastAsiaTheme="minorEastAsia" w:hAnsiTheme="minorEastAsia"/>
          <w:color w:val="000000" w:themeColor="text1"/>
          <w:szCs w:val="21"/>
        </w:rPr>
        <w:t>10</w:t>
      </w:r>
      <w:r w:rsidRPr="00054588">
        <w:rPr>
          <w:rFonts w:asciiTheme="minorEastAsia" w:eastAsiaTheme="minorEastAsia" w:hAnsiTheme="minorEastAsia" w:hint="eastAsia"/>
          <w:color w:val="000000" w:themeColor="text1"/>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C609DD"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若本基金发生巨额赎回且单个基金份额持有人的赎回申请超过上一开放日基金总份额10%的，基金管理人有权对该单个基金份额持有人超出该比例的赎回申请实施延期办理，对该单个基金份额持有人剩余赎回申请与其他账户赎回申请按前述条款处理。</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(3)暂停赎回：连续2日以上(含本数)发生巨额赎回，如基金管理人认为有必要，可暂停接受基金的赎回申请；已经接受的赎回申请可以延缓支付赎回款项，但不得超过</w:t>
      </w:r>
      <w:r w:rsidRPr="00054588">
        <w:rPr>
          <w:rFonts w:asciiTheme="minorEastAsia" w:eastAsiaTheme="minorEastAsia" w:hAnsiTheme="minorEastAsia"/>
          <w:color w:val="000000" w:themeColor="text1"/>
          <w:szCs w:val="21"/>
        </w:rPr>
        <w:t>20</w:t>
      </w:r>
      <w:r w:rsidRPr="00054588">
        <w:rPr>
          <w:rFonts w:asciiTheme="minorEastAsia" w:eastAsiaTheme="minorEastAsia" w:hAnsiTheme="minorEastAsia" w:hint="eastAsia"/>
          <w:color w:val="000000" w:themeColor="text1"/>
          <w:szCs w:val="21"/>
        </w:rPr>
        <w:t>个工作日，并应当在</w:t>
      </w:r>
      <w:r w:rsidRPr="00054588" w:rsidR="00575E02">
        <w:rPr>
          <w:rFonts w:asciiTheme="minorEastAsia" w:eastAsiaTheme="minorEastAsia" w:hAnsiTheme="minorEastAsia" w:hint="eastAsia"/>
          <w:color w:val="000000" w:themeColor="text1"/>
          <w:szCs w:val="21"/>
        </w:rPr>
        <w:t>指定媒介</w:t>
      </w:r>
      <w:r w:rsidRPr="00054588">
        <w:rPr>
          <w:rFonts w:asciiTheme="minorEastAsia" w:eastAsiaTheme="minorEastAsia" w:hAnsiTheme="minorEastAsia" w:hint="eastAsia"/>
          <w:color w:val="000000" w:themeColor="text1"/>
          <w:szCs w:val="21"/>
        </w:rPr>
        <w:t>上进行公告。</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3、巨额赎回的公告</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当发生上述延期赎回并延期办理时，基金管理人</w:t>
      </w:r>
      <w:r w:rsidRPr="00054588">
        <w:rPr>
          <w:rFonts w:asciiTheme="minorEastAsia" w:eastAsiaTheme="minorEastAsia" w:hAnsiTheme="minorEastAsia"/>
          <w:color w:val="000000" w:themeColor="text1"/>
          <w:szCs w:val="21"/>
        </w:rPr>
        <w:t>应</w:t>
      </w:r>
      <w:r w:rsidRPr="00054588">
        <w:rPr>
          <w:rFonts w:asciiTheme="minorEastAsia" w:eastAsiaTheme="minorEastAsia" w:hAnsiTheme="minorEastAsia" w:hint="eastAsia"/>
          <w:color w:val="000000" w:themeColor="text1"/>
          <w:szCs w:val="21"/>
        </w:rPr>
        <w:t>当通过邮寄、传真或者招募说明书规定的其他方式在3个交易日内通知基金份额持有人，说明有关处理方法，</w:t>
      </w:r>
      <w:r w:rsidRPr="00054588" w:rsidR="00DA0868">
        <w:rPr>
          <w:rFonts w:asciiTheme="minorEastAsia" w:eastAsiaTheme="minorEastAsia" w:hAnsiTheme="minorEastAsia" w:hint="eastAsia"/>
          <w:color w:val="000000" w:themeColor="text1"/>
          <w:szCs w:val="21"/>
        </w:rPr>
        <w:t>并在2日内</w:t>
      </w:r>
      <w:r w:rsidRPr="00054588">
        <w:rPr>
          <w:rFonts w:asciiTheme="minorEastAsia" w:eastAsiaTheme="minorEastAsia" w:hAnsiTheme="minorEastAsia" w:hint="eastAsia"/>
          <w:color w:val="000000" w:themeColor="text1"/>
          <w:szCs w:val="21"/>
        </w:rPr>
        <w:t>在</w:t>
      </w:r>
      <w:r w:rsidRPr="00054588" w:rsidR="00575E02">
        <w:rPr>
          <w:rFonts w:asciiTheme="minorEastAsia" w:eastAsiaTheme="minorEastAsia" w:hAnsiTheme="minorEastAsia" w:hint="eastAsia"/>
          <w:color w:val="000000" w:themeColor="text1"/>
          <w:szCs w:val="21"/>
        </w:rPr>
        <w:t>指定媒介</w:t>
      </w:r>
      <w:r w:rsidRPr="00054588">
        <w:rPr>
          <w:rFonts w:asciiTheme="minorEastAsia" w:eastAsiaTheme="minorEastAsia" w:hAnsiTheme="minorEastAsia" w:hint="eastAsia"/>
          <w:color w:val="000000" w:themeColor="text1"/>
          <w:szCs w:val="21"/>
        </w:rPr>
        <w:t>上刊登公告。</w:t>
      </w:r>
    </w:p>
    <w:p w:rsidR="007228CC" w:rsidRPr="00054588"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102" w:name="_Toc211920147"/>
      <w:bookmarkStart w:id="103" w:name="_Toc211927678"/>
      <w:bookmarkStart w:id="104" w:name="_Toc123296429"/>
      <w:r w:rsidRPr="00054588">
        <w:rPr>
          <w:rFonts w:asciiTheme="minorEastAsia" w:eastAsiaTheme="minorEastAsia" w:hAnsiTheme="minorEastAsia" w:hint="eastAsia"/>
          <w:color w:val="000000" w:themeColor="text1"/>
        </w:rPr>
        <w:t>（十一）拒绝或暂停申购、赎回的情形及处理方式</w:t>
      </w:r>
      <w:bookmarkEnd w:id="102"/>
      <w:bookmarkEnd w:id="103"/>
      <w:bookmarkEnd w:id="104"/>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w:t>
      </w:r>
      <w:r w:rsidRPr="00054588">
        <w:rPr>
          <w:rFonts w:asciiTheme="minorEastAsia" w:eastAsiaTheme="minorEastAsia" w:hAnsiTheme="minorEastAsia"/>
          <w:color w:val="000000" w:themeColor="text1"/>
          <w:szCs w:val="21"/>
        </w:rPr>
        <w:t>发生下列情况时，基金管理人可拒绝或暂停接受投资人的申购申请：</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（1）因</w:t>
      </w:r>
      <w:r w:rsidRPr="00054588">
        <w:rPr>
          <w:rFonts w:asciiTheme="minorEastAsia" w:eastAsiaTheme="minorEastAsia" w:hAnsiTheme="minorEastAsia"/>
          <w:color w:val="000000" w:themeColor="text1"/>
          <w:szCs w:val="21"/>
        </w:rPr>
        <w:t>不可抗力</w:t>
      </w:r>
      <w:r w:rsidRPr="00054588">
        <w:rPr>
          <w:rFonts w:asciiTheme="minorEastAsia" w:eastAsiaTheme="minorEastAsia" w:hAnsiTheme="minorEastAsia" w:hint="eastAsia"/>
          <w:color w:val="000000" w:themeColor="text1"/>
          <w:szCs w:val="21"/>
        </w:rPr>
        <w:t>导致基金无法正常运作。</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w:t>
      </w:r>
      <w:r w:rsidRPr="00054588">
        <w:rPr>
          <w:rFonts w:asciiTheme="minorEastAsia" w:eastAsiaTheme="minorEastAsia" w:hAnsiTheme="minorEastAsia"/>
          <w:color w:val="000000" w:themeColor="text1"/>
          <w:szCs w:val="21"/>
        </w:rPr>
        <w:t>证券交易所交易时间非正常停市，导致基金管理人无法计算当日基金资产净值</w:t>
      </w:r>
      <w:r w:rsidRPr="00054588">
        <w:rPr>
          <w:rFonts w:asciiTheme="minorEastAsia" w:eastAsiaTheme="minorEastAsia" w:hAnsiTheme="minorEastAsia" w:hint="eastAsia"/>
          <w:color w:val="000000" w:themeColor="text1"/>
          <w:szCs w:val="21"/>
        </w:rPr>
        <w:t>。</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（3）</w:t>
      </w:r>
      <w:r w:rsidRPr="00054588">
        <w:rPr>
          <w:rFonts w:asciiTheme="minorEastAsia" w:eastAsiaTheme="minorEastAsia" w:hAnsiTheme="minorEastAsia"/>
          <w:color w:val="000000" w:themeColor="text1"/>
          <w:szCs w:val="21"/>
        </w:rPr>
        <w:t>发生本基金合同规定的暂停基金资产估值情况</w:t>
      </w:r>
      <w:r w:rsidRPr="00054588">
        <w:rPr>
          <w:rFonts w:asciiTheme="minorEastAsia" w:eastAsiaTheme="minorEastAsia" w:hAnsiTheme="minorEastAsia" w:hint="eastAsia"/>
          <w:color w:val="000000" w:themeColor="text1"/>
          <w:szCs w:val="21"/>
        </w:rPr>
        <w:t>。</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（4）</w:t>
      </w:r>
      <w:r w:rsidRPr="00054588">
        <w:rPr>
          <w:rFonts w:asciiTheme="minorEastAsia" w:eastAsiaTheme="minorEastAsia" w:hAnsiTheme="minorEastAsia"/>
          <w:color w:val="000000" w:themeColor="text1"/>
          <w:szCs w:val="21"/>
        </w:rPr>
        <w:t>基金管理人</w:t>
      </w:r>
      <w:r w:rsidRPr="00054588">
        <w:rPr>
          <w:rFonts w:asciiTheme="minorEastAsia" w:eastAsiaTheme="minorEastAsia" w:hAnsiTheme="minorEastAsia" w:hint="eastAsia"/>
          <w:color w:val="000000" w:themeColor="text1"/>
          <w:szCs w:val="21"/>
        </w:rPr>
        <w:t>认为接受某笔或某些申购申请可能会影响或损害现有基金份额持有人利益时。</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（5）基金资产规模过大，使基金管理人无法找到合适的投资品种，或其他可能对基金</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业绩产生负面影响，从而损害现有基金份额持有人利益的情形。</w:t>
      </w:r>
    </w:p>
    <w:p w:rsidR="002B1010" w:rsidRPr="00054588" w:rsidP="001366A8">
      <w:pPr>
        <w:pStyle w:val="ListParagraph"/>
        <w:numPr>
          <w:ilvl w:val="1"/>
          <w:numId w:val="4"/>
        </w:numPr>
        <w:snapToGrid w:val="0"/>
        <w:spacing w:line="360" w:lineRule="auto"/>
        <w:ind w:firstLineChars="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基金管理人接受某笔或者某些申购申请有可能导致单一投资者持有基金份额的比例达到或者超过</w:t>
      </w:r>
      <w:r w:rsidRPr="00054588">
        <w:rPr>
          <w:rFonts w:asciiTheme="minorEastAsia" w:eastAsiaTheme="minorEastAsia" w:hAnsiTheme="minorEastAsia"/>
          <w:color w:val="000000" w:themeColor="text1"/>
          <w:szCs w:val="21"/>
        </w:rPr>
        <w:t>50%</w:t>
      </w:r>
      <w:r w:rsidRPr="00054588">
        <w:rPr>
          <w:rFonts w:asciiTheme="minorEastAsia" w:eastAsiaTheme="minorEastAsia" w:hAnsiTheme="minorEastAsia" w:hint="eastAsia"/>
          <w:color w:val="000000" w:themeColor="text1"/>
          <w:szCs w:val="21"/>
        </w:rPr>
        <w:t>，或者变相规避</w:t>
      </w:r>
      <w:r w:rsidRPr="00054588">
        <w:rPr>
          <w:rFonts w:asciiTheme="minorEastAsia" w:eastAsiaTheme="minorEastAsia" w:hAnsiTheme="minorEastAsia"/>
          <w:color w:val="000000" w:themeColor="text1"/>
          <w:szCs w:val="21"/>
        </w:rPr>
        <w:t>50%</w:t>
      </w:r>
      <w:r w:rsidRPr="00054588">
        <w:rPr>
          <w:rFonts w:asciiTheme="minorEastAsia" w:eastAsiaTheme="minorEastAsia" w:hAnsiTheme="minorEastAsia" w:hint="eastAsia"/>
          <w:color w:val="000000" w:themeColor="text1"/>
          <w:szCs w:val="21"/>
        </w:rPr>
        <w:t>集中度的情形时。</w:t>
      </w:r>
    </w:p>
    <w:p w:rsidR="0094778B" w:rsidRPr="00054588" w:rsidP="0094778B">
      <w:pPr>
        <w:pStyle w:val="ListParagraph"/>
        <w:numPr>
          <w:ilvl w:val="1"/>
          <w:numId w:val="4"/>
        </w:numPr>
        <w:snapToGrid w:val="0"/>
        <w:spacing w:line="360" w:lineRule="auto"/>
        <w:ind w:firstLineChars="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2B1010" w:rsidRPr="00054588" w:rsidP="001366A8">
      <w:pPr>
        <w:pStyle w:val="ListParagraph"/>
        <w:numPr>
          <w:ilvl w:val="1"/>
          <w:numId w:val="4"/>
        </w:numPr>
        <w:snapToGrid w:val="0"/>
        <w:spacing w:line="360" w:lineRule="auto"/>
        <w:ind w:firstLineChars="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当前一估值日基金资产净值50%以上的资产出现无可参考的活跃市场价格且采用估值技术仍导致公允价值存在重大不确定性时，经与基金托管人协商确认后，基金管理人应当采取暂停接受基金申购申请的措施。”</w:t>
      </w:r>
    </w:p>
    <w:p w:rsidR="002B1010" w:rsidRPr="00054588" w:rsidP="001366A8">
      <w:pPr>
        <w:pStyle w:val="ListParagraph"/>
        <w:numPr>
          <w:ilvl w:val="1"/>
          <w:numId w:val="4"/>
        </w:numPr>
        <w:snapToGrid w:val="0"/>
        <w:spacing w:line="360" w:lineRule="auto"/>
        <w:ind w:firstLineChars="0"/>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法律法规规定或中国证监会认定的其他情形</w:t>
      </w:r>
      <w:r w:rsidRPr="00054588">
        <w:rPr>
          <w:rFonts w:asciiTheme="minorEastAsia" w:eastAsiaTheme="minorEastAsia" w:hAnsiTheme="minorEastAsia" w:hint="eastAsia"/>
          <w:color w:val="000000" w:themeColor="text1"/>
          <w:szCs w:val="21"/>
        </w:rPr>
        <w:t>。</w:t>
      </w:r>
    </w:p>
    <w:p w:rsidR="007228CC" w:rsidRPr="00054588" w:rsidP="0071223F">
      <w:pPr>
        <w:snapToGrid w:val="0"/>
        <w:spacing w:line="360" w:lineRule="auto"/>
        <w:ind w:firstLine="42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发生</w:t>
      </w:r>
      <w:r w:rsidRPr="00054588" w:rsidR="0094778B">
        <w:rPr>
          <w:rFonts w:asciiTheme="minorEastAsia" w:eastAsiaTheme="minorEastAsia" w:hAnsiTheme="minorEastAsia" w:hint="eastAsia"/>
          <w:color w:val="000000" w:themeColor="text1"/>
          <w:szCs w:val="21"/>
        </w:rPr>
        <w:t>除上述第</w:t>
      </w:r>
      <w:r w:rsidRPr="00054588" w:rsidR="00F55E0F">
        <w:rPr>
          <w:rFonts w:asciiTheme="minorEastAsia" w:eastAsiaTheme="minorEastAsia" w:hAnsiTheme="minorEastAsia" w:hint="eastAsia"/>
          <w:color w:val="000000" w:themeColor="text1"/>
          <w:szCs w:val="21"/>
        </w:rPr>
        <w:t>（</w:t>
      </w:r>
      <w:r w:rsidRPr="00054588" w:rsidR="0094778B">
        <w:rPr>
          <w:rFonts w:asciiTheme="minorEastAsia" w:eastAsiaTheme="minorEastAsia" w:hAnsiTheme="minorEastAsia" w:hint="eastAsia"/>
          <w:color w:val="000000" w:themeColor="text1"/>
          <w:szCs w:val="21"/>
        </w:rPr>
        <w:t>4</w:t>
      </w:r>
      <w:r w:rsidRPr="00054588" w:rsidR="00F55E0F">
        <w:rPr>
          <w:rFonts w:asciiTheme="minorEastAsia" w:eastAsiaTheme="minorEastAsia" w:hAnsiTheme="minorEastAsia" w:hint="eastAsia"/>
          <w:color w:val="000000" w:themeColor="text1"/>
          <w:szCs w:val="21"/>
        </w:rPr>
        <w:t>）</w:t>
      </w:r>
      <w:r w:rsidRPr="00054588" w:rsidR="0094778B">
        <w:rPr>
          <w:rFonts w:asciiTheme="minorEastAsia" w:eastAsiaTheme="minorEastAsia" w:hAnsiTheme="minorEastAsia" w:hint="eastAsia"/>
          <w:color w:val="000000" w:themeColor="text1"/>
          <w:szCs w:val="21"/>
        </w:rPr>
        <w:t>、</w:t>
      </w:r>
      <w:r w:rsidRPr="00054588" w:rsidR="00F55E0F">
        <w:rPr>
          <w:rFonts w:asciiTheme="minorEastAsia" w:eastAsiaTheme="minorEastAsia" w:hAnsiTheme="minorEastAsia" w:hint="eastAsia"/>
          <w:color w:val="000000" w:themeColor="text1"/>
          <w:szCs w:val="21"/>
        </w:rPr>
        <w:t>（</w:t>
      </w:r>
      <w:r w:rsidRPr="00054588" w:rsidR="0094778B">
        <w:rPr>
          <w:rFonts w:asciiTheme="minorEastAsia" w:eastAsiaTheme="minorEastAsia" w:hAnsiTheme="minorEastAsia" w:hint="eastAsia"/>
          <w:color w:val="000000" w:themeColor="text1"/>
          <w:szCs w:val="21"/>
        </w:rPr>
        <w:t>6</w:t>
      </w:r>
      <w:r w:rsidRPr="00054588" w:rsidR="00F55E0F">
        <w:rPr>
          <w:rFonts w:asciiTheme="minorEastAsia" w:eastAsiaTheme="minorEastAsia" w:hAnsiTheme="minorEastAsia" w:hint="eastAsia"/>
          <w:color w:val="000000" w:themeColor="text1"/>
          <w:szCs w:val="21"/>
        </w:rPr>
        <w:t>）</w:t>
      </w:r>
      <w:r w:rsidRPr="00054588" w:rsidR="0094778B">
        <w:rPr>
          <w:rFonts w:asciiTheme="minorEastAsia" w:eastAsiaTheme="minorEastAsia" w:hAnsiTheme="minorEastAsia" w:hint="eastAsia"/>
          <w:color w:val="000000" w:themeColor="text1"/>
          <w:szCs w:val="21"/>
        </w:rPr>
        <w:t>项</w:t>
      </w:r>
      <w:r w:rsidRPr="00054588">
        <w:rPr>
          <w:rFonts w:asciiTheme="minorEastAsia" w:eastAsiaTheme="minorEastAsia" w:hAnsiTheme="minorEastAsia" w:hint="eastAsia"/>
          <w:color w:val="000000" w:themeColor="text1"/>
          <w:szCs w:val="21"/>
        </w:rPr>
        <w:t>上述暂停申购情形时，基金管理人应当根据有关规定在</w:t>
      </w:r>
      <w:r w:rsidRPr="00054588" w:rsidR="00575E02">
        <w:rPr>
          <w:rFonts w:asciiTheme="minorEastAsia" w:eastAsiaTheme="minorEastAsia" w:hAnsiTheme="minorEastAsia" w:hint="eastAsia"/>
          <w:color w:val="000000" w:themeColor="text1"/>
          <w:szCs w:val="21"/>
        </w:rPr>
        <w:t>指定媒介</w:t>
      </w:r>
      <w:r w:rsidRPr="00054588">
        <w:rPr>
          <w:rFonts w:asciiTheme="minorEastAsia" w:eastAsiaTheme="minorEastAsia" w:hAnsiTheme="minorEastAsia" w:hint="eastAsia"/>
          <w:color w:val="000000" w:themeColor="text1"/>
          <w:szCs w:val="21"/>
        </w:rPr>
        <w:t>上刊登暂停申购公告。</w:t>
      </w:r>
      <w:r w:rsidRPr="00054588">
        <w:rPr>
          <w:rFonts w:asciiTheme="minorEastAsia" w:eastAsiaTheme="minorEastAsia" w:hAnsiTheme="minorEastAsia"/>
          <w:color w:val="000000" w:themeColor="text1"/>
          <w:szCs w:val="21"/>
        </w:rPr>
        <w:t>如果投资</w:t>
      </w:r>
      <w:r w:rsidRPr="00054588">
        <w:rPr>
          <w:rFonts w:asciiTheme="minorEastAsia" w:eastAsiaTheme="minorEastAsia" w:hAnsiTheme="minorEastAsia" w:hint="eastAsia"/>
          <w:color w:val="000000" w:themeColor="text1"/>
          <w:szCs w:val="21"/>
        </w:rPr>
        <w:t>人</w:t>
      </w:r>
      <w:r w:rsidRPr="00054588">
        <w:rPr>
          <w:rFonts w:asciiTheme="minorEastAsia" w:eastAsiaTheme="minorEastAsia" w:hAnsiTheme="minorEastAsia"/>
          <w:color w:val="000000" w:themeColor="text1"/>
          <w:szCs w:val="21"/>
        </w:rPr>
        <w:t>的申购申请被拒绝，被拒绝的申购款项将退还给投资</w:t>
      </w:r>
      <w:r w:rsidRPr="00054588">
        <w:rPr>
          <w:rFonts w:asciiTheme="minorEastAsia" w:eastAsiaTheme="minorEastAsia" w:hAnsiTheme="minorEastAsia" w:hint="eastAsia"/>
          <w:color w:val="000000" w:themeColor="text1"/>
          <w:szCs w:val="21"/>
        </w:rPr>
        <w:t>人。</w:t>
      </w:r>
      <w:r w:rsidRPr="00054588">
        <w:rPr>
          <w:rFonts w:asciiTheme="minorEastAsia" w:eastAsiaTheme="minorEastAsia" w:hAnsiTheme="minorEastAsia"/>
          <w:color w:val="000000" w:themeColor="text1"/>
          <w:szCs w:val="21"/>
        </w:rPr>
        <w:t>在暂停申购的情况消除时，基金管理人应及时恢复申购业务的办理。</w:t>
      </w:r>
    </w:p>
    <w:p w:rsidR="007228CC" w:rsidRPr="00054588" w:rsidP="0071223F">
      <w:pPr>
        <w:snapToGrid w:val="0"/>
        <w:spacing w:line="360" w:lineRule="auto"/>
        <w:ind w:firstLine="42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基金管理人拒绝或暂停接受申购的方式包括：</w:t>
      </w:r>
    </w:p>
    <w:p w:rsidR="007228CC" w:rsidRPr="00054588" w:rsidP="0071223F">
      <w:pPr>
        <w:snapToGrid w:val="0"/>
        <w:spacing w:line="360" w:lineRule="auto"/>
        <w:ind w:firstLine="42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1</w:t>
      </w:r>
      <w:r w:rsidRPr="00054588">
        <w:rPr>
          <w:rFonts w:asciiTheme="minorEastAsia" w:eastAsiaTheme="minorEastAsia" w:hAnsiTheme="minorEastAsia" w:hint="eastAsia"/>
          <w:color w:val="000000" w:themeColor="text1"/>
          <w:szCs w:val="21"/>
        </w:rPr>
        <w:t>）拒绝接受、暂停接受某笔或某数笔申购申请；</w:t>
      </w:r>
    </w:p>
    <w:p w:rsidR="007228CC" w:rsidRPr="00054588" w:rsidP="0071223F">
      <w:pPr>
        <w:snapToGrid w:val="0"/>
        <w:spacing w:line="360" w:lineRule="auto"/>
        <w:ind w:firstLine="42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2</w:t>
      </w:r>
      <w:r w:rsidRPr="00054588">
        <w:rPr>
          <w:rFonts w:asciiTheme="minorEastAsia" w:eastAsiaTheme="minorEastAsia" w:hAnsiTheme="minorEastAsia" w:hint="eastAsia"/>
          <w:color w:val="000000" w:themeColor="text1"/>
          <w:szCs w:val="21"/>
        </w:rPr>
        <w:t>）拒绝接受、暂停接受某个或某数个工作日的全部申购申请；</w:t>
      </w:r>
    </w:p>
    <w:p w:rsidR="007228CC" w:rsidRPr="00054588" w:rsidP="0071223F">
      <w:pPr>
        <w:snapToGrid w:val="0"/>
        <w:spacing w:line="360" w:lineRule="auto"/>
        <w:ind w:firstLine="42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3</w:t>
      </w:r>
      <w:r w:rsidRPr="00054588">
        <w:rPr>
          <w:rFonts w:asciiTheme="minorEastAsia" w:eastAsiaTheme="minorEastAsia" w:hAnsiTheme="minorEastAsia" w:hint="eastAsia"/>
          <w:color w:val="000000" w:themeColor="text1"/>
          <w:szCs w:val="21"/>
        </w:rPr>
        <w:t>）按比例拒绝接受、暂停接受某个或某数个工作日的申购申请。</w:t>
      </w:r>
    </w:p>
    <w:p w:rsidR="007228CC" w:rsidRPr="00054588" w:rsidP="0071223F">
      <w:pPr>
        <w:snapToGrid w:val="0"/>
        <w:spacing w:line="360" w:lineRule="auto"/>
        <w:ind w:firstLine="42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w:t>
      </w:r>
      <w:r w:rsidRPr="00054588">
        <w:rPr>
          <w:rFonts w:asciiTheme="minorEastAsia" w:eastAsiaTheme="minorEastAsia" w:hAnsiTheme="minorEastAsia"/>
          <w:color w:val="000000" w:themeColor="text1"/>
          <w:szCs w:val="21"/>
        </w:rPr>
        <w:t>发生下列情形时，基金管理人可暂停接受投资人的赎回申请或延缓支付赎回款项</w:t>
      </w:r>
      <w:r w:rsidRPr="00054588">
        <w:rPr>
          <w:rFonts w:asciiTheme="minorEastAsia" w:eastAsiaTheme="minorEastAsia" w:hAnsiTheme="minorEastAsia" w:hint="eastAsia"/>
          <w:color w:val="000000" w:themeColor="text1"/>
          <w:szCs w:val="21"/>
        </w:rPr>
        <w:t>：</w:t>
      </w:r>
    </w:p>
    <w:p w:rsidR="007228CC" w:rsidRPr="00054588" w:rsidP="0071223F">
      <w:pPr>
        <w:snapToGrid w:val="0"/>
        <w:spacing w:line="360" w:lineRule="auto"/>
        <w:ind w:firstLine="42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（1）因</w:t>
      </w:r>
      <w:r w:rsidRPr="00054588">
        <w:rPr>
          <w:rFonts w:asciiTheme="minorEastAsia" w:eastAsiaTheme="minorEastAsia" w:hAnsiTheme="minorEastAsia"/>
          <w:color w:val="000000" w:themeColor="text1"/>
          <w:szCs w:val="21"/>
        </w:rPr>
        <w:t>不可抗力</w:t>
      </w:r>
      <w:r w:rsidRPr="00054588">
        <w:rPr>
          <w:rFonts w:asciiTheme="minorEastAsia" w:eastAsiaTheme="minorEastAsia" w:hAnsiTheme="minorEastAsia" w:hint="eastAsia"/>
          <w:color w:val="000000" w:themeColor="text1"/>
          <w:szCs w:val="21"/>
        </w:rPr>
        <w:t>导致基金无法正常运作。</w:t>
      </w:r>
    </w:p>
    <w:p w:rsidR="007228CC" w:rsidRPr="00054588" w:rsidP="0071223F">
      <w:pPr>
        <w:snapToGrid w:val="0"/>
        <w:spacing w:line="360" w:lineRule="auto"/>
        <w:ind w:firstLine="42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w:t>
      </w:r>
      <w:r w:rsidRPr="00054588">
        <w:rPr>
          <w:rFonts w:asciiTheme="minorEastAsia" w:eastAsiaTheme="minorEastAsia" w:hAnsiTheme="minorEastAsia"/>
          <w:color w:val="000000" w:themeColor="text1"/>
          <w:szCs w:val="21"/>
        </w:rPr>
        <w:t>证券交易所交易时间非正常停市，导致基金管理人无法计算当日基金资产净值</w:t>
      </w:r>
      <w:r w:rsidRPr="00054588">
        <w:rPr>
          <w:rFonts w:asciiTheme="minorEastAsia" w:eastAsiaTheme="minorEastAsia" w:hAnsiTheme="minorEastAsia" w:hint="eastAsia"/>
          <w:color w:val="000000" w:themeColor="text1"/>
          <w:szCs w:val="21"/>
        </w:rPr>
        <w:t>。</w:t>
      </w:r>
    </w:p>
    <w:p w:rsidR="007228CC" w:rsidRPr="00054588" w:rsidP="0071223F">
      <w:pPr>
        <w:snapToGrid w:val="0"/>
        <w:spacing w:line="360" w:lineRule="auto"/>
        <w:ind w:firstLine="42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（3）</w:t>
      </w:r>
      <w:r w:rsidRPr="00054588">
        <w:rPr>
          <w:rFonts w:asciiTheme="minorEastAsia" w:eastAsiaTheme="minorEastAsia" w:hAnsiTheme="minorEastAsia"/>
          <w:color w:val="000000" w:themeColor="text1"/>
          <w:szCs w:val="21"/>
        </w:rPr>
        <w:t>连续两个</w:t>
      </w:r>
      <w:r w:rsidRPr="00054588">
        <w:rPr>
          <w:rFonts w:asciiTheme="minorEastAsia" w:eastAsiaTheme="minorEastAsia" w:hAnsiTheme="minorEastAsia" w:hint="eastAsia"/>
          <w:color w:val="000000" w:themeColor="text1"/>
          <w:szCs w:val="21"/>
        </w:rPr>
        <w:t>或两个以上</w:t>
      </w:r>
      <w:r w:rsidRPr="00054588">
        <w:rPr>
          <w:rFonts w:asciiTheme="minorEastAsia" w:eastAsiaTheme="minorEastAsia" w:hAnsiTheme="minorEastAsia"/>
          <w:color w:val="000000" w:themeColor="text1"/>
          <w:szCs w:val="21"/>
        </w:rPr>
        <w:t>开放日发生巨额赎回</w:t>
      </w:r>
      <w:r w:rsidRPr="00054588">
        <w:rPr>
          <w:rFonts w:asciiTheme="minorEastAsia" w:eastAsiaTheme="minorEastAsia" w:hAnsiTheme="minorEastAsia" w:hint="eastAsia"/>
          <w:color w:val="000000" w:themeColor="text1"/>
          <w:szCs w:val="21"/>
        </w:rPr>
        <w:t>。</w:t>
      </w:r>
    </w:p>
    <w:p w:rsidR="006001E9" w:rsidRPr="00054588">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（4）</w:t>
      </w:r>
      <w:r w:rsidRPr="00054588">
        <w:rPr>
          <w:rFonts w:asciiTheme="minorEastAsia" w:eastAsiaTheme="minorEastAsia" w:hAnsiTheme="minorEastAsia"/>
          <w:color w:val="000000" w:themeColor="text1"/>
          <w:szCs w:val="21"/>
        </w:rPr>
        <w:t>发生本基金合同规定的暂停基金资产估值情况</w:t>
      </w:r>
      <w:r w:rsidRPr="00054588">
        <w:rPr>
          <w:rFonts w:asciiTheme="minorEastAsia" w:eastAsiaTheme="minorEastAsia" w:hAnsiTheme="minorEastAsia" w:hint="eastAsia"/>
          <w:color w:val="000000" w:themeColor="text1"/>
          <w:szCs w:val="21"/>
        </w:rPr>
        <w:t>。</w:t>
      </w:r>
    </w:p>
    <w:p w:rsidR="0094778B" w:rsidRPr="00054588">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5）当前一估值日基金资产净值50%以上的资产出现无可参考的活跃市场价格且采用估值技术仍导致公允价值存在重大不确定性时，经与基金托管人协商确认后，基金管理人应当采取延缓支付赎回款项或暂停接受基金赎回申请的措施。</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w:t>
      </w:r>
      <w:r w:rsidRPr="00054588" w:rsidR="006001E9">
        <w:rPr>
          <w:rFonts w:asciiTheme="minorEastAsia" w:eastAsiaTheme="minorEastAsia" w:hAnsiTheme="minorEastAsia"/>
          <w:color w:val="000000" w:themeColor="text1"/>
          <w:szCs w:val="21"/>
        </w:rPr>
        <w:t>6</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法律法规规定或中国证监会认定的其他情形</w:t>
      </w:r>
      <w:r w:rsidRPr="00054588">
        <w:rPr>
          <w:rFonts w:asciiTheme="minorEastAsia" w:eastAsiaTheme="minorEastAsia" w:hAnsiTheme="minorEastAsia" w:hint="eastAsia"/>
          <w:color w:val="000000" w:themeColor="text1"/>
          <w:szCs w:val="21"/>
        </w:rPr>
        <w:t>。</w:t>
      </w:r>
    </w:p>
    <w:p w:rsidR="007228CC" w:rsidRPr="00054588" w:rsidP="0071223F">
      <w:pPr>
        <w:snapToGrid w:val="0"/>
        <w:spacing w:line="360" w:lineRule="auto"/>
        <w:ind w:firstLine="420"/>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发生上述情形时，基金管理人应在当日</w:t>
      </w:r>
      <w:r w:rsidRPr="00054588">
        <w:rPr>
          <w:rFonts w:asciiTheme="minorEastAsia" w:eastAsiaTheme="minorEastAsia" w:hAnsiTheme="minorEastAsia" w:hint="eastAsia"/>
          <w:color w:val="000000" w:themeColor="text1"/>
          <w:szCs w:val="21"/>
        </w:rPr>
        <w:t>报</w:t>
      </w:r>
      <w:r w:rsidRPr="00054588">
        <w:rPr>
          <w:rFonts w:asciiTheme="minorEastAsia" w:eastAsiaTheme="minorEastAsia" w:hAnsiTheme="minorEastAsia"/>
          <w:color w:val="000000" w:themeColor="text1"/>
          <w:szCs w:val="21"/>
        </w:rPr>
        <w:t>中国证监会</w:t>
      </w:r>
      <w:r w:rsidRPr="00054588">
        <w:rPr>
          <w:rFonts w:asciiTheme="minorEastAsia" w:eastAsiaTheme="minorEastAsia" w:hAnsiTheme="minorEastAsia" w:hint="eastAsia"/>
          <w:color w:val="000000" w:themeColor="text1"/>
          <w:szCs w:val="21"/>
        </w:rPr>
        <w:t>备案</w:t>
      </w:r>
      <w:r w:rsidRPr="00054588">
        <w:rPr>
          <w:rFonts w:asciiTheme="minorEastAsia" w:eastAsiaTheme="minorEastAsia" w:hAnsiTheme="minorEastAsia"/>
          <w:color w:val="000000" w:themeColor="text1"/>
          <w:szCs w:val="21"/>
        </w:rPr>
        <w:t>，已接受的赎回申请，基金管理人应足额支付；如暂时不能足额支付，</w:t>
      </w:r>
      <w:r w:rsidRPr="00054588">
        <w:rPr>
          <w:rFonts w:asciiTheme="minorEastAsia" w:eastAsiaTheme="minorEastAsia" w:hAnsiTheme="minorEastAsia" w:hint="eastAsia"/>
          <w:color w:val="000000" w:themeColor="text1"/>
          <w:szCs w:val="21"/>
        </w:rPr>
        <w:t>应将</w:t>
      </w:r>
      <w:r w:rsidRPr="00054588">
        <w:rPr>
          <w:rFonts w:asciiTheme="minorEastAsia" w:eastAsiaTheme="minorEastAsia" w:hAnsiTheme="minorEastAsia"/>
          <w:color w:val="000000" w:themeColor="text1"/>
          <w:szCs w:val="21"/>
        </w:rPr>
        <w:t>可支付部分按单个账户申请量占申请总量的比例分配给赎回申请人，未支付部分可延期支付，</w:t>
      </w:r>
      <w:r w:rsidRPr="00054588">
        <w:rPr>
          <w:rFonts w:asciiTheme="minorEastAsia" w:eastAsiaTheme="minorEastAsia" w:hAnsiTheme="minorEastAsia" w:hint="eastAsia"/>
          <w:color w:val="000000" w:themeColor="text1"/>
          <w:szCs w:val="21"/>
        </w:rPr>
        <w:t>并以后续开放日的基金份额净值为依据计算赎回金额。若连续两个或两个以上开放日发生巨额赎回，延期支付最长</w:t>
      </w:r>
      <w:r w:rsidRPr="00054588">
        <w:rPr>
          <w:rFonts w:asciiTheme="minorEastAsia" w:eastAsiaTheme="minorEastAsia" w:hAnsiTheme="minorEastAsia"/>
          <w:color w:val="000000" w:themeColor="text1"/>
          <w:szCs w:val="21"/>
        </w:rPr>
        <w:t>不得超过20个工作日</w:t>
      </w:r>
      <w:r w:rsidRPr="00054588">
        <w:rPr>
          <w:rFonts w:asciiTheme="minorEastAsia" w:eastAsiaTheme="minorEastAsia" w:hAnsiTheme="minorEastAsia" w:hint="eastAsia"/>
          <w:color w:val="000000" w:themeColor="text1"/>
          <w:szCs w:val="21"/>
        </w:rPr>
        <w:t>，并在</w:t>
      </w:r>
      <w:r w:rsidRPr="00054588" w:rsidR="00575E02">
        <w:rPr>
          <w:rFonts w:asciiTheme="minorEastAsia" w:eastAsiaTheme="minorEastAsia" w:hAnsiTheme="minorEastAsia" w:hint="eastAsia"/>
          <w:color w:val="000000" w:themeColor="text1"/>
          <w:szCs w:val="21"/>
        </w:rPr>
        <w:t>指定媒介</w:t>
      </w:r>
      <w:r w:rsidRPr="00054588">
        <w:rPr>
          <w:rFonts w:asciiTheme="minorEastAsia" w:eastAsiaTheme="minorEastAsia" w:hAnsiTheme="minorEastAsia" w:hint="eastAsia"/>
          <w:color w:val="000000" w:themeColor="text1"/>
          <w:szCs w:val="21"/>
        </w:rPr>
        <w:t>上公告</w:t>
      </w:r>
      <w:r w:rsidRPr="00054588">
        <w:rPr>
          <w:rFonts w:asciiTheme="minorEastAsia" w:eastAsiaTheme="minorEastAsia" w:hAnsiTheme="minorEastAsia"/>
          <w:color w:val="000000" w:themeColor="text1"/>
          <w:szCs w:val="21"/>
        </w:rPr>
        <w:t>。投资</w:t>
      </w:r>
      <w:r w:rsidRPr="00054588">
        <w:rPr>
          <w:rFonts w:asciiTheme="minorEastAsia" w:eastAsiaTheme="minorEastAsia" w:hAnsiTheme="minorEastAsia" w:hint="eastAsia"/>
          <w:color w:val="000000" w:themeColor="text1"/>
          <w:szCs w:val="21"/>
        </w:rPr>
        <w:t>人</w:t>
      </w:r>
      <w:r w:rsidRPr="00054588">
        <w:rPr>
          <w:rFonts w:asciiTheme="minorEastAsia" w:eastAsiaTheme="minorEastAsia" w:hAnsiTheme="minorEastAsia"/>
          <w:color w:val="000000" w:themeColor="text1"/>
          <w:szCs w:val="21"/>
        </w:rPr>
        <w:t>在申请赎回时可事先选择将当日可能未获受理部分予以撤销。在暂停赎回的情况消除时，基金管理人应及时恢复赎回业务的办理</w:t>
      </w:r>
      <w:r w:rsidRPr="00054588">
        <w:rPr>
          <w:rFonts w:asciiTheme="minorEastAsia" w:eastAsiaTheme="minorEastAsia" w:hAnsiTheme="minorEastAsia" w:hint="eastAsia"/>
          <w:color w:val="000000" w:themeColor="text1"/>
          <w:szCs w:val="21"/>
        </w:rPr>
        <w:t>并予以公告</w:t>
      </w:r>
      <w:r w:rsidRPr="00054588">
        <w:rPr>
          <w:rFonts w:asciiTheme="minorEastAsia" w:eastAsiaTheme="minorEastAsia" w:hAnsiTheme="minorEastAsia"/>
          <w:color w:val="000000" w:themeColor="text1"/>
          <w:szCs w:val="21"/>
        </w:rPr>
        <w:t>。</w:t>
      </w:r>
    </w:p>
    <w:p w:rsidR="007228CC" w:rsidRPr="00054588" w:rsidP="0071223F">
      <w:pPr>
        <w:snapToGrid w:val="0"/>
        <w:spacing w:line="360" w:lineRule="auto"/>
        <w:ind w:firstLine="42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3、暂停申购或赎回的</w:t>
      </w:r>
      <w:r w:rsidRPr="00054588">
        <w:rPr>
          <w:rFonts w:asciiTheme="minorEastAsia" w:eastAsiaTheme="minorEastAsia" w:hAnsiTheme="minorEastAsia"/>
          <w:color w:val="000000" w:themeColor="text1"/>
          <w:szCs w:val="21"/>
        </w:rPr>
        <w:t>公告</w:t>
      </w:r>
      <w:r w:rsidRPr="00054588">
        <w:rPr>
          <w:rFonts w:asciiTheme="minorEastAsia" w:eastAsiaTheme="minorEastAsia" w:hAnsiTheme="minorEastAsia" w:hint="eastAsia"/>
          <w:color w:val="000000" w:themeColor="text1"/>
          <w:szCs w:val="21"/>
        </w:rPr>
        <w:t>和重新开放申购或赎回的公告</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w:t>
      </w:r>
      <w:r w:rsidRPr="00054588">
        <w:rPr>
          <w:rFonts w:asciiTheme="minorEastAsia" w:eastAsiaTheme="minorEastAsia" w:hAnsiTheme="minorEastAsia"/>
          <w:color w:val="000000" w:themeColor="text1"/>
          <w:szCs w:val="21"/>
        </w:rPr>
        <w:t>发生上述暂停申购或赎回情况的，基金管理人当日应立即向中国证监会备案</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并在规定期限内在</w:t>
      </w:r>
      <w:r w:rsidRPr="00054588" w:rsidR="00575E02">
        <w:rPr>
          <w:rFonts w:asciiTheme="minorEastAsia" w:eastAsiaTheme="minorEastAsia" w:hAnsiTheme="minorEastAsia"/>
          <w:color w:val="000000" w:themeColor="text1"/>
          <w:szCs w:val="21"/>
        </w:rPr>
        <w:t>指定媒介</w:t>
      </w:r>
      <w:r w:rsidRPr="00054588">
        <w:rPr>
          <w:rFonts w:asciiTheme="minorEastAsia" w:eastAsiaTheme="minorEastAsia" w:hAnsiTheme="minorEastAsia"/>
          <w:color w:val="000000" w:themeColor="text1"/>
          <w:szCs w:val="21"/>
        </w:rPr>
        <w:t>上刊登暂停公告</w:t>
      </w:r>
      <w:r w:rsidRPr="00054588">
        <w:rPr>
          <w:rFonts w:asciiTheme="minorEastAsia" w:eastAsiaTheme="minorEastAsia" w:hAnsiTheme="minorEastAsia" w:hint="eastAsia"/>
          <w:color w:val="000000" w:themeColor="text1"/>
          <w:szCs w:val="21"/>
        </w:rPr>
        <w:t>。</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w:t>
      </w:r>
      <w:r w:rsidRPr="00054588">
        <w:rPr>
          <w:rFonts w:asciiTheme="minorEastAsia" w:eastAsiaTheme="minorEastAsia" w:hAnsiTheme="minorEastAsia"/>
          <w:color w:val="000000" w:themeColor="text1"/>
          <w:szCs w:val="21"/>
        </w:rPr>
        <w:t>如发生暂停的时间为</w:t>
      </w:r>
      <w:r w:rsidRPr="00054588">
        <w:rPr>
          <w:rFonts w:asciiTheme="minorEastAsia" w:eastAsiaTheme="minorEastAsia" w:hAnsiTheme="minorEastAsia" w:hint="eastAsia"/>
          <w:color w:val="000000" w:themeColor="text1"/>
          <w:szCs w:val="21"/>
        </w:rPr>
        <w:t>1</w:t>
      </w:r>
      <w:r w:rsidRPr="00054588">
        <w:rPr>
          <w:rFonts w:asciiTheme="minorEastAsia" w:eastAsiaTheme="minorEastAsia" w:hAnsiTheme="minorEastAsia"/>
          <w:color w:val="000000" w:themeColor="text1"/>
          <w:szCs w:val="21"/>
        </w:rPr>
        <w:t>日，基金管理人应</w:t>
      </w:r>
      <w:r w:rsidRPr="00054588">
        <w:rPr>
          <w:rFonts w:asciiTheme="minorEastAsia" w:eastAsiaTheme="minorEastAsia" w:hAnsiTheme="minorEastAsia" w:hint="eastAsia"/>
          <w:color w:val="000000" w:themeColor="text1"/>
          <w:szCs w:val="21"/>
        </w:rPr>
        <w:t>于重新开放日，</w:t>
      </w:r>
      <w:r w:rsidRPr="00054588">
        <w:rPr>
          <w:rFonts w:asciiTheme="minorEastAsia" w:eastAsiaTheme="minorEastAsia" w:hAnsiTheme="minorEastAsia"/>
          <w:color w:val="000000" w:themeColor="text1"/>
          <w:szCs w:val="21"/>
        </w:rPr>
        <w:t>在</w:t>
      </w:r>
      <w:r w:rsidRPr="00054588" w:rsidR="00575E02">
        <w:rPr>
          <w:rFonts w:asciiTheme="minorEastAsia" w:eastAsiaTheme="minorEastAsia" w:hAnsiTheme="minorEastAsia"/>
          <w:color w:val="000000" w:themeColor="text1"/>
          <w:szCs w:val="21"/>
        </w:rPr>
        <w:t>指定媒介</w:t>
      </w:r>
      <w:r w:rsidRPr="00054588">
        <w:rPr>
          <w:rFonts w:asciiTheme="minorEastAsia" w:eastAsiaTheme="minorEastAsia" w:hAnsiTheme="minorEastAsia"/>
          <w:color w:val="000000" w:themeColor="text1"/>
          <w:szCs w:val="21"/>
        </w:rPr>
        <w:t>上刊登基金重新开放申购或赎回公告</w:t>
      </w:r>
      <w:r w:rsidRPr="00054588">
        <w:rPr>
          <w:rFonts w:asciiTheme="minorEastAsia" w:eastAsiaTheme="minorEastAsia" w:hAnsiTheme="minorEastAsia" w:hint="eastAsia"/>
          <w:color w:val="000000" w:themeColor="text1"/>
          <w:szCs w:val="21"/>
        </w:rPr>
        <w:t>，并公布最近1个开放日的基金份额净值。</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（3）</w:t>
      </w:r>
      <w:r w:rsidRPr="00054588">
        <w:rPr>
          <w:rFonts w:asciiTheme="minorEastAsia" w:eastAsiaTheme="minorEastAsia" w:hAnsiTheme="minorEastAsia"/>
          <w:color w:val="000000" w:themeColor="text1"/>
          <w:szCs w:val="21"/>
        </w:rPr>
        <w:t>如发生暂停的时间超过</w:t>
      </w:r>
      <w:r w:rsidRPr="00054588">
        <w:rPr>
          <w:rFonts w:asciiTheme="minorEastAsia" w:eastAsiaTheme="minorEastAsia" w:hAnsiTheme="minorEastAsia" w:hint="eastAsia"/>
          <w:color w:val="000000" w:themeColor="text1"/>
          <w:szCs w:val="21"/>
        </w:rPr>
        <w:t>1</w:t>
      </w:r>
      <w:r w:rsidRPr="00054588">
        <w:rPr>
          <w:rFonts w:asciiTheme="minorEastAsia" w:eastAsiaTheme="minorEastAsia" w:hAnsiTheme="minorEastAsia"/>
          <w:color w:val="000000" w:themeColor="text1"/>
          <w:szCs w:val="21"/>
        </w:rPr>
        <w:t>日但少于</w:t>
      </w:r>
      <w:r w:rsidRPr="00054588">
        <w:rPr>
          <w:rFonts w:asciiTheme="minorEastAsia" w:eastAsiaTheme="minorEastAsia" w:hAnsiTheme="minorEastAsia" w:hint="eastAsia"/>
          <w:color w:val="000000" w:themeColor="text1"/>
          <w:szCs w:val="21"/>
        </w:rPr>
        <w:t>2</w:t>
      </w:r>
      <w:r w:rsidRPr="00054588">
        <w:rPr>
          <w:rFonts w:asciiTheme="minorEastAsia" w:eastAsiaTheme="minorEastAsia" w:hAnsiTheme="minorEastAsia"/>
          <w:color w:val="000000" w:themeColor="text1"/>
          <w:szCs w:val="21"/>
        </w:rPr>
        <w:t>周，</w:t>
      </w:r>
      <w:r w:rsidRPr="00054588">
        <w:rPr>
          <w:rFonts w:asciiTheme="minorEastAsia" w:eastAsiaTheme="minorEastAsia" w:hAnsiTheme="minorEastAsia" w:hint="eastAsia"/>
          <w:color w:val="000000" w:themeColor="text1"/>
          <w:szCs w:val="21"/>
        </w:rPr>
        <w:t>暂停结束，</w:t>
      </w:r>
      <w:r w:rsidRPr="00054588">
        <w:rPr>
          <w:rFonts w:asciiTheme="minorEastAsia" w:eastAsiaTheme="minorEastAsia" w:hAnsiTheme="minorEastAsia"/>
          <w:color w:val="000000" w:themeColor="text1"/>
          <w:szCs w:val="21"/>
        </w:rPr>
        <w:t>基金重新开放申购或赎回时，基金管理人应提前</w:t>
      </w:r>
      <w:r w:rsidRPr="00054588">
        <w:rPr>
          <w:rFonts w:asciiTheme="minorEastAsia" w:eastAsiaTheme="minorEastAsia" w:hAnsiTheme="minorEastAsia" w:hint="eastAsia"/>
          <w:color w:val="000000" w:themeColor="text1"/>
          <w:szCs w:val="21"/>
        </w:rPr>
        <w:t>2</w:t>
      </w:r>
      <w:r w:rsidRPr="00054588">
        <w:rPr>
          <w:rFonts w:asciiTheme="minorEastAsia" w:eastAsiaTheme="minorEastAsia" w:hAnsiTheme="minorEastAsia"/>
          <w:color w:val="000000" w:themeColor="text1"/>
          <w:szCs w:val="21"/>
        </w:rPr>
        <w:t>日在</w:t>
      </w:r>
      <w:r w:rsidRPr="00054588" w:rsidR="00575E02">
        <w:rPr>
          <w:rFonts w:asciiTheme="minorEastAsia" w:eastAsiaTheme="minorEastAsia" w:hAnsiTheme="minorEastAsia"/>
          <w:color w:val="000000" w:themeColor="text1"/>
          <w:szCs w:val="21"/>
        </w:rPr>
        <w:t>指定媒介</w:t>
      </w:r>
      <w:r w:rsidRPr="00054588">
        <w:rPr>
          <w:rFonts w:asciiTheme="minorEastAsia" w:eastAsiaTheme="minorEastAsia" w:hAnsiTheme="minorEastAsia"/>
          <w:color w:val="000000" w:themeColor="text1"/>
          <w:szCs w:val="21"/>
        </w:rPr>
        <w:t>上刊登基金重新开放申购或赎回公告</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并公告最近1个开放日的基金份额净值</w:t>
      </w:r>
      <w:r w:rsidRPr="00054588">
        <w:rPr>
          <w:rFonts w:asciiTheme="minorEastAsia" w:eastAsiaTheme="minorEastAsia" w:hAnsiTheme="minorEastAsia" w:hint="eastAsia"/>
          <w:color w:val="000000" w:themeColor="text1"/>
          <w:szCs w:val="21"/>
        </w:rPr>
        <w:t>。</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（4）</w:t>
      </w:r>
      <w:r w:rsidRPr="00054588">
        <w:rPr>
          <w:rFonts w:asciiTheme="minorEastAsia" w:eastAsiaTheme="minorEastAsia" w:hAnsiTheme="minorEastAsia"/>
          <w:color w:val="000000" w:themeColor="text1"/>
          <w:szCs w:val="21"/>
        </w:rPr>
        <w:t>如发生暂停的时间超过</w:t>
      </w:r>
      <w:r w:rsidRPr="00054588">
        <w:rPr>
          <w:rFonts w:asciiTheme="minorEastAsia" w:eastAsiaTheme="minorEastAsia" w:hAnsiTheme="minorEastAsia" w:hint="eastAsia"/>
          <w:color w:val="000000" w:themeColor="text1"/>
          <w:szCs w:val="21"/>
        </w:rPr>
        <w:t>2</w:t>
      </w:r>
      <w:r w:rsidRPr="00054588">
        <w:rPr>
          <w:rFonts w:asciiTheme="minorEastAsia" w:eastAsiaTheme="minorEastAsia" w:hAnsiTheme="minorEastAsia"/>
          <w:color w:val="000000" w:themeColor="text1"/>
          <w:szCs w:val="21"/>
        </w:rPr>
        <w:t>周，暂停期间，基金管理人应每</w:t>
      </w:r>
      <w:r w:rsidRPr="00054588">
        <w:rPr>
          <w:rFonts w:asciiTheme="minorEastAsia" w:eastAsiaTheme="minorEastAsia" w:hAnsiTheme="minorEastAsia" w:hint="eastAsia"/>
          <w:color w:val="000000" w:themeColor="text1"/>
          <w:szCs w:val="21"/>
        </w:rPr>
        <w:t>2</w:t>
      </w:r>
      <w:r w:rsidRPr="00054588">
        <w:rPr>
          <w:rFonts w:asciiTheme="minorEastAsia" w:eastAsiaTheme="minorEastAsia" w:hAnsiTheme="minorEastAsia"/>
          <w:color w:val="000000" w:themeColor="text1"/>
          <w:szCs w:val="21"/>
        </w:rPr>
        <w:t>周至少刊登暂停公告</w:t>
      </w:r>
      <w:r w:rsidRPr="00054588">
        <w:rPr>
          <w:rFonts w:asciiTheme="minorEastAsia" w:eastAsiaTheme="minorEastAsia" w:hAnsiTheme="minorEastAsia" w:hint="eastAsia"/>
          <w:color w:val="000000" w:themeColor="text1"/>
          <w:szCs w:val="21"/>
        </w:rPr>
        <w:t>1</w:t>
      </w:r>
      <w:r w:rsidRPr="00054588">
        <w:rPr>
          <w:rFonts w:asciiTheme="minorEastAsia" w:eastAsiaTheme="minorEastAsia" w:hAnsiTheme="minorEastAsia"/>
          <w:color w:val="000000" w:themeColor="text1"/>
          <w:szCs w:val="21"/>
        </w:rPr>
        <w:t>次。暂停结束，基金重新开放申购或赎回时，基金管理人应提前</w:t>
      </w:r>
      <w:r w:rsidRPr="00054588">
        <w:rPr>
          <w:rFonts w:asciiTheme="minorEastAsia" w:eastAsiaTheme="minorEastAsia" w:hAnsiTheme="minorEastAsia" w:hint="eastAsia"/>
          <w:color w:val="000000" w:themeColor="text1"/>
          <w:szCs w:val="21"/>
        </w:rPr>
        <w:t>2</w:t>
      </w:r>
      <w:r w:rsidRPr="00054588">
        <w:rPr>
          <w:rFonts w:asciiTheme="minorEastAsia" w:eastAsiaTheme="minorEastAsia" w:hAnsiTheme="minorEastAsia"/>
          <w:color w:val="000000" w:themeColor="text1"/>
          <w:szCs w:val="21"/>
        </w:rPr>
        <w:t>日在</w:t>
      </w:r>
      <w:r w:rsidRPr="00054588" w:rsidR="00575E02">
        <w:rPr>
          <w:rFonts w:asciiTheme="minorEastAsia" w:eastAsiaTheme="minorEastAsia" w:hAnsiTheme="minorEastAsia"/>
          <w:color w:val="000000" w:themeColor="text1"/>
          <w:szCs w:val="21"/>
        </w:rPr>
        <w:t>指定媒介</w:t>
      </w:r>
      <w:r w:rsidRPr="00054588">
        <w:rPr>
          <w:rFonts w:asciiTheme="minorEastAsia" w:eastAsiaTheme="minorEastAsia" w:hAnsiTheme="minorEastAsia"/>
          <w:color w:val="000000" w:themeColor="text1"/>
          <w:szCs w:val="21"/>
        </w:rPr>
        <w:t>上连续刊登基金重新开放申购或赎回公告</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并公告最近</w:t>
      </w:r>
      <w:r w:rsidRPr="00054588">
        <w:rPr>
          <w:rFonts w:asciiTheme="minorEastAsia" w:eastAsiaTheme="minorEastAsia" w:hAnsiTheme="minorEastAsia" w:hint="eastAsia"/>
          <w:color w:val="000000" w:themeColor="text1"/>
          <w:szCs w:val="21"/>
        </w:rPr>
        <w:t>1</w:t>
      </w:r>
      <w:r w:rsidRPr="00054588">
        <w:rPr>
          <w:rFonts w:asciiTheme="minorEastAsia" w:eastAsiaTheme="minorEastAsia" w:hAnsiTheme="minorEastAsia"/>
          <w:color w:val="000000" w:themeColor="text1"/>
          <w:szCs w:val="21"/>
        </w:rPr>
        <w:t>个开放日的基金份额净值。</w:t>
      </w:r>
    </w:p>
    <w:p w:rsidR="00401C0B" w:rsidRPr="00054588" w:rsidP="00401C0B">
      <w:pPr>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（十二）实施侧袋机制期间本基金的申购与赎回</w:t>
      </w:r>
    </w:p>
    <w:p w:rsidR="00401C0B" w:rsidRPr="00054588" w:rsidP="00401C0B">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本基金实施侧袋机制的，本基金的申购和赎回安排详见本招募说明书“侧袋机制”部分的规定或相关公告。</w:t>
      </w:r>
    </w:p>
    <w:p w:rsidR="007228CC" w:rsidRPr="00054588" w:rsidP="00941EC8">
      <w:pPr>
        <w:pStyle w:val="111"/>
        <w:numPr>
          <w:ilvl w:val="0"/>
          <w:numId w:val="7"/>
        </w:numPr>
        <w:tabs>
          <w:tab w:val="num" w:pos="0"/>
          <w:tab w:val="clear" w:pos="2798"/>
        </w:tabs>
        <w:snapToGrid w:val="0"/>
        <w:spacing w:beforeLines="0" w:afterLines="0" w:line="360" w:lineRule="auto"/>
        <w:ind w:left="0" w:firstLine="0" w:firstLineChars="0"/>
        <w:rPr>
          <w:rFonts w:asciiTheme="minorEastAsia" w:eastAsiaTheme="minorEastAsia" w:hAnsiTheme="minorEastAsia"/>
          <w:b/>
          <w:color w:val="000000" w:themeColor="text1"/>
        </w:rPr>
      </w:pPr>
      <w:bookmarkStart w:id="105" w:name="_Toc123296430"/>
      <w:r w:rsidRPr="00054588">
        <w:rPr>
          <w:rFonts w:asciiTheme="minorEastAsia" w:eastAsiaTheme="minorEastAsia" w:hAnsiTheme="minorEastAsia" w:hint="eastAsia"/>
          <w:b/>
          <w:color w:val="000000" w:themeColor="text1"/>
        </w:rPr>
        <w:t>基金转换</w:t>
      </w:r>
      <w:bookmarkEnd w:id="105"/>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rPr>
        <w:t>基金转换是指基金份额持有人按基金管理人规定的条件将其持有的某一只基金的基金份额转换为同一基金管理人管理的另一只基金的基金份额的行为。</w:t>
      </w:r>
    </w:p>
    <w:p w:rsidR="007228CC" w:rsidRPr="00054588" w:rsidP="00941EC8">
      <w:pPr>
        <w:pStyle w:val="Heading2"/>
        <w:snapToGrid w:val="0"/>
        <w:spacing w:beforeLines="0" w:afterLines="0" w:line="360" w:lineRule="auto"/>
        <w:ind w:firstLine="562"/>
        <w:rPr>
          <w:rFonts w:asciiTheme="minorEastAsia" w:eastAsiaTheme="minorEastAsia" w:hAnsiTheme="minorEastAsia"/>
          <w:color w:val="000000" w:themeColor="text1"/>
        </w:rPr>
      </w:pPr>
      <w:bookmarkStart w:id="106" w:name="_Toc198959616"/>
      <w:bookmarkStart w:id="107" w:name="_Toc123296431"/>
      <w:r w:rsidRPr="00054588">
        <w:rPr>
          <w:rFonts w:asciiTheme="minorEastAsia" w:eastAsiaTheme="minorEastAsia" w:hAnsiTheme="minorEastAsia" w:hint="eastAsia"/>
          <w:color w:val="000000" w:themeColor="text1"/>
        </w:rPr>
        <w:t>（一）</w:t>
      </w:r>
      <w:r w:rsidRPr="00054588">
        <w:rPr>
          <w:rFonts w:asciiTheme="minorEastAsia" w:eastAsiaTheme="minorEastAsia" w:hAnsiTheme="minorEastAsia"/>
          <w:color w:val="000000" w:themeColor="text1"/>
        </w:rPr>
        <w:t>基金转换开始日及</w:t>
      </w:r>
      <w:r w:rsidRPr="00054588">
        <w:rPr>
          <w:rFonts w:asciiTheme="minorEastAsia" w:eastAsiaTheme="minorEastAsia" w:hAnsiTheme="minorEastAsia" w:hint="eastAsia"/>
          <w:color w:val="000000" w:themeColor="text1"/>
        </w:rPr>
        <w:t>时间</w:t>
      </w:r>
      <w:bookmarkEnd w:id="106"/>
      <w:bookmarkEnd w:id="107"/>
    </w:p>
    <w:p w:rsidR="007228CC" w:rsidRPr="00054588" w:rsidP="0071223F">
      <w:pPr>
        <w:pStyle w:val="NormalIndent"/>
        <w:snapToGrid w:val="0"/>
        <w:spacing w:line="360" w:lineRule="auto"/>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本基金已于2008年9月26日开始办理</w:t>
      </w:r>
      <w:r w:rsidRPr="00054588">
        <w:rPr>
          <w:rFonts w:asciiTheme="minorEastAsia" w:eastAsiaTheme="minorEastAsia" w:hAnsiTheme="minorEastAsia" w:hint="eastAsia"/>
          <w:color w:val="000000" w:themeColor="text1"/>
          <w:szCs w:val="21"/>
        </w:rPr>
        <w:t>转换</w:t>
      </w:r>
      <w:r w:rsidRPr="00054588">
        <w:rPr>
          <w:rFonts w:asciiTheme="minorEastAsia" w:eastAsiaTheme="minorEastAsia" w:hAnsiTheme="minorEastAsia" w:hint="eastAsia"/>
          <w:color w:val="000000" w:themeColor="text1"/>
        </w:rPr>
        <w:t>业务</w:t>
      </w:r>
      <w:r w:rsidRPr="00054588">
        <w:rPr>
          <w:rFonts w:asciiTheme="minorEastAsia" w:eastAsiaTheme="minorEastAsia" w:hAnsiTheme="minorEastAsia" w:cs="宋体" w:hint="eastAsia"/>
          <w:color w:val="000000" w:themeColor="text1"/>
          <w:kern w:val="0"/>
          <w:szCs w:val="21"/>
        </w:rPr>
        <w:t>。</w:t>
      </w:r>
    </w:p>
    <w:p w:rsidR="007228CC" w:rsidRPr="00054588" w:rsidP="0071223F">
      <w:pPr>
        <w:widowControl/>
        <w:snapToGrid w:val="0"/>
        <w:spacing w:line="360" w:lineRule="auto"/>
        <w:ind w:firstLine="420" w:firstLineChars="200"/>
        <w:jc w:val="left"/>
        <w:rPr>
          <w:rFonts w:asciiTheme="minorEastAsia" w:eastAsiaTheme="minorEastAsia" w:hAnsiTheme="minorEastAsia" w:cs="宋体"/>
          <w:color w:val="000000" w:themeColor="text1"/>
          <w:kern w:val="0"/>
          <w:szCs w:val="21"/>
        </w:rPr>
      </w:pPr>
      <w:r w:rsidRPr="00054588">
        <w:rPr>
          <w:rFonts w:asciiTheme="minorEastAsia" w:eastAsiaTheme="minorEastAsia" w:hAnsiTheme="minorEastAsia" w:hint="eastAsia"/>
          <w:color w:val="000000" w:themeColor="text1"/>
          <w:szCs w:val="21"/>
        </w:rPr>
        <w:t>本基金办理转换业务的开放日为上海证券交易所和深圳证券交易所交易日。</w:t>
      </w:r>
      <w:r w:rsidRPr="00054588">
        <w:rPr>
          <w:rFonts w:asciiTheme="minorEastAsia" w:eastAsiaTheme="minorEastAsia" w:hAnsiTheme="minorEastAsia" w:hint="eastAsia"/>
          <w:color w:val="000000" w:themeColor="text1"/>
          <w:kern w:val="0"/>
          <w:szCs w:val="21"/>
        </w:rPr>
        <w:t>但基金管理人根据法律法规、中国证监会的要求或本基金合同的规定公告暂停转换时除外。</w:t>
      </w:r>
      <w:r w:rsidRPr="00054588">
        <w:rPr>
          <w:rFonts w:asciiTheme="minorEastAsia" w:eastAsiaTheme="minorEastAsia" w:hAnsiTheme="minorEastAsia" w:hint="eastAsia"/>
          <w:color w:val="000000" w:themeColor="text1"/>
          <w:szCs w:val="21"/>
        </w:rPr>
        <w:t>具体业务办理时间为上海证券交易所、深圳证券交易所的交易时间。若出现新的证券交易市场或交易所交易时间更改或</w:t>
      </w:r>
      <w:r w:rsidRPr="00054588">
        <w:rPr>
          <w:rFonts w:asciiTheme="minorEastAsia" w:eastAsiaTheme="minorEastAsia" w:hAnsiTheme="minorEastAsia" w:hint="eastAsia"/>
          <w:color w:val="000000" w:themeColor="text1"/>
          <w:kern w:val="0"/>
          <w:szCs w:val="21"/>
        </w:rPr>
        <w:t>其他特殊情况</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hint="eastAsia"/>
          <w:color w:val="000000" w:themeColor="text1"/>
          <w:kern w:val="0"/>
          <w:szCs w:val="21"/>
        </w:rPr>
        <w:t>基金管理人将视情况对前述开放日及具体业务办理时间进行相应的调整并提前公告</w:t>
      </w:r>
      <w:r w:rsidRPr="00054588">
        <w:rPr>
          <w:rFonts w:asciiTheme="minorEastAsia" w:eastAsiaTheme="minorEastAsia" w:hAnsiTheme="minorEastAsia" w:hint="eastAsia"/>
          <w:color w:val="000000" w:themeColor="text1"/>
          <w:szCs w:val="21"/>
        </w:rPr>
        <w:t>。</w:t>
      </w:r>
    </w:p>
    <w:p w:rsidR="007228CC" w:rsidRPr="00054588" w:rsidP="0071223F">
      <w:pPr>
        <w:pStyle w:val="NormalIndent"/>
        <w:snapToGrid w:val="0"/>
        <w:spacing w:line="360" w:lineRule="auto"/>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投资者需在转出基金和转入基金均有交易的当日，方可办理基金转换业务。</w:t>
      </w:r>
    </w:p>
    <w:p w:rsidR="007228CC" w:rsidRPr="00054588" w:rsidP="00941EC8">
      <w:pPr>
        <w:pStyle w:val="Heading2"/>
        <w:snapToGrid w:val="0"/>
        <w:spacing w:beforeLines="0" w:afterLines="0" w:line="360" w:lineRule="auto"/>
        <w:ind w:firstLine="562"/>
        <w:rPr>
          <w:rFonts w:asciiTheme="minorEastAsia" w:eastAsiaTheme="minorEastAsia" w:hAnsiTheme="minorEastAsia"/>
          <w:color w:val="000000" w:themeColor="text1"/>
        </w:rPr>
      </w:pPr>
      <w:bookmarkStart w:id="108" w:name="_Toc198959617"/>
      <w:bookmarkStart w:id="109" w:name="_Toc123296432"/>
      <w:r w:rsidRPr="00054588">
        <w:rPr>
          <w:rFonts w:asciiTheme="minorEastAsia" w:eastAsiaTheme="minorEastAsia" w:hAnsiTheme="minorEastAsia" w:hint="eastAsia"/>
          <w:color w:val="000000" w:themeColor="text1"/>
        </w:rPr>
        <w:t>（二）</w:t>
      </w:r>
      <w:r w:rsidRPr="00054588">
        <w:rPr>
          <w:rFonts w:asciiTheme="minorEastAsia" w:eastAsiaTheme="minorEastAsia" w:hAnsiTheme="minorEastAsia"/>
          <w:color w:val="000000" w:themeColor="text1"/>
        </w:rPr>
        <w:t>基金转换的原则</w:t>
      </w:r>
      <w:bookmarkEnd w:id="108"/>
      <w:bookmarkEnd w:id="109"/>
    </w:p>
    <w:p w:rsidR="007228CC" w:rsidRPr="00054588" w:rsidP="0071223F">
      <w:pPr>
        <w:pStyle w:val="NormalIndent"/>
        <w:snapToGrid w:val="0"/>
        <w:spacing w:line="360" w:lineRule="auto"/>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1、本基金采用</w:t>
      </w:r>
      <w:r w:rsidRPr="00054588">
        <w:rPr>
          <w:rFonts w:asciiTheme="minorEastAsia" w:eastAsiaTheme="minorEastAsia" w:hAnsiTheme="minorEastAsia"/>
          <w:color w:val="000000" w:themeColor="text1"/>
        </w:rPr>
        <w:t>份额转换原则</w:t>
      </w:r>
      <w:r w:rsidRPr="00054588">
        <w:rPr>
          <w:rFonts w:asciiTheme="minorEastAsia" w:eastAsiaTheme="minorEastAsia" w:hAnsiTheme="minorEastAsia" w:hint="eastAsia"/>
          <w:color w:val="000000" w:themeColor="text1"/>
        </w:rPr>
        <w:t>，</w:t>
      </w:r>
      <w:r w:rsidRPr="00054588">
        <w:rPr>
          <w:rFonts w:asciiTheme="minorEastAsia" w:eastAsiaTheme="minorEastAsia" w:hAnsiTheme="minorEastAsia"/>
          <w:color w:val="000000" w:themeColor="text1"/>
        </w:rPr>
        <w:t>即转换以份额申请；</w:t>
      </w:r>
    </w:p>
    <w:p w:rsidR="007228CC" w:rsidRPr="00054588" w:rsidP="0071223F">
      <w:pPr>
        <w:pStyle w:val="NormalIndent"/>
        <w:snapToGrid w:val="0"/>
        <w:spacing w:line="360" w:lineRule="auto"/>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2、当日的转换申请可以在当日交易结束时间前撤销，在当日的交易时间结束后不得撤销；</w:t>
      </w:r>
    </w:p>
    <w:p w:rsidR="007228CC" w:rsidRPr="00054588" w:rsidP="0071223F">
      <w:pPr>
        <w:pStyle w:val="NormalIndent"/>
        <w:snapToGrid w:val="0"/>
        <w:spacing w:line="360" w:lineRule="auto"/>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3、基金转换价格以申请转换当日各基金份额净值为基础计算；</w:t>
      </w:r>
    </w:p>
    <w:p w:rsidR="007228CC" w:rsidRPr="00054588" w:rsidP="0071223F">
      <w:pPr>
        <w:pStyle w:val="NormalIndent"/>
        <w:snapToGrid w:val="0"/>
        <w:spacing w:line="360" w:lineRule="auto"/>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4、投资者可在同时销售拟转出基金及转入基金的销售机构处办理基金转换。基金转换只能在同一销售机构进行。转换的两只基金必须都是该销售机构</w:t>
      </w:r>
      <w:r w:rsidRPr="00054588" w:rsidR="00EA0085">
        <w:rPr>
          <w:rFonts w:asciiTheme="minorEastAsia" w:eastAsiaTheme="minorEastAsia" w:hAnsiTheme="minorEastAsia" w:hint="eastAsia"/>
          <w:color w:val="000000" w:themeColor="text1"/>
        </w:rPr>
        <w:t>销售</w:t>
      </w:r>
      <w:r w:rsidRPr="00054588">
        <w:rPr>
          <w:rFonts w:asciiTheme="minorEastAsia" w:eastAsiaTheme="minorEastAsia" w:hAnsiTheme="minorEastAsia" w:hint="eastAsia"/>
          <w:color w:val="000000" w:themeColor="text1"/>
        </w:rPr>
        <w:t>的同一基金管理人管理的、在同一基金注册登记机构处注册的基金；</w:t>
      </w:r>
    </w:p>
    <w:p w:rsidR="007228CC" w:rsidRPr="00054588" w:rsidP="0071223F">
      <w:pPr>
        <w:snapToGrid w:val="0"/>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5、投资者办理基金转换业务时，转出方的基金必须处于可赎回状态，转入方的基金必须处于可申购状态；</w:t>
      </w:r>
    </w:p>
    <w:p w:rsidR="007228CC" w:rsidRPr="00054588" w:rsidP="0071223F">
      <w:pPr>
        <w:snapToGrid w:val="0"/>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6、</w:t>
      </w:r>
      <w:r w:rsidRPr="00054588">
        <w:rPr>
          <w:rFonts w:asciiTheme="minorEastAsia" w:eastAsiaTheme="minorEastAsia" w:hAnsiTheme="minorEastAsia"/>
          <w:color w:val="000000" w:themeColor="text1"/>
        </w:rPr>
        <w:t>基金转换后，转入的基金份额的持有期将自转入的基金份额被确认之日起重新开始计算</w:t>
      </w:r>
      <w:r w:rsidRPr="00054588">
        <w:rPr>
          <w:rFonts w:asciiTheme="minorEastAsia" w:eastAsiaTheme="minorEastAsia" w:hAnsiTheme="minorEastAsia" w:hint="eastAsia"/>
          <w:color w:val="000000" w:themeColor="text1"/>
        </w:rPr>
        <w:t>；</w:t>
      </w:r>
    </w:p>
    <w:p w:rsidR="007228CC" w:rsidRPr="00054588" w:rsidP="0071223F">
      <w:pPr>
        <w:pStyle w:val="NormalIndent"/>
        <w:snapToGrid w:val="0"/>
        <w:spacing w:line="360" w:lineRule="auto"/>
        <w:ind w:firstLine="420" w:firstLineChars="20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7、</w:t>
      </w:r>
      <w:r w:rsidRPr="00054588">
        <w:rPr>
          <w:rFonts w:asciiTheme="minorEastAsia" w:eastAsiaTheme="minorEastAsia" w:hAnsiTheme="minorEastAsia"/>
          <w:color w:val="000000" w:themeColor="text1"/>
        </w:rPr>
        <w:t>转换业务遵循“先进先出”的业务规则，</w:t>
      </w:r>
      <w:r w:rsidRPr="00054588">
        <w:rPr>
          <w:rFonts w:asciiTheme="minorEastAsia" w:eastAsiaTheme="minorEastAsia" w:hAnsiTheme="minorEastAsia" w:hint="eastAsia"/>
          <w:color w:val="000000" w:themeColor="text1"/>
        </w:rPr>
        <w:t>即份额注册日期在前的先转换出，份额注册日期在后的后转换出</w:t>
      </w:r>
      <w:r w:rsidRPr="00054588">
        <w:rPr>
          <w:rFonts w:asciiTheme="minorEastAsia" w:eastAsiaTheme="minorEastAsia" w:hAnsiTheme="minorEastAsia"/>
          <w:color w:val="000000" w:themeColor="text1"/>
        </w:rPr>
        <w:t>，如果转换申请当日，同时有赎回申请的情况下，则遵循先赎回后转换的处理原则；</w:t>
      </w:r>
    </w:p>
    <w:p w:rsidR="007228CC" w:rsidRPr="00054588" w:rsidP="0071223F">
      <w:pPr>
        <w:pStyle w:val="NormalIndent"/>
        <w:snapToGrid w:val="0"/>
        <w:spacing w:line="360" w:lineRule="auto"/>
        <w:rPr>
          <w:rFonts w:asciiTheme="minorEastAsia" w:eastAsiaTheme="minorEastAsia" w:hAnsiTheme="minorEastAsia" w:cs="宋体"/>
          <w:color w:val="000000" w:themeColor="text1"/>
          <w:kern w:val="0"/>
          <w:szCs w:val="21"/>
        </w:rPr>
      </w:pPr>
      <w:r w:rsidRPr="00054588">
        <w:rPr>
          <w:rFonts w:asciiTheme="minorEastAsia" w:eastAsiaTheme="minorEastAsia" w:hAnsiTheme="minorEastAsia" w:hint="eastAsia"/>
          <w:color w:val="000000" w:themeColor="text1"/>
        </w:rPr>
        <w:t>8、基金管理人可在不损害基金份额持有人权益的情况下更改上述原则，但</w:t>
      </w:r>
      <w:r w:rsidRPr="00054588">
        <w:rPr>
          <w:rFonts w:asciiTheme="minorEastAsia" w:eastAsiaTheme="minorEastAsia" w:hAnsiTheme="minorEastAsia" w:cs="宋体" w:hint="eastAsia"/>
          <w:color w:val="000000" w:themeColor="text1"/>
          <w:kern w:val="0"/>
          <w:szCs w:val="21"/>
        </w:rPr>
        <w:t>最迟应在调整生效前</w:t>
      </w:r>
      <w:r w:rsidRPr="00054588">
        <w:rPr>
          <w:rFonts w:asciiTheme="minorEastAsia" w:eastAsiaTheme="minorEastAsia" w:hAnsiTheme="minorEastAsia"/>
          <w:color w:val="000000" w:themeColor="text1"/>
          <w:kern w:val="0"/>
          <w:szCs w:val="21"/>
        </w:rPr>
        <w:t>2</w:t>
      </w:r>
      <w:r w:rsidRPr="00054588">
        <w:rPr>
          <w:rFonts w:asciiTheme="minorEastAsia" w:eastAsiaTheme="minorEastAsia" w:hAnsiTheme="minorEastAsia" w:cs="宋体" w:hint="eastAsia"/>
          <w:color w:val="000000" w:themeColor="text1"/>
          <w:kern w:val="0"/>
          <w:szCs w:val="21"/>
        </w:rPr>
        <w:t>日至少在一种中国证监会指定的媒体上予以公告。</w:t>
      </w:r>
    </w:p>
    <w:p w:rsidR="007228CC" w:rsidRPr="00054588" w:rsidP="00941EC8">
      <w:pPr>
        <w:pStyle w:val="Heading2"/>
        <w:snapToGrid w:val="0"/>
        <w:spacing w:beforeLines="0" w:afterLines="0" w:line="360" w:lineRule="auto"/>
        <w:ind w:firstLine="562"/>
        <w:rPr>
          <w:rFonts w:asciiTheme="minorEastAsia" w:eastAsiaTheme="minorEastAsia" w:hAnsiTheme="minorEastAsia"/>
          <w:color w:val="000000" w:themeColor="text1"/>
        </w:rPr>
      </w:pPr>
      <w:bookmarkStart w:id="110" w:name="_Toc198959618"/>
      <w:bookmarkStart w:id="111" w:name="_Toc123296433"/>
      <w:r w:rsidRPr="00054588">
        <w:rPr>
          <w:rFonts w:asciiTheme="minorEastAsia" w:eastAsiaTheme="minorEastAsia" w:hAnsiTheme="minorEastAsia" w:hint="eastAsia"/>
          <w:color w:val="000000" w:themeColor="text1"/>
        </w:rPr>
        <w:t>（三）基金转换的程序</w:t>
      </w:r>
      <w:bookmarkEnd w:id="110"/>
      <w:bookmarkEnd w:id="111"/>
    </w:p>
    <w:p w:rsidR="007228CC" w:rsidRPr="00054588" w:rsidP="0071223F">
      <w:pPr>
        <w:pStyle w:val="NormalIndent"/>
        <w:snapToGrid w:val="0"/>
        <w:spacing w:line="360" w:lineRule="auto"/>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1、基金转换的申请方式</w:t>
      </w:r>
    </w:p>
    <w:p w:rsidR="007228CC" w:rsidRPr="00054588" w:rsidP="0071223F">
      <w:pPr>
        <w:pStyle w:val="NormalIndent"/>
        <w:snapToGrid w:val="0"/>
        <w:spacing w:line="360" w:lineRule="auto"/>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基金投资者必须根据基金管理人和基金</w:t>
      </w:r>
      <w:r w:rsidRPr="00054588" w:rsidR="00B47054">
        <w:rPr>
          <w:rFonts w:asciiTheme="minorEastAsia" w:eastAsiaTheme="minorEastAsia" w:hAnsiTheme="minorEastAsia" w:hint="eastAsia"/>
          <w:color w:val="000000" w:themeColor="text1"/>
        </w:rPr>
        <w:t>销售</w:t>
      </w:r>
      <w:r w:rsidRPr="00054588">
        <w:rPr>
          <w:rFonts w:asciiTheme="minorEastAsia" w:eastAsiaTheme="minorEastAsia" w:hAnsiTheme="minorEastAsia" w:hint="eastAsia"/>
          <w:color w:val="000000" w:themeColor="text1"/>
        </w:rPr>
        <w:t>机构规定的手续，在开放日的业务办理时间提出转换的申请。</w:t>
      </w:r>
    </w:p>
    <w:p w:rsidR="007228CC" w:rsidRPr="00054588" w:rsidP="0071223F">
      <w:pPr>
        <w:pStyle w:val="NormalIndent"/>
        <w:snapToGrid w:val="0"/>
        <w:spacing w:line="360" w:lineRule="auto"/>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提交基金转换申请时，账户中必须有足够可用的转出基金份额余额。</w:t>
      </w:r>
    </w:p>
    <w:p w:rsidR="007228CC" w:rsidRPr="00054588" w:rsidP="0071223F">
      <w:pPr>
        <w:pStyle w:val="NormalIndent"/>
        <w:snapToGrid w:val="0"/>
        <w:spacing w:line="360" w:lineRule="auto"/>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2、基金转换申请的确认</w:t>
      </w:r>
    </w:p>
    <w:p w:rsidR="007228CC" w:rsidRPr="00054588" w:rsidP="0071223F">
      <w:pPr>
        <w:pStyle w:val="NormalIndent"/>
        <w:snapToGrid w:val="0"/>
        <w:spacing w:line="360" w:lineRule="auto"/>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正常情况下，基金管理人以在规定的基金业务办理时间段内收到基金转换申请的当天作为基金转换的申请日（T日），并在T+1工作日对该交易的有效性进行确认。投资者可在T+2工作日及之后查询成交情况。</w:t>
      </w:r>
    </w:p>
    <w:p w:rsidR="007228CC" w:rsidRPr="00054588" w:rsidP="00941EC8">
      <w:pPr>
        <w:pStyle w:val="Heading2"/>
        <w:snapToGrid w:val="0"/>
        <w:spacing w:beforeLines="0" w:afterLines="0" w:line="360" w:lineRule="auto"/>
        <w:ind w:firstLine="562"/>
        <w:rPr>
          <w:rFonts w:asciiTheme="minorEastAsia" w:eastAsiaTheme="minorEastAsia" w:hAnsiTheme="minorEastAsia"/>
          <w:color w:val="000000" w:themeColor="text1"/>
        </w:rPr>
      </w:pPr>
      <w:bookmarkStart w:id="112" w:name="_Toc198959619"/>
      <w:bookmarkStart w:id="113" w:name="_Toc123296434"/>
      <w:r w:rsidRPr="00054588">
        <w:rPr>
          <w:rFonts w:asciiTheme="minorEastAsia" w:eastAsiaTheme="minorEastAsia" w:hAnsiTheme="minorEastAsia" w:hint="eastAsia"/>
          <w:color w:val="000000" w:themeColor="text1"/>
        </w:rPr>
        <w:t>（四）基金转换的数额限制</w:t>
      </w:r>
      <w:bookmarkEnd w:id="112"/>
      <w:bookmarkEnd w:id="113"/>
    </w:p>
    <w:p w:rsidR="007228CC" w:rsidRPr="00054588" w:rsidP="0071223F">
      <w:pPr>
        <w:pStyle w:val="NormalIndent"/>
        <w:snapToGrid w:val="0"/>
        <w:spacing w:line="360" w:lineRule="auto"/>
        <w:rPr>
          <w:rFonts w:asciiTheme="minorEastAsia" w:eastAsiaTheme="minorEastAsia" w:hAnsiTheme="minorEastAsia"/>
          <w:color w:val="000000" w:themeColor="text1"/>
        </w:rPr>
      </w:pPr>
      <w:r w:rsidRPr="00054588">
        <w:rPr>
          <w:rFonts w:asciiTheme="minorEastAsia" w:eastAsiaTheme="minorEastAsia" w:hAnsiTheme="minorEastAsia" w:cs="宋体" w:hint="eastAsia"/>
          <w:color w:val="000000" w:themeColor="text1"/>
          <w:kern w:val="0"/>
          <w:szCs w:val="21"/>
        </w:rPr>
        <w:t>基金份额持有人可将其全部或部分基金份额转换成另一只基金，</w:t>
      </w:r>
      <w:r w:rsidRPr="00054588" w:rsidR="007F6FE2">
        <w:rPr>
          <w:rFonts w:asciiTheme="minorEastAsia" w:eastAsiaTheme="minorEastAsia" w:hAnsiTheme="minorEastAsia" w:cs="宋体" w:hint="eastAsia"/>
          <w:color w:val="000000" w:themeColor="text1"/>
          <w:kern w:val="0"/>
          <w:szCs w:val="21"/>
        </w:rPr>
        <w:t>每类基金份额单笔转出申请不得少于</w:t>
      </w:r>
      <w:r w:rsidRPr="00054588" w:rsidR="005B2687">
        <w:rPr>
          <w:rFonts w:asciiTheme="minorEastAsia" w:eastAsiaTheme="minorEastAsia" w:hAnsiTheme="minorEastAsia" w:cs="宋体" w:hint="eastAsia"/>
          <w:color w:val="000000" w:themeColor="text1"/>
          <w:kern w:val="0"/>
          <w:szCs w:val="21"/>
        </w:rPr>
        <w:t>1</w:t>
      </w:r>
      <w:r w:rsidRPr="00054588">
        <w:rPr>
          <w:rFonts w:asciiTheme="minorEastAsia" w:eastAsiaTheme="minorEastAsia" w:hAnsiTheme="minorEastAsia" w:cs="宋体" w:hint="eastAsia"/>
          <w:color w:val="000000" w:themeColor="text1"/>
          <w:kern w:val="0"/>
          <w:szCs w:val="21"/>
        </w:rPr>
        <w:t>份（</w:t>
      </w:r>
      <w:r w:rsidRPr="00054588" w:rsidR="007F6FE2">
        <w:rPr>
          <w:rFonts w:asciiTheme="minorEastAsia" w:eastAsiaTheme="minorEastAsia" w:hAnsiTheme="minorEastAsia" w:cs="宋体" w:hint="eastAsia"/>
          <w:color w:val="000000" w:themeColor="text1"/>
          <w:kern w:val="0"/>
          <w:szCs w:val="21"/>
        </w:rPr>
        <w:t>如该账户在该销售机构托管的该类基金余额不足</w:t>
      </w:r>
      <w:r w:rsidRPr="00054588" w:rsidR="005B2687">
        <w:rPr>
          <w:rFonts w:asciiTheme="minorEastAsia" w:eastAsiaTheme="minorEastAsia" w:hAnsiTheme="minorEastAsia" w:cs="宋体" w:hint="eastAsia"/>
          <w:color w:val="000000" w:themeColor="text1"/>
          <w:kern w:val="0"/>
          <w:szCs w:val="21"/>
        </w:rPr>
        <w:t>1</w:t>
      </w:r>
      <w:r w:rsidRPr="00054588">
        <w:rPr>
          <w:rFonts w:asciiTheme="minorEastAsia" w:eastAsiaTheme="minorEastAsia" w:hAnsiTheme="minorEastAsia" w:cs="宋体" w:hint="eastAsia"/>
          <w:color w:val="000000" w:themeColor="text1"/>
          <w:kern w:val="0"/>
          <w:szCs w:val="21"/>
        </w:rPr>
        <w:t>份，则必须一次性赎回或转出该</w:t>
      </w:r>
      <w:r w:rsidRPr="00054588" w:rsidR="007F6FE2">
        <w:rPr>
          <w:rFonts w:asciiTheme="minorEastAsia" w:eastAsiaTheme="minorEastAsia" w:hAnsiTheme="minorEastAsia" w:cs="宋体" w:hint="eastAsia"/>
          <w:color w:val="000000" w:themeColor="text1"/>
          <w:kern w:val="0"/>
          <w:szCs w:val="21"/>
        </w:rPr>
        <w:t>类</w:t>
      </w:r>
      <w:r w:rsidRPr="00054588">
        <w:rPr>
          <w:rFonts w:asciiTheme="minorEastAsia" w:eastAsiaTheme="minorEastAsia" w:hAnsiTheme="minorEastAsia" w:cs="宋体" w:hint="eastAsia"/>
          <w:color w:val="000000" w:themeColor="text1"/>
          <w:kern w:val="0"/>
          <w:szCs w:val="21"/>
        </w:rPr>
        <w:t>基金全部份额）；若某笔转换导致投资者在</w:t>
      </w:r>
      <w:r w:rsidRPr="00054588" w:rsidR="007F6FE2">
        <w:rPr>
          <w:rFonts w:asciiTheme="minorEastAsia" w:eastAsiaTheme="minorEastAsia" w:hAnsiTheme="minorEastAsia" w:cs="宋体" w:hint="eastAsia"/>
          <w:color w:val="000000" w:themeColor="text1"/>
          <w:kern w:val="0"/>
          <w:szCs w:val="21"/>
        </w:rPr>
        <w:t>该</w:t>
      </w:r>
      <w:r w:rsidRPr="00054588">
        <w:rPr>
          <w:rFonts w:asciiTheme="minorEastAsia" w:eastAsiaTheme="minorEastAsia" w:hAnsiTheme="minorEastAsia" w:cs="宋体" w:hint="eastAsia"/>
          <w:color w:val="000000" w:themeColor="text1"/>
          <w:kern w:val="0"/>
          <w:szCs w:val="21"/>
        </w:rPr>
        <w:t>销售机构托管的该类基金余额不足</w:t>
      </w:r>
      <w:r w:rsidRPr="00054588" w:rsidR="005B2687">
        <w:rPr>
          <w:rFonts w:asciiTheme="minorEastAsia" w:eastAsiaTheme="minorEastAsia" w:hAnsiTheme="minorEastAsia" w:cs="宋体" w:hint="eastAsia"/>
          <w:color w:val="000000" w:themeColor="text1"/>
          <w:kern w:val="0"/>
          <w:szCs w:val="21"/>
        </w:rPr>
        <w:t>1</w:t>
      </w:r>
      <w:r w:rsidRPr="00054588">
        <w:rPr>
          <w:rFonts w:asciiTheme="minorEastAsia" w:eastAsiaTheme="minorEastAsia" w:hAnsiTheme="minorEastAsia" w:cs="宋体" w:hint="eastAsia"/>
          <w:color w:val="000000" w:themeColor="text1"/>
          <w:kern w:val="0"/>
          <w:szCs w:val="21"/>
        </w:rPr>
        <w:t>份时，基金管理人有权将投资者在该销售机构托管的该类基金剩余份额一次性全部赎回。</w:t>
      </w:r>
    </w:p>
    <w:p w:rsidR="007228CC" w:rsidRPr="00054588" w:rsidP="0071223F">
      <w:pPr>
        <w:pStyle w:val="NormalIndent"/>
        <w:snapToGrid w:val="0"/>
        <w:spacing w:line="360" w:lineRule="auto"/>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基金管理人可根据市场情况制定或调整上述基金转换的程序及有关限制，但</w:t>
      </w:r>
      <w:r w:rsidRPr="00054588">
        <w:rPr>
          <w:rFonts w:asciiTheme="minorEastAsia" w:eastAsiaTheme="minorEastAsia" w:hAnsiTheme="minorEastAsia" w:cs="宋体" w:hint="eastAsia"/>
          <w:color w:val="000000" w:themeColor="text1"/>
          <w:kern w:val="0"/>
          <w:szCs w:val="21"/>
        </w:rPr>
        <w:t>最迟应在调整生效前</w:t>
      </w:r>
      <w:r w:rsidRPr="00054588">
        <w:rPr>
          <w:rFonts w:asciiTheme="minorEastAsia" w:eastAsiaTheme="minorEastAsia" w:hAnsiTheme="minorEastAsia"/>
          <w:color w:val="000000" w:themeColor="text1"/>
          <w:kern w:val="0"/>
          <w:szCs w:val="21"/>
        </w:rPr>
        <w:t>2</w:t>
      </w:r>
      <w:r w:rsidRPr="00054588">
        <w:rPr>
          <w:rFonts w:asciiTheme="minorEastAsia" w:eastAsiaTheme="minorEastAsia" w:hAnsiTheme="minorEastAsia" w:cs="宋体" w:hint="eastAsia"/>
          <w:color w:val="000000" w:themeColor="text1"/>
          <w:kern w:val="0"/>
          <w:szCs w:val="21"/>
        </w:rPr>
        <w:t>日至少在一种中国证监会指定的媒体上予以公告。</w:t>
      </w:r>
    </w:p>
    <w:p w:rsidR="007228CC" w:rsidRPr="00054588" w:rsidP="00941EC8">
      <w:pPr>
        <w:pStyle w:val="Heading2"/>
        <w:snapToGrid w:val="0"/>
        <w:spacing w:beforeLines="0" w:afterLines="0" w:line="360" w:lineRule="auto"/>
        <w:ind w:firstLine="562"/>
        <w:rPr>
          <w:rFonts w:asciiTheme="minorEastAsia" w:eastAsiaTheme="minorEastAsia" w:hAnsiTheme="minorEastAsia"/>
          <w:color w:val="000000" w:themeColor="text1"/>
        </w:rPr>
      </w:pPr>
      <w:bookmarkStart w:id="114" w:name="_Toc87367293"/>
      <w:bookmarkStart w:id="115" w:name="_Toc198959620"/>
      <w:bookmarkStart w:id="116" w:name="_Toc123296435"/>
      <w:r w:rsidRPr="00054588">
        <w:rPr>
          <w:rFonts w:asciiTheme="minorEastAsia" w:eastAsiaTheme="minorEastAsia" w:hAnsiTheme="minorEastAsia" w:hint="eastAsia"/>
          <w:color w:val="000000" w:themeColor="text1"/>
        </w:rPr>
        <w:t>（五）基金转换费率</w:t>
      </w:r>
      <w:bookmarkEnd w:id="114"/>
      <w:bookmarkEnd w:id="115"/>
      <w:bookmarkEnd w:id="116"/>
    </w:p>
    <w:p w:rsidR="007228CC" w:rsidRPr="00054588" w:rsidP="0071223F">
      <w:pPr>
        <w:autoSpaceDE w:val="0"/>
        <w:autoSpaceDN w:val="0"/>
        <w:snapToGrid w:val="0"/>
        <w:spacing w:line="360" w:lineRule="auto"/>
        <w:ind w:firstLine="420"/>
        <w:textAlignment w:val="bottom"/>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rPr>
        <w:t>基金转换费由基金份额持有人承担，</w:t>
      </w:r>
      <w:r w:rsidRPr="00054588">
        <w:rPr>
          <w:rFonts w:asciiTheme="minorEastAsia" w:eastAsiaTheme="minorEastAsia" w:hAnsiTheme="minorEastAsia" w:hint="eastAsia"/>
          <w:color w:val="000000" w:themeColor="text1"/>
          <w:szCs w:val="21"/>
        </w:rPr>
        <w:t>由转出基金赎回费用及基金申购补差费用构成，其中赎回费按照</w:t>
      </w:r>
      <w:r w:rsidRPr="00054588" w:rsidR="006001E9">
        <w:rPr>
          <w:rFonts w:asciiTheme="minorEastAsia" w:eastAsiaTheme="minorEastAsia" w:hAnsiTheme="minorEastAsia" w:hint="eastAsia"/>
          <w:color w:val="000000" w:themeColor="text1"/>
          <w:szCs w:val="21"/>
        </w:rPr>
        <w:t>各</w:t>
      </w:r>
      <w:r w:rsidRPr="00054588" w:rsidR="006001E9">
        <w:rPr>
          <w:rFonts w:asciiTheme="minorEastAsia" w:eastAsiaTheme="minorEastAsia" w:hAnsiTheme="minorEastAsia"/>
          <w:color w:val="000000" w:themeColor="text1"/>
          <w:szCs w:val="21"/>
        </w:rPr>
        <w:t>基金的</w:t>
      </w:r>
      <w:r w:rsidRPr="00054588">
        <w:rPr>
          <w:rFonts w:asciiTheme="minorEastAsia" w:eastAsiaTheme="minorEastAsia" w:hAnsiTheme="minorEastAsia" w:hint="eastAsia"/>
          <w:color w:val="000000" w:themeColor="text1"/>
          <w:szCs w:val="21"/>
        </w:rPr>
        <w:t>基金合同、更新的招募说明书及最新的相关公告约定的比例归入基金财产，其余部分用于支付注册登记费等相关手续费。</w:t>
      </w:r>
      <w:r w:rsidRPr="00054588">
        <w:rPr>
          <w:rFonts w:asciiTheme="minorEastAsia" w:eastAsiaTheme="minorEastAsia" w:hAnsiTheme="minorEastAsia" w:hint="eastAsia"/>
          <w:color w:val="000000" w:themeColor="text1"/>
        </w:rPr>
        <w:t>基金转换费率详见相关公告。</w:t>
      </w:r>
    </w:p>
    <w:p w:rsidR="007228CC" w:rsidRPr="00054588" w:rsidP="0071223F">
      <w:pPr>
        <w:autoSpaceDE w:val="0"/>
        <w:autoSpaceDN w:val="0"/>
        <w:snapToGrid w:val="0"/>
        <w:spacing w:line="360" w:lineRule="auto"/>
        <w:ind w:firstLine="420"/>
        <w:textAlignment w:val="bottom"/>
        <w:rPr>
          <w:rFonts w:asciiTheme="minorEastAsia" w:eastAsiaTheme="minorEastAsia" w:hAnsiTheme="minorEastAsia"/>
          <w:color w:val="000000" w:themeColor="text1"/>
        </w:rPr>
      </w:pPr>
      <w:bookmarkStart w:id="117" w:name="_Toc182826360"/>
      <w:bookmarkStart w:id="118" w:name="_Toc198959621"/>
      <w:r w:rsidRPr="00054588">
        <w:rPr>
          <w:rFonts w:asciiTheme="minorEastAsia" w:eastAsiaTheme="minorEastAsia" w:hAnsiTheme="minorEastAsia"/>
          <w:color w:val="000000" w:themeColor="text1"/>
        </w:rPr>
        <w:t>基金管理人可以在基金合同规定的范围内调整</w:t>
      </w:r>
      <w:r w:rsidRPr="00054588">
        <w:rPr>
          <w:rFonts w:asciiTheme="minorEastAsia" w:eastAsiaTheme="minorEastAsia" w:hAnsiTheme="minorEastAsia" w:hint="eastAsia"/>
          <w:color w:val="000000" w:themeColor="text1"/>
        </w:rPr>
        <w:t>上述</w:t>
      </w:r>
      <w:r w:rsidRPr="00054588">
        <w:rPr>
          <w:rFonts w:asciiTheme="minorEastAsia" w:eastAsiaTheme="minorEastAsia" w:hAnsiTheme="minorEastAsia"/>
          <w:color w:val="000000" w:themeColor="text1"/>
        </w:rPr>
        <w:t>费率</w:t>
      </w:r>
      <w:r w:rsidRPr="00054588">
        <w:rPr>
          <w:rFonts w:asciiTheme="minorEastAsia" w:eastAsiaTheme="minorEastAsia" w:hAnsiTheme="minorEastAsia" w:hint="eastAsia"/>
          <w:color w:val="000000" w:themeColor="text1"/>
        </w:rPr>
        <w:t>。</w:t>
      </w:r>
      <w:r w:rsidRPr="00054588">
        <w:rPr>
          <w:rFonts w:asciiTheme="minorEastAsia" w:eastAsiaTheme="minorEastAsia" w:hAnsiTheme="minorEastAsia"/>
          <w:color w:val="000000" w:themeColor="text1"/>
        </w:rPr>
        <w:t>上述费率如发生变更，基金管理人应最迟于新的费率实施前</w:t>
      </w:r>
      <w:r w:rsidRPr="00054588">
        <w:rPr>
          <w:rFonts w:asciiTheme="minorEastAsia" w:eastAsiaTheme="minorEastAsia" w:hAnsiTheme="minorEastAsia" w:hint="eastAsia"/>
          <w:color w:val="000000" w:themeColor="text1"/>
        </w:rPr>
        <w:t>2</w:t>
      </w:r>
      <w:r w:rsidRPr="00054588">
        <w:rPr>
          <w:rFonts w:asciiTheme="minorEastAsia" w:eastAsiaTheme="minorEastAsia" w:hAnsiTheme="minorEastAsia"/>
          <w:color w:val="000000" w:themeColor="text1"/>
        </w:rPr>
        <w:t>日在至少一种中国证监会指定</w:t>
      </w:r>
      <w:r w:rsidRPr="00054588" w:rsidR="00D53B98">
        <w:rPr>
          <w:rFonts w:asciiTheme="minorEastAsia" w:eastAsiaTheme="minorEastAsia" w:hAnsiTheme="minorEastAsia" w:hint="eastAsia"/>
          <w:color w:val="000000" w:themeColor="text1"/>
        </w:rPr>
        <w:t>媒介</w:t>
      </w:r>
      <w:r w:rsidRPr="00054588">
        <w:rPr>
          <w:rFonts w:asciiTheme="minorEastAsia" w:eastAsiaTheme="minorEastAsia" w:hAnsiTheme="minorEastAsia"/>
          <w:color w:val="000000" w:themeColor="text1"/>
        </w:rPr>
        <w:t>公告。</w:t>
      </w:r>
    </w:p>
    <w:p w:rsidR="007228CC" w:rsidRPr="00054588" w:rsidP="0071223F">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7228CC" w:rsidRPr="00054588" w:rsidP="00941EC8">
      <w:pPr>
        <w:pStyle w:val="Heading2"/>
        <w:snapToGrid w:val="0"/>
        <w:spacing w:beforeLines="0" w:afterLines="0" w:line="360" w:lineRule="auto"/>
        <w:ind w:firstLine="562"/>
        <w:rPr>
          <w:rFonts w:asciiTheme="minorEastAsia" w:eastAsiaTheme="minorEastAsia" w:hAnsiTheme="minorEastAsia"/>
          <w:color w:val="000000" w:themeColor="text1"/>
        </w:rPr>
      </w:pPr>
      <w:bookmarkStart w:id="119" w:name="_Toc123296436"/>
      <w:r w:rsidRPr="00054588">
        <w:rPr>
          <w:rFonts w:asciiTheme="minorEastAsia" w:eastAsiaTheme="minorEastAsia" w:hAnsiTheme="minorEastAsia" w:hint="eastAsia"/>
          <w:color w:val="000000" w:themeColor="text1"/>
        </w:rPr>
        <w:t>（六）基金转换份额的计算方式</w:t>
      </w:r>
      <w:bookmarkEnd w:id="117"/>
      <w:bookmarkEnd w:id="118"/>
      <w:bookmarkEnd w:id="119"/>
    </w:p>
    <w:p w:rsidR="007228CC" w:rsidRPr="00054588" w:rsidP="0071223F">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计算公式：</w:t>
      </w:r>
    </w:p>
    <w:p w:rsidR="007228CC" w:rsidRPr="00054588" w:rsidP="00AE7D92">
      <w:pPr>
        <w:snapToGrid w:val="0"/>
        <w:spacing w:line="360" w:lineRule="auto"/>
        <w:ind w:firstLine="482"/>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A＝［B×C×(1-D)/（1+G）+F］/E</w:t>
      </w:r>
    </w:p>
    <w:p w:rsidR="007228CC" w:rsidRPr="00054588" w:rsidP="00AE7D92">
      <w:pPr>
        <w:snapToGrid w:val="0"/>
        <w:spacing w:line="360" w:lineRule="auto"/>
        <w:ind w:firstLine="482"/>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H＝</w:t>
      </w:r>
      <w:r w:rsidRPr="00054588">
        <w:rPr>
          <w:rFonts w:asciiTheme="minorEastAsia" w:eastAsiaTheme="minorEastAsia" w:hAnsiTheme="minorEastAsia"/>
          <w:color w:val="000000" w:themeColor="text1"/>
        </w:rPr>
        <w:t>B×C×D</w:t>
      </w:r>
    </w:p>
    <w:p w:rsidR="007228CC" w:rsidRPr="00054588" w:rsidP="00AE7D92">
      <w:pPr>
        <w:snapToGrid w:val="0"/>
        <w:spacing w:line="360" w:lineRule="auto"/>
        <w:ind w:firstLine="482"/>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J＝[B×C×(1-D)/(1+G)]×G</w:t>
      </w:r>
    </w:p>
    <w:p w:rsidR="007228CC" w:rsidRPr="00054588" w:rsidP="0071223F">
      <w:pPr>
        <w:snapToGrid w:val="0"/>
        <w:spacing w:line="360" w:lineRule="auto"/>
        <w:ind w:firstLine="482"/>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其中，</w:t>
      </w:r>
      <w:r w:rsidRPr="00054588">
        <w:rPr>
          <w:rFonts w:asciiTheme="minorEastAsia" w:eastAsiaTheme="minorEastAsia" w:hAnsiTheme="minorEastAsia"/>
          <w:color w:val="000000" w:themeColor="text1"/>
        </w:rPr>
        <w:t>A</w:t>
      </w:r>
      <w:r w:rsidRPr="00054588">
        <w:rPr>
          <w:rFonts w:asciiTheme="minorEastAsia" w:eastAsiaTheme="minorEastAsia" w:hAnsiTheme="minorEastAsia" w:hint="eastAsia"/>
          <w:color w:val="000000" w:themeColor="text1"/>
        </w:rPr>
        <w:t>为转入的基金份额；</w:t>
      </w:r>
      <w:r w:rsidRPr="00054588">
        <w:rPr>
          <w:rFonts w:asciiTheme="minorEastAsia" w:eastAsiaTheme="minorEastAsia" w:hAnsiTheme="minorEastAsia"/>
          <w:color w:val="000000" w:themeColor="text1"/>
        </w:rPr>
        <w:t>B</w:t>
      </w:r>
      <w:r w:rsidRPr="00054588">
        <w:rPr>
          <w:rFonts w:asciiTheme="minorEastAsia" w:eastAsiaTheme="minorEastAsia" w:hAnsiTheme="minorEastAsia" w:hint="eastAsia"/>
          <w:color w:val="000000" w:themeColor="text1"/>
        </w:rPr>
        <w:t>为转出的基金份额；</w:t>
      </w:r>
      <w:r w:rsidRPr="00054588">
        <w:rPr>
          <w:rFonts w:asciiTheme="minorEastAsia" w:eastAsiaTheme="minorEastAsia" w:hAnsiTheme="minorEastAsia"/>
          <w:color w:val="000000" w:themeColor="text1"/>
        </w:rPr>
        <w:t>C</w:t>
      </w:r>
      <w:r w:rsidRPr="00054588">
        <w:rPr>
          <w:rFonts w:asciiTheme="minorEastAsia" w:eastAsiaTheme="minorEastAsia" w:hAnsiTheme="minorEastAsia" w:hint="eastAsia"/>
          <w:color w:val="000000" w:themeColor="text1"/>
        </w:rPr>
        <w:t>为转换申请当日转出基金的基金份额净值；</w:t>
      </w:r>
      <w:r w:rsidRPr="00054588">
        <w:rPr>
          <w:rFonts w:asciiTheme="minorEastAsia" w:eastAsiaTheme="minorEastAsia" w:hAnsiTheme="minorEastAsia"/>
          <w:color w:val="000000" w:themeColor="text1"/>
        </w:rPr>
        <w:t>D</w:t>
      </w:r>
      <w:r w:rsidRPr="00054588">
        <w:rPr>
          <w:rFonts w:asciiTheme="minorEastAsia" w:eastAsiaTheme="minorEastAsia" w:hAnsiTheme="minorEastAsia" w:hint="eastAsia"/>
          <w:color w:val="000000" w:themeColor="text1"/>
        </w:rPr>
        <w:t>为转出基金的对应赎回费率，</w:t>
      </w:r>
      <w:r w:rsidRPr="00054588">
        <w:rPr>
          <w:rFonts w:asciiTheme="minorEastAsia" w:eastAsiaTheme="minorEastAsia" w:hAnsiTheme="minorEastAsia"/>
          <w:color w:val="000000" w:themeColor="text1"/>
        </w:rPr>
        <w:t>G</w:t>
      </w:r>
      <w:r w:rsidRPr="00054588">
        <w:rPr>
          <w:rFonts w:asciiTheme="minorEastAsia" w:eastAsiaTheme="minorEastAsia" w:hAnsiTheme="minorEastAsia" w:hint="eastAsia"/>
          <w:color w:val="000000" w:themeColor="text1"/>
        </w:rPr>
        <w:t>为对应的申购补差费率；</w:t>
      </w:r>
      <w:r w:rsidRPr="00054588">
        <w:rPr>
          <w:rFonts w:asciiTheme="minorEastAsia" w:eastAsiaTheme="minorEastAsia" w:hAnsiTheme="minorEastAsia"/>
          <w:color w:val="000000" w:themeColor="text1"/>
        </w:rPr>
        <w:t>E</w:t>
      </w:r>
      <w:r w:rsidRPr="00054588">
        <w:rPr>
          <w:rFonts w:asciiTheme="minorEastAsia" w:eastAsiaTheme="minorEastAsia" w:hAnsiTheme="minorEastAsia" w:hint="eastAsia"/>
          <w:color w:val="000000" w:themeColor="text1"/>
        </w:rPr>
        <w:t>为转换申请当日转入基金的基金份额净值；</w:t>
      </w:r>
      <w:r w:rsidRPr="00054588" w:rsidR="00737A69">
        <w:rPr>
          <w:rFonts w:asciiTheme="minorEastAsia" w:eastAsiaTheme="minorEastAsia" w:hAnsiTheme="minorEastAsia" w:hint="eastAsia"/>
          <w:color w:val="000000" w:themeColor="text1"/>
        </w:rPr>
        <w:t>F为货币市场基金全部转出时注册登记机构已支付的未付收益</w:t>
      </w:r>
      <w:r w:rsidRPr="00054588">
        <w:rPr>
          <w:rFonts w:asciiTheme="minorEastAsia" w:eastAsiaTheme="minorEastAsia" w:hAnsiTheme="minorEastAsia" w:hint="eastAsia"/>
          <w:color w:val="000000" w:themeColor="text1"/>
          <w:szCs w:val="20"/>
        </w:rPr>
        <w:t>；H为</w:t>
      </w:r>
      <w:r w:rsidRPr="00054588">
        <w:rPr>
          <w:rFonts w:asciiTheme="minorEastAsia" w:eastAsiaTheme="minorEastAsia" w:hAnsiTheme="minorEastAsia" w:hint="eastAsia"/>
          <w:color w:val="000000" w:themeColor="text1"/>
        </w:rPr>
        <w:t>转出基金赎回费；J为申购补差费。</w:t>
      </w:r>
    </w:p>
    <w:p w:rsidR="00737A69" w:rsidRPr="00054588" w:rsidP="0071223F">
      <w:pPr>
        <w:snapToGrid w:val="0"/>
        <w:spacing w:line="360" w:lineRule="auto"/>
        <w:ind w:firstLine="482"/>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金。</w:t>
      </w:r>
    </w:p>
    <w:p w:rsidR="007228CC" w:rsidRPr="00054588" w:rsidP="0071223F">
      <w:pPr>
        <w:snapToGrid w:val="0"/>
        <w:spacing w:line="360" w:lineRule="auto"/>
        <w:ind w:firstLine="482"/>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说明：</w:t>
      </w:r>
    </w:p>
    <w:p w:rsidR="007228CC" w:rsidRPr="00054588" w:rsidP="0071223F">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w:t>
      </w:r>
      <w:r w:rsidRPr="00054588" w:rsidR="002A7F91">
        <w:rPr>
          <w:rFonts w:asciiTheme="minorEastAsia" w:eastAsiaTheme="minorEastAsia" w:hAnsiTheme="minorEastAsia" w:hint="eastAsia"/>
          <w:color w:val="000000" w:themeColor="text1"/>
        </w:rPr>
        <w:t>、</w:t>
      </w:r>
      <w:r w:rsidRPr="00054588">
        <w:rPr>
          <w:rFonts w:asciiTheme="minorEastAsia" w:eastAsiaTheme="minorEastAsia" w:hAnsiTheme="minorEastAsia" w:hint="eastAsia"/>
          <w:color w:val="000000" w:themeColor="text1"/>
        </w:rPr>
        <w:t>基金转换费用由转出基金赎回费用及基金申购补差费用构成。</w:t>
      </w:r>
    </w:p>
    <w:p w:rsidR="007228CC" w:rsidRPr="00054588" w:rsidP="0071223F">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w:t>
      </w:r>
      <w:r w:rsidRPr="00054588" w:rsidR="002A7F91">
        <w:rPr>
          <w:rFonts w:asciiTheme="minorEastAsia" w:eastAsiaTheme="minorEastAsia" w:hAnsiTheme="minorEastAsia" w:hint="eastAsia"/>
          <w:color w:val="000000" w:themeColor="text1"/>
        </w:rPr>
        <w:t>、</w:t>
      </w:r>
      <w:r w:rsidRPr="00054588">
        <w:rPr>
          <w:rFonts w:asciiTheme="minorEastAsia" w:eastAsiaTheme="minorEastAsia" w:hAnsiTheme="minorEastAsia" w:hint="eastAsia"/>
          <w:color w:val="000000" w:themeColor="text1"/>
        </w:rPr>
        <w:t>转入基金时，从申购费用低的基金向申购费用高的基金转换时，每次收取申购补差费用；从申购费用高的基金向申购费用低的基金转换时</w:t>
      </w:r>
      <w:r w:rsidRPr="00054588">
        <w:rPr>
          <w:rFonts w:asciiTheme="minorEastAsia" w:eastAsiaTheme="minorEastAsia" w:hAnsiTheme="minorEastAsia"/>
          <w:color w:val="000000" w:themeColor="text1"/>
        </w:rPr>
        <w:t>,</w:t>
      </w:r>
      <w:r w:rsidRPr="00054588">
        <w:rPr>
          <w:rFonts w:asciiTheme="minorEastAsia" w:eastAsiaTheme="minorEastAsia" w:hAnsiTheme="minorEastAsia" w:hint="eastAsia"/>
          <w:color w:val="000000" w:themeColor="text1"/>
        </w:rPr>
        <w:t>不收取申购补差费用</w:t>
      </w:r>
      <w:r w:rsidRPr="00054588" w:rsidR="00941EC8">
        <w:rPr>
          <w:rFonts w:asciiTheme="minorEastAsia" w:eastAsiaTheme="minorEastAsia" w:hAnsiTheme="minorEastAsia" w:hint="eastAsia"/>
          <w:color w:val="000000" w:themeColor="text1"/>
          <w:szCs w:val="21"/>
        </w:rPr>
        <w:t>（注：</w:t>
      </w:r>
      <w:r w:rsidRPr="00054588" w:rsidR="001C0E9D">
        <w:rPr>
          <w:rFonts w:asciiTheme="minorEastAsia" w:eastAsiaTheme="minorEastAsia" w:hAnsiTheme="minorEastAsia" w:hint="eastAsia"/>
          <w:color w:val="000000" w:themeColor="text1"/>
          <w:kern w:val="0"/>
          <w:szCs w:val="21"/>
        </w:rPr>
        <w:t>对通过直销中心申购实施差别申购费率的投资群体基金份额的申购费，以除上述投资群体之外的其他投资者申购费为比较标准</w:t>
      </w:r>
      <w:r w:rsidRPr="00054588" w:rsidR="00941EC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hint="eastAsia"/>
          <w:color w:val="000000" w:themeColor="text1"/>
        </w:rPr>
        <w:t>。申购补差费用按照转换金额对应的转出基金与转入基金的申购费率差额进行补差，具体收取情况视每次转换时两只基金的申购费率的差异情况而定并见相关公告。</w:t>
      </w:r>
    </w:p>
    <w:p w:rsidR="007228CC" w:rsidRPr="00054588" w:rsidP="0071223F">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3、转出基金时，如涉及的转出基金有赎回费用，收取该基金的赎回费用。收取的赎回费按照</w:t>
      </w:r>
      <w:r w:rsidRPr="00054588" w:rsidR="009A1EA6">
        <w:rPr>
          <w:rFonts w:asciiTheme="minorEastAsia" w:eastAsiaTheme="minorEastAsia" w:hAnsiTheme="minorEastAsia" w:hint="eastAsia"/>
          <w:color w:val="000000" w:themeColor="text1"/>
        </w:rPr>
        <w:t>各基金的</w:t>
      </w:r>
      <w:r w:rsidRPr="00054588">
        <w:rPr>
          <w:rFonts w:asciiTheme="minorEastAsia" w:eastAsiaTheme="minorEastAsia" w:hAnsiTheme="minorEastAsia" w:hint="eastAsia"/>
          <w:color w:val="000000" w:themeColor="text1"/>
        </w:rPr>
        <w:t>基金合同、更新的招募说明书及最新的相关公告约定的比例归入基金财产，其余部分用于支付注册登记费等相关手续费。</w:t>
      </w:r>
    </w:p>
    <w:p w:rsidR="007228CC" w:rsidRPr="00054588" w:rsidP="0071223F">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4、投资者可以发起多次基金转换业务，基金转换费用按每笔申请单独计算。</w:t>
      </w:r>
    </w:p>
    <w:p w:rsidR="007228CC" w:rsidRPr="00054588" w:rsidP="0071223F">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举例说明</w:t>
      </w:r>
      <w:r w:rsidRPr="00054588">
        <w:rPr>
          <w:rFonts w:asciiTheme="minorEastAsia" w:eastAsiaTheme="minorEastAsia" w:hAnsiTheme="minorEastAsia"/>
          <w:color w:val="000000" w:themeColor="text1"/>
        </w:rPr>
        <w:t>：</w:t>
      </w:r>
      <w:r w:rsidRPr="00054588">
        <w:rPr>
          <w:rFonts w:asciiTheme="minorEastAsia" w:eastAsiaTheme="minorEastAsia" w:hAnsiTheme="minorEastAsia" w:hint="eastAsia"/>
          <w:color w:val="000000" w:themeColor="text1"/>
        </w:rPr>
        <w:t>假定某投资者</w:t>
      </w:r>
      <w:r w:rsidRPr="00054588" w:rsidR="007F6FE2">
        <w:rPr>
          <w:rFonts w:asciiTheme="minorEastAsia" w:eastAsiaTheme="minorEastAsia" w:hAnsiTheme="minorEastAsia" w:hint="eastAsia"/>
          <w:color w:val="000000" w:themeColor="text1"/>
        </w:rPr>
        <w:t>（</w:t>
      </w:r>
      <w:r w:rsidRPr="00054588" w:rsidR="001C0E9D">
        <w:rPr>
          <w:rFonts w:asciiTheme="minorEastAsia" w:eastAsiaTheme="minorEastAsia" w:hAnsiTheme="minorEastAsia" w:hint="eastAsia"/>
          <w:color w:val="000000" w:themeColor="text1"/>
        </w:rPr>
        <w:t>其他投资者</w:t>
      </w:r>
      <w:r w:rsidRPr="00054588" w:rsidR="007F6FE2">
        <w:rPr>
          <w:rFonts w:asciiTheme="minorEastAsia" w:eastAsiaTheme="minorEastAsia" w:hAnsiTheme="minorEastAsia" w:hint="eastAsia"/>
          <w:color w:val="000000" w:themeColor="text1"/>
          <w:szCs w:val="21"/>
        </w:rPr>
        <w:t>）</w:t>
      </w:r>
      <w:r w:rsidRPr="00054588">
        <w:rPr>
          <w:rFonts w:asciiTheme="minorEastAsia" w:eastAsiaTheme="minorEastAsia" w:hAnsiTheme="minorEastAsia" w:hint="eastAsia"/>
          <w:color w:val="000000" w:themeColor="text1"/>
        </w:rPr>
        <w:t>在T日转出10,000份易方达增强回报债券型基金A类至</w:t>
      </w:r>
      <w:r w:rsidRPr="00054588">
        <w:rPr>
          <w:rFonts w:asciiTheme="minorEastAsia" w:eastAsiaTheme="minorEastAsia" w:hAnsiTheme="minorEastAsia"/>
          <w:color w:val="000000" w:themeColor="text1"/>
        </w:rPr>
        <w:t>易方达策略成长二号混合型基金</w:t>
      </w:r>
      <w:r w:rsidRPr="00054588">
        <w:rPr>
          <w:rFonts w:asciiTheme="minorEastAsia" w:eastAsiaTheme="minorEastAsia" w:hAnsiTheme="minorEastAsia" w:hint="eastAsia"/>
          <w:color w:val="000000" w:themeColor="text1"/>
        </w:rPr>
        <w:t>份额，转出基金T日的基金份额净值为1.100元，转入</w:t>
      </w:r>
      <w:r w:rsidRPr="00054588">
        <w:rPr>
          <w:rFonts w:asciiTheme="minorEastAsia" w:eastAsiaTheme="minorEastAsia" w:hAnsiTheme="minorEastAsia"/>
          <w:color w:val="000000" w:themeColor="text1"/>
        </w:rPr>
        <w:t>易方达策略成长二号混合型基金</w:t>
      </w:r>
      <w:r w:rsidRPr="00054588">
        <w:rPr>
          <w:rFonts w:asciiTheme="minorEastAsia" w:eastAsiaTheme="minorEastAsia" w:hAnsiTheme="minorEastAsia" w:hint="eastAsia"/>
          <w:color w:val="000000" w:themeColor="text1"/>
        </w:rPr>
        <w:t>T日的基金份额净值为1.020元，假设该转出基金的赎回费率为0.10%，申购补差费率为1.20%，则可获得转入基金的</w:t>
      </w:r>
      <w:r w:rsidRPr="00054588">
        <w:rPr>
          <w:rFonts w:asciiTheme="minorEastAsia" w:eastAsiaTheme="minorEastAsia" w:hAnsiTheme="minorEastAsia"/>
          <w:color w:val="000000" w:themeColor="text1"/>
        </w:rPr>
        <w:t>易方达策略成长二号混合型基金</w:t>
      </w:r>
      <w:r w:rsidRPr="00054588">
        <w:rPr>
          <w:rFonts w:asciiTheme="minorEastAsia" w:eastAsiaTheme="minorEastAsia" w:hAnsiTheme="minorEastAsia" w:hint="eastAsia"/>
          <w:color w:val="000000" w:themeColor="text1"/>
        </w:rPr>
        <w:t>基金份额计算如下：</w:t>
      </w:r>
    </w:p>
    <w:p w:rsidR="007228CC" w:rsidRPr="00054588" w:rsidP="0071223F">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转换</w:t>
      </w:r>
      <w:r w:rsidRPr="00054588">
        <w:rPr>
          <w:rFonts w:asciiTheme="minorEastAsia" w:eastAsiaTheme="minorEastAsia" w:hAnsiTheme="minorEastAsia"/>
          <w:color w:val="000000" w:themeColor="text1"/>
        </w:rPr>
        <w:t>金额＝转出基金申请份额×转出基金份额净值=10</w:t>
      </w:r>
      <w:r w:rsidRPr="00054588">
        <w:rPr>
          <w:rFonts w:asciiTheme="minorEastAsia" w:eastAsiaTheme="minorEastAsia" w:hAnsiTheme="minorEastAsia" w:hint="eastAsia"/>
          <w:color w:val="000000" w:themeColor="text1"/>
        </w:rPr>
        <w:t>,</w:t>
      </w:r>
      <w:r w:rsidRPr="00054588">
        <w:rPr>
          <w:rFonts w:asciiTheme="minorEastAsia" w:eastAsiaTheme="minorEastAsia" w:hAnsiTheme="minorEastAsia"/>
          <w:color w:val="000000" w:themeColor="text1"/>
        </w:rPr>
        <w:t>000×1</w:t>
      </w:r>
      <w:r w:rsidRPr="00054588">
        <w:rPr>
          <w:rFonts w:asciiTheme="minorEastAsia" w:eastAsiaTheme="minorEastAsia" w:hAnsiTheme="minorEastAsia" w:hint="eastAsia"/>
          <w:color w:val="000000" w:themeColor="text1"/>
        </w:rPr>
        <w:t>.100</w:t>
      </w:r>
      <w:r w:rsidRPr="00054588">
        <w:rPr>
          <w:rFonts w:asciiTheme="minorEastAsia" w:eastAsiaTheme="minorEastAsia" w:hAnsiTheme="minorEastAsia"/>
          <w:color w:val="000000" w:themeColor="text1"/>
        </w:rPr>
        <w:t>＝1</w:t>
      </w:r>
      <w:r w:rsidRPr="00054588">
        <w:rPr>
          <w:rFonts w:asciiTheme="minorEastAsia" w:eastAsiaTheme="minorEastAsia" w:hAnsiTheme="minorEastAsia" w:hint="eastAsia"/>
          <w:color w:val="000000" w:themeColor="text1"/>
        </w:rPr>
        <w:t>1,</w:t>
      </w:r>
      <w:r w:rsidRPr="00054588">
        <w:rPr>
          <w:rFonts w:asciiTheme="minorEastAsia" w:eastAsiaTheme="minorEastAsia" w:hAnsiTheme="minorEastAsia"/>
          <w:color w:val="000000" w:themeColor="text1"/>
        </w:rPr>
        <w:t>000</w:t>
      </w:r>
      <w:r w:rsidRPr="00054588">
        <w:rPr>
          <w:rFonts w:asciiTheme="minorEastAsia" w:eastAsiaTheme="minorEastAsia" w:hAnsiTheme="minorEastAsia" w:hint="eastAsia"/>
          <w:color w:val="000000" w:themeColor="text1"/>
        </w:rPr>
        <w:t>.00</w:t>
      </w:r>
      <w:r w:rsidRPr="00054588">
        <w:rPr>
          <w:rFonts w:asciiTheme="minorEastAsia" w:eastAsiaTheme="minorEastAsia" w:hAnsiTheme="minorEastAsia"/>
          <w:color w:val="000000" w:themeColor="text1"/>
        </w:rPr>
        <w:t>元</w:t>
      </w:r>
    </w:p>
    <w:p w:rsidR="007228CC" w:rsidRPr="00054588" w:rsidP="0071223F">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转出基金</w:t>
      </w:r>
      <w:r w:rsidRPr="00054588">
        <w:rPr>
          <w:rFonts w:asciiTheme="minorEastAsia" w:eastAsiaTheme="minorEastAsia" w:hAnsiTheme="minorEastAsia"/>
          <w:color w:val="000000" w:themeColor="text1"/>
        </w:rPr>
        <w:t>赎回费＝</w:t>
      </w:r>
      <w:r w:rsidRPr="00054588">
        <w:rPr>
          <w:rFonts w:asciiTheme="minorEastAsia" w:eastAsiaTheme="minorEastAsia" w:hAnsiTheme="minorEastAsia" w:hint="eastAsia"/>
          <w:color w:val="000000" w:themeColor="text1"/>
        </w:rPr>
        <w:t>转换</w:t>
      </w:r>
      <w:r w:rsidRPr="00054588">
        <w:rPr>
          <w:rFonts w:asciiTheme="minorEastAsia" w:eastAsiaTheme="minorEastAsia" w:hAnsiTheme="minorEastAsia"/>
          <w:color w:val="000000" w:themeColor="text1"/>
        </w:rPr>
        <w:t>金额×</w:t>
      </w:r>
      <w:r w:rsidRPr="00054588">
        <w:rPr>
          <w:rFonts w:asciiTheme="minorEastAsia" w:eastAsiaTheme="minorEastAsia" w:hAnsiTheme="minorEastAsia" w:hint="eastAsia"/>
          <w:color w:val="000000" w:themeColor="text1"/>
        </w:rPr>
        <w:t>转出基金</w:t>
      </w:r>
      <w:r w:rsidRPr="00054588">
        <w:rPr>
          <w:rFonts w:asciiTheme="minorEastAsia" w:eastAsiaTheme="minorEastAsia" w:hAnsiTheme="minorEastAsia"/>
          <w:color w:val="000000" w:themeColor="text1"/>
        </w:rPr>
        <w:t>赎回费率</w:t>
      </w:r>
      <w:r w:rsidRPr="00054588">
        <w:rPr>
          <w:rFonts w:asciiTheme="minorEastAsia" w:eastAsiaTheme="minorEastAsia" w:hAnsiTheme="minorEastAsia" w:hint="eastAsia"/>
          <w:color w:val="000000" w:themeColor="text1"/>
        </w:rPr>
        <w:t>=</w:t>
      </w:r>
      <w:r w:rsidRPr="00054588">
        <w:rPr>
          <w:rFonts w:asciiTheme="minorEastAsia" w:eastAsiaTheme="minorEastAsia" w:hAnsiTheme="minorEastAsia"/>
          <w:color w:val="000000" w:themeColor="text1"/>
        </w:rPr>
        <w:t>1</w:t>
      </w:r>
      <w:r w:rsidRPr="00054588">
        <w:rPr>
          <w:rFonts w:asciiTheme="minorEastAsia" w:eastAsiaTheme="minorEastAsia" w:hAnsiTheme="minorEastAsia" w:hint="eastAsia"/>
          <w:color w:val="000000" w:themeColor="text1"/>
        </w:rPr>
        <w:t>1,</w:t>
      </w:r>
      <w:r w:rsidRPr="00054588">
        <w:rPr>
          <w:rFonts w:asciiTheme="minorEastAsia" w:eastAsiaTheme="minorEastAsia" w:hAnsiTheme="minorEastAsia"/>
          <w:color w:val="000000" w:themeColor="text1"/>
        </w:rPr>
        <w:t>000</w:t>
      </w:r>
      <w:r w:rsidRPr="00054588">
        <w:rPr>
          <w:rFonts w:asciiTheme="minorEastAsia" w:eastAsiaTheme="minorEastAsia" w:hAnsiTheme="minorEastAsia" w:hint="eastAsia"/>
          <w:color w:val="000000" w:themeColor="text1"/>
        </w:rPr>
        <w:t>.00</w:t>
      </w:r>
      <w:r w:rsidRPr="00054588">
        <w:rPr>
          <w:rFonts w:asciiTheme="minorEastAsia" w:eastAsiaTheme="minorEastAsia" w:hAnsiTheme="minorEastAsia"/>
          <w:color w:val="000000" w:themeColor="text1"/>
        </w:rPr>
        <w:t>×</w:t>
      </w:r>
      <w:r w:rsidRPr="00054588">
        <w:rPr>
          <w:rFonts w:asciiTheme="minorEastAsia" w:eastAsiaTheme="minorEastAsia" w:hAnsiTheme="minorEastAsia" w:hint="eastAsia"/>
          <w:color w:val="000000" w:themeColor="text1"/>
        </w:rPr>
        <w:t>0.10%=11.00元</w:t>
      </w:r>
    </w:p>
    <w:p w:rsidR="007228CC" w:rsidRPr="00054588" w:rsidP="0071223F">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申购</w:t>
      </w:r>
      <w:r w:rsidRPr="00054588">
        <w:rPr>
          <w:rFonts w:asciiTheme="minorEastAsia" w:eastAsiaTheme="minorEastAsia" w:hAnsiTheme="minorEastAsia"/>
          <w:color w:val="000000" w:themeColor="text1"/>
        </w:rPr>
        <w:t>补差费</w:t>
      </w:r>
      <w:r w:rsidRPr="00054588">
        <w:rPr>
          <w:rFonts w:asciiTheme="minorEastAsia" w:eastAsiaTheme="minorEastAsia" w:hAnsiTheme="minorEastAsia" w:hint="eastAsia"/>
          <w:color w:val="000000" w:themeColor="text1"/>
        </w:rPr>
        <w:t>=（转换</w:t>
      </w:r>
      <w:r w:rsidRPr="00054588">
        <w:rPr>
          <w:rFonts w:asciiTheme="minorEastAsia" w:eastAsiaTheme="minorEastAsia" w:hAnsiTheme="minorEastAsia"/>
          <w:color w:val="000000" w:themeColor="text1"/>
        </w:rPr>
        <w:t>金额</w:t>
      </w:r>
      <w:r w:rsidRPr="00054588">
        <w:rPr>
          <w:rFonts w:asciiTheme="minorEastAsia" w:eastAsiaTheme="minorEastAsia" w:hAnsiTheme="minorEastAsia" w:hint="eastAsia"/>
          <w:color w:val="000000" w:themeColor="text1"/>
        </w:rPr>
        <w:t>—转出基金</w:t>
      </w:r>
      <w:r w:rsidRPr="00054588">
        <w:rPr>
          <w:rFonts w:asciiTheme="minorEastAsia" w:eastAsiaTheme="minorEastAsia" w:hAnsiTheme="minorEastAsia"/>
          <w:color w:val="000000" w:themeColor="text1"/>
        </w:rPr>
        <w:t>赎回费</w:t>
      </w:r>
      <w:r w:rsidRPr="00054588">
        <w:rPr>
          <w:rFonts w:asciiTheme="minorEastAsia" w:eastAsiaTheme="minorEastAsia" w:hAnsiTheme="minorEastAsia" w:hint="eastAsia"/>
          <w:color w:val="000000" w:themeColor="text1"/>
        </w:rPr>
        <w:t>）</w:t>
      </w:r>
      <w:r w:rsidRPr="00054588">
        <w:rPr>
          <w:rFonts w:asciiTheme="minorEastAsia" w:eastAsiaTheme="minorEastAsia" w:hAnsiTheme="minorEastAsia"/>
          <w:color w:val="000000" w:themeColor="text1"/>
        </w:rPr>
        <w:t>×</w:t>
      </w:r>
      <w:r w:rsidRPr="00054588">
        <w:rPr>
          <w:rFonts w:asciiTheme="minorEastAsia" w:eastAsiaTheme="minorEastAsia" w:hAnsiTheme="minorEastAsia" w:hint="eastAsia"/>
          <w:color w:val="000000" w:themeColor="text1"/>
        </w:rPr>
        <w:t>申购</w:t>
      </w:r>
      <w:r w:rsidRPr="00054588">
        <w:rPr>
          <w:rFonts w:asciiTheme="minorEastAsia" w:eastAsiaTheme="minorEastAsia" w:hAnsiTheme="minorEastAsia"/>
          <w:color w:val="000000" w:themeColor="text1"/>
        </w:rPr>
        <w:t>补差费率÷（１＋</w:t>
      </w:r>
      <w:r w:rsidRPr="00054588">
        <w:rPr>
          <w:rFonts w:asciiTheme="minorEastAsia" w:eastAsiaTheme="minorEastAsia" w:hAnsiTheme="minorEastAsia" w:hint="eastAsia"/>
          <w:color w:val="000000" w:themeColor="text1"/>
        </w:rPr>
        <w:t>申购</w:t>
      </w:r>
      <w:r w:rsidRPr="00054588">
        <w:rPr>
          <w:rFonts w:asciiTheme="minorEastAsia" w:eastAsiaTheme="minorEastAsia" w:hAnsiTheme="minorEastAsia"/>
          <w:color w:val="000000" w:themeColor="text1"/>
        </w:rPr>
        <w:t>补差费率）</w:t>
      </w:r>
      <w:r w:rsidRPr="00054588">
        <w:rPr>
          <w:rFonts w:asciiTheme="minorEastAsia" w:eastAsiaTheme="minorEastAsia" w:hAnsiTheme="minorEastAsia" w:hint="eastAsia"/>
          <w:color w:val="000000" w:themeColor="text1"/>
        </w:rPr>
        <w:t>=（</w:t>
      </w:r>
      <w:r w:rsidRPr="00054588">
        <w:rPr>
          <w:rFonts w:asciiTheme="minorEastAsia" w:eastAsiaTheme="minorEastAsia" w:hAnsiTheme="minorEastAsia"/>
          <w:color w:val="000000" w:themeColor="text1"/>
        </w:rPr>
        <w:t>1</w:t>
      </w:r>
      <w:r w:rsidRPr="00054588">
        <w:rPr>
          <w:rFonts w:asciiTheme="minorEastAsia" w:eastAsiaTheme="minorEastAsia" w:hAnsiTheme="minorEastAsia" w:hint="eastAsia"/>
          <w:color w:val="000000" w:themeColor="text1"/>
        </w:rPr>
        <w:t>1,</w:t>
      </w:r>
      <w:r w:rsidRPr="00054588">
        <w:rPr>
          <w:rFonts w:asciiTheme="minorEastAsia" w:eastAsiaTheme="minorEastAsia" w:hAnsiTheme="minorEastAsia"/>
          <w:color w:val="000000" w:themeColor="text1"/>
        </w:rPr>
        <w:t>000</w:t>
      </w:r>
      <w:r w:rsidRPr="00054588">
        <w:rPr>
          <w:rFonts w:asciiTheme="minorEastAsia" w:eastAsiaTheme="minorEastAsia" w:hAnsiTheme="minorEastAsia" w:hint="eastAsia"/>
          <w:color w:val="000000" w:themeColor="text1"/>
        </w:rPr>
        <w:t>.00-11.00）</w:t>
      </w:r>
      <w:r w:rsidRPr="00054588">
        <w:rPr>
          <w:rFonts w:asciiTheme="minorEastAsia" w:eastAsiaTheme="minorEastAsia" w:hAnsiTheme="minorEastAsia"/>
          <w:color w:val="000000" w:themeColor="text1"/>
        </w:rPr>
        <w:t>×</w:t>
      </w:r>
      <w:r w:rsidRPr="00054588">
        <w:rPr>
          <w:rFonts w:asciiTheme="minorEastAsia" w:eastAsiaTheme="minorEastAsia" w:hAnsiTheme="minorEastAsia" w:hint="eastAsia"/>
          <w:color w:val="000000" w:themeColor="text1"/>
        </w:rPr>
        <w:t>1.20%</w:t>
      </w:r>
      <w:r w:rsidRPr="00054588">
        <w:rPr>
          <w:rFonts w:asciiTheme="minorEastAsia" w:eastAsiaTheme="minorEastAsia" w:hAnsiTheme="minorEastAsia"/>
          <w:color w:val="000000" w:themeColor="text1"/>
        </w:rPr>
        <w:t>÷</w:t>
      </w:r>
      <w:r w:rsidRPr="00054588">
        <w:rPr>
          <w:rFonts w:asciiTheme="minorEastAsia" w:eastAsiaTheme="minorEastAsia" w:hAnsiTheme="minorEastAsia" w:hint="eastAsia"/>
          <w:color w:val="000000" w:themeColor="text1"/>
        </w:rPr>
        <w:t>(1+1.20%)=130.30元</w:t>
      </w:r>
    </w:p>
    <w:p w:rsidR="007228CC" w:rsidRPr="00054588" w:rsidP="0071223F">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转换费＝转出基金赎回费+申购补差费=</w:t>
      </w:r>
      <w:r w:rsidRPr="00054588">
        <w:rPr>
          <w:rFonts w:asciiTheme="minorEastAsia" w:eastAsiaTheme="minorEastAsia" w:hAnsiTheme="minorEastAsia" w:hint="eastAsia"/>
          <w:color w:val="000000" w:themeColor="text1"/>
        </w:rPr>
        <w:t>11.00</w:t>
      </w:r>
      <w:r w:rsidRPr="00054588">
        <w:rPr>
          <w:rFonts w:asciiTheme="minorEastAsia" w:eastAsiaTheme="minorEastAsia" w:hAnsiTheme="minorEastAsia"/>
          <w:color w:val="000000" w:themeColor="text1"/>
        </w:rPr>
        <w:t>+</w:t>
      </w:r>
      <w:r w:rsidRPr="00054588">
        <w:rPr>
          <w:rFonts w:asciiTheme="minorEastAsia" w:eastAsiaTheme="minorEastAsia" w:hAnsiTheme="minorEastAsia" w:hint="eastAsia"/>
          <w:color w:val="000000" w:themeColor="text1"/>
        </w:rPr>
        <w:t>130.30</w:t>
      </w:r>
      <w:r w:rsidRPr="00054588">
        <w:rPr>
          <w:rFonts w:asciiTheme="minorEastAsia" w:eastAsiaTheme="minorEastAsia" w:hAnsiTheme="minorEastAsia"/>
          <w:color w:val="000000" w:themeColor="text1"/>
        </w:rPr>
        <w:t>＝</w:t>
      </w:r>
      <w:r w:rsidRPr="00054588">
        <w:rPr>
          <w:rFonts w:asciiTheme="minorEastAsia" w:eastAsiaTheme="minorEastAsia" w:hAnsiTheme="minorEastAsia" w:hint="eastAsia"/>
          <w:color w:val="000000" w:themeColor="text1"/>
        </w:rPr>
        <w:t>141.30元</w:t>
      </w:r>
    </w:p>
    <w:p w:rsidR="007228CC" w:rsidRPr="00054588" w:rsidP="0071223F">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转入金额=转换</w:t>
      </w:r>
      <w:r w:rsidRPr="00054588">
        <w:rPr>
          <w:rFonts w:asciiTheme="minorEastAsia" w:eastAsiaTheme="minorEastAsia" w:hAnsiTheme="minorEastAsia"/>
          <w:color w:val="000000" w:themeColor="text1"/>
        </w:rPr>
        <w:t>金额</w:t>
      </w:r>
      <w:r w:rsidRPr="00054588">
        <w:rPr>
          <w:rFonts w:asciiTheme="minorEastAsia" w:eastAsiaTheme="minorEastAsia" w:hAnsiTheme="minorEastAsia" w:hint="eastAsia"/>
          <w:color w:val="000000" w:themeColor="text1"/>
        </w:rPr>
        <w:t>—</w:t>
      </w:r>
      <w:r w:rsidRPr="00054588">
        <w:rPr>
          <w:rFonts w:asciiTheme="minorEastAsia" w:eastAsiaTheme="minorEastAsia" w:hAnsiTheme="minorEastAsia"/>
          <w:color w:val="000000" w:themeColor="text1"/>
        </w:rPr>
        <w:t>转换费</w:t>
      </w:r>
      <w:r w:rsidRPr="00054588">
        <w:rPr>
          <w:rFonts w:asciiTheme="minorEastAsia" w:eastAsiaTheme="minorEastAsia" w:hAnsiTheme="minorEastAsia" w:hint="eastAsia"/>
          <w:color w:val="000000" w:themeColor="text1"/>
        </w:rPr>
        <w:t>=</w:t>
      </w:r>
      <w:r w:rsidRPr="00054588">
        <w:rPr>
          <w:rFonts w:asciiTheme="minorEastAsia" w:eastAsiaTheme="minorEastAsia" w:hAnsiTheme="minorEastAsia"/>
          <w:color w:val="000000" w:themeColor="text1"/>
        </w:rPr>
        <w:t>1</w:t>
      </w:r>
      <w:r w:rsidRPr="00054588">
        <w:rPr>
          <w:rFonts w:asciiTheme="minorEastAsia" w:eastAsiaTheme="minorEastAsia" w:hAnsiTheme="minorEastAsia" w:hint="eastAsia"/>
          <w:color w:val="000000" w:themeColor="text1"/>
        </w:rPr>
        <w:t>1,</w:t>
      </w:r>
      <w:r w:rsidRPr="00054588">
        <w:rPr>
          <w:rFonts w:asciiTheme="minorEastAsia" w:eastAsiaTheme="minorEastAsia" w:hAnsiTheme="minorEastAsia"/>
          <w:color w:val="000000" w:themeColor="text1"/>
        </w:rPr>
        <w:t>000</w:t>
      </w:r>
      <w:r w:rsidRPr="00054588">
        <w:rPr>
          <w:rFonts w:asciiTheme="minorEastAsia" w:eastAsiaTheme="minorEastAsia" w:hAnsiTheme="minorEastAsia" w:hint="eastAsia"/>
          <w:color w:val="000000" w:themeColor="text1"/>
        </w:rPr>
        <w:t>.00-141.30=10,858.70元</w:t>
      </w:r>
    </w:p>
    <w:p w:rsidR="007228CC" w:rsidRPr="00054588" w:rsidP="0071223F">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转入份额=转入金额</w:t>
      </w:r>
      <w:r w:rsidRPr="00054588">
        <w:rPr>
          <w:rFonts w:asciiTheme="minorEastAsia" w:eastAsiaTheme="minorEastAsia" w:hAnsiTheme="minorEastAsia"/>
          <w:color w:val="000000" w:themeColor="text1"/>
        </w:rPr>
        <w:t>÷</w:t>
      </w:r>
      <w:r w:rsidRPr="00054588">
        <w:rPr>
          <w:rFonts w:asciiTheme="minorEastAsia" w:eastAsiaTheme="minorEastAsia" w:hAnsiTheme="minorEastAsia" w:hint="eastAsia"/>
          <w:color w:val="000000" w:themeColor="text1"/>
        </w:rPr>
        <w:t>转入基金份额净值=10,858.70</w:t>
      </w:r>
      <w:r w:rsidRPr="00054588">
        <w:rPr>
          <w:rFonts w:asciiTheme="minorEastAsia" w:eastAsiaTheme="minorEastAsia" w:hAnsiTheme="minorEastAsia"/>
          <w:color w:val="000000" w:themeColor="text1"/>
        </w:rPr>
        <w:t>÷</w:t>
      </w:r>
      <w:r w:rsidRPr="00054588">
        <w:rPr>
          <w:rFonts w:asciiTheme="minorEastAsia" w:eastAsiaTheme="minorEastAsia" w:hAnsiTheme="minorEastAsia" w:hint="eastAsia"/>
          <w:color w:val="000000" w:themeColor="text1"/>
        </w:rPr>
        <w:t>1.020=10,645.78份</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900"/>
        <w:gridCol w:w="1440"/>
        <w:gridCol w:w="1260"/>
        <w:gridCol w:w="1080"/>
        <w:gridCol w:w="1440"/>
        <w:gridCol w:w="1185"/>
        <w:gridCol w:w="1335"/>
      </w:tblGrid>
      <w:tr w:rsidTr="00DE4B5E">
        <w:tblPrEx>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13"/>
        </w:trPr>
        <w:tc>
          <w:tcPr>
            <w:tcW w:w="1080" w:type="dxa"/>
            <w:vMerge w:val="restart"/>
          </w:tcPr>
          <w:p w:rsidR="007228CC" w:rsidRPr="00054588" w:rsidP="0071223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054588">
              <w:rPr>
                <w:rFonts w:asciiTheme="minorEastAsia" w:eastAsiaTheme="minorEastAsia" w:hAnsiTheme="minorEastAsia" w:hint="eastAsia"/>
                <w:color w:val="000000" w:themeColor="text1"/>
                <w:szCs w:val="20"/>
              </w:rPr>
              <w:t>转出</w:t>
            </w:r>
            <w:r w:rsidRPr="00054588">
              <w:rPr>
                <w:rFonts w:asciiTheme="minorEastAsia" w:eastAsiaTheme="minorEastAsia" w:hAnsiTheme="minorEastAsia"/>
                <w:color w:val="000000" w:themeColor="text1"/>
                <w:szCs w:val="20"/>
              </w:rPr>
              <w:t>份额</w:t>
            </w:r>
          </w:p>
        </w:tc>
        <w:tc>
          <w:tcPr>
            <w:tcW w:w="900" w:type="dxa"/>
            <w:vMerge w:val="restart"/>
          </w:tcPr>
          <w:p w:rsidR="007228CC" w:rsidRPr="00054588" w:rsidP="0071223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054588">
              <w:rPr>
                <w:rFonts w:asciiTheme="minorEastAsia" w:eastAsiaTheme="minorEastAsia" w:hAnsiTheme="minorEastAsia" w:hint="eastAsia"/>
                <w:color w:val="000000" w:themeColor="text1"/>
                <w:szCs w:val="20"/>
              </w:rPr>
              <w:t>转出</w:t>
            </w:r>
            <w:r w:rsidRPr="00054588">
              <w:rPr>
                <w:rFonts w:asciiTheme="minorEastAsia" w:eastAsiaTheme="minorEastAsia" w:hAnsiTheme="minorEastAsia"/>
                <w:color w:val="000000" w:themeColor="text1"/>
                <w:szCs w:val="20"/>
              </w:rPr>
              <w:t>基金</w:t>
            </w:r>
            <w:r w:rsidRPr="00054588">
              <w:rPr>
                <w:rFonts w:asciiTheme="minorEastAsia" w:eastAsiaTheme="minorEastAsia" w:hAnsiTheme="minorEastAsia" w:hint="eastAsia"/>
                <w:color w:val="000000" w:themeColor="text1"/>
                <w:szCs w:val="20"/>
              </w:rPr>
              <w:t>份额</w:t>
            </w:r>
            <w:r w:rsidRPr="00054588">
              <w:rPr>
                <w:rFonts w:asciiTheme="minorEastAsia" w:eastAsiaTheme="minorEastAsia" w:hAnsiTheme="minorEastAsia"/>
                <w:color w:val="000000" w:themeColor="text1"/>
                <w:szCs w:val="20"/>
              </w:rPr>
              <w:t>净值</w:t>
            </w:r>
          </w:p>
        </w:tc>
        <w:tc>
          <w:tcPr>
            <w:tcW w:w="1440" w:type="dxa"/>
            <w:vMerge w:val="restart"/>
          </w:tcPr>
          <w:p w:rsidR="007228CC" w:rsidRPr="00054588" w:rsidP="0071223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054588">
              <w:rPr>
                <w:rFonts w:asciiTheme="minorEastAsia" w:eastAsiaTheme="minorEastAsia" w:hAnsiTheme="minorEastAsia" w:hint="eastAsia"/>
                <w:color w:val="000000" w:themeColor="text1"/>
                <w:szCs w:val="20"/>
              </w:rPr>
              <w:t>转换金额</w:t>
            </w:r>
          </w:p>
        </w:tc>
        <w:tc>
          <w:tcPr>
            <w:tcW w:w="2340" w:type="dxa"/>
            <w:gridSpan w:val="2"/>
          </w:tcPr>
          <w:p w:rsidR="007228CC" w:rsidRPr="00054588" w:rsidP="0071223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054588">
              <w:rPr>
                <w:rFonts w:asciiTheme="minorEastAsia" w:eastAsiaTheme="minorEastAsia" w:hAnsiTheme="minorEastAsia" w:hint="eastAsia"/>
                <w:color w:val="000000" w:themeColor="text1"/>
                <w:szCs w:val="20"/>
              </w:rPr>
              <w:t>转换费</w:t>
            </w:r>
          </w:p>
        </w:tc>
        <w:tc>
          <w:tcPr>
            <w:tcW w:w="1440" w:type="dxa"/>
            <w:vMerge w:val="restart"/>
          </w:tcPr>
          <w:p w:rsidR="007228CC" w:rsidRPr="00054588" w:rsidP="0071223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054588">
              <w:rPr>
                <w:rFonts w:asciiTheme="minorEastAsia" w:eastAsiaTheme="minorEastAsia" w:hAnsiTheme="minorEastAsia" w:hint="eastAsia"/>
                <w:color w:val="000000" w:themeColor="text1"/>
                <w:szCs w:val="20"/>
              </w:rPr>
              <w:t>转入金额</w:t>
            </w:r>
          </w:p>
        </w:tc>
        <w:tc>
          <w:tcPr>
            <w:tcW w:w="1185" w:type="dxa"/>
            <w:vMerge w:val="restart"/>
          </w:tcPr>
          <w:p w:rsidR="007228CC" w:rsidRPr="00054588" w:rsidP="0071223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054588">
              <w:rPr>
                <w:rFonts w:asciiTheme="minorEastAsia" w:eastAsiaTheme="minorEastAsia" w:hAnsiTheme="minorEastAsia" w:hint="eastAsia"/>
                <w:color w:val="000000" w:themeColor="text1"/>
                <w:szCs w:val="20"/>
              </w:rPr>
              <w:t>转入</w:t>
            </w:r>
            <w:r w:rsidRPr="00054588">
              <w:rPr>
                <w:rFonts w:asciiTheme="minorEastAsia" w:eastAsiaTheme="minorEastAsia" w:hAnsiTheme="minorEastAsia"/>
                <w:color w:val="000000" w:themeColor="text1"/>
                <w:szCs w:val="20"/>
              </w:rPr>
              <w:t>基金</w:t>
            </w:r>
            <w:r w:rsidRPr="00054588">
              <w:rPr>
                <w:rFonts w:asciiTheme="minorEastAsia" w:eastAsiaTheme="minorEastAsia" w:hAnsiTheme="minorEastAsia" w:hint="eastAsia"/>
                <w:color w:val="000000" w:themeColor="text1"/>
                <w:szCs w:val="20"/>
              </w:rPr>
              <w:t>份额</w:t>
            </w:r>
            <w:r w:rsidRPr="00054588">
              <w:rPr>
                <w:rFonts w:asciiTheme="minorEastAsia" w:eastAsiaTheme="minorEastAsia" w:hAnsiTheme="minorEastAsia"/>
                <w:color w:val="000000" w:themeColor="text1"/>
                <w:szCs w:val="20"/>
              </w:rPr>
              <w:t>净值</w:t>
            </w:r>
          </w:p>
        </w:tc>
        <w:tc>
          <w:tcPr>
            <w:tcW w:w="1335" w:type="dxa"/>
            <w:vMerge w:val="restart"/>
          </w:tcPr>
          <w:p w:rsidR="007228CC" w:rsidRPr="00054588" w:rsidP="0071223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054588">
              <w:rPr>
                <w:rFonts w:asciiTheme="minorEastAsia" w:eastAsiaTheme="minorEastAsia" w:hAnsiTheme="minorEastAsia" w:hint="eastAsia"/>
                <w:color w:val="000000" w:themeColor="text1"/>
                <w:szCs w:val="20"/>
              </w:rPr>
              <w:t>转入份额</w:t>
            </w:r>
          </w:p>
        </w:tc>
      </w:tr>
      <w:tr w:rsidTr="00DE4B5E">
        <w:tblPrEx>
          <w:tblW w:w="9720" w:type="dxa"/>
          <w:tblInd w:w="-612" w:type="dxa"/>
          <w:tblLayout w:type="fixed"/>
          <w:tblLook w:val="0000"/>
        </w:tblPrEx>
        <w:trPr>
          <w:trHeight w:val="412"/>
        </w:trPr>
        <w:tc>
          <w:tcPr>
            <w:tcW w:w="1080" w:type="dxa"/>
            <w:vMerge/>
          </w:tcPr>
          <w:p w:rsidR="007228CC" w:rsidRPr="00054588" w:rsidP="0071223F">
            <w:pPr>
              <w:snapToGrid w:val="0"/>
              <w:spacing w:line="360" w:lineRule="auto"/>
              <w:ind w:firstLine="420"/>
              <w:rPr>
                <w:rFonts w:asciiTheme="minorEastAsia" w:eastAsiaTheme="minorEastAsia" w:hAnsiTheme="minorEastAsia"/>
                <w:color w:val="000000" w:themeColor="text1"/>
                <w:szCs w:val="20"/>
              </w:rPr>
            </w:pPr>
          </w:p>
        </w:tc>
        <w:tc>
          <w:tcPr>
            <w:tcW w:w="900" w:type="dxa"/>
            <w:vMerge/>
          </w:tcPr>
          <w:p w:rsidR="007228CC" w:rsidRPr="00054588" w:rsidP="0071223F">
            <w:pPr>
              <w:snapToGrid w:val="0"/>
              <w:spacing w:line="360" w:lineRule="auto"/>
              <w:ind w:firstLine="420"/>
              <w:rPr>
                <w:rFonts w:asciiTheme="minorEastAsia" w:eastAsiaTheme="minorEastAsia" w:hAnsiTheme="minorEastAsia"/>
                <w:color w:val="000000" w:themeColor="text1"/>
                <w:szCs w:val="20"/>
              </w:rPr>
            </w:pPr>
          </w:p>
        </w:tc>
        <w:tc>
          <w:tcPr>
            <w:tcW w:w="1440" w:type="dxa"/>
            <w:vMerge/>
          </w:tcPr>
          <w:p w:rsidR="007228CC" w:rsidRPr="00054588" w:rsidP="0071223F">
            <w:pPr>
              <w:snapToGrid w:val="0"/>
              <w:spacing w:line="360" w:lineRule="auto"/>
              <w:ind w:firstLine="420"/>
              <w:rPr>
                <w:rFonts w:asciiTheme="minorEastAsia" w:eastAsiaTheme="minorEastAsia" w:hAnsiTheme="minorEastAsia"/>
                <w:color w:val="000000" w:themeColor="text1"/>
                <w:szCs w:val="20"/>
              </w:rPr>
            </w:pPr>
          </w:p>
        </w:tc>
        <w:tc>
          <w:tcPr>
            <w:tcW w:w="1260" w:type="dxa"/>
          </w:tcPr>
          <w:p w:rsidR="007228CC" w:rsidRPr="00054588" w:rsidP="0071223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054588">
              <w:rPr>
                <w:rFonts w:asciiTheme="minorEastAsia" w:eastAsiaTheme="minorEastAsia" w:hAnsiTheme="minorEastAsia" w:hint="eastAsia"/>
                <w:color w:val="000000" w:themeColor="text1"/>
                <w:szCs w:val="20"/>
              </w:rPr>
              <w:t>转出基金</w:t>
            </w:r>
            <w:r w:rsidRPr="00054588">
              <w:rPr>
                <w:rFonts w:asciiTheme="minorEastAsia" w:eastAsiaTheme="minorEastAsia" w:hAnsiTheme="minorEastAsia"/>
                <w:color w:val="000000" w:themeColor="text1"/>
                <w:szCs w:val="20"/>
              </w:rPr>
              <w:t>赎回费</w:t>
            </w:r>
          </w:p>
        </w:tc>
        <w:tc>
          <w:tcPr>
            <w:tcW w:w="1080" w:type="dxa"/>
          </w:tcPr>
          <w:p w:rsidR="007228CC" w:rsidRPr="00054588" w:rsidP="0071223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054588">
              <w:rPr>
                <w:rFonts w:asciiTheme="minorEastAsia" w:eastAsiaTheme="minorEastAsia" w:hAnsiTheme="minorEastAsia" w:hint="eastAsia"/>
                <w:color w:val="000000" w:themeColor="text1"/>
                <w:szCs w:val="20"/>
              </w:rPr>
              <w:t>申购</w:t>
            </w:r>
            <w:r w:rsidRPr="00054588">
              <w:rPr>
                <w:rFonts w:asciiTheme="minorEastAsia" w:eastAsiaTheme="minorEastAsia" w:hAnsiTheme="minorEastAsia"/>
                <w:color w:val="000000" w:themeColor="text1"/>
                <w:szCs w:val="20"/>
              </w:rPr>
              <w:t>补差费</w:t>
            </w:r>
          </w:p>
        </w:tc>
        <w:tc>
          <w:tcPr>
            <w:tcW w:w="1440" w:type="dxa"/>
            <w:vMerge/>
          </w:tcPr>
          <w:p w:rsidR="007228CC" w:rsidRPr="00054588" w:rsidP="0071223F">
            <w:pPr>
              <w:snapToGrid w:val="0"/>
              <w:spacing w:line="360" w:lineRule="auto"/>
              <w:ind w:firstLine="420"/>
              <w:rPr>
                <w:rFonts w:asciiTheme="minorEastAsia" w:eastAsiaTheme="minorEastAsia" w:hAnsiTheme="minorEastAsia"/>
                <w:color w:val="000000" w:themeColor="text1"/>
                <w:szCs w:val="20"/>
              </w:rPr>
            </w:pPr>
          </w:p>
        </w:tc>
        <w:tc>
          <w:tcPr>
            <w:tcW w:w="1185" w:type="dxa"/>
            <w:vMerge/>
          </w:tcPr>
          <w:p w:rsidR="007228CC" w:rsidRPr="00054588" w:rsidP="0071223F">
            <w:pPr>
              <w:snapToGrid w:val="0"/>
              <w:spacing w:line="360" w:lineRule="auto"/>
              <w:ind w:firstLine="420"/>
              <w:rPr>
                <w:rFonts w:asciiTheme="minorEastAsia" w:eastAsiaTheme="minorEastAsia" w:hAnsiTheme="minorEastAsia"/>
                <w:color w:val="000000" w:themeColor="text1"/>
                <w:szCs w:val="20"/>
              </w:rPr>
            </w:pPr>
          </w:p>
        </w:tc>
        <w:tc>
          <w:tcPr>
            <w:tcW w:w="1335" w:type="dxa"/>
            <w:vMerge/>
          </w:tcPr>
          <w:p w:rsidR="007228CC" w:rsidRPr="00054588" w:rsidP="0071223F">
            <w:pPr>
              <w:snapToGrid w:val="0"/>
              <w:spacing w:line="360" w:lineRule="auto"/>
              <w:ind w:firstLine="420"/>
              <w:rPr>
                <w:rFonts w:asciiTheme="minorEastAsia" w:eastAsiaTheme="minorEastAsia" w:hAnsiTheme="minorEastAsia"/>
                <w:color w:val="000000" w:themeColor="text1"/>
                <w:szCs w:val="20"/>
              </w:rPr>
            </w:pPr>
          </w:p>
        </w:tc>
      </w:tr>
      <w:tr w:rsidTr="00DE4B5E">
        <w:tblPrEx>
          <w:tblW w:w="9720" w:type="dxa"/>
          <w:tblInd w:w="-612" w:type="dxa"/>
          <w:tblLayout w:type="fixed"/>
          <w:tblLook w:val="0000"/>
        </w:tblPrEx>
        <w:tc>
          <w:tcPr>
            <w:tcW w:w="1080" w:type="dxa"/>
          </w:tcPr>
          <w:p w:rsidR="007228CC" w:rsidRPr="00054588" w:rsidP="0071223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054588">
              <w:rPr>
                <w:rFonts w:asciiTheme="minorEastAsia" w:eastAsiaTheme="minorEastAsia" w:hAnsiTheme="minorEastAsia"/>
                <w:color w:val="000000" w:themeColor="text1"/>
                <w:szCs w:val="20"/>
              </w:rPr>
              <w:t>10,000</w:t>
            </w:r>
            <w:r w:rsidRPr="00054588">
              <w:rPr>
                <w:rFonts w:asciiTheme="minorEastAsia" w:eastAsiaTheme="minorEastAsia" w:hAnsiTheme="minorEastAsia" w:hint="eastAsia"/>
                <w:color w:val="000000" w:themeColor="text1"/>
                <w:szCs w:val="20"/>
              </w:rPr>
              <w:t>份</w:t>
            </w:r>
          </w:p>
        </w:tc>
        <w:tc>
          <w:tcPr>
            <w:tcW w:w="900" w:type="dxa"/>
          </w:tcPr>
          <w:p w:rsidR="007228CC" w:rsidRPr="00054588" w:rsidP="0071223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054588">
              <w:rPr>
                <w:rFonts w:asciiTheme="minorEastAsia" w:eastAsiaTheme="minorEastAsia" w:hAnsiTheme="minorEastAsia"/>
                <w:color w:val="000000" w:themeColor="text1"/>
                <w:szCs w:val="20"/>
              </w:rPr>
              <w:t>1.</w:t>
            </w:r>
            <w:r w:rsidRPr="00054588">
              <w:rPr>
                <w:rFonts w:asciiTheme="minorEastAsia" w:eastAsiaTheme="minorEastAsia" w:hAnsiTheme="minorEastAsia" w:hint="eastAsia"/>
                <w:color w:val="000000" w:themeColor="text1"/>
                <w:szCs w:val="20"/>
              </w:rPr>
              <w:t>1</w:t>
            </w:r>
            <w:r w:rsidRPr="00054588">
              <w:rPr>
                <w:rFonts w:asciiTheme="minorEastAsia" w:eastAsiaTheme="minorEastAsia" w:hAnsiTheme="minorEastAsia"/>
                <w:color w:val="000000" w:themeColor="text1"/>
                <w:szCs w:val="20"/>
              </w:rPr>
              <w:t>0</w:t>
            </w:r>
            <w:r w:rsidRPr="00054588">
              <w:rPr>
                <w:rFonts w:asciiTheme="minorEastAsia" w:eastAsiaTheme="minorEastAsia" w:hAnsiTheme="minorEastAsia" w:hint="eastAsia"/>
                <w:color w:val="000000" w:themeColor="text1"/>
                <w:szCs w:val="20"/>
              </w:rPr>
              <w:t>0</w:t>
            </w:r>
            <w:r w:rsidRPr="00054588">
              <w:rPr>
                <w:rFonts w:asciiTheme="minorEastAsia" w:eastAsiaTheme="minorEastAsia" w:hAnsiTheme="minorEastAsia"/>
                <w:color w:val="000000" w:themeColor="text1"/>
                <w:szCs w:val="20"/>
              </w:rPr>
              <w:t>元</w:t>
            </w:r>
          </w:p>
        </w:tc>
        <w:tc>
          <w:tcPr>
            <w:tcW w:w="1440" w:type="dxa"/>
          </w:tcPr>
          <w:p w:rsidR="007228CC" w:rsidRPr="00054588" w:rsidP="0071223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054588">
              <w:rPr>
                <w:rFonts w:asciiTheme="minorEastAsia" w:eastAsiaTheme="minorEastAsia" w:hAnsiTheme="minorEastAsia" w:hint="eastAsia"/>
                <w:color w:val="000000" w:themeColor="text1"/>
                <w:szCs w:val="20"/>
              </w:rPr>
              <w:t>11,000.00元</w:t>
            </w:r>
          </w:p>
        </w:tc>
        <w:tc>
          <w:tcPr>
            <w:tcW w:w="1260" w:type="dxa"/>
          </w:tcPr>
          <w:p w:rsidR="007228CC" w:rsidRPr="00054588" w:rsidP="0071223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054588">
              <w:rPr>
                <w:rFonts w:asciiTheme="minorEastAsia" w:eastAsiaTheme="minorEastAsia" w:hAnsiTheme="minorEastAsia" w:hint="eastAsia"/>
                <w:color w:val="000000" w:themeColor="text1"/>
                <w:szCs w:val="20"/>
              </w:rPr>
              <w:t>11.00元</w:t>
            </w:r>
          </w:p>
        </w:tc>
        <w:tc>
          <w:tcPr>
            <w:tcW w:w="1080" w:type="dxa"/>
          </w:tcPr>
          <w:p w:rsidR="007228CC" w:rsidRPr="00054588" w:rsidP="0071223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054588">
              <w:rPr>
                <w:rFonts w:asciiTheme="minorEastAsia" w:eastAsiaTheme="minorEastAsia" w:hAnsiTheme="minorEastAsia" w:hint="eastAsia"/>
                <w:color w:val="000000" w:themeColor="text1"/>
              </w:rPr>
              <w:t>130.30</w:t>
            </w:r>
            <w:r w:rsidRPr="00054588">
              <w:rPr>
                <w:rFonts w:asciiTheme="minorEastAsia" w:eastAsiaTheme="minorEastAsia" w:hAnsiTheme="minorEastAsia" w:hint="eastAsia"/>
                <w:color w:val="000000" w:themeColor="text1"/>
                <w:szCs w:val="20"/>
              </w:rPr>
              <w:t>元</w:t>
            </w:r>
          </w:p>
        </w:tc>
        <w:tc>
          <w:tcPr>
            <w:tcW w:w="1440" w:type="dxa"/>
          </w:tcPr>
          <w:p w:rsidR="007228CC" w:rsidRPr="00054588" w:rsidP="0071223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054588">
              <w:rPr>
                <w:rFonts w:asciiTheme="minorEastAsia" w:eastAsiaTheme="minorEastAsia" w:hAnsiTheme="minorEastAsia" w:hint="eastAsia"/>
                <w:color w:val="000000" w:themeColor="text1"/>
                <w:szCs w:val="20"/>
              </w:rPr>
              <w:t>10,8</w:t>
            </w:r>
            <w:r w:rsidRPr="00054588">
              <w:rPr>
                <w:rFonts w:asciiTheme="minorEastAsia" w:eastAsiaTheme="minorEastAsia" w:hAnsiTheme="minorEastAsia" w:hint="eastAsia"/>
                <w:color w:val="000000" w:themeColor="text1"/>
              </w:rPr>
              <w:t>58</w:t>
            </w:r>
            <w:r w:rsidRPr="00054588">
              <w:rPr>
                <w:rFonts w:asciiTheme="minorEastAsia" w:eastAsiaTheme="minorEastAsia" w:hAnsiTheme="minorEastAsia" w:hint="eastAsia"/>
                <w:color w:val="000000" w:themeColor="text1"/>
                <w:szCs w:val="20"/>
              </w:rPr>
              <w:t>.</w:t>
            </w:r>
            <w:r w:rsidRPr="00054588">
              <w:rPr>
                <w:rFonts w:asciiTheme="minorEastAsia" w:eastAsiaTheme="minorEastAsia" w:hAnsiTheme="minorEastAsia" w:hint="eastAsia"/>
                <w:color w:val="000000" w:themeColor="text1"/>
              </w:rPr>
              <w:t>70</w:t>
            </w:r>
            <w:r w:rsidRPr="00054588">
              <w:rPr>
                <w:rFonts w:asciiTheme="minorEastAsia" w:eastAsiaTheme="minorEastAsia" w:hAnsiTheme="minorEastAsia" w:hint="eastAsia"/>
                <w:color w:val="000000" w:themeColor="text1"/>
                <w:szCs w:val="20"/>
              </w:rPr>
              <w:t>元</w:t>
            </w:r>
          </w:p>
        </w:tc>
        <w:tc>
          <w:tcPr>
            <w:tcW w:w="1185" w:type="dxa"/>
          </w:tcPr>
          <w:p w:rsidR="007228CC" w:rsidRPr="00054588" w:rsidP="0071223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054588">
              <w:rPr>
                <w:rFonts w:asciiTheme="minorEastAsia" w:eastAsiaTheme="minorEastAsia" w:hAnsiTheme="minorEastAsia" w:hint="eastAsia"/>
                <w:color w:val="000000" w:themeColor="text1"/>
                <w:szCs w:val="20"/>
              </w:rPr>
              <w:t>1.020元</w:t>
            </w:r>
          </w:p>
        </w:tc>
        <w:tc>
          <w:tcPr>
            <w:tcW w:w="1335" w:type="dxa"/>
          </w:tcPr>
          <w:p w:rsidR="007228CC" w:rsidRPr="00054588" w:rsidP="0071223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054588">
              <w:rPr>
                <w:rFonts w:asciiTheme="minorEastAsia" w:eastAsiaTheme="minorEastAsia" w:hAnsiTheme="minorEastAsia" w:hint="eastAsia"/>
                <w:color w:val="000000" w:themeColor="text1"/>
                <w:szCs w:val="20"/>
              </w:rPr>
              <w:t>10,6</w:t>
            </w:r>
            <w:r w:rsidRPr="00054588">
              <w:rPr>
                <w:rFonts w:asciiTheme="minorEastAsia" w:eastAsiaTheme="minorEastAsia" w:hAnsiTheme="minorEastAsia" w:hint="eastAsia"/>
                <w:color w:val="000000" w:themeColor="text1"/>
              </w:rPr>
              <w:t>45</w:t>
            </w:r>
            <w:r w:rsidRPr="00054588">
              <w:rPr>
                <w:rFonts w:asciiTheme="minorEastAsia" w:eastAsiaTheme="minorEastAsia" w:hAnsiTheme="minorEastAsia" w:hint="eastAsia"/>
                <w:color w:val="000000" w:themeColor="text1"/>
                <w:szCs w:val="20"/>
              </w:rPr>
              <w:t>.</w:t>
            </w:r>
            <w:r w:rsidRPr="00054588">
              <w:rPr>
                <w:rFonts w:asciiTheme="minorEastAsia" w:eastAsiaTheme="minorEastAsia" w:hAnsiTheme="minorEastAsia" w:hint="eastAsia"/>
                <w:color w:val="000000" w:themeColor="text1"/>
              </w:rPr>
              <w:t>78</w:t>
            </w:r>
            <w:r w:rsidRPr="00054588">
              <w:rPr>
                <w:rFonts w:asciiTheme="minorEastAsia" w:eastAsiaTheme="minorEastAsia" w:hAnsiTheme="minorEastAsia" w:hint="eastAsia"/>
                <w:color w:val="000000" w:themeColor="text1"/>
                <w:szCs w:val="20"/>
              </w:rPr>
              <w:t>份</w:t>
            </w:r>
          </w:p>
        </w:tc>
      </w:tr>
    </w:tbl>
    <w:p w:rsidR="008B03AC" w:rsidRPr="00054588" w:rsidP="008137CA">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注：本基金开通与易方达旗下其它开放式基金（由同一注册登记机构办理注册登记的、且已公告开通基金转换业务）之间的转换业务，各基金转换业务的开放状态及交易限制详见各基金相关公告。投资者需到同时销售拟转出和转入两只基金的同一销售机构办理基金的转换业务，具体的业务流程、办理时间和办理方式以销售机构的规定为准。转入本基金时转入份额的计算结果保留到小数点后两位，小数点后两位以后的部分四舍五入，由此误差产生的损失由基金财产承担，产生的收益归基金财产所有。</w:t>
      </w:r>
    </w:p>
    <w:p w:rsidR="007228CC" w:rsidRPr="00054588" w:rsidP="00941EC8">
      <w:pPr>
        <w:pStyle w:val="Heading2"/>
        <w:snapToGrid w:val="0"/>
        <w:spacing w:beforeLines="0" w:afterLines="0" w:line="360" w:lineRule="auto"/>
        <w:ind w:firstLine="562"/>
        <w:rPr>
          <w:rFonts w:asciiTheme="minorEastAsia" w:eastAsiaTheme="minorEastAsia" w:hAnsiTheme="minorEastAsia"/>
          <w:color w:val="000000" w:themeColor="text1"/>
        </w:rPr>
      </w:pPr>
      <w:bookmarkStart w:id="120" w:name="_Toc198959622"/>
      <w:bookmarkStart w:id="121" w:name="_Toc123296437"/>
      <w:r w:rsidRPr="00054588">
        <w:rPr>
          <w:rFonts w:asciiTheme="minorEastAsia" w:eastAsiaTheme="minorEastAsia" w:hAnsiTheme="minorEastAsia" w:hint="eastAsia"/>
          <w:color w:val="000000" w:themeColor="text1"/>
        </w:rPr>
        <w:t>（七）基金转换的注册登记</w:t>
      </w:r>
      <w:bookmarkEnd w:id="120"/>
      <w:bookmarkEnd w:id="121"/>
    </w:p>
    <w:p w:rsidR="007228CC" w:rsidRPr="00054588" w:rsidP="0071223F">
      <w:pPr>
        <w:snapToGrid w:val="0"/>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s="宋体" w:hint="eastAsia"/>
          <w:snapToGrid w:val="0"/>
          <w:color w:val="000000" w:themeColor="text1"/>
          <w:kern w:val="0"/>
          <w:szCs w:val="21"/>
        </w:rPr>
        <w:t>投资者T日申请基金转换成功后，注册登记机构将在T＋1工作日为投资者办理减少转出基金份额、增加转入基金份额的权益登记手续，一般情况下，投资者自T＋2工作日起有权赎回转入部分的基金份额。</w:t>
      </w:r>
    </w:p>
    <w:p w:rsidR="007228CC" w:rsidRPr="00054588" w:rsidP="0071223F">
      <w:pPr>
        <w:pStyle w:val="BodyTextFirstIndent"/>
        <w:snapToGrid w:val="0"/>
        <w:spacing w:after="0" w:line="360" w:lineRule="auto"/>
        <w:ind w:firstLine="420" w:firstLineChars="20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基金管理人可在法律法规允许的范围内，对上述注册登记办理时间进行调整，并</w:t>
      </w:r>
      <w:r w:rsidRPr="00054588">
        <w:rPr>
          <w:rFonts w:asciiTheme="minorEastAsia" w:eastAsiaTheme="minorEastAsia" w:hAnsiTheme="minorEastAsia" w:cs="宋体" w:hint="eastAsia"/>
          <w:color w:val="000000" w:themeColor="text1"/>
          <w:kern w:val="0"/>
          <w:szCs w:val="21"/>
        </w:rPr>
        <w:t>最迟应在调整生效前</w:t>
      </w:r>
      <w:r w:rsidRPr="00054588">
        <w:rPr>
          <w:rFonts w:asciiTheme="minorEastAsia" w:eastAsiaTheme="minorEastAsia" w:hAnsiTheme="minorEastAsia"/>
          <w:color w:val="000000" w:themeColor="text1"/>
          <w:kern w:val="0"/>
          <w:szCs w:val="21"/>
        </w:rPr>
        <w:t>2</w:t>
      </w:r>
      <w:r w:rsidRPr="00054588">
        <w:rPr>
          <w:rFonts w:asciiTheme="minorEastAsia" w:eastAsiaTheme="minorEastAsia" w:hAnsiTheme="minorEastAsia" w:cs="宋体" w:hint="eastAsia"/>
          <w:color w:val="000000" w:themeColor="text1"/>
          <w:kern w:val="0"/>
          <w:szCs w:val="21"/>
        </w:rPr>
        <w:t>日至少在一种中国证监会指定的媒体上予以公告。</w:t>
      </w:r>
    </w:p>
    <w:p w:rsidR="007228CC" w:rsidRPr="00054588" w:rsidP="00941EC8">
      <w:pPr>
        <w:pStyle w:val="Heading2"/>
        <w:snapToGrid w:val="0"/>
        <w:spacing w:beforeLines="0" w:afterLines="0" w:line="360" w:lineRule="auto"/>
        <w:ind w:firstLine="562"/>
        <w:rPr>
          <w:rFonts w:asciiTheme="minorEastAsia" w:eastAsiaTheme="minorEastAsia" w:hAnsiTheme="minorEastAsia"/>
          <w:color w:val="000000" w:themeColor="text1"/>
        </w:rPr>
      </w:pPr>
      <w:bookmarkStart w:id="122" w:name="_Toc198959623"/>
      <w:bookmarkStart w:id="123" w:name="_Toc123296438"/>
      <w:r w:rsidRPr="00054588">
        <w:rPr>
          <w:rFonts w:asciiTheme="minorEastAsia" w:eastAsiaTheme="minorEastAsia" w:hAnsiTheme="minorEastAsia" w:hint="eastAsia"/>
          <w:color w:val="000000" w:themeColor="text1"/>
        </w:rPr>
        <w:t>（八）基金转换</w:t>
      </w:r>
      <w:r w:rsidRPr="00054588">
        <w:rPr>
          <w:rFonts w:asciiTheme="minorEastAsia" w:eastAsiaTheme="minorEastAsia" w:hAnsiTheme="minorEastAsia"/>
          <w:color w:val="000000" w:themeColor="text1"/>
        </w:rPr>
        <w:t>与巨额赎回</w:t>
      </w:r>
      <w:bookmarkEnd w:id="122"/>
      <w:bookmarkEnd w:id="123"/>
    </w:p>
    <w:p w:rsidR="007228CC" w:rsidRPr="00054588" w:rsidP="0071223F">
      <w:pPr>
        <w:snapToGrid w:val="0"/>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当</w:t>
      </w:r>
      <w:r w:rsidRPr="00054588">
        <w:rPr>
          <w:rFonts w:asciiTheme="minorEastAsia" w:eastAsiaTheme="minorEastAsia" w:hAnsiTheme="minorEastAsia" w:cs="宋体" w:hint="eastAsia"/>
          <w:color w:val="000000" w:themeColor="text1"/>
          <w:kern w:val="0"/>
          <w:szCs w:val="21"/>
        </w:rPr>
        <w:t>发生巨额赎回时，基金转出与基金赎回具有相同的优先级，基金管理人可根据基金资产组合情况，决定全额转出或部分转出，并且对于基金转出和基金赎回，将采取相同的比例确认（另有公告的除外）；在转出申请得到部分确认的情况下，未确认的转出申请将不予以顺延。</w:t>
      </w:r>
    </w:p>
    <w:p w:rsidR="007228CC" w:rsidRPr="00054588" w:rsidP="00941EC8">
      <w:pPr>
        <w:pStyle w:val="Heading2"/>
        <w:snapToGrid w:val="0"/>
        <w:spacing w:beforeLines="0" w:afterLines="0" w:line="360" w:lineRule="auto"/>
        <w:ind w:firstLine="562"/>
        <w:rPr>
          <w:rFonts w:asciiTheme="minorEastAsia" w:eastAsiaTheme="minorEastAsia" w:hAnsiTheme="minorEastAsia"/>
          <w:color w:val="000000" w:themeColor="text1"/>
        </w:rPr>
      </w:pPr>
      <w:bookmarkStart w:id="124" w:name="_Toc198959624"/>
      <w:bookmarkStart w:id="125" w:name="_Toc123296439"/>
      <w:r w:rsidRPr="00054588">
        <w:rPr>
          <w:rFonts w:asciiTheme="minorEastAsia" w:eastAsiaTheme="minorEastAsia" w:hAnsiTheme="minorEastAsia" w:hint="eastAsia"/>
          <w:color w:val="000000" w:themeColor="text1"/>
        </w:rPr>
        <w:t>（九）拒绝或暂停基金转换的情形</w:t>
      </w:r>
      <w:bookmarkEnd w:id="124"/>
      <w:bookmarkEnd w:id="125"/>
    </w:p>
    <w:p w:rsidR="007228CC" w:rsidRPr="00054588" w:rsidP="0071223F">
      <w:pPr>
        <w:widowControl/>
        <w:snapToGrid w:val="0"/>
        <w:spacing w:line="360" w:lineRule="auto"/>
        <w:ind w:firstLine="420" w:firstLineChars="200"/>
        <w:jc w:val="left"/>
        <w:rPr>
          <w:rFonts w:asciiTheme="minorEastAsia" w:eastAsiaTheme="minorEastAsia" w:hAnsiTheme="minorEastAsia" w:cs="宋体"/>
          <w:color w:val="000000" w:themeColor="text1"/>
          <w:kern w:val="0"/>
          <w:szCs w:val="21"/>
        </w:rPr>
      </w:pPr>
      <w:r w:rsidRPr="00054588">
        <w:rPr>
          <w:rFonts w:asciiTheme="minorEastAsia" w:eastAsiaTheme="minorEastAsia" w:hAnsiTheme="minorEastAsia" w:cs="宋体" w:hint="eastAsia"/>
          <w:color w:val="000000" w:themeColor="text1"/>
          <w:kern w:val="0"/>
          <w:szCs w:val="21"/>
        </w:rPr>
        <w:t>出现下列情况之一时,基金管理人可以暂停接受基金份额持有人的基金转换申请：</w:t>
      </w:r>
    </w:p>
    <w:p w:rsidR="007228CC" w:rsidRPr="00054588" w:rsidP="001037EA">
      <w:pPr>
        <w:widowControl/>
        <w:adjustRightInd w:val="0"/>
        <w:snapToGrid w:val="0"/>
        <w:spacing w:line="360" w:lineRule="auto"/>
        <w:ind w:firstLine="420"/>
        <w:jc w:val="left"/>
        <w:rPr>
          <w:rFonts w:asciiTheme="minorEastAsia" w:eastAsiaTheme="minorEastAsia" w:hAnsiTheme="minorEastAsia" w:cs="宋体"/>
          <w:color w:val="000000" w:themeColor="text1"/>
          <w:kern w:val="0"/>
          <w:szCs w:val="21"/>
        </w:rPr>
      </w:pPr>
      <w:r w:rsidRPr="00054588">
        <w:rPr>
          <w:rFonts w:asciiTheme="minorEastAsia" w:eastAsiaTheme="minorEastAsia" w:hAnsiTheme="minorEastAsia" w:cs="宋体" w:hint="eastAsia"/>
          <w:color w:val="000000" w:themeColor="text1"/>
          <w:kern w:val="0"/>
          <w:szCs w:val="21"/>
        </w:rPr>
        <w:t>1、不可抗力的原因导致基金无法正常运作；</w:t>
      </w:r>
    </w:p>
    <w:p w:rsidR="007228CC" w:rsidRPr="00054588" w:rsidP="0071223F">
      <w:pPr>
        <w:widowControl/>
        <w:snapToGrid w:val="0"/>
        <w:spacing w:line="360" w:lineRule="auto"/>
        <w:ind w:firstLine="420" w:firstLineChars="200"/>
        <w:jc w:val="left"/>
        <w:rPr>
          <w:rFonts w:asciiTheme="minorEastAsia" w:eastAsiaTheme="minorEastAsia" w:hAnsiTheme="minorEastAsia" w:cs="宋体"/>
          <w:color w:val="000000" w:themeColor="text1"/>
          <w:kern w:val="0"/>
          <w:szCs w:val="21"/>
        </w:rPr>
      </w:pPr>
      <w:r w:rsidRPr="00054588">
        <w:rPr>
          <w:rFonts w:asciiTheme="minorEastAsia" w:eastAsiaTheme="minorEastAsia" w:hAnsiTheme="minorEastAsia" w:cs="宋体" w:hint="eastAsia"/>
          <w:color w:val="000000" w:themeColor="text1"/>
          <w:kern w:val="0"/>
          <w:szCs w:val="21"/>
        </w:rPr>
        <w:t>2、证券交易场所在交易时间非正常停市或证券交易场所依法决定临时停市，导致当日基金资产净值无法计算；</w:t>
      </w:r>
    </w:p>
    <w:p w:rsidR="007228CC" w:rsidRPr="00054588" w:rsidP="0071223F">
      <w:pPr>
        <w:widowControl/>
        <w:snapToGrid w:val="0"/>
        <w:spacing w:line="360" w:lineRule="auto"/>
        <w:ind w:firstLine="420" w:firstLineChars="200"/>
        <w:jc w:val="left"/>
        <w:rPr>
          <w:rFonts w:asciiTheme="minorEastAsia" w:eastAsiaTheme="minorEastAsia" w:hAnsiTheme="minorEastAsia" w:cs="宋体"/>
          <w:color w:val="000000" w:themeColor="text1"/>
          <w:kern w:val="0"/>
          <w:szCs w:val="21"/>
        </w:rPr>
      </w:pPr>
      <w:r w:rsidRPr="00054588">
        <w:rPr>
          <w:rFonts w:asciiTheme="minorEastAsia" w:eastAsiaTheme="minorEastAsia" w:hAnsiTheme="minorEastAsia" w:cs="宋体" w:hint="eastAsia"/>
          <w:color w:val="000000" w:themeColor="text1"/>
          <w:kern w:val="0"/>
          <w:szCs w:val="21"/>
        </w:rPr>
        <w:t>3、因市场剧烈波动或其它原因而出现连续巨额赎回，导致本基金的现金支付出现困难；</w:t>
      </w:r>
    </w:p>
    <w:p w:rsidR="007228CC" w:rsidRPr="00054588" w:rsidP="0071223F">
      <w:pPr>
        <w:widowControl/>
        <w:snapToGrid w:val="0"/>
        <w:spacing w:line="360" w:lineRule="auto"/>
        <w:ind w:firstLine="420" w:firstLineChars="200"/>
        <w:jc w:val="left"/>
        <w:rPr>
          <w:rFonts w:asciiTheme="minorEastAsia" w:eastAsiaTheme="minorEastAsia" w:hAnsiTheme="minorEastAsia" w:cs="宋体"/>
          <w:color w:val="000000" w:themeColor="text1"/>
          <w:kern w:val="0"/>
          <w:szCs w:val="21"/>
        </w:rPr>
      </w:pPr>
      <w:r w:rsidRPr="00054588">
        <w:rPr>
          <w:rFonts w:asciiTheme="minorEastAsia" w:eastAsiaTheme="minorEastAsia" w:hAnsiTheme="minorEastAsia" w:cs="宋体" w:hint="eastAsia"/>
          <w:color w:val="000000" w:themeColor="text1"/>
          <w:kern w:val="0"/>
          <w:szCs w:val="21"/>
        </w:rPr>
        <w:t>4、基金管理人认为会有损于现有基金份额持有人利益的某笔转入或某笔转出；</w:t>
      </w:r>
    </w:p>
    <w:p w:rsidR="007228CC" w:rsidRPr="00054588" w:rsidP="001037EA">
      <w:pPr>
        <w:widowControl/>
        <w:adjustRightInd w:val="0"/>
        <w:snapToGrid w:val="0"/>
        <w:spacing w:line="360" w:lineRule="auto"/>
        <w:ind w:firstLine="420"/>
        <w:jc w:val="left"/>
        <w:rPr>
          <w:rFonts w:asciiTheme="minorEastAsia" w:eastAsiaTheme="minorEastAsia" w:hAnsiTheme="minorEastAsia" w:cs="宋体"/>
          <w:color w:val="000000" w:themeColor="text1"/>
          <w:kern w:val="0"/>
          <w:szCs w:val="21"/>
        </w:rPr>
      </w:pPr>
      <w:r w:rsidRPr="00054588">
        <w:rPr>
          <w:rFonts w:asciiTheme="minorEastAsia" w:eastAsiaTheme="minorEastAsia" w:hAnsiTheme="minorEastAsia" w:cs="宋体" w:hint="eastAsia"/>
          <w:color w:val="000000" w:themeColor="text1"/>
          <w:kern w:val="0"/>
          <w:szCs w:val="21"/>
        </w:rPr>
        <w:t>5、发生基金合同规定的暂停基金资产估值情况；</w:t>
      </w:r>
    </w:p>
    <w:p w:rsidR="007228CC" w:rsidRPr="00054588" w:rsidP="0071223F">
      <w:pPr>
        <w:widowControl/>
        <w:snapToGrid w:val="0"/>
        <w:spacing w:line="360" w:lineRule="auto"/>
        <w:ind w:firstLine="420" w:firstLineChars="200"/>
        <w:jc w:val="left"/>
        <w:rPr>
          <w:rFonts w:asciiTheme="minorEastAsia" w:eastAsiaTheme="minorEastAsia" w:hAnsiTheme="minorEastAsia" w:cs="宋体"/>
          <w:color w:val="000000" w:themeColor="text1"/>
          <w:kern w:val="0"/>
          <w:szCs w:val="21"/>
        </w:rPr>
      </w:pPr>
      <w:r w:rsidRPr="00054588">
        <w:rPr>
          <w:rFonts w:asciiTheme="minorEastAsia" w:eastAsiaTheme="minorEastAsia" w:hAnsiTheme="minorEastAsia" w:cs="宋体" w:hint="eastAsia"/>
          <w:color w:val="000000" w:themeColor="text1"/>
          <w:kern w:val="0"/>
          <w:szCs w:val="21"/>
        </w:rPr>
        <w:t>6、基金资产规模过大，使基金管理人无法找到合适的投资品种，或可能对基金业绩产生负面影响，从而损害现有基金份额持有人的利益；</w:t>
      </w:r>
    </w:p>
    <w:p w:rsidR="00C609DD" w:rsidRPr="00054588" w:rsidP="0071223F">
      <w:pPr>
        <w:widowControl/>
        <w:snapToGrid w:val="0"/>
        <w:spacing w:line="360" w:lineRule="auto"/>
        <w:ind w:firstLine="420" w:firstLineChars="200"/>
        <w:jc w:val="left"/>
        <w:rPr>
          <w:rFonts w:asciiTheme="minorEastAsia" w:eastAsiaTheme="minorEastAsia" w:hAnsiTheme="minorEastAsia" w:cs="宋体"/>
          <w:color w:val="000000" w:themeColor="text1"/>
          <w:kern w:val="0"/>
          <w:szCs w:val="21"/>
        </w:rPr>
      </w:pPr>
      <w:r w:rsidRPr="00054588">
        <w:rPr>
          <w:rFonts w:asciiTheme="minorEastAsia" w:eastAsiaTheme="minorEastAsia" w:hAnsiTheme="minorEastAsia" w:cs="宋体" w:hint="eastAsia"/>
          <w:color w:val="000000" w:themeColor="text1"/>
          <w:kern w:val="0"/>
          <w:szCs w:val="21"/>
        </w:rPr>
        <w:t>7、</w:t>
      </w:r>
      <w:r w:rsidRPr="00054588" w:rsidR="00154B54">
        <w:rPr>
          <w:rFonts w:asciiTheme="minorEastAsia" w:eastAsiaTheme="minorEastAsia" w:hAnsiTheme="minorEastAsia" w:hint="eastAsia"/>
          <w:color w:val="000000" w:themeColor="text1"/>
          <w:szCs w:val="21"/>
        </w:rPr>
        <w:t>基金管理人接受某笔或者某些转换转入申请有可能导致单一投资者持有基金份额的比例达到或者超过50%，或者变相规避50%集中度的情形时</w:t>
      </w:r>
      <w:r w:rsidRPr="00054588">
        <w:rPr>
          <w:rFonts w:asciiTheme="minorEastAsia" w:eastAsiaTheme="minorEastAsia" w:hAnsiTheme="minorEastAsia" w:cs="宋体" w:hint="eastAsia"/>
          <w:color w:val="000000" w:themeColor="text1"/>
          <w:kern w:val="0"/>
          <w:szCs w:val="21"/>
        </w:rPr>
        <w:t>；</w:t>
      </w:r>
    </w:p>
    <w:p w:rsidR="00C609DD" w:rsidRPr="00054588" w:rsidP="0071223F">
      <w:pPr>
        <w:widowControl/>
        <w:snapToGrid w:val="0"/>
        <w:spacing w:line="360" w:lineRule="auto"/>
        <w:ind w:firstLine="420" w:firstLineChars="200"/>
        <w:jc w:val="left"/>
        <w:rPr>
          <w:rFonts w:asciiTheme="minorEastAsia" w:eastAsiaTheme="minorEastAsia" w:hAnsiTheme="minorEastAsia" w:cs="宋体"/>
          <w:color w:val="000000" w:themeColor="text1"/>
          <w:kern w:val="0"/>
          <w:szCs w:val="21"/>
        </w:rPr>
      </w:pPr>
      <w:r w:rsidRPr="00054588">
        <w:rPr>
          <w:rFonts w:asciiTheme="minorEastAsia" w:eastAsiaTheme="minorEastAsia" w:hAnsiTheme="minorEastAsia" w:cs="宋体"/>
          <w:color w:val="000000" w:themeColor="text1"/>
          <w:kern w:val="0"/>
          <w:szCs w:val="21"/>
        </w:rPr>
        <w:t>8、</w:t>
      </w:r>
      <w:r w:rsidRPr="00054588" w:rsidR="00154B54">
        <w:rPr>
          <w:rFonts w:asciiTheme="minorEastAsia" w:eastAsiaTheme="minorEastAsia" w:hAnsiTheme="minorEastAsia" w:hint="eastAsia"/>
          <w:color w:val="000000" w:themeColor="text1"/>
          <w:szCs w:val="21"/>
        </w:rPr>
        <w:t>当一笔新的转换转入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r w:rsidRPr="00054588">
        <w:rPr>
          <w:rFonts w:asciiTheme="minorEastAsia" w:eastAsiaTheme="minorEastAsia" w:hAnsiTheme="minorEastAsia" w:cs="宋体" w:hint="eastAsia"/>
          <w:color w:val="000000" w:themeColor="text1"/>
          <w:kern w:val="0"/>
          <w:szCs w:val="21"/>
        </w:rPr>
        <w:t>；</w:t>
      </w:r>
    </w:p>
    <w:p w:rsidR="00C609DD" w:rsidRPr="00054588" w:rsidP="0071223F">
      <w:pPr>
        <w:widowControl/>
        <w:snapToGrid w:val="0"/>
        <w:spacing w:line="360" w:lineRule="auto"/>
        <w:ind w:firstLine="420" w:firstLineChars="200"/>
        <w:jc w:val="left"/>
        <w:rPr>
          <w:rFonts w:asciiTheme="minorEastAsia" w:eastAsiaTheme="minorEastAsia" w:hAnsiTheme="minorEastAsia" w:cs="宋体"/>
          <w:color w:val="000000" w:themeColor="text1"/>
          <w:kern w:val="0"/>
          <w:szCs w:val="21"/>
        </w:rPr>
      </w:pPr>
      <w:r w:rsidRPr="00054588">
        <w:rPr>
          <w:rFonts w:asciiTheme="minorEastAsia" w:eastAsiaTheme="minorEastAsia" w:hAnsiTheme="minorEastAsia" w:cs="宋体"/>
          <w:color w:val="000000" w:themeColor="text1"/>
          <w:kern w:val="0"/>
          <w:szCs w:val="21"/>
        </w:rPr>
        <w:t>9、</w:t>
      </w:r>
      <w:r w:rsidRPr="00054588" w:rsidR="00154B54">
        <w:rPr>
          <w:rFonts w:asciiTheme="minorEastAsia" w:eastAsiaTheme="minorEastAsia" w:hAnsiTheme="minorEastAsia" w:hint="eastAsia"/>
          <w:color w:val="000000" w:themeColor="text1"/>
          <w:szCs w:val="21"/>
        </w:rPr>
        <w:t>当前一估值日基金资产净值50%以上的资产出现无可参考的活跃市场价格且采用估值技术仍导致公允价值存在重大不确定性时，经与基金托管人协商确认后，基金管理人应当采取暂停接受基金转换申请的措施时</w:t>
      </w:r>
      <w:r w:rsidRPr="00054588">
        <w:rPr>
          <w:rFonts w:asciiTheme="minorEastAsia" w:eastAsiaTheme="minorEastAsia" w:hAnsiTheme="minorEastAsia" w:cs="宋体" w:hint="eastAsia"/>
          <w:color w:val="000000" w:themeColor="text1"/>
          <w:kern w:val="0"/>
          <w:szCs w:val="21"/>
        </w:rPr>
        <w:t>；</w:t>
      </w:r>
    </w:p>
    <w:p w:rsidR="007228CC" w:rsidRPr="00054588" w:rsidP="0071223F">
      <w:pPr>
        <w:widowControl/>
        <w:snapToGrid w:val="0"/>
        <w:spacing w:line="360" w:lineRule="auto"/>
        <w:ind w:firstLine="420" w:firstLineChars="200"/>
        <w:jc w:val="left"/>
        <w:rPr>
          <w:rFonts w:asciiTheme="minorEastAsia" w:eastAsiaTheme="minorEastAsia" w:hAnsiTheme="minorEastAsia" w:cs="宋体"/>
          <w:color w:val="000000" w:themeColor="text1"/>
          <w:kern w:val="0"/>
          <w:szCs w:val="21"/>
        </w:rPr>
      </w:pPr>
      <w:r w:rsidRPr="00054588">
        <w:rPr>
          <w:rFonts w:asciiTheme="minorEastAsia" w:eastAsiaTheme="minorEastAsia" w:hAnsiTheme="minorEastAsia" w:cs="宋体" w:hint="eastAsia"/>
          <w:color w:val="000000" w:themeColor="text1"/>
          <w:kern w:val="0"/>
          <w:szCs w:val="21"/>
        </w:rPr>
        <w:t>1</w:t>
      </w:r>
      <w:r w:rsidRPr="00054588">
        <w:rPr>
          <w:rFonts w:asciiTheme="minorEastAsia" w:eastAsiaTheme="minorEastAsia" w:hAnsiTheme="minorEastAsia" w:cs="宋体"/>
          <w:color w:val="000000" w:themeColor="text1"/>
          <w:kern w:val="0"/>
          <w:szCs w:val="21"/>
        </w:rPr>
        <w:t>0、</w:t>
      </w:r>
      <w:r w:rsidRPr="00054588">
        <w:rPr>
          <w:rFonts w:asciiTheme="minorEastAsia" w:eastAsiaTheme="minorEastAsia" w:hAnsiTheme="minorEastAsia" w:cs="宋体" w:hint="eastAsia"/>
          <w:color w:val="000000" w:themeColor="text1"/>
          <w:kern w:val="0"/>
          <w:szCs w:val="21"/>
        </w:rPr>
        <w:t>法律、法规规定或中国证监会认定的其他情形。</w:t>
      </w:r>
    </w:p>
    <w:p w:rsidR="007228CC" w:rsidRPr="00054588" w:rsidP="0071223F">
      <w:pPr>
        <w:widowControl/>
        <w:snapToGrid w:val="0"/>
        <w:spacing w:line="360" w:lineRule="auto"/>
        <w:ind w:firstLine="420" w:firstLineChars="200"/>
        <w:jc w:val="left"/>
        <w:rPr>
          <w:rFonts w:asciiTheme="minorEastAsia" w:eastAsiaTheme="minorEastAsia" w:hAnsiTheme="minorEastAsia" w:cs="宋体"/>
          <w:color w:val="000000" w:themeColor="text1"/>
          <w:kern w:val="0"/>
          <w:szCs w:val="21"/>
        </w:rPr>
      </w:pPr>
      <w:r w:rsidRPr="00054588">
        <w:rPr>
          <w:rFonts w:asciiTheme="minorEastAsia" w:eastAsiaTheme="minorEastAsia" w:hAnsiTheme="minorEastAsia" w:cs="宋体" w:hint="eastAsia"/>
          <w:color w:val="000000" w:themeColor="text1"/>
          <w:kern w:val="0"/>
          <w:szCs w:val="21"/>
        </w:rPr>
        <w:t>基金暂停转换或暂停后重新开放转换时，基金管理人应立即向中国证监会备案并在至少一种中国证监会指定的信息披露媒体上公告。</w:t>
      </w:r>
    </w:p>
    <w:p w:rsidR="007228CC" w:rsidRPr="00054588" w:rsidP="0071223F">
      <w:pPr>
        <w:widowControl/>
        <w:snapToGrid w:val="0"/>
        <w:spacing w:line="360" w:lineRule="auto"/>
        <w:ind w:firstLine="420" w:firstLineChars="200"/>
        <w:jc w:val="left"/>
        <w:rPr>
          <w:rFonts w:asciiTheme="minorEastAsia" w:eastAsiaTheme="minorEastAsia" w:hAnsiTheme="minorEastAsia" w:cs="宋体"/>
          <w:color w:val="000000" w:themeColor="text1"/>
          <w:kern w:val="0"/>
          <w:szCs w:val="21"/>
        </w:rPr>
      </w:pPr>
      <w:r w:rsidRPr="00054588">
        <w:rPr>
          <w:rFonts w:asciiTheme="minorEastAsia" w:eastAsiaTheme="minorEastAsia" w:hAnsiTheme="minorEastAsia" w:cs="宋体" w:hint="eastAsia"/>
          <w:color w:val="000000" w:themeColor="text1"/>
          <w:kern w:val="0"/>
          <w:szCs w:val="21"/>
        </w:rPr>
        <w:t>基金转换业务的解释权归本基金管理人，本公司可以根据市场情况在不违背有关法律、法规和基金合同的规定之前提下调整上述转换的收费方式、费率水平、业务规则及有关限制</w:t>
      </w:r>
      <w:r w:rsidRPr="00054588">
        <w:rPr>
          <w:rFonts w:asciiTheme="minorEastAsia" w:eastAsiaTheme="minorEastAsia" w:hAnsiTheme="minorEastAsia"/>
          <w:color w:val="000000" w:themeColor="text1"/>
          <w:kern w:val="0"/>
          <w:szCs w:val="21"/>
        </w:rPr>
        <w:t>,</w:t>
      </w:r>
      <w:r w:rsidRPr="00054588">
        <w:rPr>
          <w:rFonts w:asciiTheme="minorEastAsia" w:eastAsiaTheme="minorEastAsia" w:hAnsiTheme="minorEastAsia" w:cs="宋体" w:hint="eastAsia"/>
          <w:color w:val="000000" w:themeColor="text1"/>
          <w:kern w:val="0"/>
          <w:szCs w:val="21"/>
        </w:rPr>
        <w:t>但最迟应在调整生效前</w:t>
      </w:r>
      <w:r w:rsidRPr="00054588">
        <w:rPr>
          <w:rFonts w:asciiTheme="minorEastAsia" w:eastAsiaTheme="minorEastAsia" w:hAnsiTheme="minorEastAsia"/>
          <w:color w:val="000000" w:themeColor="text1"/>
          <w:kern w:val="0"/>
          <w:szCs w:val="21"/>
        </w:rPr>
        <w:t>2</w:t>
      </w:r>
      <w:r w:rsidRPr="00054588">
        <w:rPr>
          <w:rFonts w:asciiTheme="minorEastAsia" w:eastAsiaTheme="minorEastAsia" w:hAnsiTheme="minorEastAsia" w:cs="宋体" w:hint="eastAsia"/>
          <w:color w:val="000000" w:themeColor="text1"/>
          <w:kern w:val="0"/>
          <w:szCs w:val="21"/>
        </w:rPr>
        <w:t>日至少在一种中国证监会指定的媒体上予以公告。</w:t>
      </w:r>
    </w:p>
    <w:p w:rsidR="007228CC" w:rsidRPr="00054588" w:rsidP="0071223F">
      <w:pPr>
        <w:widowControl/>
        <w:snapToGrid w:val="0"/>
        <w:spacing w:line="360" w:lineRule="auto"/>
        <w:ind w:firstLine="420" w:firstLineChars="200"/>
        <w:jc w:val="left"/>
        <w:rPr>
          <w:rFonts w:asciiTheme="minorEastAsia" w:eastAsiaTheme="minorEastAsia" w:hAnsiTheme="minorEastAsia" w:cs="宋体"/>
          <w:color w:val="000000" w:themeColor="text1"/>
          <w:kern w:val="0"/>
          <w:szCs w:val="21"/>
        </w:rPr>
      </w:pPr>
    </w:p>
    <w:p w:rsidR="007228CC" w:rsidRPr="00054588" w:rsidP="00941EC8">
      <w:pPr>
        <w:pStyle w:val="111"/>
        <w:numPr>
          <w:ilvl w:val="0"/>
          <w:numId w:val="7"/>
        </w:numPr>
        <w:tabs>
          <w:tab w:val="num" w:pos="0"/>
          <w:tab w:val="clear" w:pos="2798"/>
        </w:tabs>
        <w:snapToGrid w:val="0"/>
        <w:spacing w:beforeLines="0" w:afterLines="0" w:line="360" w:lineRule="auto"/>
        <w:ind w:left="0" w:firstLine="0" w:firstLineChars="0"/>
        <w:rPr>
          <w:rFonts w:asciiTheme="minorEastAsia" w:eastAsiaTheme="minorEastAsia" w:hAnsiTheme="minorEastAsia"/>
          <w:b/>
          <w:color w:val="000000" w:themeColor="text1"/>
          <w:szCs w:val="32"/>
        </w:rPr>
      </w:pPr>
      <w:bookmarkStart w:id="126" w:name="_Toc531323712"/>
      <w:bookmarkStart w:id="127" w:name="_Toc123296440"/>
      <w:bookmarkStart w:id="128" w:name="_Toc86560070"/>
      <w:bookmarkStart w:id="129" w:name="_Toc86635162"/>
      <w:bookmarkStart w:id="130" w:name="_Toc91335002"/>
      <w:bookmarkStart w:id="131" w:name="_Toc211920150"/>
      <w:bookmarkStart w:id="132" w:name="_Toc211927681"/>
      <w:r w:rsidRPr="00054588">
        <w:rPr>
          <w:rFonts w:asciiTheme="minorEastAsia" w:eastAsiaTheme="minorEastAsia" w:hAnsiTheme="minorEastAsia" w:hint="eastAsia"/>
          <w:b/>
          <w:color w:val="000000" w:themeColor="text1"/>
        </w:rPr>
        <w:t>定期定额投资计划</w:t>
      </w:r>
      <w:bookmarkEnd w:id="126"/>
      <w:bookmarkEnd w:id="127"/>
    </w:p>
    <w:p w:rsidR="007228CC" w:rsidRPr="00054588" w:rsidP="0071223F">
      <w:pPr>
        <w:widowControl/>
        <w:snapToGrid w:val="0"/>
        <w:spacing w:line="360" w:lineRule="auto"/>
        <w:ind w:firstLine="420"/>
        <w:jc w:val="left"/>
        <w:rPr>
          <w:rFonts w:asciiTheme="minorEastAsia" w:eastAsiaTheme="minorEastAsia" w:hAnsiTheme="minorEastAsia" w:cs="宋体"/>
          <w:color w:val="000000" w:themeColor="text1"/>
          <w:kern w:val="0"/>
          <w:szCs w:val="21"/>
        </w:rPr>
      </w:pPr>
      <w:r w:rsidRPr="00054588">
        <w:rPr>
          <w:rFonts w:asciiTheme="minorEastAsia" w:eastAsiaTheme="minorEastAsia" w:hAnsiTheme="minorEastAsia" w:cs="宋体" w:hint="eastAsia"/>
          <w:color w:val="000000" w:themeColor="text1"/>
          <w:kern w:val="0"/>
          <w:szCs w:val="21"/>
        </w:rPr>
        <w:t>定期定额申购业务是指投资者可通过本基金管理人指定的销售机构提交申请，约定每期扣款时间、扣款金额，由指定的销售机构于每期约定扣款日在投资者指定资金账户内自动完成扣款，并提交基金申购申请的一种长期投资方式。</w:t>
      </w:r>
    </w:p>
    <w:p w:rsidR="007228CC" w:rsidRPr="00054588" w:rsidP="0071223F">
      <w:pPr>
        <w:widowControl/>
        <w:snapToGrid w:val="0"/>
        <w:spacing w:line="360" w:lineRule="auto"/>
        <w:ind w:firstLine="420"/>
        <w:jc w:val="left"/>
        <w:rPr>
          <w:rFonts w:asciiTheme="minorEastAsia" w:eastAsiaTheme="minorEastAsia" w:hAnsiTheme="minorEastAsia" w:cs="宋体"/>
          <w:color w:val="000000" w:themeColor="text1"/>
          <w:kern w:val="0"/>
          <w:szCs w:val="21"/>
        </w:rPr>
      </w:pPr>
      <w:r w:rsidRPr="00054588">
        <w:rPr>
          <w:rFonts w:asciiTheme="minorEastAsia" w:eastAsiaTheme="minorEastAsia" w:hAnsiTheme="minorEastAsia" w:cs="宋体" w:hint="eastAsia"/>
          <w:color w:val="000000" w:themeColor="text1"/>
          <w:kern w:val="0"/>
          <w:szCs w:val="21"/>
        </w:rPr>
        <w:t>本基金已于</w:t>
      </w:r>
      <w:r w:rsidRPr="00054588">
        <w:rPr>
          <w:rFonts w:asciiTheme="minorEastAsia" w:eastAsiaTheme="minorEastAsia" w:hAnsiTheme="minorEastAsia" w:cs="宋体"/>
          <w:color w:val="000000" w:themeColor="text1"/>
          <w:kern w:val="0"/>
          <w:szCs w:val="21"/>
        </w:rPr>
        <w:t>200</w:t>
      </w:r>
      <w:r w:rsidRPr="00054588">
        <w:rPr>
          <w:rFonts w:asciiTheme="minorEastAsia" w:eastAsiaTheme="minorEastAsia" w:hAnsiTheme="minorEastAsia" w:cs="宋体" w:hint="eastAsia"/>
          <w:color w:val="000000" w:themeColor="text1"/>
          <w:kern w:val="0"/>
          <w:szCs w:val="21"/>
        </w:rPr>
        <w:t>8年9月26日开通定期定额申购业务</w:t>
      </w:r>
      <w:r w:rsidRPr="00054588">
        <w:rPr>
          <w:rFonts w:asciiTheme="minorEastAsia" w:eastAsiaTheme="minorEastAsia" w:hAnsiTheme="minorEastAsia" w:hint="eastAsia"/>
          <w:color w:val="000000" w:themeColor="text1"/>
        </w:rPr>
        <w:t>，具体实施办法详见相关公告</w:t>
      </w:r>
      <w:r w:rsidRPr="00054588">
        <w:rPr>
          <w:rFonts w:asciiTheme="minorEastAsia" w:eastAsiaTheme="minorEastAsia" w:hAnsiTheme="minorEastAsia" w:cs="宋体" w:hint="eastAsia"/>
          <w:color w:val="000000" w:themeColor="text1"/>
          <w:kern w:val="0"/>
          <w:szCs w:val="21"/>
        </w:rPr>
        <w:t>。</w:t>
      </w:r>
    </w:p>
    <w:p w:rsidR="007228CC" w:rsidRPr="00054588" w:rsidP="00941EC8">
      <w:pPr>
        <w:pStyle w:val="111"/>
        <w:numPr>
          <w:ilvl w:val="0"/>
          <w:numId w:val="7"/>
        </w:numPr>
        <w:tabs>
          <w:tab w:val="num" w:pos="0"/>
          <w:tab w:val="clear" w:pos="2798"/>
        </w:tabs>
        <w:snapToGrid w:val="0"/>
        <w:spacing w:beforeLines="0" w:afterLines="0" w:line="360" w:lineRule="auto"/>
        <w:ind w:left="0" w:firstLine="0" w:firstLineChars="0"/>
        <w:rPr>
          <w:rFonts w:asciiTheme="minorEastAsia" w:eastAsiaTheme="minorEastAsia" w:hAnsiTheme="minorEastAsia"/>
          <w:b/>
          <w:color w:val="000000" w:themeColor="text1"/>
        </w:rPr>
      </w:pPr>
      <w:bookmarkStart w:id="133" w:name="_Toc123296441"/>
      <w:r w:rsidRPr="00054588">
        <w:rPr>
          <w:rFonts w:asciiTheme="minorEastAsia" w:eastAsiaTheme="minorEastAsia" w:hAnsiTheme="minorEastAsia" w:hint="eastAsia"/>
          <w:b/>
          <w:color w:val="000000" w:themeColor="text1"/>
        </w:rPr>
        <w:t>基金的非交易过户、转托管、冻结与</w:t>
      </w:r>
      <w:bookmarkEnd w:id="128"/>
      <w:bookmarkEnd w:id="129"/>
      <w:bookmarkEnd w:id="130"/>
      <w:r w:rsidRPr="00054588">
        <w:rPr>
          <w:rFonts w:asciiTheme="minorEastAsia" w:eastAsiaTheme="minorEastAsia" w:hAnsiTheme="minorEastAsia" w:hint="eastAsia"/>
          <w:b/>
          <w:color w:val="000000" w:themeColor="text1"/>
        </w:rPr>
        <w:t>解冻</w:t>
      </w:r>
      <w:bookmarkEnd w:id="131"/>
      <w:bookmarkEnd w:id="132"/>
      <w:bookmarkEnd w:id="133"/>
    </w:p>
    <w:p w:rsidR="007228CC" w:rsidRPr="00054588" w:rsidP="0071223F">
      <w:pPr>
        <w:snapToGrid w:val="0"/>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hint="eastAsia"/>
          <w:color w:val="000000" w:themeColor="text1"/>
        </w:rPr>
        <w:t>一）</w:t>
      </w:r>
      <w:r w:rsidRPr="00054588">
        <w:rPr>
          <w:rFonts w:asciiTheme="minorEastAsia" w:eastAsiaTheme="minorEastAsia" w:hAnsiTheme="minorEastAsia"/>
          <w:color w:val="000000" w:themeColor="text1"/>
        </w:rPr>
        <w:t>非交易过户是指不采用申购、赎回等基金交易方式，将一定数量的基金份额按照一定规则从某一投资者基金账户转移到另一投资者基金账户的行为</w:t>
      </w:r>
      <w:r w:rsidRPr="00054588">
        <w:rPr>
          <w:rFonts w:asciiTheme="minorEastAsia" w:eastAsiaTheme="minorEastAsia" w:hAnsiTheme="minorEastAsia" w:hint="eastAsia"/>
          <w:color w:val="000000" w:themeColor="text1"/>
        </w:rPr>
        <w:t>，包括</w:t>
      </w:r>
      <w:r w:rsidRPr="00054588">
        <w:rPr>
          <w:rFonts w:asciiTheme="minorEastAsia" w:eastAsiaTheme="minorEastAsia" w:hAnsiTheme="minorEastAsia"/>
          <w:color w:val="000000" w:themeColor="text1"/>
        </w:rPr>
        <w:t>继承、捐赠、</w:t>
      </w:r>
      <w:r w:rsidRPr="00054588">
        <w:rPr>
          <w:rFonts w:asciiTheme="minorEastAsia" w:eastAsiaTheme="minorEastAsia" w:hAnsiTheme="minorEastAsia" w:hint="eastAsia"/>
          <w:color w:val="000000" w:themeColor="text1"/>
        </w:rPr>
        <w:t>强制</w:t>
      </w:r>
      <w:r w:rsidRPr="00054588">
        <w:rPr>
          <w:rFonts w:asciiTheme="minorEastAsia" w:eastAsiaTheme="minorEastAsia" w:hAnsiTheme="minorEastAsia"/>
          <w:color w:val="000000" w:themeColor="text1"/>
        </w:rPr>
        <w:t>执行</w:t>
      </w:r>
      <w:r w:rsidRPr="00054588">
        <w:rPr>
          <w:rFonts w:asciiTheme="minorEastAsia" w:eastAsiaTheme="minorEastAsia" w:hAnsiTheme="minorEastAsia" w:hint="eastAsia"/>
          <w:color w:val="000000" w:themeColor="text1"/>
        </w:rPr>
        <w:t>及基金注册登记机构认可的其它情况下的非交易过户</w:t>
      </w:r>
      <w:r w:rsidRPr="00054588">
        <w:rPr>
          <w:rFonts w:asciiTheme="minorEastAsia" w:eastAsiaTheme="minorEastAsia" w:hAnsiTheme="minorEastAsia"/>
          <w:color w:val="000000" w:themeColor="text1"/>
        </w:rPr>
        <w:t>。</w:t>
      </w:r>
      <w:r w:rsidRPr="00054588">
        <w:rPr>
          <w:rFonts w:asciiTheme="minorEastAsia" w:eastAsiaTheme="minorEastAsia" w:hAnsiTheme="minorEastAsia" w:hint="eastAsia"/>
          <w:color w:val="000000" w:themeColor="text1"/>
          <w:szCs w:val="21"/>
        </w:rPr>
        <w:t>无论在上述何种情况下，接受划转的主体应符合相关法律法规和基金合同规定的持有本基金份额的投资者的条件。</w:t>
      </w:r>
      <w:r w:rsidRPr="00054588">
        <w:rPr>
          <w:rFonts w:asciiTheme="minorEastAsia" w:eastAsiaTheme="minorEastAsia" w:hAnsiTheme="minorEastAsia" w:hint="eastAsia"/>
          <w:color w:val="000000" w:themeColor="text1"/>
        </w:rPr>
        <w:t>其中：</w:t>
      </w:r>
    </w:p>
    <w:p w:rsidR="007228CC" w:rsidRPr="00054588" w:rsidP="0071223F">
      <w:pPr>
        <w:snapToGrid w:val="0"/>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“继承”是指基金份额持有人死亡，其持有的基金份额由其合法的继承人或受遗赠人继承；</w:t>
      </w:r>
    </w:p>
    <w:p w:rsidR="007228CC" w:rsidRPr="00054588" w:rsidP="0071223F">
      <w:pPr>
        <w:snapToGrid w:val="0"/>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“捐赠”仅指基金份额持有人将其合法持有的基金份额捐赠给福利性质的基金会或社会团体；</w:t>
      </w:r>
    </w:p>
    <w:p w:rsidR="007228CC" w:rsidRPr="00054588" w:rsidP="0071223F">
      <w:pPr>
        <w:snapToGrid w:val="0"/>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“强制执行”是指国家有权机关依据生效的法律文书将基金份额持有人持有的基金份额强制执行划转给其他自然人、法人、社会团体或其他组织。</w:t>
      </w:r>
    </w:p>
    <w:p w:rsidR="007228CC" w:rsidRPr="00054588" w:rsidP="0071223F">
      <w:pPr>
        <w:snapToGrid w:val="0"/>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（二）</w:t>
      </w:r>
      <w:r w:rsidRPr="00054588">
        <w:rPr>
          <w:rFonts w:asciiTheme="minorEastAsia" w:eastAsiaTheme="minorEastAsia" w:hAnsiTheme="minorEastAsia" w:hint="eastAsia"/>
          <w:color w:val="000000" w:themeColor="text1"/>
          <w:szCs w:val="21"/>
        </w:rPr>
        <w:t>办理非交易过户业务必须提供基金注册登</w:t>
      </w:r>
      <w:r w:rsidRPr="00054588">
        <w:rPr>
          <w:rFonts w:asciiTheme="minorEastAsia" w:eastAsiaTheme="minorEastAsia" w:hAnsiTheme="minorEastAsia" w:hint="eastAsia"/>
          <w:color w:val="000000" w:themeColor="text1"/>
        </w:rPr>
        <w:t>记机构规定的相关资料，注册登记机构办理上述情况下</w:t>
      </w:r>
      <w:r w:rsidRPr="00054588">
        <w:rPr>
          <w:rFonts w:asciiTheme="minorEastAsia" w:eastAsiaTheme="minorEastAsia" w:hAnsiTheme="minorEastAsia"/>
          <w:color w:val="000000" w:themeColor="text1"/>
        </w:rPr>
        <w:t>的非交易过户</w:t>
      </w:r>
      <w:r w:rsidRPr="00054588">
        <w:rPr>
          <w:rFonts w:asciiTheme="minorEastAsia" w:eastAsiaTheme="minorEastAsia" w:hAnsiTheme="minorEastAsia" w:hint="eastAsia"/>
          <w:color w:val="000000" w:themeColor="text1"/>
        </w:rPr>
        <w:t>，其他销售机构可代为受理投资者的申请材料，但不得办理该项业务。</w:t>
      </w:r>
    </w:p>
    <w:p w:rsidR="007228CC" w:rsidRPr="00054588" w:rsidP="0071223F">
      <w:pPr>
        <w:snapToGrid w:val="0"/>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（三）符合条件的非交易过户申请自申请受理日起，两个月内办理；申请人按基金注册登记机构规定的标准缴纳过户费用。</w:t>
      </w:r>
    </w:p>
    <w:p w:rsidR="007228CC" w:rsidRPr="00054588" w:rsidP="0071223F">
      <w:pPr>
        <w:snapToGrid w:val="0"/>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（四）基金份额持有人可以办理其基金份额在不同销售机构的转托管手续，转托管业务由各销售机构负责受理。</w:t>
      </w:r>
    </w:p>
    <w:p w:rsidR="007228CC" w:rsidRPr="00054588" w:rsidP="0071223F">
      <w:pPr>
        <w:snapToGrid w:val="0"/>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五）基金注册登记机构只受理国家有权机关依法要求以及注册登记机构认可的其他情况下的基金账户或基金份额的冻结与解冻。基金账户或基金份额被冻结的，被冻结部分产生的权益（包括现金分红和红利再投资）一并冻结，</w:t>
      </w:r>
      <w:r w:rsidRPr="00054588">
        <w:rPr>
          <w:rFonts w:asciiTheme="minorEastAsia" w:eastAsiaTheme="minorEastAsia" w:hAnsiTheme="minorEastAsia" w:hint="eastAsia"/>
          <w:color w:val="000000" w:themeColor="text1"/>
          <w:szCs w:val="21"/>
        </w:rPr>
        <w:t>被冻结部分份额仍然参与收益分配与支付</w:t>
      </w:r>
      <w:r w:rsidRPr="00054588">
        <w:rPr>
          <w:rFonts w:asciiTheme="minorEastAsia" w:eastAsiaTheme="minorEastAsia" w:hAnsiTheme="minorEastAsia" w:hint="eastAsia"/>
          <w:color w:val="000000" w:themeColor="text1"/>
        </w:rPr>
        <w:t>。</w:t>
      </w:r>
    </w:p>
    <w:p w:rsidR="007228CC" w:rsidRPr="00054588" w:rsidP="0071223F">
      <w:pPr>
        <w:snapToGrid w:val="0"/>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（六）根据相关法律法规的规定，基金管理人将可以办理基金份额的质押业务或其他基金业务，并制定和实施相应的业务规则。</w:t>
      </w:r>
    </w:p>
    <w:p w:rsidR="007228CC" w:rsidRPr="00054588" w:rsidP="0071223F">
      <w:pPr>
        <w:snapToGrid w:val="0"/>
        <w:spacing w:line="360" w:lineRule="auto"/>
        <w:ind w:firstLine="640"/>
        <w:rPr>
          <w:rFonts w:asciiTheme="minorEastAsia" w:eastAsiaTheme="minorEastAsia" w:hAnsiTheme="minorEastAsia"/>
          <w:color w:val="000000" w:themeColor="text1"/>
        </w:rPr>
      </w:pPr>
      <w:bookmarkStart w:id="134" w:name="_Toc52310853"/>
    </w:p>
    <w:p w:rsidR="007228CC" w:rsidRPr="00054588" w:rsidP="00941EC8">
      <w:pPr>
        <w:pStyle w:val="111"/>
        <w:numPr>
          <w:ilvl w:val="0"/>
          <w:numId w:val="7"/>
        </w:numPr>
        <w:tabs>
          <w:tab w:val="num" w:pos="0"/>
          <w:tab w:val="clear" w:pos="2798"/>
        </w:tabs>
        <w:snapToGrid w:val="0"/>
        <w:spacing w:beforeLines="0" w:afterLines="0" w:line="360" w:lineRule="auto"/>
        <w:ind w:left="0" w:firstLine="0" w:firstLineChars="0"/>
        <w:rPr>
          <w:rFonts w:asciiTheme="minorEastAsia" w:eastAsiaTheme="minorEastAsia" w:hAnsiTheme="minorEastAsia"/>
          <w:b/>
          <w:color w:val="000000" w:themeColor="text1"/>
        </w:rPr>
      </w:pPr>
      <w:bookmarkStart w:id="135" w:name="_Toc123296442"/>
      <w:r w:rsidRPr="00054588">
        <w:rPr>
          <w:rFonts w:asciiTheme="minorEastAsia" w:eastAsiaTheme="minorEastAsia" w:hAnsiTheme="minorEastAsia" w:hint="eastAsia"/>
          <w:b/>
          <w:color w:val="000000" w:themeColor="text1"/>
        </w:rPr>
        <w:t>基金的投资</w:t>
      </w:r>
      <w:bookmarkEnd w:id="135"/>
    </w:p>
    <w:p w:rsidR="007228CC" w:rsidRPr="00054588" w:rsidP="00941EC8">
      <w:pPr>
        <w:pStyle w:val="Heading2"/>
        <w:snapToGrid w:val="0"/>
        <w:spacing w:beforeLines="0" w:afterLines="0" w:line="360" w:lineRule="auto"/>
        <w:ind w:firstLine="562"/>
        <w:rPr>
          <w:rFonts w:asciiTheme="minorEastAsia" w:eastAsiaTheme="minorEastAsia" w:hAnsiTheme="minorEastAsia"/>
          <w:color w:val="000000" w:themeColor="text1"/>
        </w:rPr>
      </w:pPr>
      <w:bookmarkStart w:id="136" w:name="_Toc182018760"/>
      <w:bookmarkStart w:id="137" w:name="_Toc211920152"/>
      <w:bookmarkStart w:id="138" w:name="_Toc211927683"/>
      <w:bookmarkStart w:id="139" w:name="_Toc123296443"/>
      <w:r w:rsidRPr="00054588">
        <w:rPr>
          <w:rFonts w:asciiTheme="minorEastAsia" w:eastAsiaTheme="minorEastAsia" w:hAnsiTheme="minorEastAsia" w:hint="eastAsia"/>
          <w:color w:val="000000" w:themeColor="text1"/>
        </w:rPr>
        <w:t>（一）投资目标</w:t>
      </w:r>
      <w:bookmarkEnd w:id="136"/>
      <w:bookmarkEnd w:id="137"/>
      <w:bookmarkEnd w:id="138"/>
      <w:bookmarkEnd w:id="139"/>
    </w:p>
    <w:p w:rsidR="007228CC" w:rsidRPr="00054588" w:rsidP="0071223F">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通过主要投资于债券品种，力争为基金持有人创造较高的当期收益和总回报，实现基金资产的长期稳健增值。</w:t>
      </w:r>
    </w:p>
    <w:p w:rsidR="007228CC" w:rsidRPr="00054588" w:rsidP="00941EC8">
      <w:pPr>
        <w:pStyle w:val="Heading2"/>
        <w:snapToGrid w:val="0"/>
        <w:spacing w:beforeLines="0" w:afterLines="0" w:line="360" w:lineRule="auto"/>
        <w:ind w:firstLine="562"/>
        <w:rPr>
          <w:rFonts w:asciiTheme="minorEastAsia" w:eastAsiaTheme="minorEastAsia" w:hAnsiTheme="minorEastAsia"/>
          <w:color w:val="000000" w:themeColor="text1"/>
        </w:rPr>
      </w:pPr>
      <w:bookmarkStart w:id="140" w:name="_Toc182018761"/>
      <w:bookmarkStart w:id="141" w:name="_Toc211920153"/>
      <w:bookmarkStart w:id="142" w:name="_Toc211927684"/>
      <w:bookmarkStart w:id="143" w:name="_Toc123296444"/>
      <w:r w:rsidRPr="00054588">
        <w:rPr>
          <w:rFonts w:asciiTheme="minorEastAsia" w:eastAsiaTheme="minorEastAsia" w:hAnsiTheme="minorEastAsia" w:hint="eastAsia"/>
          <w:color w:val="000000" w:themeColor="text1"/>
        </w:rPr>
        <w:t>（二）投资范围</w:t>
      </w:r>
      <w:bookmarkEnd w:id="140"/>
      <w:bookmarkEnd w:id="141"/>
      <w:bookmarkEnd w:id="142"/>
      <w:bookmarkEnd w:id="143"/>
    </w:p>
    <w:p w:rsidR="007228CC" w:rsidRPr="00054588" w:rsidP="0071223F">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本基金</w:t>
      </w:r>
      <w:r w:rsidRPr="00054588">
        <w:rPr>
          <w:rFonts w:asciiTheme="minorEastAsia" w:eastAsiaTheme="minorEastAsia" w:hAnsiTheme="minorEastAsia" w:hint="eastAsia"/>
          <w:color w:val="000000" w:themeColor="text1"/>
          <w:szCs w:val="21"/>
        </w:rPr>
        <w:t>的投资范围为</w:t>
      </w:r>
      <w:r w:rsidRPr="00054588">
        <w:rPr>
          <w:rFonts w:asciiTheme="minorEastAsia" w:eastAsiaTheme="minorEastAsia" w:hAnsiTheme="minorEastAsia"/>
          <w:color w:val="000000" w:themeColor="text1"/>
          <w:szCs w:val="21"/>
        </w:rPr>
        <w:t>具有良好流动性的</w:t>
      </w:r>
      <w:r w:rsidRPr="00054588">
        <w:rPr>
          <w:rFonts w:asciiTheme="minorEastAsia" w:eastAsiaTheme="minorEastAsia" w:hAnsiTheme="minorEastAsia" w:hint="eastAsia"/>
          <w:color w:val="000000" w:themeColor="text1"/>
          <w:szCs w:val="21"/>
        </w:rPr>
        <w:t>金融工具</w:t>
      </w:r>
      <w:r w:rsidRPr="00054588">
        <w:rPr>
          <w:rFonts w:asciiTheme="minorEastAsia" w:eastAsiaTheme="minorEastAsia" w:hAnsiTheme="minorEastAsia"/>
          <w:color w:val="000000" w:themeColor="text1"/>
          <w:szCs w:val="21"/>
        </w:rPr>
        <w:t>，包括</w:t>
      </w:r>
      <w:r w:rsidRPr="00054588">
        <w:rPr>
          <w:rFonts w:asciiTheme="minorEastAsia" w:eastAsiaTheme="minorEastAsia" w:hAnsiTheme="minorEastAsia" w:hint="eastAsia"/>
          <w:color w:val="000000" w:themeColor="text1"/>
          <w:szCs w:val="21"/>
        </w:rPr>
        <w:t>债券</w:t>
      </w:r>
      <w:r w:rsidRPr="00054588">
        <w:rPr>
          <w:rFonts w:asciiTheme="minorEastAsia" w:eastAsiaTheme="minorEastAsia" w:hAnsiTheme="minorEastAsia"/>
          <w:color w:val="000000" w:themeColor="text1"/>
          <w:szCs w:val="21"/>
        </w:rPr>
        <w:t>回购、央行票据</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国债</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金融债、企业债、</w:t>
      </w:r>
      <w:r w:rsidRPr="00054588">
        <w:rPr>
          <w:rFonts w:asciiTheme="minorEastAsia" w:eastAsiaTheme="minorEastAsia" w:hAnsiTheme="minorEastAsia" w:hint="eastAsia"/>
          <w:color w:val="000000" w:themeColor="text1"/>
          <w:szCs w:val="21"/>
        </w:rPr>
        <w:t>公司债、</w:t>
      </w:r>
      <w:r w:rsidRPr="00054588">
        <w:rPr>
          <w:rFonts w:asciiTheme="minorEastAsia" w:eastAsiaTheme="minorEastAsia" w:hAnsiTheme="minorEastAsia"/>
          <w:color w:val="000000" w:themeColor="text1"/>
          <w:szCs w:val="21"/>
        </w:rPr>
        <w:t>可转换债券</w:t>
      </w:r>
      <w:r w:rsidRPr="00054588">
        <w:rPr>
          <w:rFonts w:asciiTheme="minorEastAsia" w:eastAsiaTheme="minorEastAsia" w:hAnsiTheme="minorEastAsia" w:hint="eastAsia"/>
          <w:color w:val="000000" w:themeColor="text1"/>
          <w:szCs w:val="21"/>
        </w:rPr>
        <w:t>（含分离型可转换债券）</w:t>
      </w:r>
      <w:r w:rsidRPr="00054588">
        <w:rPr>
          <w:rFonts w:asciiTheme="minorEastAsia" w:eastAsiaTheme="minorEastAsia" w:hAnsiTheme="minorEastAsia"/>
          <w:color w:val="000000" w:themeColor="text1"/>
          <w:szCs w:val="21"/>
        </w:rPr>
        <w:t>、资产支持证券</w:t>
      </w:r>
      <w:r w:rsidRPr="00054588">
        <w:rPr>
          <w:rFonts w:asciiTheme="minorEastAsia" w:eastAsiaTheme="minorEastAsia" w:hAnsiTheme="minorEastAsia" w:hint="eastAsia"/>
          <w:color w:val="000000" w:themeColor="text1"/>
          <w:szCs w:val="21"/>
        </w:rPr>
        <w:t>、股票</w:t>
      </w:r>
      <w:r w:rsidRPr="00054588" w:rsidR="003F2F59">
        <w:rPr>
          <w:rFonts w:asciiTheme="minorEastAsia" w:eastAsiaTheme="minorEastAsia" w:hAnsiTheme="minorEastAsia" w:hint="eastAsia"/>
          <w:color w:val="000000" w:themeColor="text1"/>
          <w:szCs w:val="21"/>
        </w:rPr>
        <w:t>（含</w:t>
      </w:r>
      <w:r w:rsidRPr="00054588" w:rsidR="00401C0B">
        <w:rPr>
          <w:rFonts w:asciiTheme="minorEastAsia" w:eastAsiaTheme="minorEastAsia" w:hAnsiTheme="minorEastAsia" w:hint="eastAsia"/>
          <w:color w:val="000000" w:themeColor="text1"/>
          <w:szCs w:val="21"/>
        </w:rPr>
        <w:t>存托凭证</w:t>
      </w:r>
      <w:r w:rsidRPr="00054588" w:rsidR="003F2F59">
        <w:rPr>
          <w:rFonts w:asciiTheme="minorEastAsia" w:eastAsiaTheme="minorEastAsia" w:hAnsiTheme="minorEastAsia" w:hint="eastAsia"/>
          <w:color w:val="000000" w:themeColor="text1"/>
          <w:szCs w:val="21"/>
        </w:rPr>
        <w:t>）</w:t>
      </w:r>
      <w:r w:rsidRPr="00054588">
        <w:rPr>
          <w:rFonts w:asciiTheme="minorEastAsia" w:eastAsiaTheme="minorEastAsia" w:hAnsiTheme="minorEastAsia" w:hint="eastAsia"/>
          <w:color w:val="000000" w:themeColor="text1"/>
          <w:szCs w:val="21"/>
        </w:rPr>
        <w:t>以及法律法规或中国证监会允许基金投资的其他金融工具。</w:t>
      </w:r>
      <w:r w:rsidRPr="00054588">
        <w:rPr>
          <w:rFonts w:asciiTheme="minorEastAsia" w:eastAsiaTheme="minorEastAsia" w:hAnsiTheme="minorEastAsia"/>
          <w:color w:val="000000" w:themeColor="text1"/>
          <w:szCs w:val="21"/>
        </w:rPr>
        <w:t>如法律法规或监管机构以后允许基金投资其他品种，基金管理人在履行适当程序后，可以将其纳入投资范围。</w:t>
      </w:r>
    </w:p>
    <w:p w:rsidR="007228CC" w:rsidRPr="00054588" w:rsidP="0071223F">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本基金各类资产的投资比例范围为：债券等固定收益类资产的比例不低于基金资产的80%，其中，公司债、企业债、短期融资券、金融债等信用类固定收益品种不低于固定收益资产总值的50%，可转换债券不高于基金资产净值的30%，本基金持有的全部资产支持证券，其市值不得超过基金资产净值的</w:t>
      </w:r>
      <w:r w:rsidRPr="00054588">
        <w:rPr>
          <w:rFonts w:asciiTheme="minorEastAsia" w:eastAsiaTheme="minorEastAsia" w:hAnsiTheme="minorEastAsia"/>
          <w:color w:val="000000" w:themeColor="text1"/>
          <w:szCs w:val="21"/>
        </w:rPr>
        <w:t>20%</w:t>
      </w:r>
      <w:r w:rsidRPr="00054588">
        <w:rPr>
          <w:rFonts w:asciiTheme="minorEastAsia" w:eastAsiaTheme="minorEastAsia" w:hAnsiTheme="minorEastAsia" w:hint="eastAsia"/>
          <w:color w:val="000000" w:themeColor="text1"/>
          <w:szCs w:val="21"/>
        </w:rPr>
        <w:t>；股票等权益类品种不高于基金资产的20%；基金保留的现金以及到期日在一年以内的政府债券的比例合计不低于基金资产净值的5%</w:t>
      </w:r>
      <w:r w:rsidRPr="00054588" w:rsidR="00C609DD">
        <w:rPr>
          <w:rFonts w:asciiTheme="minorEastAsia" w:eastAsiaTheme="minorEastAsia" w:hAnsiTheme="minorEastAsia" w:hint="eastAsia"/>
          <w:color w:val="000000" w:themeColor="text1"/>
          <w:szCs w:val="21"/>
        </w:rPr>
        <w:t>，现金不包括结算备付金、存出保证金、应收申购款等</w:t>
      </w:r>
      <w:r w:rsidRPr="00054588">
        <w:rPr>
          <w:rFonts w:asciiTheme="minorEastAsia" w:eastAsiaTheme="minorEastAsia" w:hAnsiTheme="minorEastAsia" w:hint="eastAsia"/>
          <w:color w:val="000000" w:themeColor="text1"/>
          <w:szCs w:val="21"/>
        </w:rPr>
        <w:t>。</w:t>
      </w:r>
    </w:p>
    <w:p w:rsidR="007228CC" w:rsidRPr="00054588" w:rsidP="0071223F">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此处信用类固定收益品种是指除了国债和央行票据等并非由国家信用担保的固定收益证券品种。</w:t>
      </w:r>
    </w:p>
    <w:p w:rsidR="007228CC" w:rsidRPr="00054588" w:rsidP="00941EC8">
      <w:pPr>
        <w:pStyle w:val="Heading2"/>
        <w:snapToGrid w:val="0"/>
        <w:spacing w:beforeLines="0" w:afterLines="0" w:line="360" w:lineRule="auto"/>
        <w:ind w:firstLine="562"/>
        <w:rPr>
          <w:rFonts w:asciiTheme="minorEastAsia" w:eastAsiaTheme="minorEastAsia" w:hAnsiTheme="minorEastAsia"/>
          <w:color w:val="000000" w:themeColor="text1"/>
        </w:rPr>
      </w:pPr>
      <w:bookmarkStart w:id="144" w:name="_Toc182018762"/>
      <w:bookmarkStart w:id="145" w:name="_Toc211920154"/>
      <w:bookmarkStart w:id="146" w:name="_Toc211927685"/>
      <w:bookmarkStart w:id="147" w:name="_Toc123296445"/>
      <w:r w:rsidRPr="00054588">
        <w:rPr>
          <w:rFonts w:asciiTheme="minorEastAsia" w:eastAsiaTheme="minorEastAsia" w:hAnsiTheme="minorEastAsia" w:hint="eastAsia"/>
          <w:color w:val="000000" w:themeColor="text1"/>
        </w:rPr>
        <w:t>（三）投资理念</w:t>
      </w:r>
      <w:bookmarkEnd w:id="144"/>
      <w:bookmarkEnd w:id="145"/>
      <w:bookmarkEnd w:id="146"/>
      <w:bookmarkEnd w:id="147"/>
    </w:p>
    <w:p w:rsidR="007228CC" w:rsidRPr="00054588" w:rsidP="0071223F">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以宏观经济研究主导债券投资，在可控风险下提高债券总收益。通过严格的信用评估、信用利差分析等技术手段，提高基金收益水平。积极运用新股申购等方式增强基金收益。</w:t>
      </w:r>
    </w:p>
    <w:p w:rsidR="007228CC" w:rsidRPr="00054588" w:rsidP="00941EC8">
      <w:pPr>
        <w:pStyle w:val="Heading2"/>
        <w:snapToGrid w:val="0"/>
        <w:spacing w:beforeLines="0" w:afterLines="0" w:line="360" w:lineRule="auto"/>
        <w:ind w:firstLine="562"/>
        <w:rPr>
          <w:rFonts w:asciiTheme="minorEastAsia" w:eastAsiaTheme="minorEastAsia" w:hAnsiTheme="minorEastAsia"/>
          <w:color w:val="000000" w:themeColor="text1"/>
        </w:rPr>
      </w:pPr>
      <w:bookmarkStart w:id="148" w:name="_Toc182018763"/>
      <w:bookmarkStart w:id="149" w:name="_Toc211920155"/>
      <w:bookmarkStart w:id="150" w:name="_Toc211927686"/>
      <w:bookmarkStart w:id="151" w:name="_Toc123296446"/>
      <w:r w:rsidRPr="00054588">
        <w:rPr>
          <w:rFonts w:asciiTheme="minorEastAsia" w:eastAsiaTheme="minorEastAsia" w:hAnsiTheme="minorEastAsia" w:hint="eastAsia"/>
          <w:color w:val="000000" w:themeColor="text1"/>
        </w:rPr>
        <w:t>（四）投资策略</w:t>
      </w:r>
      <w:bookmarkEnd w:id="148"/>
      <w:bookmarkEnd w:id="149"/>
      <w:bookmarkEnd w:id="150"/>
      <w:bookmarkEnd w:id="151"/>
    </w:p>
    <w:p w:rsidR="007228CC" w:rsidRPr="00054588" w:rsidP="0071223F">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1、资产配置策略</w:t>
      </w:r>
    </w:p>
    <w:p w:rsidR="007228CC" w:rsidRPr="00054588" w:rsidP="0071223F">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本基金基于对以下因素的判断，进行基金资产在非信用类固定收益品种（国债、央行票据等）、信用类固定收益品种（含可转换债券）、新股（含增发）申购之间的配置：1）基于对利率走势、利率期限结构等因素的分析，预测固定收益品种的投资收益和风险；2）对宏观经济、行业前景以及公司财务进行严谨的分析，考察其对固定收益市场信用利差的影响；3）基于新股发行频率、中签率、上市后的平均涨幅等的分析，预测新股申购的收益率以及风险；4）套利性投资机会的投资期间及预期收益率；5）股票市场走势的预测；6）可转换债券发行公司的成长性和转债价值的判断。</w:t>
      </w:r>
    </w:p>
    <w:p w:rsidR="007228CC" w:rsidRPr="00054588" w:rsidP="0071223F">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2、固定收益品种投资策略</w:t>
      </w:r>
    </w:p>
    <w:p w:rsidR="007228CC" w:rsidRPr="00054588" w:rsidP="0071223F">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（1）固定收益品种的配置策略</w:t>
      </w:r>
    </w:p>
    <w:p w:rsidR="007228CC" w:rsidRPr="00054588" w:rsidP="0071223F">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1）平均久期配置</w:t>
      </w:r>
    </w:p>
    <w:p w:rsidR="007228CC" w:rsidRPr="00054588" w:rsidP="0071223F">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本基金通过对宏观经济变量（包括国内生产总值、工业增长、货币信贷、固定资产投资、消费、外贸差额、财政收支、价格指数和汇率等）和宏观经济政策（包括货币政策、财政政策、产业政策、外贸和汇率政策等）进行分析，预测未来的利率趋势，判断债券市场对上述变量和政策的反应，并据此积极调整债券组合的平均久期，</w:t>
      </w:r>
      <w:r w:rsidRPr="00054588">
        <w:rPr>
          <w:rFonts w:asciiTheme="minorEastAsia" w:eastAsiaTheme="minorEastAsia" w:hAnsiTheme="minorEastAsia"/>
          <w:color w:val="000000" w:themeColor="text1"/>
          <w:szCs w:val="21"/>
        </w:rPr>
        <w:t>提高债券组合的</w:t>
      </w:r>
      <w:r w:rsidRPr="00054588">
        <w:rPr>
          <w:rFonts w:asciiTheme="minorEastAsia" w:eastAsiaTheme="minorEastAsia" w:hAnsiTheme="minorEastAsia" w:hint="eastAsia"/>
          <w:color w:val="000000" w:themeColor="text1"/>
          <w:szCs w:val="21"/>
        </w:rPr>
        <w:t>总投资</w:t>
      </w:r>
      <w:r w:rsidRPr="00054588">
        <w:rPr>
          <w:rFonts w:asciiTheme="minorEastAsia" w:eastAsiaTheme="minorEastAsia" w:hAnsiTheme="minorEastAsia"/>
          <w:color w:val="000000" w:themeColor="text1"/>
          <w:szCs w:val="21"/>
        </w:rPr>
        <w:t>收益。</w:t>
      </w:r>
    </w:p>
    <w:p w:rsidR="007228CC" w:rsidRPr="00054588" w:rsidP="0071223F">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2）期限结构配置</w:t>
      </w:r>
    </w:p>
    <w:p w:rsidR="007228CC" w:rsidRPr="00054588" w:rsidP="0071223F">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本基金</w:t>
      </w:r>
      <w:r w:rsidRPr="00054588">
        <w:rPr>
          <w:rFonts w:asciiTheme="minorEastAsia" w:eastAsiaTheme="minorEastAsia" w:hAnsiTheme="minorEastAsia"/>
          <w:color w:val="000000" w:themeColor="text1"/>
          <w:szCs w:val="21"/>
        </w:rPr>
        <w:t>对债券市场</w:t>
      </w:r>
      <w:r w:rsidRPr="00054588">
        <w:rPr>
          <w:rFonts w:asciiTheme="minorEastAsia" w:eastAsiaTheme="minorEastAsia" w:hAnsiTheme="minorEastAsia" w:hint="eastAsia"/>
          <w:color w:val="000000" w:themeColor="text1"/>
          <w:szCs w:val="21"/>
        </w:rPr>
        <w:t>收益率期限结构进行</w:t>
      </w:r>
      <w:r w:rsidRPr="00054588">
        <w:rPr>
          <w:rFonts w:asciiTheme="minorEastAsia" w:eastAsiaTheme="minorEastAsia" w:hAnsiTheme="minorEastAsia"/>
          <w:color w:val="000000" w:themeColor="text1"/>
          <w:szCs w:val="21"/>
        </w:rPr>
        <w:t>分析，</w:t>
      </w:r>
      <w:r w:rsidRPr="00054588">
        <w:rPr>
          <w:rFonts w:asciiTheme="minorEastAsia" w:eastAsiaTheme="minorEastAsia" w:hAnsiTheme="minorEastAsia" w:hint="eastAsia"/>
          <w:color w:val="000000" w:themeColor="text1"/>
          <w:szCs w:val="21"/>
        </w:rPr>
        <w:t>运用统计和数量分析技术，预测收益率期限结构的变化方式，选择确定期限结构配置策略，配置各期限固定收益品种的比例，以达到预期投资收益最大化的目的。</w:t>
      </w:r>
    </w:p>
    <w:p w:rsidR="007228CC" w:rsidRPr="00054588" w:rsidP="0071223F">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3）</w:t>
      </w:r>
      <w:r w:rsidRPr="00054588">
        <w:rPr>
          <w:rFonts w:asciiTheme="minorEastAsia" w:eastAsiaTheme="minorEastAsia" w:hAnsiTheme="minorEastAsia"/>
          <w:color w:val="000000" w:themeColor="text1"/>
          <w:szCs w:val="21"/>
        </w:rPr>
        <w:t>类属配置</w:t>
      </w:r>
    </w:p>
    <w:p w:rsidR="007228CC" w:rsidRPr="00054588" w:rsidP="0071223F">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本</w:t>
      </w:r>
      <w:r w:rsidRPr="00054588">
        <w:rPr>
          <w:rFonts w:asciiTheme="minorEastAsia" w:eastAsiaTheme="minorEastAsia" w:hAnsiTheme="minorEastAsia" w:hint="eastAsia"/>
          <w:color w:val="000000" w:themeColor="text1"/>
          <w:szCs w:val="21"/>
        </w:rPr>
        <w:t>基金</w:t>
      </w:r>
      <w:r w:rsidRPr="00054588">
        <w:rPr>
          <w:rFonts w:asciiTheme="minorEastAsia" w:eastAsiaTheme="minorEastAsia" w:hAnsiTheme="minorEastAsia"/>
          <w:color w:val="000000" w:themeColor="text1"/>
          <w:szCs w:val="21"/>
        </w:rPr>
        <w:t>对</w:t>
      </w:r>
      <w:r w:rsidRPr="00054588">
        <w:rPr>
          <w:rFonts w:asciiTheme="minorEastAsia" w:eastAsiaTheme="minorEastAsia" w:hAnsiTheme="minorEastAsia" w:hint="eastAsia"/>
          <w:color w:val="000000" w:themeColor="text1"/>
          <w:szCs w:val="21"/>
        </w:rPr>
        <w:t>不同类型固定收益品种的信用风险、税赋水平、市场流动性、市场风险等因素进行分析，研究同期限的国债、</w:t>
      </w:r>
      <w:r w:rsidRPr="00054588">
        <w:rPr>
          <w:rFonts w:asciiTheme="minorEastAsia" w:eastAsiaTheme="minorEastAsia" w:hAnsiTheme="minorEastAsia"/>
          <w:color w:val="000000" w:themeColor="text1"/>
          <w:szCs w:val="21"/>
        </w:rPr>
        <w:t>金融债</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企业债</w:t>
      </w:r>
      <w:r w:rsidRPr="00054588">
        <w:rPr>
          <w:rFonts w:asciiTheme="minorEastAsia" w:eastAsiaTheme="minorEastAsia" w:hAnsiTheme="minorEastAsia" w:hint="eastAsia"/>
          <w:color w:val="000000" w:themeColor="text1"/>
          <w:szCs w:val="21"/>
        </w:rPr>
        <w:t>、交易所和银行间市场投资品种的</w:t>
      </w:r>
      <w:r w:rsidRPr="00054588">
        <w:rPr>
          <w:rFonts w:asciiTheme="minorEastAsia" w:eastAsiaTheme="minorEastAsia" w:hAnsiTheme="minorEastAsia"/>
          <w:color w:val="000000" w:themeColor="text1"/>
          <w:szCs w:val="21"/>
        </w:rPr>
        <w:t>利差</w:t>
      </w:r>
      <w:r w:rsidRPr="00054588">
        <w:rPr>
          <w:rFonts w:asciiTheme="minorEastAsia" w:eastAsiaTheme="minorEastAsia" w:hAnsiTheme="minorEastAsia" w:hint="eastAsia"/>
          <w:color w:val="000000" w:themeColor="text1"/>
          <w:szCs w:val="21"/>
        </w:rPr>
        <w:t>和变化趋势</w:t>
      </w:r>
      <w:r w:rsidRPr="00054588">
        <w:rPr>
          <w:rFonts w:asciiTheme="minorEastAsia" w:eastAsiaTheme="minorEastAsia" w:hAnsiTheme="minorEastAsia"/>
          <w:color w:val="000000" w:themeColor="text1"/>
          <w:szCs w:val="21"/>
        </w:rPr>
        <w:t>，</w:t>
      </w:r>
      <w:r w:rsidRPr="00054588">
        <w:rPr>
          <w:rFonts w:asciiTheme="minorEastAsia" w:eastAsiaTheme="minorEastAsia" w:hAnsiTheme="minorEastAsia" w:hint="eastAsia"/>
          <w:color w:val="000000" w:themeColor="text1"/>
          <w:szCs w:val="21"/>
        </w:rPr>
        <w:t>制定债券类属配置策略</w:t>
      </w:r>
      <w:r w:rsidRPr="00054588">
        <w:rPr>
          <w:rFonts w:asciiTheme="minorEastAsia" w:eastAsiaTheme="minorEastAsia" w:hAnsiTheme="minorEastAsia"/>
          <w:color w:val="000000" w:themeColor="text1"/>
          <w:szCs w:val="21"/>
        </w:rPr>
        <w:t>，</w:t>
      </w:r>
      <w:r w:rsidRPr="00054588">
        <w:rPr>
          <w:rFonts w:asciiTheme="minorEastAsia" w:eastAsiaTheme="minorEastAsia" w:hAnsiTheme="minorEastAsia" w:hint="eastAsia"/>
          <w:color w:val="000000" w:themeColor="text1"/>
          <w:szCs w:val="21"/>
        </w:rPr>
        <w:t>以</w:t>
      </w:r>
      <w:r w:rsidRPr="00054588">
        <w:rPr>
          <w:rFonts w:asciiTheme="minorEastAsia" w:eastAsiaTheme="minorEastAsia" w:hAnsiTheme="minorEastAsia"/>
          <w:color w:val="000000" w:themeColor="text1"/>
          <w:szCs w:val="21"/>
        </w:rPr>
        <w:t>获取不同债券类属之间利差变化所带来的投资收益。</w:t>
      </w:r>
    </w:p>
    <w:p w:rsidR="007228CC" w:rsidRPr="00054588" w:rsidP="0071223F">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（2）固定收益品种的选择</w:t>
      </w:r>
    </w:p>
    <w:p w:rsidR="007228CC" w:rsidRPr="00054588" w:rsidP="0071223F">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在</w:t>
      </w:r>
      <w:r w:rsidRPr="00054588">
        <w:rPr>
          <w:rFonts w:asciiTheme="minorEastAsia" w:eastAsiaTheme="minorEastAsia" w:hAnsiTheme="minorEastAsia" w:hint="eastAsia"/>
          <w:color w:val="000000" w:themeColor="text1"/>
          <w:szCs w:val="21"/>
        </w:rPr>
        <w:t>债券组合平均久期、期限结构和</w:t>
      </w:r>
      <w:r w:rsidRPr="00054588">
        <w:rPr>
          <w:rFonts w:asciiTheme="minorEastAsia" w:eastAsiaTheme="minorEastAsia" w:hAnsiTheme="minorEastAsia"/>
          <w:color w:val="000000" w:themeColor="text1"/>
          <w:szCs w:val="21"/>
        </w:rPr>
        <w:t>类属配置的基础上，本基金</w:t>
      </w:r>
      <w:r w:rsidRPr="00054588">
        <w:rPr>
          <w:rFonts w:asciiTheme="minorEastAsia" w:eastAsiaTheme="minorEastAsia" w:hAnsiTheme="minorEastAsia" w:hint="eastAsia"/>
          <w:color w:val="000000" w:themeColor="text1"/>
          <w:szCs w:val="21"/>
        </w:rPr>
        <w:t>对影响个别</w:t>
      </w:r>
      <w:r w:rsidRPr="00054588">
        <w:rPr>
          <w:rFonts w:asciiTheme="minorEastAsia" w:eastAsiaTheme="minorEastAsia" w:hAnsiTheme="minorEastAsia"/>
          <w:color w:val="000000" w:themeColor="text1"/>
          <w:szCs w:val="21"/>
        </w:rPr>
        <w:t>债券</w:t>
      </w:r>
      <w:r w:rsidRPr="00054588">
        <w:rPr>
          <w:rFonts w:asciiTheme="minorEastAsia" w:eastAsiaTheme="minorEastAsia" w:hAnsiTheme="minorEastAsia" w:hint="eastAsia"/>
          <w:color w:val="000000" w:themeColor="text1"/>
          <w:szCs w:val="21"/>
        </w:rPr>
        <w:t>定价的主要因素，包括流动性、市场供求、</w:t>
      </w:r>
      <w:r w:rsidRPr="00054588">
        <w:rPr>
          <w:rFonts w:asciiTheme="minorEastAsia" w:eastAsiaTheme="minorEastAsia" w:hAnsiTheme="minorEastAsia"/>
          <w:color w:val="000000" w:themeColor="text1"/>
          <w:szCs w:val="21"/>
        </w:rPr>
        <w:t>信用</w:t>
      </w:r>
      <w:r w:rsidRPr="00054588">
        <w:rPr>
          <w:rFonts w:asciiTheme="minorEastAsia" w:eastAsiaTheme="minorEastAsia" w:hAnsiTheme="minorEastAsia" w:hint="eastAsia"/>
          <w:color w:val="000000" w:themeColor="text1"/>
          <w:szCs w:val="21"/>
        </w:rPr>
        <w:t>风险</w:t>
      </w:r>
      <w:r w:rsidRPr="00054588">
        <w:rPr>
          <w:rFonts w:asciiTheme="minorEastAsia" w:eastAsiaTheme="minorEastAsia" w:hAnsiTheme="minorEastAsia"/>
          <w:color w:val="000000" w:themeColor="text1"/>
          <w:szCs w:val="21"/>
        </w:rPr>
        <w:t>、</w:t>
      </w:r>
      <w:r w:rsidRPr="00054588">
        <w:rPr>
          <w:rFonts w:asciiTheme="minorEastAsia" w:eastAsiaTheme="minorEastAsia" w:hAnsiTheme="minorEastAsia" w:hint="eastAsia"/>
          <w:color w:val="000000" w:themeColor="text1"/>
          <w:szCs w:val="21"/>
        </w:rPr>
        <w:t>票息及付息频率、</w:t>
      </w:r>
      <w:r w:rsidRPr="00054588">
        <w:rPr>
          <w:rFonts w:asciiTheme="minorEastAsia" w:eastAsiaTheme="minorEastAsia" w:hAnsiTheme="minorEastAsia"/>
          <w:color w:val="000000" w:themeColor="text1"/>
          <w:szCs w:val="21"/>
        </w:rPr>
        <w:t>税赋、</w:t>
      </w:r>
      <w:r w:rsidRPr="00054588">
        <w:rPr>
          <w:rFonts w:asciiTheme="minorEastAsia" w:eastAsiaTheme="minorEastAsia" w:hAnsiTheme="minorEastAsia" w:hint="eastAsia"/>
          <w:color w:val="000000" w:themeColor="text1"/>
          <w:szCs w:val="21"/>
        </w:rPr>
        <w:t>含权</w:t>
      </w:r>
      <w:r w:rsidRPr="00054588">
        <w:rPr>
          <w:rFonts w:asciiTheme="minorEastAsia" w:eastAsiaTheme="minorEastAsia" w:hAnsiTheme="minorEastAsia"/>
          <w:color w:val="000000" w:themeColor="text1"/>
          <w:szCs w:val="21"/>
        </w:rPr>
        <w:t>等因素</w:t>
      </w:r>
      <w:r w:rsidRPr="00054588">
        <w:rPr>
          <w:rFonts w:asciiTheme="minorEastAsia" w:eastAsiaTheme="minorEastAsia" w:hAnsiTheme="minorEastAsia" w:hint="eastAsia"/>
          <w:color w:val="000000" w:themeColor="text1"/>
          <w:szCs w:val="21"/>
        </w:rPr>
        <w:t>进行分析</w:t>
      </w:r>
      <w:r w:rsidRPr="00054588">
        <w:rPr>
          <w:rFonts w:asciiTheme="minorEastAsia" w:eastAsiaTheme="minorEastAsia" w:hAnsiTheme="minorEastAsia"/>
          <w:color w:val="000000" w:themeColor="text1"/>
          <w:szCs w:val="21"/>
        </w:rPr>
        <w:t>，选择具有良好投资价值的债券品种进行投资。</w:t>
      </w:r>
    </w:p>
    <w:p w:rsidR="007228CC" w:rsidRPr="00054588" w:rsidP="0071223F">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1）非信用类固定收益品种（国债、央行票据等）的选择</w:t>
      </w:r>
    </w:p>
    <w:p w:rsidR="007228CC" w:rsidRPr="00054588" w:rsidP="0071223F">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本基金对国债、央行票据等非信用类固定收益品种的投资，主要根据宏观经济变量和宏观经济政策的分析，预测未来收益率曲线的变动趋势，综合考虑组合流动性决定投资品种。</w:t>
      </w:r>
    </w:p>
    <w:p w:rsidR="007228CC" w:rsidRPr="00054588" w:rsidP="0071223F">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2）信用类固定收益品种（除可转换债券）的选择</w:t>
      </w:r>
    </w:p>
    <w:p w:rsidR="007228CC" w:rsidRPr="00054588" w:rsidP="0071223F">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本基金投资信用状况良好的信用类债券。通过对宏观经济和企业财务状况进行分析，对固定收益品种的信用风险进行度量及定价，利用市场对信用利差定价的相对失衡，对溢价率较高的品种进行投资。</w:t>
      </w:r>
    </w:p>
    <w:p w:rsidR="007228CC" w:rsidRPr="00054588" w:rsidP="0071223F">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本基金对金融债、企业债、公司债和短期融资券等信用类债券采取自上而下的投资策略。</w:t>
      </w:r>
    </w:p>
    <w:p w:rsidR="007228CC" w:rsidRPr="00054588" w:rsidP="0071223F">
      <w:pPr>
        <w:numPr>
          <w:ilvl w:val="0"/>
          <w:numId w:val="5"/>
        </w:numPr>
        <w:snapToGrid w:val="0"/>
        <w:spacing w:line="360" w:lineRule="auto"/>
        <w:ind w:left="539"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根据宏观经济环境及各行业的发展状况，决定各行业的配置比例；</w:t>
      </w:r>
    </w:p>
    <w:p w:rsidR="007228CC" w:rsidRPr="00054588" w:rsidP="0071223F">
      <w:pPr>
        <w:numPr>
          <w:ilvl w:val="0"/>
          <w:numId w:val="5"/>
        </w:numPr>
        <w:snapToGrid w:val="0"/>
        <w:spacing w:line="360" w:lineRule="auto"/>
        <w:ind w:left="539"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充分分析债券发行人的产业趋势、监管环境、公司背景、盈利情况、竞争地位、治理结构、特殊事件风险等基本面信息，分析企业的长期运作风险；</w:t>
      </w:r>
    </w:p>
    <w:p w:rsidR="007228CC" w:rsidRPr="00054588" w:rsidP="0071223F">
      <w:pPr>
        <w:numPr>
          <w:ilvl w:val="0"/>
          <w:numId w:val="5"/>
        </w:numPr>
        <w:snapToGrid w:val="0"/>
        <w:spacing w:line="360" w:lineRule="auto"/>
        <w:ind w:left="539"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运用财务评分模型对债券发行人的资产流动性、盈利能力、偿债能力、现金流水平等方面进行综合评分，度量发行人财务风险；</w:t>
      </w:r>
    </w:p>
    <w:p w:rsidR="007228CC" w:rsidRPr="00054588" w:rsidP="0071223F">
      <w:pPr>
        <w:numPr>
          <w:ilvl w:val="0"/>
          <w:numId w:val="5"/>
        </w:numPr>
        <w:snapToGrid w:val="0"/>
        <w:spacing w:line="360" w:lineRule="auto"/>
        <w:ind w:left="539"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利用历史数据、市场价格以及资产质量等信息，估算债券发行人的违约率及违约损失率；</w:t>
      </w:r>
    </w:p>
    <w:p w:rsidR="007228CC" w:rsidRPr="00054588" w:rsidP="0071223F">
      <w:pPr>
        <w:numPr>
          <w:ilvl w:val="0"/>
          <w:numId w:val="5"/>
        </w:numPr>
        <w:snapToGrid w:val="0"/>
        <w:spacing w:line="360" w:lineRule="auto"/>
        <w:ind w:left="539"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综合发行人各方面分析结果，采用数量化模型，确定信用利差的合理水平，利用市场的相对失衡，选择溢价偏高的品种进行投资。</w:t>
      </w:r>
    </w:p>
    <w:p w:rsidR="007228CC" w:rsidRPr="00054588" w:rsidP="0071223F">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3）可转换债券的投资策略</w:t>
      </w:r>
    </w:p>
    <w:p w:rsidR="007228CC" w:rsidRPr="00054588" w:rsidP="0071223F">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可转换债券的价值主要取决于其股权价值、债券价值和转换期权价值，本基金管理人将对可转换债券的价值进行评估，选择具有较高投资价值的可转换债券。</w:t>
      </w:r>
    </w:p>
    <w:p w:rsidR="007228CC" w:rsidRPr="00054588" w:rsidP="0071223F">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本管理人将对发行公司的基本面进行分析，包括所处行业的景气度、公司成长性、市场竞争力等，并参考同类公司的估值水平，判断可转换债券的股权投资价值；基于对利率水平、票息率、派息频率及信用风险等因素的分析，判断其债券投资价值；采用期权定价模型，估算可转换债券的转换期权价值。综合以上因素，对可转换债券进行定价分析，制定可转换债券的投资策略。</w:t>
      </w:r>
    </w:p>
    <w:p w:rsidR="007228CC" w:rsidRPr="00054588" w:rsidP="0071223F">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此外，本基金还将根据新发可转债的预计中签率、模型定价结果，积极参与可转债新券的申购。为控制基金的波动性和流动性风险，</w:t>
      </w:r>
      <w:r w:rsidRPr="00054588">
        <w:rPr>
          <w:rFonts w:asciiTheme="minorEastAsia" w:eastAsiaTheme="minorEastAsia" w:hAnsiTheme="minorEastAsia"/>
          <w:color w:val="000000" w:themeColor="text1"/>
          <w:szCs w:val="21"/>
        </w:rPr>
        <w:t>本基金</w:t>
      </w:r>
      <w:r w:rsidRPr="00054588">
        <w:rPr>
          <w:rFonts w:asciiTheme="minorEastAsia" w:eastAsiaTheme="minorEastAsia" w:hAnsiTheme="minorEastAsia" w:hint="eastAsia"/>
          <w:color w:val="000000" w:themeColor="text1"/>
          <w:szCs w:val="21"/>
        </w:rPr>
        <w:t>投资</w:t>
      </w:r>
      <w:r w:rsidRPr="00054588">
        <w:rPr>
          <w:rFonts w:asciiTheme="minorEastAsia" w:eastAsiaTheme="minorEastAsia" w:hAnsiTheme="minorEastAsia"/>
          <w:color w:val="000000" w:themeColor="text1"/>
          <w:szCs w:val="21"/>
        </w:rPr>
        <w:t>可转换债券</w:t>
      </w:r>
      <w:r w:rsidRPr="00054588">
        <w:rPr>
          <w:rFonts w:asciiTheme="minorEastAsia" w:eastAsiaTheme="minorEastAsia" w:hAnsiTheme="minorEastAsia" w:hint="eastAsia"/>
          <w:color w:val="000000" w:themeColor="text1"/>
          <w:szCs w:val="21"/>
        </w:rPr>
        <w:t>的资产</w:t>
      </w:r>
      <w:r w:rsidRPr="00054588">
        <w:rPr>
          <w:rFonts w:asciiTheme="minorEastAsia" w:eastAsiaTheme="minorEastAsia" w:hAnsiTheme="minorEastAsia"/>
          <w:color w:val="000000" w:themeColor="text1"/>
          <w:szCs w:val="21"/>
        </w:rPr>
        <w:t>不超过基金资产</w:t>
      </w:r>
      <w:r w:rsidRPr="00054588">
        <w:rPr>
          <w:rFonts w:asciiTheme="minorEastAsia" w:eastAsiaTheme="minorEastAsia" w:hAnsiTheme="minorEastAsia" w:hint="eastAsia"/>
          <w:color w:val="000000" w:themeColor="text1"/>
          <w:szCs w:val="21"/>
        </w:rPr>
        <w:t>净值</w:t>
      </w:r>
      <w:r w:rsidRPr="00054588">
        <w:rPr>
          <w:rFonts w:asciiTheme="minorEastAsia" w:eastAsiaTheme="minorEastAsia" w:hAnsiTheme="minorEastAsia"/>
          <w:color w:val="000000" w:themeColor="text1"/>
          <w:szCs w:val="21"/>
        </w:rPr>
        <w:t>的</w:t>
      </w:r>
      <w:r w:rsidRPr="00054588">
        <w:rPr>
          <w:rFonts w:asciiTheme="minorEastAsia" w:eastAsiaTheme="minorEastAsia" w:hAnsiTheme="minorEastAsia" w:hint="eastAsia"/>
          <w:color w:val="000000" w:themeColor="text1"/>
          <w:szCs w:val="21"/>
        </w:rPr>
        <w:t>3</w:t>
      </w:r>
      <w:r w:rsidRPr="00054588">
        <w:rPr>
          <w:rFonts w:asciiTheme="minorEastAsia" w:eastAsiaTheme="minorEastAsia" w:hAnsiTheme="minorEastAsia"/>
          <w:color w:val="000000" w:themeColor="text1"/>
          <w:szCs w:val="21"/>
        </w:rPr>
        <w:t>0%</w:t>
      </w:r>
      <w:r w:rsidRPr="00054588">
        <w:rPr>
          <w:rFonts w:asciiTheme="minorEastAsia" w:eastAsiaTheme="minorEastAsia" w:hAnsiTheme="minorEastAsia" w:hint="eastAsia"/>
          <w:color w:val="000000" w:themeColor="text1"/>
          <w:szCs w:val="21"/>
        </w:rPr>
        <w:t>。</w:t>
      </w:r>
    </w:p>
    <w:p w:rsidR="007228CC" w:rsidRPr="00054588" w:rsidP="001037EA">
      <w:pPr>
        <w:widowControl/>
        <w:adjustRightInd w:val="0"/>
        <w:snapToGrid w:val="0"/>
        <w:spacing w:line="360" w:lineRule="auto"/>
        <w:ind w:firstLine="420"/>
        <w:jc w:val="left"/>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4）</w:t>
      </w:r>
      <w:r w:rsidRPr="00054588">
        <w:rPr>
          <w:rFonts w:asciiTheme="minorEastAsia" w:eastAsiaTheme="minorEastAsia" w:hAnsiTheme="minorEastAsia" w:cs="宋体"/>
          <w:color w:val="000000" w:themeColor="text1"/>
          <w:kern w:val="0"/>
          <w:szCs w:val="21"/>
        </w:rPr>
        <w:t>资产支持证券投资</w:t>
      </w:r>
    </w:p>
    <w:p w:rsidR="007228CC" w:rsidRPr="00054588" w:rsidP="0071223F">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本基金</w:t>
      </w:r>
      <w:r w:rsidRPr="00054588">
        <w:rPr>
          <w:rFonts w:asciiTheme="minorEastAsia" w:eastAsiaTheme="minorEastAsia" w:hAnsiTheme="minorEastAsia" w:hint="eastAsia"/>
          <w:color w:val="000000" w:themeColor="text1"/>
          <w:szCs w:val="21"/>
        </w:rPr>
        <w:t>将分析</w:t>
      </w:r>
      <w:r w:rsidRPr="00054588">
        <w:rPr>
          <w:rFonts w:asciiTheme="minorEastAsia" w:eastAsiaTheme="minorEastAsia" w:hAnsiTheme="minorEastAsia"/>
          <w:color w:val="000000" w:themeColor="text1"/>
          <w:szCs w:val="21"/>
        </w:rPr>
        <w:t>资产支持证券的资产特征，估计违约</w:t>
      </w:r>
      <w:r w:rsidRPr="00054588">
        <w:rPr>
          <w:rFonts w:asciiTheme="minorEastAsia" w:eastAsiaTheme="minorEastAsia" w:hAnsiTheme="minorEastAsia" w:hint="eastAsia"/>
          <w:color w:val="000000" w:themeColor="text1"/>
          <w:szCs w:val="21"/>
        </w:rPr>
        <w:t>率</w:t>
      </w:r>
      <w:r w:rsidRPr="00054588">
        <w:rPr>
          <w:rFonts w:asciiTheme="minorEastAsia" w:eastAsiaTheme="minorEastAsia" w:hAnsiTheme="minorEastAsia"/>
          <w:color w:val="000000" w:themeColor="text1"/>
          <w:szCs w:val="21"/>
        </w:rPr>
        <w:t>和提前偿付</w:t>
      </w:r>
      <w:r w:rsidRPr="00054588">
        <w:rPr>
          <w:rFonts w:asciiTheme="minorEastAsia" w:eastAsiaTheme="minorEastAsia" w:hAnsiTheme="minorEastAsia" w:hint="eastAsia"/>
          <w:color w:val="000000" w:themeColor="text1"/>
          <w:szCs w:val="21"/>
        </w:rPr>
        <w:t>比率</w:t>
      </w:r>
      <w:r w:rsidRPr="00054588">
        <w:rPr>
          <w:rFonts w:asciiTheme="minorEastAsia" w:eastAsiaTheme="minorEastAsia" w:hAnsiTheme="minorEastAsia"/>
          <w:color w:val="000000" w:themeColor="text1"/>
          <w:szCs w:val="21"/>
        </w:rPr>
        <w:t>，</w:t>
      </w:r>
      <w:r w:rsidRPr="00054588">
        <w:rPr>
          <w:rFonts w:asciiTheme="minorEastAsia" w:eastAsiaTheme="minorEastAsia" w:hAnsiTheme="minorEastAsia" w:hint="eastAsia"/>
          <w:color w:val="000000" w:themeColor="text1"/>
          <w:szCs w:val="21"/>
        </w:rPr>
        <w:t>并</w:t>
      </w:r>
      <w:r w:rsidRPr="00054588">
        <w:rPr>
          <w:rFonts w:asciiTheme="minorEastAsia" w:eastAsiaTheme="minorEastAsia" w:hAnsiTheme="minorEastAsia"/>
          <w:color w:val="000000" w:themeColor="text1"/>
          <w:szCs w:val="21"/>
        </w:rPr>
        <w:t>利用收益率曲线</w:t>
      </w:r>
      <w:r w:rsidRPr="00054588">
        <w:rPr>
          <w:rFonts w:asciiTheme="minorEastAsia" w:eastAsiaTheme="minorEastAsia" w:hAnsiTheme="minorEastAsia" w:hint="eastAsia"/>
          <w:color w:val="000000" w:themeColor="text1"/>
          <w:szCs w:val="21"/>
        </w:rPr>
        <w:t>和期权定价模型,</w:t>
      </w:r>
      <w:r w:rsidRPr="00054588">
        <w:rPr>
          <w:rFonts w:asciiTheme="minorEastAsia" w:eastAsiaTheme="minorEastAsia" w:hAnsiTheme="minorEastAsia"/>
          <w:color w:val="000000" w:themeColor="text1"/>
          <w:szCs w:val="21"/>
        </w:rPr>
        <w:t>对资产支持证券进行估值</w:t>
      </w:r>
      <w:r w:rsidRPr="00054588">
        <w:rPr>
          <w:rFonts w:asciiTheme="minorEastAsia" w:eastAsiaTheme="minorEastAsia" w:hAnsiTheme="minorEastAsia" w:hint="eastAsia"/>
          <w:color w:val="000000" w:themeColor="text1"/>
          <w:szCs w:val="21"/>
        </w:rPr>
        <w:t>。本基金将严格控制资产支持证券的总体投资规模并进行分散投资，以降低流动性风险</w:t>
      </w:r>
      <w:r w:rsidRPr="00054588">
        <w:rPr>
          <w:rFonts w:asciiTheme="minorEastAsia" w:eastAsiaTheme="minorEastAsia" w:hAnsiTheme="minorEastAsia"/>
          <w:color w:val="000000" w:themeColor="text1"/>
          <w:szCs w:val="21"/>
        </w:rPr>
        <w:t>。</w:t>
      </w:r>
      <w:r w:rsidRPr="00054588">
        <w:rPr>
          <w:rFonts w:asciiTheme="minorEastAsia" w:eastAsiaTheme="minorEastAsia" w:hAnsiTheme="minorEastAsia" w:hint="eastAsia"/>
          <w:color w:val="000000" w:themeColor="text1"/>
          <w:szCs w:val="21"/>
        </w:rPr>
        <w:t>本基金投资资产支持证券的比例不高于基金资产净值的20%。</w:t>
      </w:r>
    </w:p>
    <w:p w:rsidR="007228CC" w:rsidRPr="00054588" w:rsidP="001037EA">
      <w:pPr>
        <w:widowControl/>
        <w:adjustRightInd w:val="0"/>
        <w:snapToGrid w:val="0"/>
        <w:spacing w:line="360" w:lineRule="auto"/>
        <w:ind w:firstLine="420"/>
        <w:jc w:val="left"/>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（3）</w:t>
      </w:r>
      <w:r w:rsidRPr="00054588">
        <w:rPr>
          <w:rFonts w:asciiTheme="minorEastAsia" w:eastAsiaTheme="minorEastAsia" w:hAnsiTheme="minorEastAsia" w:cs="宋体" w:hint="eastAsia"/>
          <w:color w:val="000000" w:themeColor="text1"/>
          <w:kern w:val="0"/>
          <w:szCs w:val="21"/>
        </w:rPr>
        <w:t>信用类固定收益品种的风险管理</w:t>
      </w:r>
    </w:p>
    <w:p w:rsidR="007228CC" w:rsidRPr="00054588" w:rsidP="0071223F">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针对发行主体的信用风险，我们通过以下三个方面来进行信用风险的管理：1）进行独立的发行主体信用分析，不断在实践中完善分析方法和积累分析经验数据；2）严格遵守信用类债券的备选库制度，根据不同的信用风险等级，按照不同的投资管理流程和权限管理制度，对入库债券进行定期信用跟踪分析；3）采取分散化投资策略和集中度限制，严格控制组合整体的违约风险水平。</w:t>
      </w:r>
    </w:p>
    <w:p w:rsidR="007228CC" w:rsidRPr="00054588" w:rsidP="001037EA">
      <w:pPr>
        <w:widowControl/>
        <w:adjustRightInd w:val="0"/>
        <w:snapToGrid w:val="0"/>
        <w:spacing w:line="360" w:lineRule="auto"/>
        <w:ind w:firstLine="420"/>
        <w:jc w:val="left"/>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3、</w:t>
      </w:r>
      <w:r w:rsidRPr="00054588">
        <w:rPr>
          <w:rFonts w:asciiTheme="minorEastAsia" w:eastAsiaTheme="minorEastAsia" w:hAnsiTheme="minorEastAsia" w:cs="宋体" w:hint="eastAsia"/>
          <w:color w:val="000000" w:themeColor="text1"/>
          <w:kern w:val="0"/>
          <w:szCs w:val="21"/>
        </w:rPr>
        <w:t>股票</w:t>
      </w:r>
      <w:r w:rsidRPr="00054588" w:rsidR="00401C0B">
        <w:rPr>
          <w:rFonts w:asciiTheme="minorEastAsia" w:eastAsiaTheme="minorEastAsia" w:hAnsiTheme="minorEastAsia" w:cs="宋体" w:hint="eastAsia"/>
          <w:color w:val="000000" w:themeColor="text1"/>
          <w:kern w:val="0"/>
          <w:szCs w:val="21"/>
        </w:rPr>
        <w:t>、存托凭证</w:t>
      </w:r>
      <w:r w:rsidRPr="00054588">
        <w:rPr>
          <w:rFonts w:asciiTheme="minorEastAsia" w:eastAsiaTheme="minorEastAsia" w:hAnsiTheme="minorEastAsia" w:cs="宋体" w:hint="eastAsia"/>
          <w:color w:val="000000" w:themeColor="text1"/>
          <w:kern w:val="0"/>
          <w:szCs w:val="21"/>
        </w:rPr>
        <w:t>及权证等权益类品种的投资策略</w:t>
      </w:r>
    </w:p>
    <w:p w:rsidR="007228CC" w:rsidRPr="00054588" w:rsidP="0071223F">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本基金股票部分除新股申购（含增发）和套利性机会外，不直接从二级市场买入股票。</w:t>
      </w:r>
    </w:p>
    <w:p w:rsidR="007228CC" w:rsidRPr="00054588" w:rsidP="0071223F">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本基金</w:t>
      </w:r>
      <w:r w:rsidRPr="00054588">
        <w:rPr>
          <w:rFonts w:asciiTheme="minorEastAsia" w:eastAsiaTheme="minorEastAsia" w:hAnsiTheme="minorEastAsia" w:hint="eastAsia"/>
          <w:color w:val="000000" w:themeColor="text1"/>
          <w:szCs w:val="21"/>
        </w:rPr>
        <w:t>通过对新股发行公司的行业景气度、财务稳健性、公司竞争力、利润成长性等因素的分析，参考同类公司的估值水平，进行股票的价值评估，从而判断一、二级市场价差的大小，并根据资金成本、新股的中签率及上市后股价涨幅的统计、股票锁定期间投资风险的判断，制定新股申购策略。</w:t>
      </w:r>
    </w:p>
    <w:p w:rsidR="007228CC" w:rsidRPr="00054588" w:rsidP="0071223F">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在新发股票获准上市后以及可转换债券转股后，本基金管理人将根据对股票内在投资价值的判断，结合股票市场环境的分析，选择适当的时机卖出。</w:t>
      </w:r>
    </w:p>
    <w:p w:rsidR="007228CC" w:rsidRPr="00054588" w:rsidP="0071223F">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本基金所指套利性机会指的是，在确定的期限内，预期股票投资可获得固定的收益率，例如要约收购过程中存在的投资机会。本基金将在严格测算交易成本、投资收益率的基础上，参与股票的套利。</w:t>
      </w:r>
    </w:p>
    <w:p w:rsidR="00401C0B" w:rsidRPr="00054588" w:rsidP="0071223F">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rPr>
        <w:t>本基金可投资存托凭证，本基金将结合对宏观经济状况、行业景气度、公司竞争优势、公司治理结构、估值水平等因素的分析判断，选择投资价值高的存托凭证进行投资。</w:t>
      </w:r>
    </w:p>
    <w:p w:rsidR="007228CC" w:rsidRPr="00054588" w:rsidP="0071223F">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本基金不主动进行权证的投资。对</w:t>
      </w:r>
      <w:r w:rsidRPr="00054588">
        <w:rPr>
          <w:rFonts w:asciiTheme="minorEastAsia" w:eastAsiaTheme="minorEastAsia" w:hAnsiTheme="minorEastAsia"/>
          <w:color w:val="000000" w:themeColor="text1"/>
          <w:szCs w:val="21"/>
        </w:rPr>
        <w:t>分离交易的可转换公司债券</w:t>
      </w:r>
      <w:r w:rsidRPr="00054588">
        <w:rPr>
          <w:rFonts w:asciiTheme="minorEastAsia" w:eastAsiaTheme="minorEastAsia" w:hAnsiTheme="minorEastAsia" w:hint="eastAsia"/>
          <w:color w:val="000000" w:themeColor="text1"/>
          <w:szCs w:val="21"/>
        </w:rPr>
        <w:t>，在认股权证上市后，本基金将根据权证估值模型的分析结果，在权证价值被高估时，选择适当的时机卖出。</w:t>
      </w:r>
    </w:p>
    <w:p w:rsidR="007228CC" w:rsidRPr="00054588" w:rsidP="00941EC8">
      <w:pPr>
        <w:pStyle w:val="Heading2"/>
        <w:snapToGrid w:val="0"/>
        <w:spacing w:beforeLines="0" w:afterLines="0" w:line="360" w:lineRule="auto"/>
        <w:ind w:firstLine="562"/>
        <w:rPr>
          <w:rFonts w:asciiTheme="minorEastAsia" w:eastAsiaTheme="minorEastAsia" w:hAnsiTheme="minorEastAsia"/>
          <w:color w:val="000000" w:themeColor="text1"/>
        </w:rPr>
      </w:pPr>
      <w:bookmarkStart w:id="152" w:name="_Toc182018764"/>
      <w:bookmarkStart w:id="153" w:name="_Toc211920156"/>
      <w:bookmarkStart w:id="154" w:name="_Toc211927687"/>
      <w:bookmarkStart w:id="155" w:name="_Toc123296447"/>
      <w:r w:rsidRPr="00054588">
        <w:rPr>
          <w:rFonts w:asciiTheme="minorEastAsia" w:eastAsiaTheme="minorEastAsia" w:hAnsiTheme="minorEastAsia" w:hint="eastAsia"/>
          <w:color w:val="000000" w:themeColor="text1"/>
        </w:rPr>
        <w:t>（五）业绩</w:t>
      </w:r>
      <w:r w:rsidRPr="00054588">
        <w:rPr>
          <w:rFonts w:asciiTheme="minorEastAsia" w:eastAsiaTheme="minorEastAsia" w:hAnsiTheme="minorEastAsia"/>
          <w:color w:val="000000" w:themeColor="text1"/>
        </w:rPr>
        <w:t>比较基准</w:t>
      </w:r>
      <w:bookmarkEnd w:id="152"/>
      <w:bookmarkEnd w:id="153"/>
      <w:bookmarkEnd w:id="154"/>
      <w:bookmarkEnd w:id="155"/>
    </w:p>
    <w:p w:rsidR="007228CC" w:rsidRPr="00054588" w:rsidP="0071223F">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中债总指数（全价）</w:t>
      </w:r>
    </w:p>
    <w:p w:rsidR="007228CC" w:rsidRPr="00054588" w:rsidP="0071223F">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中债总指数由中央国债登记结算有限责任公司编制，能够反映债券市场总体走势，具有较强的代表性、权威性，并得到投资者的广泛认同，适合作为本基金的业绩比较基准。</w:t>
      </w:r>
    </w:p>
    <w:p w:rsidR="007228CC" w:rsidRPr="00054588" w:rsidP="0071223F">
      <w:pPr>
        <w:snapToGrid w:val="0"/>
        <w:spacing w:line="360" w:lineRule="auto"/>
        <w:ind w:firstLine="420"/>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将来如有更合适的指数推出，基金管理人可以根据本基金的投资范围和投资策略，确定变更基金的</w:t>
      </w:r>
      <w:r w:rsidRPr="00054588">
        <w:rPr>
          <w:rFonts w:asciiTheme="minorEastAsia" w:eastAsiaTheme="minorEastAsia" w:hAnsiTheme="minorEastAsia" w:hint="eastAsia"/>
          <w:color w:val="000000" w:themeColor="text1"/>
          <w:szCs w:val="21"/>
        </w:rPr>
        <w:t>业绩</w:t>
      </w:r>
      <w:r w:rsidRPr="00054588">
        <w:rPr>
          <w:rFonts w:asciiTheme="minorEastAsia" w:eastAsiaTheme="minorEastAsia" w:hAnsiTheme="minorEastAsia"/>
          <w:color w:val="000000" w:themeColor="text1"/>
          <w:szCs w:val="21"/>
        </w:rPr>
        <w:t>比较基准。业绩比较基准的变更需经基金管理人与基金托管人协商一致</w:t>
      </w:r>
      <w:r w:rsidRPr="00054588">
        <w:rPr>
          <w:rFonts w:asciiTheme="minorEastAsia" w:eastAsiaTheme="minorEastAsia" w:hAnsiTheme="minorEastAsia" w:hint="eastAsia"/>
          <w:color w:val="000000" w:themeColor="text1"/>
          <w:szCs w:val="21"/>
        </w:rPr>
        <w:t>。基金管理人最迟应于新的业绩比较基准实施前2日在至少一种</w:t>
      </w:r>
      <w:r w:rsidRPr="00054588" w:rsidR="00575E02">
        <w:rPr>
          <w:rFonts w:asciiTheme="minorEastAsia" w:eastAsiaTheme="minorEastAsia" w:hAnsiTheme="minorEastAsia" w:hint="eastAsia"/>
          <w:color w:val="000000" w:themeColor="text1"/>
          <w:szCs w:val="21"/>
        </w:rPr>
        <w:t>指定媒介</w:t>
      </w:r>
      <w:r w:rsidRPr="00054588">
        <w:rPr>
          <w:rFonts w:asciiTheme="minorEastAsia" w:eastAsiaTheme="minorEastAsia" w:hAnsiTheme="minorEastAsia" w:hint="eastAsia"/>
          <w:color w:val="000000" w:themeColor="text1"/>
          <w:szCs w:val="21"/>
        </w:rPr>
        <w:t>上进行公告并报中国证监会备案。</w:t>
      </w:r>
    </w:p>
    <w:p w:rsidR="007228CC" w:rsidRPr="00054588" w:rsidP="00941EC8">
      <w:pPr>
        <w:pStyle w:val="Heading2"/>
        <w:snapToGrid w:val="0"/>
        <w:spacing w:beforeLines="0" w:afterLines="0" w:line="360" w:lineRule="auto"/>
        <w:ind w:firstLine="562"/>
        <w:rPr>
          <w:rFonts w:asciiTheme="minorEastAsia" w:eastAsiaTheme="minorEastAsia" w:hAnsiTheme="minorEastAsia"/>
          <w:color w:val="000000" w:themeColor="text1"/>
        </w:rPr>
      </w:pPr>
      <w:bookmarkStart w:id="156" w:name="_Toc182018765"/>
      <w:bookmarkStart w:id="157" w:name="_Toc211920157"/>
      <w:bookmarkStart w:id="158" w:name="_Toc211927688"/>
      <w:bookmarkStart w:id="159" w:name="_Toc123296448"/>
      <w:r w:rsidRPr="00054588">
        <w:rPr>
          <w:rFonts w:asciiTheme="minorEastAsia" w:eastAsiaTheme="minorEastAsia" w:hAnsiTheme="minorEastAsia" w:hint="eastAsia"/>
          <w:color w:val="000000" w:themeColor="text1"/>
        </w:rPr>
        <w:t>（六）风险收益特征</w:t>
      </w:r>
      <w:bookmarkEnd w:id="156"/>
      <w:bookmarkEnd w:id="157"/>
      <w:bookmarkEnd w:id="158"/>
      <w:bookmarkEnd w:id="159"/>
    </w:p>
    <w:p w:rsidR="007228CC" w:rsidRPr="00054588" w:rsidP="0071223F">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本基金为债券型基金，其长期平均风险和预期收益率低于混合型基金、股票型基金，高于货币市场基金。</w:t>
      </w:r>
    </w:p>
    <w:p w:rsidR="007228CC" w:rsidRPr="00054588" w:rsidP="00941EC8">
      <w:pPr>
        <w:pStyle w:val="Heading2"/>
        <w:snapToGrid w:val="0"/>
        <w:spacing w:beforeLines="0" w:afterLines="0" w:line="360" w:lineRule="auto"/>
        <w:ind w:firstLine="562"/>
        <w:rPr>
          <w:rFonts w:asciiTheme="minorEastAsia" w:eastAsiaTheme="minorEastAsia" w:hAnsiTheme="minorEastAsia"/>
          <w:color w:val="000000" w:themeColor="text1"/>
        </w:rPr>
      </w:pPr>
      <w:bookmarkStart w:id="160" w:name="_Toc182018766"/>
      <w:bookmarkStart w:id="161" w:name="_Toc211920158"/>
      <w:bookmarkStart w:id="162" w:name="_Toc211927689"/>
      <w:bookmarkStart w:id="163" w:name="_Toc123296449"/>
      <w:r w:rsidRPr="00054588">
        <w:rPr>
          <w:rFonts w:asciiTheme="minorEastAsia" w:eastAsiaTheme="minorEastAsia" w:hAnsiTheme="minorEastAsia" w:hint="eastAsia"/>
          <w:color w:val="000000" w:themeColor="text1"/>
        </w:rPr>
        <w:t>（七）投资决策</w:t>
      </w:r>
      <w:bookmarkEnd w:id="160"/>
      <w:bookmarkEnd w:id="161"/>
      <w:bookmarkEnd w:id="162"/>
      <w:bookmarkEnd w:id="163"/>
    </w:p>
    <w:p w:rsidR="007228CC" w:rsidRPr="00054588" w:rsidP="0071223F">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1</w:t>
      </w:r>
      <w:r w:rsidRPr="00054588" w:rsidR="0021144C">
        <w:rPr>
          <w:rFonts w:asciiTheme="minorEastAsia" w:eastAsiaTheme="minorEastAsia" w:hAnsiTheme="minorEastAsia" w:hint="eastAsia"/>
          <w:color w:val="000000" w:themeColor="text1"/>
          <w:szCs w:val="21"/>
        </w:rPr>
        <w:t>、</w:t>
      </w:r>
      <w:r w:rsidRPr="00054588">
        <w:rPr>
          <w:rFonts w:asciiTheme="minorEastAsia" w:eastAsiaTheme="minorEastAsia" w:hAnsiTheme="minorEastAsia" w:hint="eastAsia"/>
          <w:color w:val="000000" w:themeColor="text1"/>
          <w:szCs w:val="21"/>
        </w:rPr>
        <w:t>决策依据</w:t>
      </w:r>
    </w:p>
    <w:p w:rsidR="007228CC" w:rsidRPr="00054588" w:rsidP="0071223F">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1</w:t>
      </w:r>
      <w:r w:rsidRPr="00054588">
        <w:rPr>
          <w:rFonts w:asciiTheme="minorEastAsia" w:eastAsiaTheme="minorEastAsia" w:hAnsiTheme="minorEastAsia" w:hint="eastAsia"/>
          <w:color w:val="000000" w:themeColor="text1"/>
          <w:szCs w:val="21"/>
        </w:rPr>
        <w:t>）国家有关法律、法规和本基金合同的有关规定。</w:t>
      </w:r>
    </w:p>
    <w:p w:rsidR="007228CC" w:rsidRPr="00054588" w:rsidP="0071223F">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（2）宏观经济发展态势、微观经济运行环境和证券市场走势。</w:t>
      </w:r>
    </w:p>
    <w:p w:rsidR="007228CC" w:rsidRPr="00054588" w:rsidP="0071223F">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2</w:t>
      </w:r>
      <w:r w:rsidRPr="00054588" w:rsidR="0021144C">
        <w:rPr>
          <w:rFonts w:asciiTheme="minorEastAsia" w:eastAsiaTheme="minorEastAsia" w:hAnsiTheme="minorEastAsia" w:hint="eastAsia"/>
          <w:color w:val="000000" w:themeColor="text1"/>
          <w:szCs w:val="21"/>
        </w:rPr>
        <w:t>、</w:t>
      </w:r>
      <w:r w:rsidRPr="00054588">
        <w:rPr>
          <w:rFonts w:asciiTheme="minorEastAsia" w:eastAsiaTheme="minorEastAsia" w:hAnsiTheme="minorEastAsia" w:hint="eastAsia"/>
          <w:color w:val="000000" w:themeColor="text1"/>
          <w:szCs w:val="21"/>
        </w:rPr>
        <w:t>决策程序</w:t>
      </w:r>
    </w:p>
    <w:p w:rsidR="007228CC" w:rsidRPr="00054588" w:rsidP="0071223F">
      <w:pPr>
        <w:numPr>
          <w:ilvl w:val="0"/>
          <w:numId w:val="6"/>
        </w:numPr>
        <w:snapToGrid w:val="0"/>
        <w:spacing w:line="360" w:lineRule="auto"/>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研究员提交宏观经济、债券市场、行业分析、新股申购、公司研究及信用分析报告；</w:t>
      </w:r>
    </w:p>
    <w:p w:rsidR="007228CC" w:rsidRPr="00054588" w:rsidP="0071223F">
      <w:pPr>
        <w:numPr>
          <w:ilvl w:val="0"/>
          <w:numId w:val="6"/>
        </w:numPr>
        <w:snapToGrid w:val="0"/>
        <w:spacing w:line="360" w:lineRule="auto"/>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基金经理根据研究报告以及对宏观经济、债券市场投资机会、新股申购收益率、股票市场预期收益水平的判断，制定资产配置计划，按制度提交审议并实施；</w:t>
      </w:r>
    </w:p>
    <w:p w:rsidR="007228CC" w:rsidRPr="00054588" w:rsidP="0071223F">
      <w:pPr>
        <w:numPr>
          <w:ilvl w:val="0"/>
          <w:numId w:val="6"/>
        </w:numPr>
        <w:snapToGrid w:val="0"/>
        <w:spacing w:line="360" w:lineRule="auto"/>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基金经理制定具体的固定收益品种、新股（含增发）的投资方案，构造投资组合；</w:t>
      </w:r>
    </w:p>
    <w:p w:rsidR="007228CC" w:rsidRPr="00054588" w:rsidP="0071223F">
      <w:pPr>
        <w:numPr>
          <w:ilvl w:val="0"/>
          <w:numId w:val="6"/>
        </w:numPr>
        <w:snapToGrid w:val="0"/>
        <w:spacing w:line="360" w:lineRule="auto"/>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集中交易室依据基金经理的指令，执行交易；</w:t>
      </w:r>
    </w:p>
    <w:p w:rsidR="00026B6C" w:rsidRPr="00054588" w:rsidP="00AE7D92">
      <w:pPr>
        <w:numPr>
          <w:ilvl w:val="0"/>
          <w:numId w:val="6"/>
        </w:numPr>
        <w:snapToGrid w:val="0"/>
        <w:spacing w:line="360" w:lineRule="auto"/>
        <w:rPr>
          <w:rFonts w:asciiTheme="minorEastAsia" w:eastAsiaTheme="minorEastAsia" w:hAnsiTheme="minorEastAsia"/>
          <w:color w:val="000000" w:themeColor="text1"/>
          <w:szCs w:val="21"/>
        </w:rPr>
      </w:pPr>
      <w:r w:rsidRPr="00054588">
        <w:rPr>
          <w:rFonts w:asciiTheme="minorEastAsia" w:eastAsiaTheme="minorEastAsia" w:hAnsiTheme="minorEastAsia" w:hint="eastAsia"/>
          <w:bCs/>
          <w:color w:val="000000" w:themeColor="text1"/>
          <w:szCs w:val="21"/>
        </w:rPr>
        <w:t>监察合规管理部门对基金的日常投资和交易是否遵守法律法规、基金合同进行独立监督检查；</w:t>
      </w:r>
    </w:p>
    <w:p w:rsidR="007228CC" w:rsidRPr="00054588" w:rsidP="0071223F">
      <w:pPr>
        <w:numPr>
          <w:ilvl w:val="0"/>
          <w:numId w:val="6"/>
        </w:numPr>
        <w:snapToGrid w:val="0"/>
        <w:spacing w:line="360" w:lineRule="auto"/>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投资风险管理部定期出具基金绩效评估和风险管理报告</w:t>
      </w:r>
      <w:r w:rsidRPr="00054588" w:rsidR="00026B6C">
        <w:rPr>
          <w:rFonts w:asciiTheme="minorEastAsia" w:eastAsiaTheme="minorEastAsia" w:hAnsiTheme="minorEastAsia" w:hint="eastAsia"/>
          <w:color w:val="000000" w:themeColor="text1"/>
          <w:kern w:val="0"/>
          <w:szCs w:val="21"/>
        </w:rPr>
        <w:t>，供基金经理调整投资组合时参考</w:t>
      </w:r>
      <w:r w:rsidRPr="00054588">
        <w:rPr>
          <w:rFonts w:asciiTheme="minorEastAsia" w:eastAsiaTheme="minorEastAsia" w:hAnsiTheme="minorEastAsia" w:hint="eastAsia"/>
          <w:color w:val="000000" w:themeColor="text1"/>
          <w:szCs w:val="21"/>
        </w:rPr>
        <w:t>；</w:t>
      </w:r>
    </w:p>
    <w:p w:rsidR="007228CC" w:rsidRPr="00054588" w:rsidP="0071223F">
      <w:pPr>
        <w:numPr>
          <w:ilvl w:val="0"/>
          <w:numId w:val="6"/>
        </w:numPr>
        <w:snapToGrid w:val="0"/>
        <w:spacing w:line="360" w:lineRule="auto"/>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基金经理定期检讨投资组合的运作成效，并</w:t>
      </w:r>
      <w:r w:rsidRPr="00054588">
        <w:rPr>
          <w:rFonts w:asciiTheme="minorEastAsia" w:eastAsiaTheme="minorEastAsia" w:hAnsiTheme="minorEastAsia" w:hint="eastAsia"/>
          <w:color w:val="000000" w:themeColor="text1"/>
          <w:szCs w:val="21"/>
        </w:rPr>
        <w:t>进行相应的组合调整</w:t>
      </w:r>
      <w:r w:rsidRPr="00054588">
        <w:rPr>
          <w:rFonts w:asciiTheme="minorEastAsia" w:eastAsiaTheme="minorEastAsia" w:hAnsiTheme="minorEastAsia"/>
          <w:color w:val="000000" w:themeColor="text1"/>
          <w:szCs w:val="21"/>
        </w:rPr>
        <w:t>。</w:t>
      </w:r>
    </w:p>
    <w:p w:rsidR="007228CC" w:rsidRPr="00054588" w:rsidP="00941EC8">
      <w:pPr>
        <w:pStyle w:val="Heading2"/>
        <w:snapToGrid w:val="0"/>
        <w:spacing w:beforeLines="0" w:afterLines="0" w:line="360" w:lineRule="auto"/>
        <w:ind w:firstLine="562"/>
        <w:rPr>
          <w:rFonts w:asciiTheme="minorEastAsia" w:eastAsiaTheme="minorEastAsia" w:hAnsiTheme="minorEastAsia"/>
          <w:color w:val="000000" w:themeColor="text1"/>
        </w:rPr>
      </w:pPr>
      <w:bookmarkStart w:id="164" w:name="_Toc182018767"/>
      <w:bookmarkStart w:id="165" w:name="_Toc211920159"/>
      <w:bookmarkStart w:id="166" w:name="_Toc211927690"/>
      <w:bookmarkStart w:id="167" w:name="_Toc123296450"/>
      <w:r w:rsidRPr="00054588">
        <w:rPr>
          <w:rFonts w:asciiTheme="minorEastAsia" w:eastAsiaTheme="minorEastAsia" w:hAnsiTheme="minorEastAsia" w:hint="eastAsia"/>
          <w:color w:val="000000" w:themeColor="text1"/>
        </w:rPr>
        <w:t>（八）投资组合限制</w:t>
      </w:r>
      <w:bookmarkEnd w:id="164"/>
      <w:bookmarkEnd w:id="165"/>
      <w:bookmarkEnd w:id="166"/>
      <w:bookmarkEnd w:id="167"/>
    </w:p>
    <w:p w:rsidR="00C609DD" w:rsidRPr="00054588" w:rsidP="0021144C">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w:t>
      </w:r>
      <w:r w:rsidRPr="00054588" w:rsidR="007228CC">
        <w:rPr>
          <w:rFonts w:asciiTheme="minorEastAsia" w:eastAsiaTheme="minorEastAsia" w:hAnsiTheme="minorEastAsia" w:hint="eastAsia"/>
          <w:color w:val="000000" w:themeColor="text1"/>
          <w:szCs w:val="21"/>
        </w:rPr>
        <w:t>债券等固定收益资产的比例不低于基金资产的80%，其中，公司债、企业债、短期融资券、金融债等信用品种不低于固定收益类投资总额的50%，且可转换债券不高于基金资产净值的30%；股票等权益类品种不高于基金资产的20%；</w:t>
      </w:r>
    </w:p>
    <w:p w:rsidR="007228CC" w:rsidRPr="00054588" w:rsidP="0021144C">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2、</w:t>
      </w:r>
      <w:r w:rsidRPr="00054588">
        <w:rPr>
          <w:rFonts w:asciiTheme="minorEastAsia" w:eastAsiaTheme="minorEastAsia" w:hAnsiTheme="minorEastAsia" w:hint="eastAsia"/>
          <w:color w:val="000000" w:themeColor="text1"/>
          <w:szCs w:val="21"/>
        </w:rPr>
        <w:t>基金保留的现金以及到期日在一年以内的政府债券的比例合计不低于基金资产净值的</w:t>
      </w:r>
      <w:r w:rsidRPr="00054588">
        <w:rPr>
          <w:rFonts w:asciiTheme="minorEastAsia" w:eastAsiaTheme="minorEastAsia" w:hAnsiTheme="minorEastAsia"/>
          <w:color w:val="000000" w:themeColor="text1"/>
          <w:szCs w:val="21"/>
        </w:rPr>
        <w:t>5%</w:t>
      </w:r>
      <w:r w:rsidRPr="00054588">
        <w:rPr>
          <w:rFonts w:asciiTheme="minorEastAsia" w:eastAsiaTheme="minorEastAsia" w:hAnsiTheme="minorEastAsia" w:hint="eastAsia"/>
          <w:color w:val="000000" w:themeColor="text1"/>
          <w:szCs w:val="21"/>
        </w:rPr>
        <w:t>，现金不包括结算备付金、存出保证金、应收申购款等</w:t>
      </w:r>
      <w:r w:rsidRPr="00054588">
        <w:rPr>
          <w:rFonts w:asciiTheme="minorEastAsia" w:eastAsiaTheme="minorEastAsia" w:hAnsiTheme="minorEastAsia"/>
          <w:color w:val="000000" w:themeColor="text1"/>
          <w:szCs w:val="21"/>
        </w:rPr>
        <w:t>；</w:t>
      </w:r>
    </w:p>
    <w:p w:rsidR="007228CC" w:rsidRPr="00054588" w:rsidP="0021144C">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3</w:t>
      </w:r>
      <w:r w:rsidRPr="00054588" w:rsidR="0021144C">
        <w:rPr>
          <w:rFonts w:asciiTheme="minorEastAsia" w:eastAsiaTheme="minorEastAsia" w:hAnsiTheme="minorEastAsia" w:hint="eastAsia"/>
          <w:color w:val="000000" w:themeColor="text1"/>
          <w:szCs w:val="21"/>
        </w:rPr>
        <w:t>、</w:t>
      </w:r>
      <w:r w:rsidRPr="00054588">
        <w:rPr>
          <w:rFonts w:asciiTheme="minorEastAsia" w:eastAsiaTheme="minorEastAsia" w:hAnsiTheme="minorEastAsia" w:hint="eastAsia"/>
          <w:color w:val="000000" w:themeColor="text1"/>
          <w:szCs w:val="21"/>
        </w:rPr>
        <w:t>本基金投资于同一公司发行的股票不得超过基金资产净值的10%；</w:t>
      </w:r>
    </w:p>
    <w:p w:rsidR="007228CC" w:rsidRPr="00054588" w:rsidP="0021144C">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4</w:t>
      </w:r>
      <w:r w:rsidRPr="00054588" w:rsidR="0021144C">
        <w:rPr>
          <w:rFonts w:asciiTheme="minorEastAsia" w:eastAsiaTheme="minorEastAsia" w:hAnsiTheme="minorEastAsia" w:hint="eastAsia"/>
          <w:color w:val="000000" w:themeColor="text1"/>
          <w:szCs w:val="21"/>
        </w:rPr>
        <w:t>、</w:t>
      </w:r>
      <w:r w:rsidRPr="00054588">
        <w:rPr>
          <w:rFonts w:asciiTheme="minorEastAsia" w:eastAsiaTheme="minorEastAsia" w:hAnsiTheme="minorEastAsia" w:hint="eastAsia"/>
          <w:color w:val="000000" w:themeColor="text1"/>
          <w:szCs w:val="21"/>
        </w:rPr>
        <w:t>本基金投资于同一公司发行的债券不得超过基金资产净值的10%；</w:t>
      </w:r>
    </w:p>
    <w:p w:rsidR="007228CC" w:rsidRPr="00054588" w:rsidP="0021144C">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5</w:t>
      </w:r>
      <w:r w:rsidRPr="00054588" w:rsidR="0021144C">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本基金与由本基金管理人管理的其他基金持有一家公司发行的证券，不超过该证券的10%；</w:t>
      </w:r>
    </w:p>
    <w:p w:rsidR="007228CC" w:rsidRPr="00054588" w:rsidP="0021144C">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6</w:t>
      </w:r>
      <w:r w:rsidRPr="00054588" w:rsidR="0021144C">
        <w:rPr>
          <w:rFonts w:asciiTheme="minorEastAsia" w:eastAsiaTheme="minorEastAsia" w:hAnsiTheme="minorEastAsia" w:hint="eastAsia"/>
          <w:color w:val="000000" w:themeColor="text1"/>
          <w:szCs w:val="21"/>
        </w:rPr>
        <w:t>、</w:t>
      </w:r>
      <w:r w:rsidRPr="00054588">
        <w:rPr>
          <w:rFonts w:asciiTheme="minorEastAsia" w:eastAsiaTheme="minorEastAsia" w:hAnsiTheme="minorEastAsia" w:hint="eastAsia"/>
          <w:color w:val="000000" w:themeColor="text1"/>
          <w:szCs w:val="21"/>
        </w:rPr>
        <w:t>本基金持有的全部权证，其市值不得超过基金资产净值的3％；本基金管理人管理的全部基金持有的同一权证，不得超过该权证的10％；</w:t>
      </w:r>
    </w:p>
    <w:p w:rsidR="007228CC" w:rsidRPr="00054588" w:rsidP="0021144C">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7</w:t>
      </w:r>
      <w:r w:rsidRPr="00054588" w:rsidR="0021144C">
        <w:rPr>
          <w:rFonts w:asciiTheme="minorEastAsia" w:eastAsiaTheme="minorEastAsia" w:hAnsiTheme="minorEastAsia" w:hint="eastAsia"/>
          <w:color w:val="000000" w:themeColor="text1"/>
          <w:szCs w:val="21"/>
        </w:rPr>
        <w:t>、</w:t>
      </w:r>
      <w:r w:rsidRPr="00054588">
        <w:rPr>
          <w:rFonts w:asciiTheme="minorEastAsia" w:eastAsiaTheme="minorEastAsia" w:hAnsiTheme="minorEastAsia" w:hint="eastAsia"/>
          <w:color w:val="000000" w:themeColor="text1"/>
          <w:szCs w:val="21"/>
        </w:rPr>
        <w:t>本基金持有的同一（指同一信用级别）资产支持证券的比例，不得超过该资产支持证券规模的</w:t>
      </w:r>
      <w:r w:rsidRPr="00054588">
        <w:rPr>
          <w:rFonts w:asciiTheme="minorEastAsia" w:eastAsiaTheme="minorEastAsia" w:hAnsiTheme="minorEastAsia"/>
          <w:color w:val="000000" w:themeColor="text1"/>
          <w:szCs w:val="21"/>
        </w:rPr>
        <w:t>10%</w:t>
      </w:r>
      <w:r w:rsidRPr="00054588">
        <w:rPr>
          <w:rFonts w:asciiTheme="minorEastAsia" w:eastAsiaTheme="minorEastAsia" w:hAnsiTheme="minorEastAsia" w:hint="eastAsia"/>
          <w:color w:val="000000" w:themeColor="text1"/>
          <w:szCs w:val="21"/>
        </w:rPr>
        <w:t>；本基金投资于同一原始权益人的各类资产支持证券的比例，不得超过基金资产净值的</w:t>
      </w:r>
      <w:r w:rsidRPr="00054588">
        <w:rPr>
          <w:rFonts w:asciiTheme="minorEastAsia" w:eastAsiaTheme="minorEastAsia" w:hAnsiTheme="minorEastAsia"/>
          <w:color w:val="000000" w:themeColor="text1"/>
          <w:szCs w:val="21"/>
        </w:rPr>
        <w:t>10%</w:t>
      </w:r>
      <w:r w:rsidRPr="00054588">
        <w:rPr>
          <w:rFonts w:asciiTheme="minorEastAsia" w:eastAsiaTheme="minorEastAsia" w:hAnsiTheme="minorEastAsia" w:hint="eastAsia"/>
          <w:color w:val="000000" w:themeColor="text1"/>
          <w:szCs w:val="21"/>
        </w:rPr>
        <w:t>。；本基金管理人管理的全部证券投资基金投资于同一原始权益人的各类资产支持证券，不得超过其各类资产支持证券合计规模的</w:t>
      </w:r>
      <w:r w:rsidRPr="00054588">
        <w:rPr>
          <w:rFonts w:asciiTheme="minorEastAsia" w:eastAsiaTheme="minorEastAsia" w:hAnsiTheme="minorEastAsia"/>
          <w:color w:val="000000" w:themeColor="text1"/>
          <w:szCs w:val="21"/>
        </w:rPr>
        <w:t>10%</w:t>
      </w:r>
      <w:r w:rsidRPr="00054588">
        <w:rPr>
          <w:rFonts w:asciiTheme="minorEastAsia" w:eastAsiaTheme="minorEastAsia" w:hAnsiTheme="minorEastAsia" w:hint="eastAsia"/>
          <w:color w:val="000000" w:themeColor="text1"/>
          <w:szCs w:val="21"/>
        </w:rPr>
        <w:t>；本基金持有的全部资产支持证券，其市值不得超过基金资产净值的</w:t>
      </w:r>
      <w:r w:rsidRPr="00054588">
        <w:rPr>
          <w:rFonts w:asciiTheme="minorEastAsia" w:eastAsiaTheme="minorEastAsia" w:hAnsiTheme="minorEastAsia"/>
          <w:color w:val="000000" w:themeColor="text1"/>
          <w:szCs w:val="21"/>
        </w:rPr>
        <w:t>20%</w:t>
      </w:r>
      <w:r w:rsidRPr="00054588">
        <w:rPr>
          <w:rFonts w:asciiTheme="minorEastAsia" w:eastAsiaTheme="minorEastAsia" w:hAnsiTheme="minorEastAsia" w:hint="eastAsia"/>
          <w:color w:val="000000" w:themeColor="text1"/>
          <w:szCs w:val="21"/>
        </w:rPr>
        <w:t>；</w:t>
      </w:r>
    </w:p>
    <w:p w:rsidR="007228CC" w:rsidRPr="00054588" w:rsidP="0021144C">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8</w:t>
      </w:r>
      <w:r w:rsidRPr="00054588" w:rsidR="0021144C">
        <w:rPr>
          <w:rFonts w:asciiTheme="minorEastAsia" w:eastAsiaTheme="minorEastAsia" w:hAnsiTheme="minorEastAsia" w:hint="eastAsia"/>
          <w:color w:val="000000" w:themeColor="text1"/>
          <w:szCs w:val="21"/>
        </w:rPr>
        <w:t>、</w:t>
      </w:r>
      <w:r w:rsidRPr="00054588">
        <w:rPr>
          <w:rFonts w:asciiTheme="minorEastAsia" w:eastAsiaTheme="minorEastAsia" w:hAnsiTheme="minorEastAsia" w:hint="eastAsia"/>
          <w:color w:val="000000" w:themeColor="text1"/>
          <w:szCs w:val="21"/>
        </w:rPr>
        <w:t>本基金在全国银行间债券市场债券正回购的资金余额不得超过基金资产净值的40%；</w:t>
      </w:r>
    </w:p>
    <w:p w:rsidR="007228CC" w:rsidRPr="00054588" w:rsidP="0021144C">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9</w:t>
      </w:r>
      <w:r w:rsidRPr="00054588" w:rsidR="0021144C">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本基金参与股票发行申购，所申报的金额不超过本基金的总资产，所申报的股票数量不超过拟发行股票公司本次发行股票的总量；</w:t>
      </w:r>
    </w:p>
    <w:p w:rsidR="00C609DD" w:rsidRPr="00054588" w:rsidP="0021144C">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10</w:t>
      </w:r>
      <w:r w:rsidRPr="00054588" w:rsidR="0021144C">
        <w:rPr>
          <w:rFonts w:asciiTheme="minorEastAsia" w:eastAsiaTheme="minorEastAsia" w:hAnsiTheme="minorEastAsia" w:hint="eastAsia"/>
          <w:color w:val="000000" w:themeColor="text1"/>
          <w:szCs w:val="21"/>
        </w:rPr>
        <w:t>、</w:t>
      </w:r>
      <w:r w:rsidRPr="00054588">
        <w:rPr>
          <w:rFonts w:asciiTheme="minorEastAsia" w:eastAsiaTheme="minorEastAsia" w:hAnsiTheme="minorEastAsia" w:hint="eastAsia"/>
          <w:color w:val="000000" w:themeColor="text1"/>
          <w:szCs w:val="21"/>
        </w:rPr>
        <w:t>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C609DD" w:rsidRPr="00054588" w:rsidP="00C609DD">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w:t>
      </w:r>
      <w:r w:rsidRPr="00054588">
        <w:rPr>
          <w:rFonts w:asciiTheme="minorEastAsia" w:eastAsiaTheme="minorEastAsia" w:hAnsiTheme="minorEastAsia"/>
          <w:color w:val="000000" w:themeColor="text1"/>
          <w:szCs w:val="21"/>
        </w:rPr>
        <w:t>1、</w:t>
      </w:r>
      <w:r w:rsidRPr="00054588">
        <w:rPr>
          <w:rFonts w:asciiTheme="minorEastAsia" w:eastAsiaTheme="minorEastAsia" w:hAnsiTheme="minorEastAsia" w:hint="eastAsia"/>
          <w:color w:val="000000" w:themeColor="text1"/>
          <w:szCs w:val="21"/>
        </w:rPr>
        <w:t>本基金主动投资于流动性受限资产的市值合计不得超过该基金资产净值的15%。</w:t>
      </w:r>
    </w:p>
    <w:p w:rsidR="00C609DD" w:rsidRPr="00054588" w:rsidP="00C609DD">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因证券市场波动、上市公司股票停牌、基金规模变动等基金管理人之外的因素致使基金不符合前款所规定比例限制的，基金管理人不得主动新增流动性受限资产的投资；</w:t>
      </w:r>
    </w:p>
    <w:p w:rsidR="00C609DD" w:rsidRPr="00054588" w:rsidP="00C609DD">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12、</w:t>
      </w:r>
      <w:r w:rsidRPr="00054588">
        <w:rPr>
          <w:rFonts w:asciiTheme="minorEastAsia" w:eastAsiaTheme="minorEastAsia" w:hAnsiTheme="minorEastAsia" w:hint="eastAsia"/>
          <w:color w:val="000000" w:themeColor="text1"/>
          <w:szCs w:val="21"/>
        </w:rPr>
        <w:t>本基金与私募类证券资管产品及中国证监会认定的其他主体为交易对手开展逆回购交易的，可接受质押品的资质要求应当与基金合同约定的投资范围保持一致；</w:t>
      </w:r>
    </w:p>
    <w:p w:rsidR="00401C0B" w:rsidRPr="00054588" w:rsidP="00C609DD">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13、本基金投资存托凭证的比例限制依照境内上市交易的股票执行，与境内上市交易的股票合并计算；</w:t>
      </w:r>
    </w:p>
    <w:p w:rsidR="007228CC" w:rsidRPr="00054588" w:rsidP="0021144C">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w:t>
      </w:r>
      <w:r w:rsidRPr="00054588" w:rsidR="00401C0B">
        <w:rPr>
          <w:rFonts w:asciiTheme="minorEastAsia" w:eastAsiaTheme="minorEastAsia" w:hAnsiTheme="minorEastAsia"/>
          <w:color w:val="000000" w:themeColor="text1"/>
          <w:szCs w:val="21"/>
        </w:rPr>
        <w:t>4</w:t>
      </w:r>
      <w:r w:rsidRPr="00054588">
        <w:rPr>
          <w:rFonts w:asciiTheme="minorEastAsia" w:eastAsiaTheme="minorEastAsia" w:hAnsiTheme="minorEastAsia"/>
          <w:color w:val="000000" w:themeColor="text1"/>
          <w:szCs w:val="21"/>
        </w:rPr>
        <w:t>、</w:t>
      </w:r>
      <w:r w:rsidRPr="00054588">
        <w:rPr>
          <w:rFonts w:asciiTheme="minorEastAsia" w:eastAsiaTheme="minorEastAsia" w:hAnsiTheme="minorEastAsia" w:hint="eastAsia"/>
          <w:color w:val="000000" w:themeColor="text1"/>
          <w:szCs w:val="21"/>
        </w:rPr>
        <w:t>中国证监会、中国人民银行规定的其他比例限制。</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如果法律法规对本基金合同约定投资组合比例限制进行变更的，以变更后的规定为准。</w:t>
      </w:r>
      <w:r w:rsidRPr="00054588">
        <w:rPr>
          <w:rFonts w:asciiTheme="minorEastAsia" w:eastAsiaTheme="minorEastAsia" w:hAnsiTheme="minorEastAsia"/>
          <w:color w:val="000000" w:themeColor="text1"/>
          <w:szCs w:val="21"/>
        </w:rPr>
        <w:t>法律法规或</w:t>
      </w:r>
      <w:r w:rsidRPr="00054588">
        <w:rPr>
          <w:rFonts w:asciiTheme="minorEastAsia" w:eastAsiaTheme="minorEastAsia" w:hAnsiTheme="minorEastAsia" w:hint="eastAsia"/>
          <w:color w:val="000000" w:themeColor="text1"/>
          <w:szCs w:val="21"/>
        </w:rPr>
        <w:t>监管部门取消</w:t>
      </w:r>
      <w:r w:rsidRPr="00054588">
        <w:rPr>
          <w:rFonts w:asciiTheme="minorEastAsia" w:eastAsiaTheme="minorEastAsia" w:hAnsiTheme="minorEastAsia"/>
          <w:color w:val="000000" w:themeColor="text1"/>
          <w:szCs w:val="21"/>
        </w:rPr>
        <w:t>上述限制，</w:t>
      </w:r>
      <w:r w:rsidRPr="00054588">
        <w:rPr>
          <w:rFonts w:asciiTheme="minorEastAsia" w:eastAsiaTheme="minorEastAsia" w:hAnsiTheme="minorEastAsia" w:hint="eastAsia"/>
          <w:color w:val="000000" w:themeColor="text1"/>
          <w:szCs w:val="21"/>
        </w:rPr>
        <w:t>如适用于本基金，则本基金投资不再受相关限制</w:t>
      </w:r>
      <w:r w:rsidRPr="00054588">
        <w:rPr>
          <w:rFonts w:asciiTheme="minorEastAsia" w:eastAsiaTheme="minorEastAsia" w:hAnsiTheme="minorEastAsia"/>
          <w:color w:val="000000" w:themeColor="text1"/>
          <w:szCs w:val="21"/>
        </w:rPr>
        <w:t>。</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除上述2、9、11、12以外，</w:t>
      </w:r>
      <w:r w:rsidRPr="00054588">
        <w:rPr>
          <w:rFonts w:asciiTheme="minorEastAsia" w:eastAsiaTheme="minorEastAsia" w:hAnsiTheme="minorEastAsia"/>
          <w:color w:val="000000" w:themeColor="text1"/>
          <w:szCs w:val="21"/>
        </w:rPr>
        <w:t>因证券市场波动、上市公司合并、基金规模变动</w:t>
      </w:r>
      <w:r w:rsidRPr="00054588">
        <w:rPr>
          <w:rFonts w:asciiTheme="minorEastAsia" w:eastAsiaTheme="minorEastAsia" w:hAnsiTheme="minorEastAsia" w:hint="eastAsia"/>
          <w:color w:val="000000" w:themeColor="text1"/>
          <w:szCs w:val="21"/>
        </w:rPr>
        <w:t>、股权分置改革中支付对价</w:t>
      </w:r>
      <w:r w:rsidRPr="00054588">
        <w:rPr>
          <w:rFonts w:asciiTheme="minorEastAsia" w:eastAsiaTheme="minorEastAsia" w:hAnsiTheme="minorEastAsia"/>
          <w:color w:val="000000" w:themeColor="text1"/>
          <w:szCs w:val="21"/>
        </w:rPr>
        <w:t>等基金管理人之外的因素致使基金投资比例不符合上述</w:t>
      </w:r>
      <w:r w:rsidRPr="00054588">
        <w:rPr>
          <w:rFonts w:asciiTheme="minorEastAsia" w:eastAsiaTheme="minorEastAsia" w:hAnsiTheme="minorEastAsia" w:hint="eastAsia"/>
          <w:color w:val="000000" w:themeColor="text1"/>
          <w:szCs w:val="21"/>
        </w:rPr>
        <w:t>规定</w:t>
      </w:r>
      <w:r w:rsidRPr="00054588">
        <w:rPr>
          <w:rFonts w:asciiTheme="minorEastAsia" w:eastAsiaTheme="minorEastAsia" w:hAnsiTheme="minorEastAsia"/>
          <w:color w:val="000000" w:themeColor="text1"/>
          <w:szCs w:val="21"/>
        </w:rPr>
        <w:t>投资比例的，基金管理人应当在10个交易日内进行调整。</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对于因基金份额拆分、大比例分红等集中持续营销活动引起的基金净资产规模在10个交易日内增加10亿元以上的情形，而导致证券投资比例低于基金合同约定的，基金管理人履行相关程序后可将调整时限从10个交易日延长到3个月。法律法规如有变更，从其变更。</w:t>
      </w:r>
    </w:p>
    <w:p w:rsidR="007228CC" w:rsidRPr="00054588" w:rsidP="0071223F">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基金管理人应当自基金合同生效之日起6个月内使基金的投资组合比例符合基金合同的有关约定。</w:t>
      </w:r>
      <w:r w:rsidRPr="00054588">
        <w:rPr>
          <w:rFonts w:asciiTheme="minorEastAsia" w:eastAsiaTheme="minorEastAsia" w:hAnsiTheme="minorEastAsia" w:hint="eastAsia"/>
          <w:color w:val="000000" w:themeColor="text1"/>
          <w:szCs w:val="21"/>
        </w:rPr>
        <w:t>除投资资产配置比例外，基金托管人对基金的投资比例的监督与检查自本基金合同生效之日起开始。</w:t>
      </w:r>
    </w:p>
    <w:p w:rsidR="007228CC" w:rsidRPr="00054588" w:rsidP="00941EC8">
      <w:pPr>
        <w:pStyle w:val="Heading2"/>
        <w:snapToGrid w:val="0"/>
        <w:spacing w:beforeLines="0" w:afterLines="0" w:line="360" w:lineRule="auto"/>
        <w:ind w:firstLine="562"/>
        <w:rPr>
          <w:rFonts w:asciiTheme="minorEastAsia" w:eastAsiaTheme="minorEastAsia" w:hAnsiTheme="minorEastAsia"/>
          <w:color w:val="000000" w:themeColor="text1"/>
        </w:rPr>
      </w:pPr>
      <w:bookmarkStart w:id="168" w:name="_Toc182018768"/>
      <w:bookmarkStart w:id="169" w:name="_Toc211920160"/>
      <w:bookmarkStart w:id="170" w:name="_Toc211927691"/>
      <w:bookmarkStart w:id="171" w:name="_Toc123296451"/>
      <w:r w:rsidRPr="00054588">
        <w:rPr>
          <w:rFonts w:asciiTheme="minorEastAsia" w:eastAsiaTheme="minorEastAsia" w:hAnsiTheme="minorEastAsia" w:hint="eastAsia"/>
          <w:color w:val="000000" w:themeColor="text1"/>
        </w:rPr>
        <w:t>（九）禁止行为</w:t>
      </w:r>
      <w:bookmarkEnd w:id="168"/>
      <w:bookmarkEnd w:id="169"/>
      <w:bookmarkEnd w:id="170"/>
      <w:bookmarkEnd w:id="171"/>
    </w:p>
    <w:p w:rsidR="007228CC" w:rsidRPr="00054588" w:rsidP="0071223F">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为维护基金份额持有人的合法权益，</w:t>
      </w:r>
      <w:r w:rsidRPr="00054588">
        <w:rPr>
          <w:rFonts w:asciiTheme="minorEastAsia" w:eastAsiaTheme="minorEastAsia" w:hAnsiTheme="minorEastAsia"/>
          <w:color w:val="000000" w:themeColor="text1"/>
          <w:szCs w:val="21"/>
        </w:rPr>
        <w:t>基金财产不得用于下列投资或者活动</w:t>
      </w:r>
      <w:r w:rsidRPr="00054588">
        <w:rPr>
          <w:rFonts w:asciiTheme="minorEastAsia" w:eastAsiaTheme="minorEastAsia" w:hAnsiTheme="minorEastAsia" w:hint="eastAsia"/>
          <w:color w:val="000000" w:themeColor="text1"/>
          <w:szCs w:val="21"/>
        </w:rPr>
        <w:t>：</w:t>
      </w:r>
    </w:p>
    <w:p w:rsidR="007228CC" w:rsidRPr="00054588" w:rsidP="0021144C">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1、承销证券；</w:t>
      </w:r>
    </w:p>
    <w:p w:rsidR="007228CC" w:rsidRPr="00054588" w:rsidP="0021144C">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w:t>
      </w:r>
      <w:r w:rsidRPr="00054588">
        <w:rPr>
          <w:rFonts w:asciiTheme="minorEastAsia" w:eastAsiaTheme="minorEastAsia" w:hAnsiTheme="minorEastAsia"/>
          <w:color w:val="000000" w:themeColor="text1"/>
          <w:szCs w:val="21"/>
        </w:rPr>
        <w:t>向他人贷款或者提供担保；</w:t>
      </w:r>
    </w:p>
    <w:p w:rsidR="007228CC" w:rsidRPr="00054588" w:rsidP="0021144C">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3、从事承担无限责任的投资；</w:t>
      </w:r>
    </w:p>
    <w:p w:rsidR="007228CC" w:rsidRPr="00054588" w:rsidP="0021144C">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4、</w:t>
      </w:r>
      <w:r w:rsidRPr="00054588">
        <w:rPr>
          <w:rFonts w:asciiTheme="minorEastAsia" w:eastAsiaTheme="minorEastAsia" w:hAnsiTheme="minorEastAsia"/>
          <w:color w:val="000000" w:themeColor="text1"/>
          <w:szCs w:val="21"/>
        </w:rPr>
        <w:t>买卖其他基金份额，但是国务院另有规定的除外；</w:t>
      </w:r>
    </w:p>
    <w:p w:rsidR="007228CC" w:rsidRPr="00054588" w:rsidP="0021144C">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5、</w:t>
      </w:r>
      <w:r w:rsidRPr="00054588">
        <w:rPr>
          <w:rFonts w:asciiTheme="minorEastAsia" w:eastAsiaTheme="minorEastAsia" w:hAnsiTheme="minorEastAsia"/>
          <w:color w:val="000000" w:themeColor="text1"/>
          <w:szCs w:val="21"/>
        </w:rPr>
        <w:t>向其基金管理人、基金托管人出资或者买卖其基金管理人、基金托管人发行的股票或者债券；</w:t>
      </w:r>
    </w:p>
    <w:p w:rsidR="007228CC" w:rsidRPr="00054588" w:rsidP="0021144C">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6、</w:t>
      </w:r>
      <w:r w:rsidRPr="00054588">
        <w:rPr>
          <w:rFonts w:asciiTheme="minorEastAsia" w:eastAsiaTheme="minorEastAsia" w:hAnsiTheme="minorEastAsia"/>
          <w:color w:val="000000" w:themeColor="text1"/>
          <w:szCs w:val="21"/>
        </w:rPr>
        <w:t>买卖与其基金管理人、基金托管人有控股关系的股东或者与其基金管理人、基金托管人有其他重大利害关系的公司发行的证券或者承销期内承销的证券；</w:t>
      </w:r>
    </w:p>
    <w:p w:rsidR="007228CC" w:rsidRPr="00054588" w:rsidP="0021144C">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7、从事内幕交易、操纵证券交易价格及其他不正当的证券交易活动；</w:t>
      </w:r>
    </w:p>
    <w:p w:rsidR="007228CC" w:rsidRPr="00054588" w:rsidP="0021144C">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8、依照法律、行政法规有关规定，由国务院证券监督管理机构规定禁止的其他活动。</w:t>
      </w:r>
    </w:p>
    <w:p w:rsidR="007228CC" w:rsidRPr="00054588" w:rsidP="0021144C">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9、对上述事项，法律法规另有规定时从其规定。</w:t>
      </w:r>
    </w:p>
    <w:p w:rsidR="007228CC" w:rsidRPr="00054588" w:rsidP="00941EC8">
      <w:pPr>
        <w:pStyle w:val="Heading2"/>
        <w:snapToGrid w:val="0"/>
        <w:spacing w:beforeLines="0" w:afterLines="0" w:line="360" w:lineRule="auto"/>
        <w:ind w:firstLine="562"/>
        <w:rPr>
          <w:rFonts w:asciiTheme="minorEastAsia" w:eastAsiaTheme="minorEastAsia" w:hAnsiTheme="minorEastAsia"/>
          <w:color w:val="000000" w:themeColor="text1"/>
        </w:rPr>
      </w:pPr>
      <w:bookmarkStart w:id="172" w:name="_Toc182018769"/>
      <w:bookmarkStart w:id="173" w:name="_Toc211920161"/>
      <w:bookmarkStart w:id="174" w:name="_Toc211927692"/>
      <w:bookmarkStart w:id="175" w:name="_Toc123296452"/>
      <w:r w:rsidRPr="00054588">
        <w:rPr>
          <w:rFonts w:asciiTheme="minorEastAsia" w:eastAsiaTheme="minorEastAsia" w:hAnsiTheme="minorEastAsia" w:hint="eastAsia"/>
          <w:color w:val="000000" w:themeColor="text1"/>
        </w:rPr>
        <w:t>（十）基金管理人代表基金行使所投资证券产生权利的处理原则及方法</w:t>
      </w:r>
      <w:bookmarkEnd w:id="172"/>
      <w:bookmarkEnd w:id="173"/>
      <w:bookmarkEnd w:id="174"/>
      <w:bookmarkEnd w:id="175"/>
    </w:p>
    <w:p w:rsidR="007228CC" w:rsidRPr="00054588" w:rsidP="0071223F">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w:t>
      </w:r>
      <w:r w:rsidRPr="00054588" w:rsidR="0021144C">
        <w:rPr>
          <w:rFonts w:asciiTheme="minorEastAsia" w:eastAsiaTheme="minorEastAsia" w:hAnsiTheme="minorEastAsia" w:hint="eastAsia"/>
          <w:color w:val="000000" w:themeColor="text1"/>
          <w:szCs w:val="21"/>
        </w:rPr>
        <w:t>、</w:t>
      </w:r>
      <w:r w:rsidRPr="00054588">
        <w:rPr>
          <w:rFonts w:asciiTheme="minorEastAsia" w:eastAsiaTheme="minorEastAsia" w:hAnsiTheme="minorEastAsia" w:hint="eastAsia"/>
          <w:color w:val="000000" w:themeColor="text1"/>
          <w:szCs w:val="21"/>
        </w:rPr>
        <w:t>基金管理人按照国家有关规定代表基金独立行使股东及债权人权利，保护基金投资者的利益；</w:t>
      </w:r>
    </w:p>
    <w:p w:rsidR="007228CC" w:rsidRPr="00054588" w:rsidP="0071223F">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w:t>
      </w:r>
      <w:r w:rsidRPr="00054588" w:rsidR="0021144C">
        <w:rPr>
          <w:rFonts w:asciiTheme="minorEastAsia" w:eastAsiaTheme="minorEastAsia" w:hAnsiTheme="minorEastAsia" w:hint="eastAsia"/>
          <w:color w:val="000000" w:themeColor="text1"/>
          <w:szCs w:val="21"/>
        </w:rPr>
        <w:t>、</w:t>
      </w:r>
      <w:r w:rsidRPr="00054588">
        <w:rPr>
          <w:rFonts w:asciiTheme="minorEastAsia" w:eastAsiaTheme="minorEastAsia" w:hAnsiTheme="minorEastAsia" w:hint="eastAsia"/>
          <w:color w:val="000000" w:themeColor="text1"/>
          <w:szCs w:val="21"/>
        </w:rPr>
        <w:t>不谋求对上市公司的控股，不参与所投资上市公司的经营管理；</w:t>
      </w:r>
    </w:p>
    <w:p w:rsidR="007228CC" w:rsidRPr="00054588" w:rsidP="0071223F">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3</w:t>
      </w:r>
      <w:r w:rsidRPr="00054588" w:rsidR="0021144C">
        <w:rPr>
          <w:rFonts w:asciiTheme="minorEastAsia" w:eastAsiaTheme="minorEastAsia" w:hAnsiTheme="minorEastAsia" w:hint="eastAsia"/>
          <w:color w:val="000000" w:themeColor="text1"/>
          <w:szCs w:val="21"/>
        </w:rPr>
        <w:t>、</w:t>
      </w:r>
      <w:r w:rsidRPr="00054588">
        <w:rPr>
          <w:rFonts w:asciiTheme="minorEastAsia" w:eastAsiaTheme="minorEastAsia" w:hAnsiTheme="minorEastAsia" w:hint="eastAsia"/>
          <w:color w:val="000000" w:themeColor="text1"/>
          <w:szCs w:val="21"/>
        </w:rPr>
        <w:t>有利于基金资产的安全与增值；</w:t>
      </w:r>
    </w:p>
    <w:p w:rsidR="007228CC" w:rsidRPr="00054588" w:rsidP="0071223F">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4、不通过关联交易为自身、雇员、授权代理人或任何存在利害关系的第三人牟取任何不当利益。</w:t>
      </w:r>
    </w:p>
    <w:p w:rsidR="007228CC" w:rsidRPr="00054588" w:rsidP="00941EC8">
      <w:pPr>
        <w:pStyle w:val="Heading2"/>
        <w:snapToGrid w:val="0"/>
        <w:spacing w:beforeLines="0" w:afterLines="0" w:line="360" w:lineRule="auto"/>
        <w:ind w:firstLine="562"/>
        <w:rPr>
          <w:rFonts w:asciiTheme="minorEastAsia" w:eastAsiaTheme="minorEastAsia" w:hAnsiTheme="minorEastAsia"/>
          <w:color w:val="000000" w:themeColor="text1"/>
        </w:rPr>
      </w:pPr>
      <w:bookmarkStart w:id="176" w:name="_Toc182018770"/>
      <w:bookmarkStart w:id="177" w:name="_Toc211920162"/>
      <w:bookmarkStart w:id="178" w:name="_Toc211927693"/>
      <w:bookmarkStart w:id="179" w:name="_Toc123296453"/>
      <w:r w:rsidRPr="00054588">
        <w:rPr>
          <w:rFonts w:asciiTheme="minorEastAsia" w:eastAsiaTheme="minorEastAsia" w:hAnsiTheme="minorEastAsia" w:hint="eastAsia"/>
          <w:color w:val="000000" w:themeColor="text1"/>
        </w:rPr>
        <w:t>（十一）基金的融资、融券</w:t>
      </w:r>
      <w:bookmarkEnd w:id="176"/>
      <w:bookmarkEnd w:id="177"/>
      <w:bookmarkEnd w:id="178"/>
      <w:bookmarkEnd w:id="179"/>
    </w:p>
    <w:p w:rsidR="007228CC" w:rsidRPr="00054588" w:rsidP="0071223F">
      <w:pPr>
        <w:pStyle w:val="NormalIndent"/>
        <w:snapToGrid w:val="0"/>
        <w:spacing w:line="360" w:lineRule="auto"/>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本基金可以按照国家的有关规定进行融资、融券。</w:t>
      </w:r>
    </w:p>
    <w:p w:rsidR="00401C0B" w:rsidRPr="00054588" w:rsidP="00F365DF">
      <w:pPr>
        <w:pStyle w:val="Heading2"/>
        <w:snapToGrid w:val="0"/>
        <w:spacing w:beforeLines="0" w:afterLines="0" w:line="360" w:lineRule="auto"/>
        <w:ind w:firstLine="562"/>
        <w:rPr>
          <w:rFonts w:asciiTheme="minorEastAsia" w:eastAsiaTheme="minorEastAsia" w:hAnsiTheme="minorEastAsia"/>
          <w:color w:val="000000" w:themeColor="text1"/>
        </w:rPr>
      </w:pPr>
      <w:bookmarkStart w:id="180" w:name="_Toc123296454"/>
      <w:r w:rsidRPr="00054588">
        <w:rPr>
          <w:rFonts w:asciiTheme="minorEastAsia" w:eastAsiaTheme="minorEastAsia" w:hAnsiTheme="minorEastAsia" w:hint="eastAsia"/>
          <w:color w:val="000000" w:themeColor="text1"/>
        </w:rPr>
        <w:t>（十二）侧袋机制的实施和投资运作安排</w:t>
      </w:r>
      <w:bookmarkEnd w:id="180"/>
    </w:p>
    <w:p w:rsidR="00401C0B" w:rsidRPr="00054588" w:rsidP="00401C0B">
      <w:pPr>
        <w:spacing w:line="360" w:lineRule="auto"/>
        <w:ind w:firstLine="420" w:firstLineChars="200"/>
        <w:rPr>
          <w:rStyle w:val="da"/>
          <w:rFonts w:asciiTheme="minorEastAsia" w:eastAsiaTheme="minorEastAsia" w:hAnsiTheme="minorEastAsia"/>
          <w:color w:val="000000" w:themeColor="text1"/>
          <w:szCs w:val="21"/>
        </w:rPr>
      </w:pPr>
      <w:r w:rsidRPr="00054588">
        <w:rPr>
          <w:rStyle w:val="da"/>
          <w:rFonts w:asciiTheme="minorEastAsia" w:eastAsiaTheme="minorEastAsia" w:hAnsiTheme="minorEastAsia" w:hint="eastAsia"/>
          <w:color w:val="000000" w:themeColor="text1"/>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401C0B" w:rsidRPr="00054588" w:rsidP="00401C0B">
      <w:pPr>
        <w:spacing w:line="360" w:lineRule="auto"/>
        <w:ind w:firstLine="420" w:firstLineChars="200"/>
        <w:rPr>
          <w:rStyle w:val="da"/>
          <w:rFonts w:asciiTheme="minorEastAsia" w:eastAsiaTheme="minorEastAsia" w:hAnsiTheme="minorEastAsia"/>
          <w:color w:val="000000" w:themeColor="text1"/>
          <w:szCs w:val="21"/>
        </w:rPr>
      </w:pPr>
      <w:r w:rsidRPr="00054588">
        <w:rPr>
          <w:rStyle w:val="da"/>
          <w:rFonts w:asciiTheme="minorEastAsia" w:eastAsiaTheme="minorEastAsia" w:hAnsiTheme="minorEastAsia" w:hint="eastAsia"/>
          <w:color w:val="000000" w:themeColor="text1"/>
          <w:szCs w:val="21"/>
        </w:rPr>
        <w:t>侧袋机制实施期间，本部分约定的投资组合比例、投资策略、组合限制、业绩比较基准、风险收益特征等约定仅适用于主袋账户。</w:t>
      </w:r>
    </w:p>
    <w:p w:rsidR="00401C0B" w:rsidRPr="00054588" w:rsidP="00401C0B">
      <w:pPr>
        <w:pStyle w:val="NormalIndent"/>
        <w:snapToGrid w:val="0"/>
        <w:spacing w:line="360" w:lineRule="auto"/>
        <w:rPr>
          <w:rFonts w:asciiTheme="minorEastAsia" w:eastAsiaTheme="minorEastAsia" w:hAnsiTheme="minorEastAsia"/>
          <w:color w:val="000000" w:themeColor="text1"/>
        </w:rPr>
      </w:pPr>
      <w:r w:rsidRPr="00054588">
        <w:rPr>
          <w:rStyle w:val="da"/>
          <w:rFonts w:asciiTheme="minorEastAsia" w:eastAsiaTheme="minorEastAsia" w:hAnsiTheme="minorEastAsia" w:hint="eastAsia"/>
          <w:color w:val="000000" w:themeColor="text1"/>
          <w:szCs w:val="21"/>
        </w:rPr>
        <w:t>侧袋账户的实施条件、实施程序、运作安排、投资安排、特定资产的处置变现和支付等对投资者权益有重大影响的事项详见本招募说明书“侧袋机制”部分的规定。</w:t>
      </w:r>
    </w:p>
    <w:p w:rsidR="007228CC" w:rsidRPr="00054588" w:rsidP="00941EC8">
      <w:pPr>
        <w:pStyle w:val="Heading2"/>
        <w:snapToGrid w:val="0"/>
        <w:spacing w:beforeLines="0" w:afterLines="0" w:line="360" w:lineRule="auto"/>
        <w:ind w:firstLine="562"/>
        <w:rPr>
          <w:rFonts w:asciiTheme="minorEastAsia" w:eastAsiaTheme="minorEastAsia" w:hAnsiTheme="minorEastAsia"/>
          <w:color w:val="000000" w:themeColor="text1"/>
        </w:rPr>
      </w:pPr>
      <w:bookmarkStart w:id="181" w:name="_Toc132448649"/>
      <w:bookmarkStart w:id="182" w:name="_Toc182826378"/>
      <w:bookmarkStart w:id="183" w:name="_Toc198959638"/>
      <w:bookmarkStart w:id="184" w:name="_Toc211920163"/>
      <w:bookmarkStart w:id="185" w:name="_Toc211927694"/>
      <w:bookmarkStart w:id="186" w:name="_Toc123296455"/>
      <w:bookmarkStart w:id="187" w:name="_Toc52310849"/>
      <w:bookmarkStart w:id="188" w:name="_Toc64861724"/>
      <w:r w:rsidRPr="00054588">
        <w:rPr>
          <w:rFonts w:asciiTheme="minorEastAsia" w:eastAsiaTheme="minorEastAsia" w:hAnsiTheme="minorEastAsia" w:hint="eastAsia"/>
          <w:color w:val="000000" w:themeColor="text1"/>
        </w:rPr>
        <w:t>（十</w:t>
      </w:r>
      <w:r w:rsidRPr="00054588" w:rsidR="00F365DF">
        <w:rPr>
          <w:rFonts w:asciiTheme="minorEastAsia" w:eastAsiaTheme="minorEastAsia" w:hAnsiTheme="minorEastAsia" w:hint="eastAsia"/>
          <w:color w:val="000000" w:themeColor="text1"/>
        </w:rPr>
        <w:t>三</w:t>
      </w:r>
      <w:r w:rsidRPr="00054588">
        <w:rPr>
          <w:rFonts w:asciiTheme="minorEastAsia" w:eastAsiaTheme="minorEastAsia" w:hAnsiTheme="minorEastAsia" w:hint="eastAsia"/>
          <w:color w:val="000000" w:themeColor="text1"/>
        </w:rPr>
        <w:t>）基金投资组合报告（未经审计</w:t>
      </w:r>
      <w:bookmarkEnd w:id="181"/>
      <w:bookmarkEnd w:id="182"/>
      <w:bookmarkEnd w:id="183"/>
      <w:bookmarkEnd w:id="184"/>
      <w:bookmarkEnd w:id="185"/>
      <w:r w:rsidRPr="00054588">
        <w:rPr>
          <w:rFonts w:asciiTheme="minorEastAsia" w:eastAsiaTheme="minorEastAsia" w:hAnsiTheme="minorEastAsia" w:hint="eastAsia"/>
          <w:color w:val="000000" w:themeColor="text1"/>
        </w:rPr>
        <w:t>）</w:t>
      </w:r>
      <w:bookmarkEnd w:id="186"/>
    </w:p>
    <w:p w:rsidR="000D067E" w:rsidRPr="00054588" w:rsidP="000D067E">
      <w:pPr>
        <w:snapToGrid w:val="0"/>
        <w:spacing w:line="360" w:lineRule="auto"/>
        <w:ind w:firstLine="480"/>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rPr>
        <w:t>本基金管理人的董事会及董事保证本报告所载资料不存在虚假记载、误导性陈述或重大遗漏，并对其内容的真实性、准确性和完整性承担个别及连带责任。</w:t>
      </w:r>
    </w:p>
    <w:p w:rsidR="000D067E" w:rsidRPr="00054588" w:rsidP="000D067E">
      <w:pPr>
        <w:snapToGrid w:val="0"/>
        <w:spacing w:line="360" w:lineRule="auto"/>
        <w:ind w:firstLine="480"/>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rPr>
        <w:t>本基金的托管人中国建设银行股份有限公司根据本基金合同的规定，复核了本报告的内容，保证复核内容不存在虚假记载、误导性陈述或者重大遗漏。</w:t>
      </w:r>
    </w:p>
    <w:p w:rsidR="000D067E" w:rsidRPr="00054588" w:rsidP="000D067E">
      <w:pPr>
        <w:snapToGrid w:val="0"/>
        <w:spacing w:line="360" w:lineRule="auto"/>
        <w:ind w:firstLine="48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本投资组合报告有关数据的期间为2022年7月1日至2022年9月30日。</w:t>
      </w:r>
    </w:p>
    <w:p w:rsidR="009945FE" w:rsidRPr="00054588" w:rsidP="00054588">
      <w:pPr>
        <w:snapToGrid w:val="0"/>
        <w:spacing w:line="360" w:lineRule="auto"/>
        <w:ind w:firstLine="48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 报告期末基金资产组合情况</w:t>
      </w:r>
    </w:p>
    <w:tbl>
      <w:tblPr>
        <w:tblStyle w:val="TableGrid"/>
        <w:tblW w:w="8897" w:type="dxa"/>
        <w:jc w:val="center"/>
        <w:tblLayout w:type="fixed"/>
        <w:tblLook w:val="04A0"/>
      </w:tblPr>
      <w:tblGrid>
        <w:gridCol w:w="720"/>
        <w:gridCol w:w="3357"/>
        <w:gridCol w:w="2977"/>
        <w:gridCol w:w="1843"/>
      </w:tblGrid>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center"/>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序号</w:t>
            </w:r>
          </w:p>
        </w:tc>
        <w:tc>
          <w:tcPr>
            <w:tcW w:w="3357"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center"/>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项目</w:t>
            </w:r>
          </w:p>
        </w:tc>
        <w:tc>
          <w:tcPr>
            <w:tcW w:w="2977"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center"/>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金额(元)</w:t>
            </w:r>
          </w:p>
        </w:tc>
        <w:tc>
          <w:tcPr>
            <w:tcW w:w="1843"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center"/>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占基金总资产的比例(%)</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center"/>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1</w:t>
            </w:r>
          </w:p>
        </w:tc>
        <w:tc>
          <w:tcPr>
            <w:tcW w:w="3357"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lef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权益投资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3,037,647,313.91</w:t>
            </w:r>
          </w:p>
        </w:tc>
        <w:tc>
          <w:tcPr>
            <w:tcW w:w="1843"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11.32</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center"/>
              <w:rPr>
                <w:rFonts w:asciiTheme="minorEastAsia" w:eastAsiaTheme="minorEastAsia" w:hAnsiTheme="minorEastAsia"/>
                <w:color w:val="000000" w:themeColor="text1"/>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lef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其中：股票</w:t>
            </w:r>
          </w:p>
        </w:tc>
        <w:tc>
          <w:tcPr>
            <w:tcW w:w="2977"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3,037,647,313.91</w:t>
            </w:r>
          </w:p>
        </w:tc>
        <w:tc>
          <w:tcPr>
            <w:tcW w:w="1843"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11.32</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center"/>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2</w:t>
            </w:r>
          </w:p>
        </w:tc>
        <w:tc>
          <w:tcPr>
            <w:tcW w:w="3357"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lef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固定收益投资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23,702,179,719.31</w:t>
            </w:r>
          </w:p>
        </w:tc>
        <w:tc>
          <w:tcPr>
            <w:tcW w:w="1843"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88.35</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center"/>
              <w:rPr>
                <w:rFonts w:asciiTheme="minorEastAsia" w:eastAsiaTheme="minorEastAsia" w:hAnsiTheme="minorEastAsia"/>
                <w:color w:val="000000" w:themeColor="text1"/>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lef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其中：债券</w:t>
            </w:r>
          </w:p>
        </w:tc>
        <w:tc>
          <w:tcPr>
            <w:tcW w:w="2977"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23,523,204,531.96</w:t>
            </w:r>
          </w:p>
        </w:tc>
        <w:tc>
          <w:tcPr>
            <w:tcW w:w="1843"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87.69</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center"/>
              <w:rPr>
                <w:rFonts w:asciiTheme="minorEastAsia" w:eastAsiaTheme="minorEastAsia" w:hAnsiTheme="minorEastAsia"/>
                <w:color w:val="000000" w:themeColor="text1"/>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ED044C" w:rsidRPr="00054588">
            <w:pPr>
              <w:autoSpaceDE w:val="0"/>
              <w:autoSpaceDN w:val="0"/>
              <w:adjustRightInd w:val="0"/>
              <w:ind w:left="17"/>
              <w:jc w:val="lef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资产支持证券</w:t>
            </w:r>
          </w:p>
        </w:tc>
        <w:tc>
          <w:tcPr>
            <w:tcW w:w="2977"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178,975,187.35</w:t>
            </w:r>
          </w:p>
        </w:tc>
        <w:tc>
          <w:tcPr>
            <w:tcW w:w="1843"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0.67</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tcPr>
          <w:p w:rsidR="00ED044C" w:rsidRPr="00054588">
            <w:pPr>
              <w:ind w:left="17"/>
              <w:jc w:val="center"/>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3</w:t>
            </w:r>
          </w:p>
        </w:tc>
        <w:tc>
          <w:tcPr>
            <w:tcW w:w="3357" w:type="dxa"/>
            <w:tcBorders>
              <w:top w:val="single" w:sz="0" w:space="0" w:color="000000"/>
              <w:left w:val="single" w:sz="0" w:space="0" w:color="000000"/>
              <w:bottom w:val="single" w:sz="0" w:space="0" w:color="000000"/>
              <w:right w:val="single" w:sz="0" w:space="0" w:color="000000"/>
            </w:tcBorders>
          </w:tcPr>
          <w:p w:rsidR="00ED044C" w:rsidRPr="00054588">
            <w:pPr>
              <w:ind w:left="105" w:leftChars="50"/>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贵金属投资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center"/>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4</w:t>
            </w:r>
          </w:p>
        </w:tc>
        <w:tc>
          <w:tcPr>
            <w:tcW w:w="3357"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lef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金融衍生品投资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center"/>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5</w:t>
            </w:r>
          </w:p>
        </w:tc>
        <w:tc>
          <w:tcPr>
            <w:tcW w:w="3357"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lef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买入返售金融资产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center"/>
              <w:rPr>
                <w:rFonts w:asciiTheme="minorEastAsia" w:eastAsiaTheme="minorEastAsia" w:hAnsiTheme="minorEastAsia"/>
                <w:color w:val="000000" w:themeColor="text1"/>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lef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其中：买断式回购的买入返售金融资产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center"/>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6</w:t>
            </w:r>
          </w:p>
        </w:tc>
        <w:tc>
          <w:tcPr>
            <w:tcW w:w="3357"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lef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银行存款和结算备付金合计</w:t>
            </w:r>
          </w:p>
        </w:tc>
        <w:tc>
          <w:tcPr>
            <w:tcW w:w="2977"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57,001,894.87</w:t>
            </w:r>
          </w:p>
        </w:tc>
        <w:tc>
          <w:tcPr>
            <w:tcW w:w="1843"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0.21</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center"/>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7</w:t>
            </w:r>
          </w:p>
        </w:tc>
        <w:tc>
          <w:tcPr>
            <w:tcW w:w="3357" w:type="dxa"/>
            <w:tcBorders>
              <w:top w:val="single" w:sz="0" w:space="0" w:color="000000"/>
              <w:left w:val="single" w:sz="0" w:space="0" w:color="000000"/>
              <w:bottom w:val="single" w:sz="0" w:space="0" w:color="000000"/>
              <w:right w:val="single" w:sz="0" w:space="0" w:color="000000"/>
            </w:tcBorders>
            <w:vAlign w:val="center"/>
          </w:tcPr>
          <w:p w:rsidR="00ED044C" w:rsidRPr="00054588">
            <w:pPr>
              <w:jc w:val="lef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其他资产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ED044C" w:rsidRPr="00054588">
            <w:pPr>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29,495,354.55</w:t>
            </w:r>
          </w:p>
        </w:tc>
        <w:tc>
          <w:tcPr>
            <w:tcW w:w="1843" w:type="dxa"/>
            <w:tcBorders>
              <w:top w:val="single" w:sz="0" w:space="0" w:color="000000"/>
              <w:left w:val="single" w:sz="0" w:space="0" w:color="000000"/>
              <w:bottom w:val="single" w:sz="0" w:space="0" w:color="000000"/>
              <w:right w:val="single" w:sz="0" w:space="0" w:color="000000"/>
            </w:tcBorders>
            <w:vAlign w:val="center"/>
          </w:tcPr>
          <w:p w:rsidR="00ED044C" w:rsidRPr="00054588">
            <w:pPr>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0.11</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center"/>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8</w:t>
            </w:r>
          </w:p>
        </w:tc>
        <w:tc>
          <w:tcPr>
            <w:tcW w:w="3357" w:type="dxa"/>
            <w:tcBorders>
              <w:top w:val="single" w:sz="0" w:space="0" w:color="000000"/>
              <w:left w:val="single" w:sz="0" w:space="0" w:color="000000"/>
              <w:bottom w:val="single" w:sz="0" w:space="0" w:color="000000"/>
              <w:right w:val="single" w:sz="0" w:space="0" w:color="000000"/>
            </w:tcBorders>
            <w:vAlign w:val="center"/>
          </w:tcPr>
          <w:p w:rsidR="00ED044C" w:rsidRPr="00054588">
            <w:pPr>
              <w:jc w:val="lef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合计</w:t>
            </w:r>
          </w:p>
        </w:tc>
        <w:tc>
          <w:tcPr>
            <w:tcW w:w="2977" w:type="dxa"/>
            <w:tcBorders>
              <w:top w:val="single" w:sz="0" w:space="0" w:color="000000"/>
              <w:left w:val="single" w:sz="0" w:space="0" w:color="000000"/>
              <w:bottom w:val="single" w:sz="0" w:space="0" w:color="000000"/>
              <w:right w:val="single" w:sz="0" w:space="0" w:color="000000"/>
            </w:tcBorders>
            <w:vAlign w:val="center"/>
          </w:tcPr>
          <w:p w:rsidR="00ED044C" w:rsidRPr="00054588">
            <w:pPr>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26,826,324,282.64</w:t>
            </w:r>
          </w:p>
        </w:tc>
        <w:tc>
          <w:tcPr>
            <w:tcW w:w="1843" w:type="dxa"/>
            <w:tcBorders>
              <w:top w:val="single" w:sz="0" w:space="0" w:color="000000"/>
              <w:left w:val="single" w:sz="0" w:space="0" w:color="000000"/>
              <w:bottom w:val="single" w:sz="0" w:space="0" w:color="000000"/>
              <w:right w:val="single" w:sz="0" w:space="0" w:color="000000"/>
            </w:tcBorders>
            <w:vAlign w:val="center"/>
          </w:tcPr>
          <w:p w:rsidR="00ED044C" w:rsidRPr="00054588">
            <w:pPr>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100.00</w:t>
            </w:r>
          </w:p>
        </w:tc>
      </w:tr>
    </w:tbl>
    <w:p w:rsidR="009945FE" w:rsidRPr="00054588" w:rsidP="00054588">
      <w:pPr>
        <w:snapToGrid w:val="0"/>
        <w:spacing w:line="360" w:lineRule="auto"/>
        <w:ind w:firstLine="48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 报告期末按行业分类的股票投资组合</w:t>
      </w:r>
    </w:p>
    <w:p w:rsidR="009945FE" w:rsidRPr="00054588" w:rsidP="00054588">
      <w:pPr>
        <w:snapToGrid w:val="0"/>
        <w:spacing w:line="360" w:lineRule="auto"/>
        <w:ind w:firstLine="48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（1）报告期末按行业分类的境内股票投资组合</w:t>
      </w:r>
    </w:p>
    <w:tbl>
      <w:tblPr>
        <w:tblStyle w:val="TableGrid"/>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40"/>
        <w:gridCol w:w="3691"/>
        <w:gridCol w:w="2852"/>
        <w:gridCol w:w="1648"/>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Ex>
        <w:trPr>
          <w:trHeight w:val="390"/>
        </w:trPr>
        <w:tc>
          <w:tcPr>
            <w:tcW w:w="540" w:type="dxa"/>
            <w:tcBorders>
              <w:top w:val="single" w:sz="0" w:space="0" w:color="000000"/>
              <w:left w:val="single" w:sz="0" w:space="0" w:color="000000"/>
              <w:bottom w:val="single" w:sz="0" w:space="0" w:color="000000"/>
              <w:right w:val="single" w:sz="0" w:space="0" w:color="000000"/>
            </w:tcBorders>
            <w:vAlign w:val="center"/>
          </w:tcPr>
          <w:p w:rsidR="00ED044C" w:rsidRPr="00054588">
            <w:pPr>
              <w:adjustRightInd w:val="0"/>
              <w:snapToGrid w:val="0"/>
              <w:jc w:val="center"/>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代码</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044C" w:rsidRPr="00054588">
            <w:pPr>
              <w:adjustRightInd w:val="0"/>
              <w:snapToGrid w:val="0"/>
              <w:jc w:val="center"/>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行业类别</w:t>
            </w:r>
          </w:p>
        </w:tc>
        <w:tc>
          <w:tcPr>
            <w:tcW w:w="2852" w:type="dxa"/>
            <w:tcBorders>
              <w:top w:val="single" w:sz="0" w:space="0" w:color="000000"/>
              <w:left w:val="single" w:sz="0" w:space="0" w:color="000000"/>
              <w:bottom w:val="single" w:sz="0" w:space="0" w:color="000000"/>
              <w:right w:val="single" w:sz="0" w:space="0" w:color="000000"/>
            </w:tcBorders>
            <w:vAlign w:val="center"/>
          </w:tcPr>
          <w:p w:rsidR="00ED044C" w:rsidRPr="00054588">
            <w:pPr>
              <w:adjustRightInd w:val="0"/>
              <w:snapToGrid w:val="0"/>
              <w:jc w:val="center"/>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公允价值（元）</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044C" w:rsidRPr="00054588">
            <w:pPr>
              <w:adjustRightInd w:val="0"/>
              <w:snapToGrid w:val="0"/>
              <w:jc w:val="center"/>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占基金资产净值比例（％）</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044C" w:rsidRPr="00054588">
            <w:pPr>
              <w:adjustRightInd w:val="0"/>
              <w:snapToGrid w:val="0"/>
              <w:jc w:val="center"/>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A</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044C" w:rsidRPr="00054588">
            <w:pPr>
              <w:adjustRightInd w:val="0"/>
              <w:snapToGrid w:val="0"/>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农、林、牧、渔业</w:t>
            </w:r>
          </w:p>
        </w:tc>
        <w:tc>
          <w:tcPr>
            <w:tcW w:w="2852" w:type="dxa"/>
            <w:tcBorders>
              <w:top w:val="single" w:sz="0" w:space="0" w:color="000000"/>
              <w:left w:val="single" w:sz="0" w:space="0" w:color="000000"/>
              <w:bottom w:val="single" w:sz="0" w:space="0" w:color="000000"/>
              <w:right w:val="single" w:sz="0" w:space="0" w:color="000000"/>
            </w:tcBorders>
            <w:vAlign w:val="center"/>
          </w:tcPr>
          <w:p w:rsidR="00ED044C" w:rsidRPr="00054588">
            <w:pPr>
              <w:autoSpaceDE w:val="0"/>
              <w:autoSpaceDN w:val="0"/>
              <w:adjustRightInd w:val="0"/>
              <w:ind w:left="15"/>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044C" w:rsidRPr="00054588">
            <w:pPr>
              <w:autoSpaceDE w:val="0"/>
              <w:autoSpaceDN w:val="0"/>
              <w:adjustRightInd w:val="0"/>
              <w:ind w:left="15"/>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044C" w:rsidRPr="00054588">
            <w:pPr>
              <w:adjustRightInd w:val="0"/>
              <w:snapToGrid w:val="0"/>
              <w:jc w:val="center"/>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B</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044C" w:rsidRPr="00054588">
            <w:pPr>
              <w:adjustRightInd w:val="0"/>
              <w:snapToGrid w:val="0"/>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采矿业</w:t>
            </w:r>
          </w:p>
        </w:tc>
        <w:tc>
          <w:tcPr>
            <w:tcW w:w="2852" w:type="dxa"/>
            <w:tcBorders>
              <w:top w:val="single" w:sz="0" w:space="0" w:color="000000"/>
              <w:left w:val="single" w:sz="0" w:space="0" w:color="000000"/>
              <w:bottom w:val="single" w:sz="0" w:space="0" w:color="000000"/>
              <w:right w:val="single" w:sz="0" w:space="0" w:color="000000"/>
            </w:tcBorders>
            <w:vAlign w:val="center"/>
          </w:tcPr>
          <w:p w:rsidR="00ED044C" w:rsidRPr="00054588">
            <w:pPr>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481,933,878.72</w:t>
            </w:r>
          </w:p>
          <w:p w:rsidR="00ED044C" w:rsidRPr="00054588">
            <w:pPr>
              <w:jc w:val="right"/>
              <w:rPr>
                <w:rFonts w:asciiTheme="minorEastAsia" w:eastAsiaTheme="minorEastAsia" w:hAnsiTheme="minorEastAsia"/>
                <w:color w:val="000000" w:themeColor="text1"/>
                <w:sz w:val="24"/>
              </w:rPr>
            </w:pP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044C" w:rsidRPr="00054588">
            <w:pPr>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1.92</w:t>
            </w:r>
          </w:p>
          <w:p w:rsidR="00ED044C" w:rsidRPr="00054588">
            <w:pPr>
              <w:jc w:val="right"/>
              <w:rPr>
                <w:rFonts w:asciiTheme="minorEastAsia" w:eastAsiaTheme="minorEastAsia" w:hAnsiTheme="minorEastAsia"/>
                <w:color w:val="000000" w:themeColor="text1"/>
                <w:sz w:val="24"/>
              </w:rPr>
            </w:pP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044C" w:rsidRPr="00054588">
            <w:pPr>
              <w:adjustRightInd w:val="0"/>
              <w:snapToGrid w:val="0"/>
              <w:jc w:val="center"/>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C</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044C" w:rsidRPr="00054588">
            <w:pPr>
              <w:adjustRightInd w:val="0"/>
              <w:snapToGrid w:val="0"/>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制造业</w:t>
            </w:r>
          </w:p>
        </w:tc>
        <w:tc>
          <w:tcPr>
            <w:tcW w:w="2852" w:type="dxa"/>
            <w:tcBorders>
              <w:top w:val="single" w:sz="0" w:space="0" w:color="000000"/>
              <w:left w:val="single" w:sz="0" w:space="0" w:color="000000"/>
              <w:bottom w:val="single" w:sz="0" w:space="0" w:color="000000"/>
              <w:right w:val="single" w:sz="0" w:space="0" w:color="000000"/>
            </w:tcBorders>
            <w:vAlign w:val="center"/>
          </w:tcPr>
          <w:p w:rsidR="00ED044C" w:rsidRPr="00054588">
            <w:pPr>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1,049,944,054.93</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044C" w:rsidRPr="00054588">
            <w:pPr>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4.19</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044C" w:rsidRPr="00054588">
            <w:pPr>
              <w:adjustRightInd w:val="0"/>
              <w:snapToGrid w:val="0"/>
              <w:jc w:val="center"/>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D</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044C" w:rsidRPr="00054588">
            <w:pPr>
              <w:adjustRightInd w:val="0"/>
              <w:snapToGrid w:val="0"/>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电力、热力、燃气及水生产和供应业</w:t>
            </w:r>
          </w:p>
        </w:tc>
        <w:tc>
          <w:tcPr>
            <w:tcW w:w="2852" w:type="dxa"/>
            <w:tcBorders>
              <w:top w:val="single" w:sz="0" w:space="0" w:color="000000"/>
              <w:left w:val="single" w:sz="0" w:space="0" w:color="000000"/>
              <w:bottom w:val="single" w:sz="0" w:space="0" w:color="000000"/>
              <w:right w:val="single" w:sz="0" w:space="0" w:color="000000"/>
            </w:tcBorders>
            <w:vAlign w:val="center"/>
          </w:tcPr>
          <w:p w:rsidR="00ED044C" w:rsidRPr="00054588">
            <w:pPr>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694,807,488.06</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044C" w:rsidRPr="00054588">
            <w:pPr>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2.77</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044C" w:rsidRPr="00054588">
            <w:pPr>
              <w:adjustRightInd w:val="0"/>
              <w:snapToGrid w:val="0"/>
              <w:jc w:val="center"/>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E</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044C" w:rsidRPr="00054588">
            <w:pPr>
              <w:adjustRightInd w:val="0"/>
              <w:snapToGrid w:val="0"/>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建筑业</w:t>
            </w:r>
          </w:p>
        </w:tc>
        <w:tc>
          <w:tcPr>
            <w:tcW w:w="2852" w:type="dxa"/>
            <w:tcBorders>
              <w:top w:val="single" w:sz="0" w:space="0" w:color="000000"/>
              <w:left w:val="single" w:sz="0" w:space="0" w:color="000000"/>
              <w:bottom w:val="single" w:sz="0" w:space="0" w:color="000000"/>
              <w:right w:val="single" w:sz="0" w:space="0" w:color="000000"/>
            </w:tcBorders>
            <w:vAlign w:val="center"/>
          </w:tcPr>
          <w:p w:rsidR="00ED044C" w:rsidRPr="00054588">
            <w:pPr>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56,541,180.24</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044C" w:rsidRPr="00054588">
            <w:pPr>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0.23</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044C" w:rsidRPr="00054588">
            <w:pPr>
              <w:adjustRightInd w:val="0"/>
              <w:snapToGrid w:val="0"/>
              <w:jc w:val="center"/>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F</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044C" w:rsidRPr="00054588">
            <w:pPr>
              <w:adjustRightInd w:val="0"/>
              <w:snapToGrid w:val="0"/>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批发和零售业</w:t>
            </w:r>
          </w:p>
        </w:tc>
        <w:tc>
          <w:tcPr>
            <w:tcW w:w="2852" w:type="dxa"/>
            <w:tcBorders>
              <w:top w:val="single" w:sz="0" w:space="0" w:color="000000"/>
              <w:left w:val="single" w:sz="0" w:space="0" w:color="000000"/>
              <w:bottom w:val="single" w:sz="0" w:space="0" w:color="000000"/>
              <w:right w:val="single" w:sz="0" w:space="0" w:color="000000"/>
            </w:tcBorders>
            <w:vAlign w:val="center"/>
          </w:tcPr>
          <w:p w:rsidR="00ED044C" w:rsidRPr="00054588">
            <w:pPr>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23,925,726.38</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044C" w:rsidRPr="00054588">
            <w:pPr>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0.10</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044C" w:rsidRPr="00054588">
            <w:pPr>
              <w:adjustRightInd w:val="0"/>
              <w:snapToGrid w:val="0"/>
              <w:jc w:val="center"/>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G</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044C" w:rsidRPr="00054588">
            <w:pPr>
              <w:adjustRightInd w:val="0"/>
              <w:snapToGrid w:val="0"/>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交通运输、仓储和邮政业</w:t>
            </w:r>
          </w:p>
        </w:tc>
        <w:tc>
          <w:tcPr>
            <w:tcW w:w="2852" w:type="dxa"/>
            <w:tcBorders>
              <w:top w:val="single" w:sz="0" w:space="0" w:color="000000"/>
              <w:left w:val="single" w:sz="0" w:space="0" w:color="000000"/>
              <w:bottom w:val="single" w:sz="0" w:space="0" w:color="000000"/>
              <w:right w:val="single" w:sz="0" w:space="0" w:color="000000"/>
            </w:tcBorders>
            <w:vAlign w:val="center"/>
          </w:tcPr>
          <w:p w:rsidR="00ED044C" w:rsidRPr="00054588">
            <w:pPr>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438,936,080.94</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044C" w:rsidRPr="00054588">
            <w:pPr>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1.75</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044C" w:rsidRPr="00054588">
            <w:pPr>
              <w:adjustRightInd w:val="0"/>
              <w:snapToGrid w:val="0"/>
              <w:jc w:val="center"/>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H</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044C" w:rsidRPr="00054588">
            <w:pPr>
              <w:adjustRightInd w:val="0"/>
              <w:snapToGrid w:val="0"/>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住宿和餐饮业</w:t>
            </w:r>
          </w:p>
        </w:tc>
        <w:tc>
          <w:tcPr>
            <w:tcW w:w="2852" w:type="dxa"/>
            <w:tcBorders>
              <w:top w:val="single" w:sz="0" w:space="0" w:color="000000"/>
              <w:left w:val="single" w:sz="0" w:space="0" w:color="000000"/>
              <w:bottom w:val="single" w:sz="0" w:space="0" w:color="000000"/>
              <w:right w:val="single" w:sz="0" w:space="0" w:color="000000"/>
            </w:tcBorders>
            <w:vAlign w:val="center"/>
          </w:tcPr>
          <w:p w:rsidR="00ED044C" w:rsidRPr="00054588">
            <w:pPr>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044C" w:rsidRPr="00054588">
            <w:pPr>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044C" w:rsidRPr="00054588">
            <w:pPr>
              <w:adjustRightInd w:val="0"/>
              <w:snapToGrid w:val="0"/>
              <w:jc w:val="center"/>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I</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044C" w:rsidRPr="00054588">
            <w:pPr>
              <w:adjustRightInd w:val="0"/>
              <w:snapToGrid w:val="0"/>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信息传输、软件和信息技术服务业</w:t>
            </w:r>
          </w:p>
        </w:tc>
        <w:tc>
          <w:tcPr>
            <w:tcW w:w="2852" w:type="dxa"/>
            <w:tcBorders>
              <w:top w:val="single" w:sz="0" w:space="0" w:color="000000"/>
              <w:left w:val="single" w:sz="0" w:space="0" w:color="000000"/>
              <w:bottom w:val="single" w:sz="0" w:space="0" w:color="000000"/>
              <w:right w:val="single" w:sz="0" w:space="0" w:color="000000"/>
            </w:tcBorders>
            <w:vAlign w:val="center"/>
          </w:tcPr>
          <w:p w:rsidR="00ED044C" w:rsidRPr="00054588">
            <w:pPr>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41,942,209.60</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044C" w:rsidRPr="00054588">
            <w:pPr>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0.17</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044C" w:rsidRPr="00054588">
            <w:pPr>
              <w:adjustRightInd w:val="0"/>
              <w:snapToGrid w:val="0"/>
              <w:jc w:val="center"/>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J</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044C" w:rsidRPr="00054588">
            <w:pPr>
              <w:adjustRightInd w:val="0"/>
              <w:snapToGrid w:val="0"/>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金融业</w:t>
            </w:r>
          </w:p>
        </w:tc>
        <w:tc>
          <w:tcPr>
            <w:tcW w:w="2852" w:type="dxa"/>
            <w:tcBorders>
              <w:top w:val="single" w:sz="0" w:space="0" w:color="000000"/>
              <w:left w:val="single" w:sz="0" w:space="0" w:color="000000"/>
              <w:bottom w:val="single" w:sz="0" w:space="0" w:color="000000"/>
              <w:right w:val="single" w:sz="0" w:space="0" w:color="000000"/>
            </w:tcBorders>
            <w:vAlign w:val="center"/>
          </w:tcPr>
          <w:p w:rsidR="00ED044C" w:rsidRPr="00054588">
            <w:pPr>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209,697,231.49</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044C" w:rsidRPr="00054588">
            <w:pPr>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0.84</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044C" w:rsidRPr="00054588">
            <w:pPr>
              <w:adjustRightInd w:val="0"/>
              <w:snapToGrid w:val="0"/>
              <w:jc w:val="center"/>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K</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044C" w:rsidRPr="00054588">
            <w:pPr>
              <w:adjustRightInd w:val="0"/>
              <w:snapToGrid w:val="0"/>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房地产业</w:t>
            </w:r>
          </w:p>
        </w:tc>
        <w:tc>
          <w:tcPr>
            <w:tcW w:w="2852" w:type="dxa"/>
            <w:tcBorders>
              <w:top w:val="single" w:sz="0" w:space="0" w:color="000000"/>
              <w:left w:val="single" w:sz="0" w:space="0" w:color="000000"/>
              <w:bottom w:val="single" w:sz="0" w:space="0" w:color="000000"/>
              <w:right w:val="single" w:sz="0" w:space="0" w:color="000000"/>
            </w:tcBorders>
            <w:vAlign w:val="center"/>
          </w:tcPr>
          <w:p w:rsidR="00ED044C" w:rsidRPr="00054588">
            <w:pPr>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044C" w:rsidRPr="00054588">
            <w:pPr>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044C" w:rsidRPr="00054588">
            <w:pPr>
              <w:adjustRightInd w:val="0"/>
              <w:snapToGrid w:val="0"/>
              <w:jc w:val="center"/>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L</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044C" w:rsidRPr="00054588">
            <w:pPr>
              <w:adjustRightInd w:val="0"/>
              <w:snapToGrid w:val="0"/>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租赁和商务服务业</w:t>
            </w:r>
          </w:p>
        </w:tc>
        <w:tc>
          <w:tcPr>
            <w:tcW w:w="2852" w:type="dxa"/>
            <w:tcBorders>
              <w:top w:val="single" w:sz="0" w:space="0" w:color="000000"/>
              <w:left w:val="single" w:sz="0" w:space="0" w:color="000000"/>
              <w:bottom w:val="single" w:sz="0" w:space="0" w:color="000000"/>
              <w:right w:val="single" w:sz="0" w:space="0" w:color="000000"/>
            </w:tcBorders>
            <w:vAlign w:val="center"/>
          </w:tcPr>
          <w:p w:rsidR="00ED044C" w:rsidRPr="00054588">
            <w:pPr>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044C" w:rsidRPr="00054588">
            <w:pPr>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044C" w:rsidRPr="00054588">
            <w:pPr>
              <w:adjustRightInd w:val="0"/>
              <w:snapToGrid w:val="0"/>
              <w:jc w:val="center"/>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M</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044C" w:rsidRPr="00054588">
            <w:pPr>
              <w:adjustRightInd w:val="0"/>
              <w:snapToGrid w:val="0"/>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科学研究和技术服务业</w:t>
            </w:r>
          </w:p>
        </w:tc>
        <w:tc>
          <w:tcPr>
            <w:tcW w:w="2852" w:type="dxa"/>
            <w:tcBorders>
              <w:top w:val="single" w:sz="0" w:space="0" w:color="000000"/>
              <w:left w:val="single" w:sz="0" w:space="0" w:color="000000"/>
              <w:bottom w:val="single" w:sz="0" w:space="0" w:color="000000"/>
              <w:right w:val="single" w:sz="0" w:space="0" w:color="000000"/>
            </w:tcBorders>
            <w:vAlign w:val="center"/>
          </w:tcPr>
          <w:p w:rsidR="00ED044C" w:rsidRPr="00054588">
            <w:pPr>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044C" w:rsidRPr="00054588">
            <w:pPr>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044C" w:rsidRPr="00054588">
            <w:pPr>
              <w:adjustRightInd w:val="0"/>
              <w:snapToGrid w:val="0"/>
              <w:jc w:val="center"/>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N</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044C" w:rsidRPr="00054588">
            <w:pPr>
              <w:adjustRightInd w:val="0"/>
              <w:snapToGrid w:val="0"/>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水利、环境和公共设施管理业</w:t>
            </w:r>
          </w:p>
        </w:tc>
        <w:tc>
          <w:tcPr>
            <w:tcW w:w="2852" w:type="dxa"/>
            <w:tcBorders>
              <w:top w:val="single" w:sz="0" w:space="0" w:color="000000"/>
              <w:left w:val="single" w:sz="0" w:space="0" w:color="000000"/>
              <w:bottom w:val="single" w:sz="0" w:space="0" w:color="000000"/>
              <w:right w:val="single" w:sz="0" w:space="0" w:color="000000"/>
            </w:tcBorders>
            <w:vAlign w:val="center"/>
          </w:tcPr>
          <w:p w:rsidR="00ED044C" w:rsidRPr="00054588">
            <w:pPr>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39,919,463.55</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044C" w:rsidRPr="00054588">
            <w:pPr>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0.16</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044C" w:rsidRPr="00054588">
            <w:pPr>
              <w:adjustRightInd w:val="0"/>
              <w:snapToGrid w:val="0"/>
              <w:jc w:val="center"/>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O</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044C" w:rsidRPr="00054588">
            <w:pPr>
              <w:adjustRightInd w:val="0"/>
              <w:snapToGrid w:val="0"/>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居民服务、修理和其他服务业</w:t>
            </w:r>
          </w:p>
        </w:tc>
        <w:tc>
          <w:tcPr>
            <w:tcW w:w="2852" w:type="dxa"/>
            <w:tcBorders>
              <w:top w:val="single" w:sz="0" w:space="0" w:color="000000"/>
              <w:left w:val="single" w:sz="0" w:space="0" w:color="000000"/>
              <w:bottom w:val="single" w:sz="0" w:space="0" w:color="000000"/>
              <w:right w:val="single" w:sz="0" w:space="0" w:color="000000"/>
            </w:tcBorders>
            <w:vAlign w:val="center"/>
          </w:tcPr>
          <w:p w:rsidR="00ED044C" w:rsidRPr="00054588">
            <w:pPr>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044C" w:rsidRPr="00054588">
            <w:pPr>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044C" w:rsidRPr="00054588">
            <w:pPr>
              <w:adjustRightInd w:val="0"/>
              <w:snapToGrid w:val="0"/>
              <w:jc w:val="center"/>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P</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044C" w:rsidRPr="00054588">
            <w:pPr>
              <w:adjustRightInd w:val="0"/>
              <w:snapToGrid w:val="0"/>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教育</w:t>
            </w:r>
          </w:p>
        </w:tc>
        <w:tc>
          <w:tcPr>
            <w:tcW w:w="2852" w:type="dxa"/>
            <w:tcBorders>
              <w:top w:val="single" w:sz="0" w:space="0" w:color="000000"/>
              <w:left w:val="single" w:sz="0" w:space="0" w:color="000000"/>
              <w:bottom w:val="single" w:sz="0" w:space="0" w:color="000000"/>
              <w:right w:val="single" w:sz="0" w:space="0" w:color="000000"/>
            </w:tcBorders>
            <w:vAlign w:val="center"/>
          </w:tcPr>
          <w:p w:rsidR="00ED044C" w:rsidRPr="00054588">
            <w:pPr>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044C" w:rsidRPr="00054588">
            <w:pPr>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044C" w:rsidRPr="00054588">
            <w:pPr>
              <w:adjustRightInd w:val="0"/>
              <w:snapToGrid w:val="0"/>
              <w:jc w:val="center"/>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Q</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044C" w:rsidRPr="00054588">
            <w:pPr>
              <w:adjustRightInd w:val="0"/>
              <w:snapToGrid w:val="0"/>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卫生和社会工作</w:t>
            </w:r>
          </w:p>
        </w:tc>
        <w:tc>
          <w:tcPr>
            <w:tcW w:w="2852" w:type="dxa"/>
            <w:tcBorders>
              <w:top w:val="single" w:sz="0" w:space="0" w:color="000000"/>
              <w:left w:val="single" w:sz="0" w:space="0" w:color="000000"/>
              <w:bottom w:val="single" w:sz="0" w:space="0" w:color="000000"/>
              <w:right w:val="single" w:sz="0" w:space="0" w:color="000000"/>
            </w:tcBorders>
            <w:vAlign w:val="center"/>
          </w:tcPr>
          <w:p w:rsidR="00ED044C" w:rsidRPr="00054588">
            <w:pPr>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044C" w:rsidRPr="00054588">
            <w:pPr>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044C" w:rsidRPr="00054588">
            <w:pPr>
              <w:adjustRightInd w:val="0"/>
              <w:snapToGrid w:val="0"/>
              <w:jc w:val="center"/>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R</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044C" w:rsidRPr="00054588">
            <w:pPr>
              <w:adjustRightInd w:val="0"/>
              <w:snapToGrid w:val="0"/>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文化、体育和娱乐业</w:t>
            </w:r>
          </w:p>
        </w:tc>
        <w:tc>
          <w:tcPr>
            <w:tcW w:w="2852" w:type="dxa"/>
            <w:tcBorders>
              <w:top w:val="single" w:sz="0" w:space="0" w:color="000000"/>
              <w:left w:val="single" w:sz="0" w:space="0" w:color="000000"/>
              <w:bottom w:val="single" w:sz="0" w:space="0" w:color="000000"/>
              <w:right w:val="single" w:sz="0" w:space="0" w:color="000000"/>
            </w:tcBorders>
            <w:vAlign w:val="center"/>
          </w:tcPr>
          <w:p w:rsidR="00ED044C" w:rsidRPr="00054588">
            <w:pPr>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044C" w:rsidRPr="00054588">
            <w:pPr>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044C" w:rsidRPr="00054588">
            <w:pPr>
              <w:adjustRightInd w:val="0"/>
              <w:snapToGrid w:val="0"/>
              <w:jc w:val="center"/>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S</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044C" w:rsidRPr="00054588">
            <w:pPr>
              <w:adjustRightInd w:val="0"/>
              <w:snapToGrid w:val="0"/>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综合</w:t>
            </w:r>
          </w:p>
        </w:tc>
        <w:tc>
          <w:tcPr>
            <w:tcW w:w="2852" w:type="dxa"/>
            <w:tcBorders>
              <w:top w:val="single" w:sz="0" w:space="0" w:color="000000"/>
              <w:left w:val="single" w:sz="0" w:space="0" w:color="000000"/>
              <w:bottom w:val="single" w:sz="0" w:space="0" w:color="000000"/>
              <w:right w:val="single" w:sz="0" w:space="0" w:color="000000"/>
            </w:tcBorders>
            <w:vAlign w:val="center"/>
          </w:tcPr>
          <w:p w:rsidR="00ED044C" w:rsidRPr="00054588">
            <w:pPr>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044C" w:rsidRPr="00054588">
            <w:pPr>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w:t>
            </w:r>
          </w:p>
        </w:tc>
      </w:tr>
      <w:tr>
        <w:tblPrEx>
          <w:tblW w:w="0" w:type="auto"/>
          <w:tblInd w:w="108" w:type="dxa"/>
          <w:tblLayout w:type="fixed"/>
          <w:tblCellMar>
            <w:left w:w="0" w:type="dxa"/>
            <w:right w:w="0" w:type="dxa"/>
          </w:tblCellMar>
          <w:tblLook w:val="04A0"/>
        </w:tblPrEx>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044C" w:rsidRPr="00054588">
            <w:pPr>
              <w:adjustRightInd w:val="0"/>
              <w:snapToGrid w:val="0"/>
              <w:jc w:val="center"/>
              <w:rPr>
                <w:rFonts w:asciiTheme="minorEastAsia" w:eastAsiaTheme="minorEastAsia" w:hAnsiTheme="minorEastAsia"/>
                <w:color w:val="000000" w:themeColor="text1"/>
                <w:sz w:val="24"/>
              </w:rPr>
            </w:pP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044C" w:rsidRPr="00054588">
            <w:pPr>
              <w:adjustRightInd w:val="0"/>
              <w:snapToGrid w:val="0"/>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合计</w:t>
            </w:r>
          </w:p>
        </w:tc>
        <w:tc>
          <w:tcPr>
            <w:tcW w:w="2852" w:type="dxa"/>
            <w:tcBorders>
              <w:top w:val="single" w:sz="0" w:space="0" w:color="000000"/>
              <w:left w:val="single" w:sz="0" w:space="0" w:color="000000"/>
              <w:bottom w:val="single" w:sz="0" w:space="0" w:color="000000"/>
              <w:right w:val="single" w:sz="0" w:space="0" w:color="000000"/>
            </w:tcBorders>
            <w:vAlign w:val="center"/>
          </w:tcPr>
          <w:p w:rsidR="00ED044C" w:rsidRPr="00054588">
            <w:pPr>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3,037,647,313.91</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ED044C" w:rsidRPr="00054588">
            <w:pPr>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12.12</w:t>
            </w:r>
          </w:p>
        </w:tc>
      </w:tr>
    </w:tbl>
    <w:p w:rsidR="009945FE" w:rsidRPr="00054588" w:rsidP="00054588">
      <w:pPr>
        <w:snapToGrid w:val="0"/>
        <w:spacing w:line="360" w:lineRule="auto"/>
        <w:ind w:firstLine="48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3、 期末按公允价值占基金资产净值比例大小排序的股票投资明细</w:t>
      </w:r>
    </w:p>
    <w:p w:rsidR="009945FE" w:rsidRPr="00054588" w:rsidP="00054588">
      <w:pPr>
        <w:snapToGrid w:val="0"/>
        <w:spacing w:line="360" w:lineRule="auto"/>
        <w:ind w:firstLine="48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 报告期末按公允价值占基金资产净值比例大小排序的前十名股票投资明细</w:t>
      </w:r>
    </w:p>
    <w:tbl>
      <w:tblPr>
        <w:tblStyle w:val="TableGrid"/>
        <w:tblW w:w="8790" w:type="dxa"/>
        <w:jc w:val="center"/>
        <w:tblLayout w:type="fixed"/>
        <w:tblLook w:val="04A0"/>
      </w:tblPr>
      <w:tblGrid>
        <w:gridCol w:w="852"/>
        <w:gridCol w:w="1276"/>
        <w:gridCol w:w="1418"/>
        <w:gridCol w:w="1701"/>
        <w:gridCol w:w="1984"/>
        <w:gridCol w:w="1559"/>
      </w:tblGrid>
      <w:tr>
        <w:tblPrEx>
          <w:tblW w:w="8790" w:type="dxa"/>
          <w:jc w:val="center"/>
          <w:tblLayout w:type="fixed"/>
          <w:tblLook w:val="04A0"/>
        </w:tblPrEx>
        <w:trPr>
          <w:jc w:val="center"/>
        </w:trPr>
        <w:tc>
          <w:tcPr>
            <w:tcW w:w="851"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center"/>
              <w:rPr>
                <w:rFonts w:asciiTheme="minorEastAsia" w:eastAsiaTheme="minorEastAsia" w:hAnsiTheme="minorEastAsia"/>
                <w:color w:val="000000" w:themeColor="text1"/>
                <w:kern w:val="0"/>
                <w:sz w:val="24"/>
              </w:rPr>
            </w:pPr>
            <w:r w:rsidRPr="00054588">
              <w:rPr>
                <w:rFonts w:asciiTheme="minorEastAsia" w:eastAsiaTheme="minorEastAsia" w:hAnsiTheme="minorEastAsia" w:hint="eastAsia"/>
                <w:color w:val="000000" w:themeColor="text1"/>
                <w:kern w:val="0"/>
              </w:rPr>
              <w:t>序号</w:t>
            </w:r>
          </w:p>
        </w:tc>
        <w:tc>
          <w:tcPr>
            <w:tcW w:w="1276"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center"/>
              <w:rPr>
                <w:rFonts w:asciiTheme="minorEastAsia" w:eastAsiaTheme="minorEastAsia" w:hAnsiTheme="minorEastAsia"/>
                <w:color w:val="000000" w:themeColor="text1"/>
                <w:kern w:val="0"/>
                <w:sz w:val="24"/>
              </w:rPr>
            </w:pPr>
            <w:r w:rsidRPr="00054588">
              <w:rPr>
                <w:rFonts w:asciiTheme="minorEastAsia" w:eastAsiaTheme="minorEastAsia" w:hAnsiTheme="minorEastAsia" w:hint="eastAsia"/>
                <w:color w:val="000000" w:themeColor="text1"/>
                <w:kern w:val="0"/>
              </w:rPr>
              <w:t>股票代码</w:t>
            </w:r>
          </w:p>
        </w:tc>
        <w:tc>
          <w:tcPr>
            <w:tcW w:w="1418"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center"/>
              <w:rPr>
                <w:rFonts w:asciiTheme="minorEastAsia" w:eastAsiaTheme="minorEastAsia" w:hAnsiTheme="minorEastAsia"/>
                <w:color w:val="000000" w:themeColor="text1"/>
                <w:kern w:val="0"/>
                <w:sz w:val="24"/>
              </w:rPr>
            </w:pPr>
            <w:r w:rsidRPr="00054588">
              <w:rPr>
                <w:rFonts w:asciiTheme="minorEastAsia" w:eastAsiaTheme="minorEastAsia" w:hAnsiTheme="minorEastAsia" w:hint="eastAsia"/>
                <w:color w:val="000000" w:themeColor="text1"/>
                <w:kern w:val="0"/>
              </w:rPr>
              <w:t>股票名称</w:t>
            </w:r>
          </w:p>
        </w:tc>
        <w:tc>
          <w:tcPr>
            <w:tcW w:w="1701"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center"/>
              <w:rPr>
                <w:rFonts w:asciiTheme="minorEastAsia" w:eastAsiaTheme="minorEastAsia" w:hAnsiTheme="minorEastAsia"/>
                <w:color w:val="000000" w:themeColor="text1"/>
                <w:kern w:val="0"/>
                <w:sz w:val="24"/>
              </w:rPr>
            </w:pPr>
            <w:r w:rsidRPr="00054588">
              <w:rPr>
                <w:rFonts w:asciiTheme="minorEastAsia" w:eastAsiaTheme="minorEastAsia" w:hAnsiTheme="minorEastAsia" w:hint="eastAsia"/>
                <w:color w:val="000000" w:themeColor="text1"/>
                <w:kern w:val="0"/>
              </w:rPr>
              <w:t>数量（股）</w:t>
            </w:r>
          </w:p>
        </w:tc>
        <w:tc>
          <w:tcPr>
            <w:tcW w:w="1984" w:type="dxa"/>
            <w:tcBorders>
              <w:top w:val="single" w:sz="0" w:space="0" w:color="000000"/>
              <w:left w:val="single" w:sz="0" w:space="0" w:color="000000"/>
              <w:bottom w:val="single" w:sz="0" w:space="0" w:color="000000"/>
              <w:right w:val="single" w:sz="0" w:space="0" w:color="000000"/>
            </w:tcBorders>
            <w:vAlign w:val="center"/>
          </w:tcPr>
          <w:p w:rsidR="00ED044C" w:rsidRPr="00054588">
            <w:pPr>
              <w:autoSpaceDE w:val="0"/>
              <w:autoSpaceDN w:val="0"/>
              <w:adjustRightInd w:val="0"/>
              <w:ind w:left="17"/>
              <w:jc w:val="center"/>
              <w:rPr>
                <w:rFonts w:asciiTheme="minorEastAsia" w:eastAsiaTheme="minorEastAsia" w:hAnsiTheme="minorEastAsia"/>
                <w:color w:val="000000" w:themeColor="text1"/>
                <w:kern w:val="0"/>
                <w:sz w:val="24"/>
              </w:rPr>
            </w:pPr>
            <w:r w:rsidRPr="00054588">
              <w:rPr>
                <w:rFonts w:asciiTheme="minorEastAsia" w:eastAsiaTheme="minorEastAsia" w:hAnsiTheme="minorEastAsia" w:hint="eastAsia"/>
                <w:color w:val="000000" w:themeColor="text1"/>
                <w:kern w:val="0"/>
              </w:rPr>
              <w:t>公允价值（元）</w:t>
            </w:r>
          </w:p>
        </w:tc>
        <w:tc>
          <w:tcPr>
            <w:tcW w:w="1559"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center"/>
              <w:rPr>
                <w:rFonts w:asciiTheme="minorEastAsia" w:eastAsiaTheme="minorEastAsia" w:hAnsiTheme="minorEastAsia"/>
                <w:color w:val="000000" w:themeColor="text1"/>
                <w:kern w:val="0"/>
                <w:sz w:val="24"/>
              </w:rPr>
            </w:pPr>
            <w:r w:rsidRPr="00054588">
              <w:rPr>
                <w:rFonts w:asciiTheme="minorEastAsia" w:eastAsiaTheme="minorEastAsia" w:hAnsiTheme="minorEastAsia" w:hint="eastAsia"/>
                <w:color w:val="000000" w:themeColor="text1"/>
                <w:kern w:val="0"/>
              </w:rPr>
              <w:t>占基金资产净值比例（％）</w:t>
            </w:r>
          </w:p>
        </w:tc>
      </w:tr>
      <w:tr>
        <w:tblPrEx>
          <w:tblW w:w="8790" w:type="dxa"/>
          <w:jc w:val="center"/>
          <w:tblLayout w:type="fixed"/>
          <w:tblLook w:val="04A0"/>
        </w:tblPrEx>
        <w:trPr>
          <w:jc w:val="center"/>
        </w:trPr>
        <w:tc>
          <w:tcPr>
            <w:tcW w:w="852" w:type="dxa"/>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kern w:val="0"/>
              </w:rPr>
              <w:t>1</w:t>
            </w:r>
          </w:p>
        </w:tc>
        <w:tc>
          <w:tcPr>
            <w:tcW w:w="1276" w:type="dxa"/>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kern w:val="0"/>
              </w:rPr>
              <w:t>600900</w:t>
            </w:r>
          </w:p>
        </w:tc>
        <w:tc>
          <w:tcPr>
            <w:tcW w:w="1418" w:type="dxa"/>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kern w:val="0"/>
              </w:rPr>
              <w:t>长江电力</w:t>
            </w:r>
          </w:p>
        </w:tc>
        <w:tc>
          <w:tcPr>
            <w:tcW w:w="1701" w:type="dxa"/>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kern w:val="0"/>
              </w:rPr>
              <w:t>30,554,419</w:t>
            </w:r>
          </w:p>
        </w:tc>
        <w:tc>
          <w:tcPr>
            <w:tcW w:w="1984" w:type="dxa"/>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kern w:val="0"/>
              </w:rPr>
              <w:t>694,807,488.06</w:t>
            </w:r>
          </w:p>
        </w:tc>
        <w:tc>
          <w:tcPr>
            <w:tcW w:w="1559" w:type="dxa"/>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kern w:val="0"/>
              </w:rPr>
              <w:t>2.77</w:t>
            </w:r>
          </w:p>
        </w:tc>
      </w:tr>
      <w:tr>
        <w:tblPrEx>
          <w:tblW w:w="8790" w:type="dxa"/>
          <w:jc w:val="center"/>
          <w:tblLayout w:type="fixed"/>
          <w:tblLook w:val="04A0"/>
        </w:tblPrEx>
        <w:trPr>
          <w:jc w:val="center"/>
        </w:trPr>
        <w:tc>
          <w:tcPr>
            <w:tcW w:w="852" w:type="dxa"/>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kern w:val="0"/>
              </w:rPr>
              <w:t>2</w:t>
            </w:r>
          </w:p>
        </w:tc>
        <w:tc>
          <w:tcPr>
            <w:tcW w:w="1276" w:type="dxa"/>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kern w:val="0"/>
              </w:rPr>
              <w:t>601899</w:t>
            </w:r>
          </w:p>
        </w:tc>
        <w:tc>
          <w:tcPr>
            <w:tcW w:w="1418" w:type="dxa"/>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kern w:val="0"/>
              </w:rPr>
              <w:t>紫金矿业</w:t>
            </w:r>
          </w:p>
        </w:tc>
        <w:tc>
          <w:tcPr>
            <w:tcW w:w="1701" w:type="dxa"/>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kern w:val="0"/>
              </w:rPr>
              <w:t>61,471,158</w:t>
            </w:r>
          </w:p>
        </w:tc>
        <w:tc>
          <w:tcPr>
            <w:tcW w:w="1984" w:type="dxa"/>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kern w:val="0"/>
              </w:rPr>
              <w:t>481,933,878.72</w:t>
            </w:r>
          </w:p>
        </w:tc>
        <w:tc>
          <w:tcPr>
            <w:tcW w:w="1559" w:type="dxa"/>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kern w:val="0"/>
              </w:rPr>
              <w:t>1.92</w:t>
            </w:r>
          </w:p>
        </w:tc>
      </w:tr>
      <w:tr>
        <w:tblPrEx>
          <w:tblW w:w="8790" w:type="dxa"/>
          <w:jc w:val="center"/>
          <w:tblLayout w:type="fixed"/>
          <w:tblLook w:val="04A0"/>
        </w:tblPrEx>
        <w:trPr>
          <w:jc w:val="center"/>
        </w:trPr>
        <w:tc>
          <w:tcPr>
            <w:tcW w:w="852" w:type="dxa"/>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kern w:val="0"/>
              </w:rPr>
              <w:t>3</w:t>
            </w:r>
          </w:p>
        </w:tc>
        <w:tc>
          <w:tcPr>
            <w:tcW w:w="1276" w:type="dxa"/>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kern w:val="0"/>
              </w:rPr>
              <w:t>600887</w:t>
            </w:r>
          </w:p>
        </w:tc>
        <w:tc>
          <w:tcPr>
            <w:tcW w:w="1418" w:type="dxa"/>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kern w:val="0"/>
              </w:rPr>
              <w:t>伊利股份</w:t>
            </w:r>
          </w:p>
        </w:tc>
        <w:tc>
          <w:tcPr>
            <w:tcW w:w="1701" w:type="dxa"/>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kern w:val="0"/>
              </w:rPr>
              <w:t>8,800,047</w:t>
            </w:r>
          </w:p>
        </w:tc>
        <w:tc>
          <w:tcPr>
            <w:tcW w:w="1984" w:type="dxa"/>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kern w:val="0"/>
              </w:rPr>
              <w:t>290,225,550.06</w:t>
            </w:r>
          </w:p>
        </w:tc>
        <w:tc>
          <w:tcPr>
            <w:tcW w:w="1559" w:type="dxa"/>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kern w:val="0"/>
              </w:rPr>
              <w:t>1.16</w:t>
            </w:r>
          </w:p>
        </w:tc>
      </w:tr>
      <w:tr>
        <w:tblPrEx>
          <w:tblW w:w="8790" w:type="dxa"/>
          <w:jc w:val="center"/>
          <w:tblLayout w:type="fixed"/>
          <w:tblLook w:val="04A0"/>
        </w:tblPrEx>
        <w:trPr>
          <w:jc w:val="center"/>
        </w:trPr>
        <w:tc>
          <w:tcPr>
            <w:tcW w:w="852" w:type="dxa"/>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kern w:val="0"/>
              </w:rPr>
              <w:t>4</w:t>
            </w:r>
          </w:p>
        </w:tc>
        <w:tc>
          <w:tcPr>
            <w:tcW w:w="1276" w:type="dxa"/>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kern w:val="0"/>
              </w:rPr>
              <w:t>600690</w:t>
            </w:r>
          </w:p>
        </w:tc>
        <w:tc>
          <w:tcPr>
            <w:tcW w:w="1418" w:type="dxa"/>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kern w:val="0"/>
              </w:rPr>
              <w:t>海尔智家</w:t>
            </w:r>
          </w:p>
        </w:tc>
        <w:tc>
          <w:tcPr>
            <w:tcW w:w="1701" w:type="dxa"/>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kern w:val="0"/>
              </w:rPr>
              <w:t>7,148,894</w:t>
            </w:r>
          </w:p>
        </w:tc>
        <w:tc>
          <w:tcPr>
            <w:tcW w:w="1984" w:type="dxa"/>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kern w:val="0"/>
              </w:rPr>
              <w:t>177,078,104.38</w:t>
            </w:r>
          </w:p>
        </w:tc>
        <w:tc>
          <w:tcPr>
            <w:tcW w:w="1559" w:type="dxa"/>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kern w:val="0"/>
              </w:rPr>
              <w:t>0.71</w:t>
            </w:r>
          </w:p>
        </w:tc>
      </w:tr>
      <w:tr>
        <w:tblPrEx>
          <w:tblW w:w="8790" w:type="dxa"/>
          <w:jc w:val="center"/>
          <w:tblLayout w:type="fixed"/>
          <w:tblLook w:val="04A0"/>
        </w:tblPrEx>
        <w:trPr>
          <w:jc w:val="center"/>
        </w:trPr>
        <w:tc>
          <w:tcPr>
            <w:tcW w:w="852" w:type="dxa"/>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kern w:val="0"/>
              </w:rPr>
              <w:t>5</w:t>
            </w:r>
          </w:p>
        </w:tc>
        <w:tc>
          <w:tcPr>
            <w:tcW w:w="1276" w:type="dxa"/>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kern w:val="0"/>
              </w:rPr>
              <w:t>002352</w:t>
            </w:r>
          </w:p>
        </w:tc>
        <w:tc>
          <w:tcPr>
            <w:tcW w:w="1418" w:type="dxa"/>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kern w:val="0"/>
              </w:rPr>
              <w:t>顺丰控股</w:t>
            </w:r>
          </w:p>
        </w:tc>
        <w:tc>
          <w:tcPr>
            <w:tcW w:w="1701" w:type="dxa"/>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kern w:val="0"/>
              </w:rPr>
              <w:t>3,412,768</w:t>
            </w:r>
          </w:p>
        </w:tc>
        <w:tc>
          <w:tcPr>
            <w:tcW w:w="1984" w:type="dxa"/>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kern w:val="0"/>
              </w:rPr>
              <w:t>161,150,904.96</w:t>
            </w:r>
          </w:p>
        </w:tc>
        <w:tc>
          <w:tcPr>
            <w:tcW w:w="1559" w:type="dxa"/>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kern w:val="0"/>
              </w:rPr>
              <w:t>0.64</w:t>
            </w:r>
          </w:p>
        </w:tc>
      </w:tr>
      <w:tr>
        <w:tblPrEx>
          <w:tblW w:w="8790" w:type="dxa"/>
          <w:jc w:val="center"/>
          <w:tblLayout w:type="fixed"/>
          <w:tblLook w:val="04A0"/>
        </w:tblPrEx>
        <w:trPr>
          <w:jc w:val="center"/>
        </w:trPr>
        <w:tc>
          <w:tcPr>
            <w:tcW w:w="852" w:type="dxa"/>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kern w:val="0"/>
              </w:rPr>
              <w:t>6</w:t>
            </w:r>
          </w:p>
        </w:tc>
        <w:tc>
          <w:tcPr>
            <w:tcW w:w="1276" w:type="dxa"/>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kern w:val="0"/>
              </w:rPr>
              <w:t>000568</w:t>
            </w:r>
          </w:p>
        </w:tc>
        <w:tc>
          <w:tcPr>
            <w:tcW w:w="1418" w:type="dxa"/>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kern w:val="0"/>
              </w:rPr>
              <w:t>泸州老窖</w:t>
            </w:r>
          </w:p>
        </w:tc>
        <w:tc>
          <w:tcPr>
            <w:tcW w:w="1701" w:type="dxa"/>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kern w:val="0"/>
              </w:rPr>
              <w:t>640,075</w:t>
            </w:r>
          </w:p>
        </w:tc>
        <w:tc>
          <w:tcPr>
            <w:tcW w:w="1984" w:type="dxa"/>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kern w:val="0"/>
              </w:rPr>
              <w:t>147,639,699.50</w:t>
            </w:r>
          </w:p>
        </w:tc>
        <w:tc>
          <w:tcPr>
            <w:tcW w:w="1559" w:type="dxa"/>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kern w:val="0"/>
              </w:rPr>
              <w:t>0.59</w:t>
            </w:r>
          </w:p>
        </w:tc>
      </w:tr>
      <w:tr>
        <w:tblPrEx>
          <w:tblW w:w="8790" w:type="dxa"/>
          <w:jc w:val="center"/>
          <w:tblLayout w:type="fixed"/>
          <w:tblLook w:val="04A0"/>
        </w:tblPrEx>
        <w:trPr>
          <w:jc w:val="center"/>
        </w:trPr>
        <w:tc>
          <w:tcPr>
            <w:tcW w:w="852" w:type="dxa"/>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kern w:val="0"/>
              </w:rPr>
              <w:t>7</w:t>
            </w:r>
          </w:p>
        </w:tc>
        <w:tc>
          <w:tcPr>
            <w:tcW w:w="1276" w:type="dxa"/>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kern w:val="0"/>
              </w:rPr>
              <w:t>600233</w:t>
            </w:r>
          </w:p>
        </w:tc>
        <w:tc>
          <w:tcPr>
            <w:tcW w:w="1418" w:type="dxa"/>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kern w:val="0"/>
              </w:rPr>
              <w:t>圆通速递</w:t>
            </w:r>
          </w:p>
        </w:tc>
        <w:tc>
          <w:tcPr>
            <w:tcW w:w="1701" w:type="dxa"/>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kern w:val="0"/>
              </w:rPr>
              <w:t>4,629,629</w:t>
            </w:r>
          </w:p>
        </w:tc>
        <w:tc>
          <w:tcPr>
            <w:tcW w:w="1984" w:type="dxa"/>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kern w:val="0"/>
              </w:rPr>
              <w:t>96,064,801.75</w:t>
            </w:r>
          </w:p>
        </w:tc>
        <w:tc>
          <w:tcPr>
            <w:tcW w:w="1559" w:type="dxa"/>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kern w:val="0"/>
              </w:rPr>
              <w:t>0.38</w:t>
            </w:r>
          </w:p>
        </w:tc>
      </w:tr>
      <w:tr>
        <w:tblPrEx>
          <w:tblW w:w="8790" w:type="dxa"/>
          <w:jc w:val="center"/>
          <w:tblLayout w:type="fixed"/>
          <w:tblLook w:val="04A0"/>
        </w:tblPrEx>
        <w:trPr>
          <w:jc w:val="center"/>
        </w:trPr>
        <w:tc>
          <w:tcPr>
            <w:tcW w:w="852" w:type="dxa"/>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kern w:val="0"/>
              </w:rPr>
              <w:t>8</w:t>
            </w:r>
          </w:p>
        </w:tc>
        <w:tc>
          <w:tcPr>
            <w:tcW w:w="1276" w:type="dxa"/>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kern w:val="0"/>
              </w:rPr>
              <w:t>002311</w:t>
            </w:r>
          </w:p>
        </w:tc>
        <w:tc>
          <w:tcPr>
            <w:tcW w:w="1418" w:type="dxa"/>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kern w:val="0"/>
              </w:rPr>
              <w:t>海大集团</w:t>
            </w:r>
          </w:p>
        </w:tc>
        <w:tc>
          <w:tcPr>
            <w:tcW w:w="1701" w:type="dxa"/>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kern w:val="0"/>
              </w:rPr>
              <w:t>1,378,927</w:t>
            </w:r>
          </w:p>
        </w:tc>
        <w:tc>
          <w:tcPr>
            <w:tcW w:w="1984" w:type="dxa"/>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kern w:val="0"/>
              </w:rPr>
              <w:t>83,121,719.56</w:t>
            </w:r>
          </w:p>
        </w:tc>
        <w:tc>
          <w:tcPr>
            <w:tcW w:w="1559" w:type="dxa"/>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kern w:val="0"/>
              </w:rPr>
              <w:t>0.33</w:t>
            </w:r>
          </w:p>
        </w:tc>
      </w:tr>
      <w:tr>
        <w:tblPrEx>
          <w:tblW w:w="8790" w:type="dxa"/>
          <w:jc w:val="center"/>
          <w:tblLayout w:type="fixed"/>
          <w:tblLook w:val="04A0"/>
        </w:tblPrEx>
        <w:trPr>
          <w:jc w:val="center"/>
        </w:trPr>
        <w:tc>
          <w:tcPr>
            <w:tcW w:w="852" w:type="dxa"/>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kern w:val="0"/>
              </w:rPr>
              <w:t>9</w:t>
            </w:r>
          </w:p>
        </w:tc>
        <w:tc>
          <w:tcPr>
            <w:tcW w:w="1276" w:type="dxa"/>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kern w:val="0"/>
              </w:rPr>
              <w:t>000001</w:t>
            </w:r>
          </w:p>
        </w:tc>
        <w:tc>
          <w:tcPr>
            <w:tcW w:w="1418" w:type="dxa"/>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kern w:val="0"/>
              </w:rPr>
              <w:t>平安银行</w:t>
            </w:r>
          </w:p>
        </w:tc>
        <w:tc>
          <w:tcPr>
            <w:tcW w:w="1701" w:type="dxa"/>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kern w:val="0"/>
              </w:rPr>
              <w:t>6,797,211</w:t>
            </w:r>
          </w:p>
        </w:tc>
        <w:tc>
          <w:tcPr>
            <w:tcW w:w="1984" w:type="dxa"/>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kern w:val="0"/>
              </w:rPr>
              <w:t>80,478,978.24</w:t>
            </w:r>
          </w:p>
        </w:tc>
        <w:tc>
          <w:tcPr>
            <w:tcW w:w="1559" w:type="dxa"/>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kern w:val="0"/>
              </w:rPr>
              <w:t>0.32</w:t>
            </w:r>
          </w:p>
        </w:tc>
      </w:tr>
      <w:tr>
        <w:tblPrEx>
          <w:tblW w:w="8790" w:type="dxa"/>
          <w:jc w:val="center"/>
          <w:tblLayout w:type="fixed"/>
          <w:tblLook w:val="04A0"/>
        </w:tblPrEx>
        <w:trPr>
          <w:jc w:val="center"/>
        </w:trPr>
        <w:tc>
          <w:tcPr>
            <w:tcW w:w="852" w:type="dxa"/>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kern w:val="0"/>
              </w:rPr>
              <w:t>10</w:t>
            </w:r>
          </w:p>
        </w:tc>
        <w:tc>
          <w:tcPr>
            <w:tcW w:w="1276" w:type="dxa"/>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kern w:val="0"/>
              </w:rPr>
              <w:t>600004</w:t>
            </w:r>
          </w:p>
        </w:tc>
        <w:tc>
          <w:tcPr>
            <w:tcW w:w="1418" w:type="dxa"/>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kern w:val="0"/>
              </w:rPr>
              <w:t>白云机场</w:t>
            </w:r>
          </w:p>
        </w:tc>
        <w:tc>
          <w:tcPr>
            <w:tcW w:w="1701" w:type="dxa"/>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kern w:val="0"/>
              </w:rPr>
              <w:t>4,993,955</w:t>
            </w:r>
          </w:p>
        </w:tc>
        <w:tc>
          <w:tcPr>
            <w:tcW w:w="1984" w:type="dxa"/>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kern w:val="0"/>
              </w:rPr>
              <w:t>71,213,798.30</w:t>
            </w:r>
          </w:p>
        </w:tc>
        <w:tc>
          <w:tcPr>
            <w:tcW w:w="1559" w:type="dxa"/>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kern w:val="0"/>
              </w:rPr>
              <w:t>0.28</w:t>
            </w:r>
          </w:p>
        </w:tc>
      </w:tr>
    </w:tbl>
    <w:p w:rsidR="009945FE" w:rsidRPr="00054588" w:rsidP="00054588">
      <w:pPr>
        <w:snapToGrid w:val="0"/>
        <w:spacing w:line="360" w:lineRule="auto"/>
        <w:ind w:firstLine="48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4、 报告期末按债券品种分类的债券投资组合</w:t>
      </w:r>
    </w:p>
    <w:tbl>
      <w:tblPr>
        <w:tblStyle w:val="TableGrid"/>
        <w:tblW w:w="0" w:type="auto"/>
        <w:tblInd w:w="108" w:type="dxa"/>
        <w:tblLayout w:type="fixed"/>
        <w:tblLook w:val="04A0"/>
      </w:tblPr>
      <w:tblGrid>
        <w:gridCol w:w="817"/>
        <w:gridCol w:w="3260"/>
        <w:gridCol w:w="2835"/>
        <w:gridCol w:w="1616"/>
      </w:tblGrid>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center"/>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序号</w:t>
            </w:r>
          </w:p>
        </w:tc>
        <w:tc>
          <w:tcPr>
            <w:tcW w:w="3260"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center"/>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债券品种</w:t>
            </w:r>
          </w:p>
        </w:tc>
        <w:tc>
          <w:tcPr>
            <w:tcW w:w="2835"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center"/>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公允价值(元)</w:t>
            </w:r>
          </w:p>
        </w:tc>
        <w:tc>
          <w:tcPr>
            <w:tcW w:w="1616"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center"/>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占基金资产净值比例(％)</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center"/>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1</w:t>
            </w:r>
          </w:p>
        </w:tc>
        <w:tc>
          <w:tcPr>
            <w:tcW w:w="3260"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lef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国家债券</w:t>
            </w:r>
          </w:p>
        </w:tc>
        <w:tc>
          <w:tcPr>
            <w:tcW w:w="2835"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w:t>
            </w:r>
          </w:p>
        </w:tc>
        <w:tc>
          <w:tcPr>
            <w:tcW w:w="1616"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center"/>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2</w:t>
            </w:r>
          </w:p>
        </w:tc>
        <w:tc>
          <w:tcPr>
            <w:tcW w:w="3260"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lef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央行票据</w:t>
            </w:r>
          </w:p>
        </w:tc>
        <w:tc>
          <w:tcPr>
            <w:tcW w:w="2835"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w:t>
            </w:r>
          </w:p>
        </w:tc>
        <w:tc>
          <w:tcPr>
            <w:tcW w:w="1616"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center"/>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3</w:t>
            </w:r>
          </w:p>
        </w:tc>
        <w:tc>
          <w:tcPr>
            <w:tcW w:w="3260"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lef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金融债券</w:t>
            </w:r>
          </w:p>
        </w:tc>
        <w:tc>
          <w:tcPr>
            <w:tcW w:w="2835"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13,826,510,835.77</w:t>
            </w:r>
          </w:p>
        </w:tc>
        <w:tc>
          <w:tcPr>
            <w:tcW w:w="1616"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55.16</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center"/>
              <w:rPr>
                <w:rFonts w:asciiTheme="minorEastAsia" w:eastAsiaTheme="minorEastAsia" w:hAnsiTheme="minorEastAsia"/>
                <w:color w:val="000000" w:themeColor="text1"/>
                <w:sz w:val="24"/>
              </w:rPr>
            </w:pPr>
          </w:p>
        </w:tc>
        <w:tc>
          <w:tcPr>
            <w:tcW w:w="3260"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lef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其中：政策性金融债</w:t>
            </w:r>
          </w:p>
        </w:tc>
        <w:tc>
          <w:tcPr>
            <w:tcW w:w="2835"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3,681,697,169.85</w:t>
            </w:r>
          </w:p>
        </w:tc>
        <w:tc>
          <w:tcPr>
            <w:tcW w:w="1616"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14.69</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center"/>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4</w:t>
            </w:r>
          </w:p>
        </w:tc>
        <w:tc>
          <w:tcPr>
            <w:tcW w:w="3260"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lef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企业债券</w:t>
            </w:r>
          </w:p>
        </w:tc>
        <w:tc>
          <w:tcPr>
            <w:tcW w:w="2835"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3,521,902,004.26</w:t>
            </w:r>
          </w:p>
        </w:tc>
        <w:tc>
          <w:tcPr>
            <w:tcW w:w="1616"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14.05</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center"/>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5</w:t>
            </w:r>
          </w:p>
        </w:tc>
        <w:tc>
          <w:tcPr>
            <w:tcW w:w="3260"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lef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企业短期融资券</w:t>
            </w:r>
          </w:p>
        </w:tc>
        <w:tc>
          <w:tcPr>
            <w:tcW w:w="2835"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125,542,352.22</w:t>
            </w:r>
          </w:p>
        </w:tc>
        <w:tc>
          <w:tcPr>
            <w:tcW w:w="1616"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0.50</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center"/>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6</w:t>
            </w:r>
          </w:p>
        </w:tc>
        <w:tc>
          <w:tcPr>
            <w:tcW w:w="3260"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lef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中期票据</w:t>
            </w:r>
          </w:p>
        </w:tc>
        <w:tc>
          <w:tcPr>
            <w:tcW w:w="2835"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3,989,674,020.59</w:t>
            </w:r>
          </w:p>
        </w:tc>
        <w:tc>
          <w:tcPr>
            <w:tcW w:w="1616"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15.92</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center"/>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7</w:t>
            </w:r>
          </w:p>
        </w:tc>
        <w:tc>
          <w:tcPr>
            <w:tcW w:w="3260"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lef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可转债</w:t>
            </w:r>
            <w:r w:rsidRPr="00054588">
              <w:rPr>
                <w:rFonts w:asciiTheme="minorEastAsia" w:eastAsiaTheme="minorEastAsia" w:hAnsiTheme="minorEastAsia" w:hint="eastAsia"/>
                <w:color w:val="000000" w:themeColor="text1"/>
              </w:rPr>
              <w:t>（可交换债）</w:t>
            </w:r>
          </w:p>
        </w:tc>
        <w:tc>
          <w:tcPr>
            <w:tcW w:w="2835"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2,059,575,319.12</w:t>
            </w:r>
          </w:p>
        </w:tc>
        <w:tc>
          <w:tcPr>
            <w:tcW w:w="1616"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8.22</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center"/>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8</w:t>
            </w:r>
          </w:p>
        </w:tc>
        <w:tc>
          <w:tcPr>
            <w:tcW w:w="3260"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lef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同业存单</w:t>
            </w:r>
          </w:p>
        </w:tc>
        <w:tc>
          <w:tcPr>
            <w:tcW w:w="2835"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w:t>
            </w:r>
          </w:p>
        </w:tc>
        <w:tc>
          <w:tcPr>
            <w:tcW w:w="1616"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center"/>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9</w:t>
            </w:r>
          </w:p>
        </w:tc>
        <w:tc>
          <w:tcPr>
            <w:tcW w:w="3260"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lef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其他</w:t>
            </w:r>
          </w:p>
        </w:tc>
        <w:tc>
          <w:tcPr>
            <w:tcW w:w="2835"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w:t>
            </w:r>
          </w:p>
        </w:tc>
        <w:tc>
          <w:tcPr>
            <w:tcW w:w="1616"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center"/>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10</w:t>
            </w:r>
          </w:p>
        </w:tc>
        <w:tc>
          <w:tcPr>
            <w:tcW w:w="3260"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lef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合计</w:t>
            </w:r>
          </w:p>
        </w:tc>
        <w:tc>
          <w:tcPr>
            <w:tcW w:w="2835"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23,523,204,531.96</w:t>
            </w:r>
          </w:p>
        </w:tc>
        <w:tc>
          <w:tcPr>
            <w:tcW w:w="1616"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right"/>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93.85</w:t>
            </w:r>
          </w:p>
        </w:tc>
      </w:tr>
    </w:tbl>
    <w:p w:rsidR="009945FE" w:rsidRPr="00054588" w:rsidP="00054588">
      <w:pPr>
        <w:snapToGrid w:val="0"/>
        <w:spacing w:line="360" w:lineRule="auto"/>
        <w:ind w:firstLine="48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5、 报告期末按公允价值占基金资产净值比例大小排序的前五名债券投资明细</w:t>
      </w:r>
    </w:p>
    <w:tbl>
      <w:tblPr>
        <w:tblStyle w:val="TableGrid"/>
        <w:tblW w:w="0" w:type="auto"/>
        <w:tblInd w:w="15" w:type="dxa"/>
        <w:tblLayout w:type="fixed"/>
        <w:tblLook w:val="04A0"/>
      </w:tblPr>
      <w:tblGrid>
        <w:gridCol w:w="802"/>
        <w:gridCol w:w="1559"/>
        <w:gridCol w:w="1985"/>
        <w:gridCol w:w="1559"/>
        <w:gridCol w:w="2126"/>
        <w:gridCol w:w="990"/>
      </w:tblGrid>
      <w:tr>
        <w:tblPrEx>
          <w:tblW w:w="0" w:type="auto"/>
          <w:tblInd w:w="15" w:type="dxa"/>
          <w:tblLayout w:type="fixed"/>
          <w:tblLook w:val="04A0"/>
        </w:tblPrEx>
        <w:tc>
          <w:tcPr>
            <w:tcW w:w="802" w:type="dxa"/>
            <w:tcBorders>
              <w:top w:val="single" w:sz="0" w:space="0" w:color="000000"/>
              <w:left w:val="single" w:sz="0" w:space="0" w:color="000000"/>
              <w:bottom w:val="single" w:sz="0" w:space="0" w:color="000000"/>
              <w:right w:val="single" w:sz="0" w:space="0" w:color="000000"/>
            </w:tcBorders>
            <w:vAlign w:val="center"/>
          </w:tcPr>
          <w:p w:rsidR="00ED044C" w:rsidRPr="00054588">
            <w:pPr>
              <w:autoSpaceDE w:val="0"/>
              <w:autoSpaceDN w:val="0"/>
              <w:adjustRightInd w:val="0"/>
              <w:ind w:left="15"/>
              <w:jc w:val="center"/>
              <w:rPr>
                <w:rFonts w:asciiTheme="minorEastAsia" w:eastAsiaTheme="minorEastAsia" w:hAnsiTheme="minorEastAsia"/>
                <w:color w:val="000000" w:themeColor="text1"/>
                <w:kern w:val="0"/>
                <w:sz w:val="24"/>
              </w:rPr>
            </w:pPr>
            <w:r w:rsidRPr="00054588">
              <w:rPr>
                <w:rFonts w:asciiTheme="minorEastAsia" w:eastAsiaTheme="minorEastAsia" w:hAnsiTheme="minorEastAsia"/>
                <w:color w:val="000000" w:themeColor="text1"/>
                <w:kern w:val="0"/>
              </w:rPr>
              <w:t>序号</w:t>
            </w:r>
          </w:p>
        </w:tc>
        <w:tc>
          <w:tcPr>
            <w:tcW w:w="1559" w:type="dxa"/>
            <w:tcBorders>
              <w:top w:val="single" w:sz="0" w:space="0" w:color="000000"/>
              <w:left w:val="single" w:sz="0" w:space="0" w:color="000000"/>
              <w:bottom w:val="single" w:sz="0" w:space="0" w:color="000000"/>
              <w:right w:val="single" w:sz="0" w:space="0" w:color="000000"/>
            </w:tcBorders>
            <w:vAlign w:val="center"/>
          </w:tcPr>
          <w:p w:rsidR="00ED044C" w:rsidRPr="00054588">
            <w:pPr>
              <w:autoSpaceDE w:val="0"/>
              <w:autoSpaceDN w:val="0"/>
              <w:adjustRightInd w:val="0"/>
              <w:ind w:left="15"/>
              <w:jc w:val="center"/>
              <w:rPr>
                <w:rFonts w:asciiTheme="minorEastAsia" w:eastAsiaTheme="minorEastAsia" w:hAnsiTheme="minorEastAsia"/>
                <w:color w:val="000000" w:themeColor="text1"/>
                <w:kern w:val="0"/>
                <w:sz w:val="24"/>
              </w:rPr>
            </w:pPr>
            <w:r w:rsidRPr="00054588">
              <w:rPr>
                <w:rFonts w:asciiTheme="minorEastAsia" w:eastAsiaTheme="minorEastAsia" w:hAnsiTheme="minorEastAsia"/>
                <w:color w:val="000000" w:themeColor="text1"/>
                <w:kern w:val="0"/>
              </w:rPr>
              <w:t>债券代码</w:t>
            </w:r>
          </w:p>
        </w:tc>
        <w:tc>
          <w:tcPr>
            <w:tcW w:w="1985" w:type="dxa"/>
            <w:tcBorders>
              <w:top w:val="single" w:sz="0" w:space="0" w:color="000000"/>
              <w:left w:val="single" w:sz="0" w:space="0" w:color="000000"/>
              <w:bottom w:val="single" w:sz="0" w:space="0" w:color="000000"/>
              <w:right w:val="single" w:sz="0" w:space="0" w:color="000000"/>
            </w:tcBorders>
            <w:vAlign w:val="center"/>
          </w:tcPr>
          <w:p w:rsidR="00ED044C" w:rsidRPr="00054588">
            <w:pPr>
              <w:autoSpaceDE w:val="0"/>
              <w:autoSpaceDN w:val="0"/>
              <w:adjustRightInd w:val="0"/>
              <w:ind w:left="15"/>
              <w:jc w:val="center"/>
              <w:rPr>
                <w:rFonts w:asciiTheme="minorEastAsia" w:eastAsiaTheme="minorEastAsia" w:hAnsiTheme="minorEastAsia"/>
                <w:color w:val="000000" w:themeColor="text1"/>
                <w:kern w:val="0"/>
                <w:sz w:val="24"/>
              </w:rPr>
            </w:pPr>
            <w:r w:rsidRPr="00054588">
              <w:rPr>
                <w:rFonts w:asciiTheme="minorEastAsia" w:eastAsiaTheme="minorEastAsia" w:hAnsiTheme="minorEastAsia"/>
                <w:color w:val="000000" w:themeColor="text1"/>
                <w:kern w:val="0"/>
              </w:rPr>
              <w:t>债券名称</w:t>
            </w:r>
          </w:p>
        </w:tc>
        <w:tc>
          <w:tcPr>
            <w:tcW w:w="1559" w:type="dxa"/>
            <w:tcBorders>
              <w:top w:val="single" w:sz="0" w:space="0" w:color="000000"/>
              <w:left w:val="single" w:sz="0" w:space="0" w:color="000000"/>
              <w:bottom w:val="single" w:sz="0" w:space="0" w:color="000000"/>
              <w:right w:val="single" w:sz="0" w:space="0" w:color="000000"/>
            </w:tcBorders>
            <w:vAlign w:val="center"/>
          </w:tcPr>
          <w:p w:rsidR="00ED044C" w:rsidRPr="00054588">
            <w:pPr>
              <w:autoSpaceDE w:val="0"/>
              <w:autoSpaceDN w:val="0"/>
              <w:adjustRightInd w:val="0"/>
              <w:ind w:left="15"/>
              <w:jc w:val="center"/>
              <w:rPr>
                <w:rFonts w:asciiTheme="minorEastAsia" w:eastAsiaTheme="minorEastAsia" w:hAnsiTheme="minorEastAsia"/>
                <w:color w:val="000000" w:themeColor="text1"/>
                <w:kern w:val="0"/>
                <w:sz w:val="24"/>
              </w:rPr>
            </w:pPr>
            <w:r w:rsidRPr="00054588">
              <w:rPr>
                <w:rFonts w:asciiTheme="minorEastAsia" w:eastAsiaTheme="minorEastAsia" w:hAnsiTheme="minorEastAsia"/>
                <w:color w:val="000000" w:themeColor="text1"/>
                <w:kern w:val="0"/>
              </w:rPr>
              <w:t>数量（张）</w:t>
            </w:r>
          </w:p>
        </w:tc>
        <w:tc>
          <w:tcPr>
            <w:tcW w:w="2126" w:type="dxa"/>
            <w:tcBorders>
              <w:top w:val="single" w:sz="0" w:space="0" w:color="000000"/>
              <w:left w:val="single" w:sz="0" w:space="0" w:color="000000"/>
              <w:bottom w:val="single" w:sz="0" w:space="0" w:color="000000"/>
              <w:right w:val="single" w:sz="0" w:space="0" w:color="000000"/>
            </w:tcBorders>
            <w:vAlign w:val="center"/>
          </w:tcPr>
          <w:p w:rsidR="00ED044C" w:rsidRPr="00054588">
            <w:pPr>
              <w:autoSpaceDE w:val="0"/>
              <w:autoSpaceDN w:val="0"/>
              <w:adjustRightInd w:val="0"/>
              <w:ind w:left="15"/>
              <w:jc w:val="center"/>
              <w:rPr>
                <w:rFonts w:asciiTheme="minorEastAsia" w:eastAsiaTheme="minorEastAsia" w:hAnsiTheme="minorEastAsia"/>
                <w:color w:val="000000" w:themeColor="text1"/>
                <w:kern w:val="0"/>
                <w:sz w:val="24"/>
              </w:rPr>
            </w:pPr>
            <w:r w:rsidRPr="00054588">
              <w:rPr>
                <w:rFonts w:asciiTheme="minorEastAsia" w:eastAsiaTheme="minorEastAsia" w:hAnsiTheme="minorEastAsia"/>
                <w:color w:val="000000" w:themeColor="text1"/>
                <w:kern w:val="0"/>
              </w:rPr>
              <w:t>公允价值(元)</w:t>
            </w:r>
          </w:p>
        </w:tc>
        <w:tc>
          <w:tcPr>
            <w:tcW w:w="990" w:type="dxa"/>
            <w:tcBorders>
              <w:top w:val="single" w:sz="0" w:space="0" w:color="000000"/>
              <w:left w:val="single" w:sz="0" w:space="0" w:color="000000"/>
              <w:bottom w:val="single" w:sz="0" w:space="0" w:color="000000"/>
              <w:right w:val="single" w:sz="0" w:space="0" w:color="000000"/>
            </w:tcBorders>
            <w:vAlign w:val="center"/>
          </w:tcPr>
          <w:p w:rsidR="00ED044C" w:rsidRPr="00054588">
            <w:pPr>
              <w:autoSpaceDE w:val="0"/>
              <w:autoSpaceDN w:val="0"/>
              <w:adjustRightInd w:val="0"/>
              <w:ind w:left="15"/>
              <w:jc w:val="center"/>
              <w:rPr>
                <w:rFonts w:asciiTheme="minorEastAsia" w:eastAsiaTheme="minorEastAsia" w:hAnsiTheme="minorEastAsia"/>
                <w:color w:val="000000" w:themeColor="text1"/>
                <w:kern w:val="0"/>
                <w:sz w:val="24"/>
              </w:rPr>
            </w:pPr>
            <w:r w:rsidRPr="00054588">
              <w:rPr>
                <w:rFonts w:asciiTheme="minorEastAsia" w:eastAsiaTheme="minorEastAsia" w:hAnsiTheme="minorEastAsia"/>
                <w:color w:val="000000" w:themeColor="text1"/>
                <w:kern w:val="0"/>
              </w:rPr>
              <w:t>占基金资产净值比例（％）</w:t>
            </w:r>
          </w:p>
        </w:tc>
      </w:tr>
      <w:tr>
        <w:tblPrEx>
          <w:tblW w:w="0" w:type="auto"/>
          <w:tblInd w:w="15" w:type="dxa"/>
          <w:tblLayout w:type="fixed"/>
          <w:tblLook w:val="04A0"/>
        </w:tblPrEx>
        <w:tc>
          <w:tcPr>
            <w:tcW w:w="802" w:type="dxa"/>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w:t>
            </w:r>
          </w:p>
        </w:tc>
        <w:tc>
          <w:tcPr>
            <w:tcW w:w="1559" w:type="dxa"/>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2228007</w:t>
            </w:r>
          </w:p>
        </w:tc>
        <w:tc>
          <w:tcPr>
            <w:tcW w:w="1985" w:type="dxa"/>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22浦发银行01</w:t>
            </w:r>
          </w:p>
        </w:tc>
        <w:tc>
          <w:tcPr>
            <w:tcW w:w="1559" w:type="dxa"/>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10,600,000</w:t>
            </w:r>
          </w:p>
        </w:tc>
        <w:tc>
          <w:tcPr>
            <w:tcW w:w="2126" w:type="dxa"/>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1,084,359,613.15</w:t>
            </w:r>
          </w:p>
        </w:tc>
        <w:tc>
          <w:tcPr>
            <w:tcW w:w="990" w:type="dxa"/>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4.33</w:t>
            </w:r>
          </w:p>
        </w:tc>
      </w:tr>
      <w:tr>
        <w:tblPrEx>
          <w:tblW w:w="0" w:type="auto"/>
          <w:tblInd w:w="15" w:type="dxa"/>
          <w:tblLayout w:type="fixed"/>
          <w:tblLook w:val="04A0"/>
        </w:tblPrEx>
        <w:tc>
          <w:tcPr>
            <w:tcW w:w="802" w:type="dxa"/>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w:t>
            </w:r>
          </w:p>
        </w:tc>
        <w:tc>
          <w:tcPr>
            <w:tcW w:w="1559" w:type="dxa"/>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2128042</w:t>
            </w:r>
          </w:p>
        </w:tc>
        <w:tc>
          <w:tcPr>
            <w:tcW w:w="1985" w:type="dxa"/>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21兴业银行二级02</w:t>
            </w:r>
          </w:p>
        </w:tc>
        <w:tc>
          <w:tcPr>
            <w:tcW w:w="1559" w:type="dxa"/>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10,300,000</w:t>
            </w:r>
          </w:p>
        </w:tc>
        <w:tc>
          <w:tcPr>
            <w:tcW w:w="2126" w:type="dxa"/>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1,083,762,049.32</w:t>
            </w:r>
          </w:p>
        </w:tc>
        <w:tc>
          <w:tcPr>
            <w:tcW w:w="990" w:type="dxa"/>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4.32</w:t>
            </w:r>
          </w:p>
        </w:tc>
      </w:tr>
      <w:tr>
        <w:tblPrEx>
          <w:tblW w:w="0" w:type="auto"/>
          <w:tblInd w:w="15" w:type="dxa"/>
          <w:tblLayout w:type="fixed"/>
          <w:tblLook w:val="04A0"/>
        </w:tblPrEx>
        <w:tc>
          <w:tcPr>
            <w:tcW w:w="802" w:type="dxa"/>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3</w:t>
            </w:r>
          </w:p>
        </w:tc>
        <w:tc>
          <w:tcPr>
            <w:tcW w:w="1559" w:type="dxa"/>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220206</w:t>
            </w:r>
          </w:p>
        </w:tc>
        <w:tc>
          <w:tcPr>
            <w:tcW w:w="1985" w:type="dxa"/>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22国开06</w:t>
            </w:r>
          </w:p>
        </w:tc>
        <w:tc>
          <w:tcPr>
            <w:tcW w:w="1559" w:type="dxa"/>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7,600,000</w:t>
            </w:r>
          </w:p>
        </w:tc>
        <w:tc>
          <w:tcPr>
            <w:tcW w:w="2126" w:type="dxa"/>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764,763,638.36</w:t>
            </w:r>
          </w:p>
        </w:tc>
        <w:tc>
          <w:tcPr>
            <w:tcW w:w="990" w:type="dxa"/>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3.05</w:t>
            </w:r>
          </w:p>
        </w:tc>
      </w:tr>
      <w:tr>
        <w:tblPrEx>
          <w:tblW w:w="0" w:type="auto"/>
          <w:tblInd w:w="15" w:type="dxa"/>
          <w:tblLayout w:type="fixed"/>
          <w:tblLook w:val="04A0"/>
        </w:tblPrEx>
        <w:tc>
          <w:tcPr>
            <w:tcW w:w="802" w:type="dxa"/>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4</w:t>
            </w:r>
          </w:p>
        </w:tc>
        <w:tc>
          <w:tcPr>
            <w:tcW w:w="1559" w:type="dxa"/>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220211</w:t>
            </w:r>
          </w:p>
        </w:tc>
        <w:tc>
          <w:tcPr>
            <w:tcW w:w="1985" w:type="dxa"/>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22国开11</w:t>
            </w:r>
          </w:p>
        </w:tc>
        <w:tc>
          <w:tcPr>
            <w:tcW w:w="1559" w:type="dxa"/>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7,600,000</w:t>
            </w:r>
          </w:p>
        </w:tc>
        <w:tc>
          <w:tcPr>
            <w:tcW w:w="2126" w:type="dxa"/>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761,518,958.90</w:t>
            </w:r>
          </w:p>
        </w:tc>
        <w:tc>
          <w:tcPr>
            <w:tcW w:w="990" w:type="dxa"/>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3.04</w:t>
            </w:r>
          </w:p>
        </w:tc>
      </w:tr>
      <w:tr>
        <w:tblPrEx>
          <w:tblW w:w="0" w:type="auto"/>
          <w:tblInd w:w="15" w:type="dxa"/>
          <w:tblLayout w:type="fixed"/>
          <w:tblLook w:val="04A0"/>
        </w:tblPrEx>
        <w:tc>
          <w:tcPr>
            <w:tcW w:w="802" w:type="dxa"/>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5</w:t>
            </w:r>
          </w:p>
        </w:tc>
        <w:tc>
          <w:tcPr>
            <w:tcW w:w="1559" w:type="dxa"/>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2128051</w:t>
            </w:r>
          </w:p>
        </w:tc>
        <w:tc>
          <w:tcPr>
            <w:tcW w:w="1985" w:type="dxa"/>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21工商银行二级02</w:t>
            </w:r>
          </w:p>
        </w:tc>
        <w:tc>
          <w:tcPr>
            <w:tcW w:w="1559" w:type="dxa"/>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6,900,000</w:t>
            </w:r>
          </w:p>
        </w:tc>
        <w:tc>
          <w:tcPr>
            <w:tcW w:w="2126" w:type="dxa"/>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721,546,421.92</w:t>
            </w:r>
          </w:p>
        </w:tc>
        <w:tc>
          <w:tcPr>
            <w:tcW w:w="990" w:type="dxa"/>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2.88</w:t>
            </w:r>
          </w:p>
        </w:tc>
      </w:tr>
    </w:tbl>
    <w:p w:rsidR="009945FE" w:rsidRPr="00054588" w:rsidP="00054588">
      <w:pPr>
        <w:snapToGrid w:val="0"/>
        <w:spacing w:line="360" w:lineRule="auto"/>
        <w:ind w:firstLine="48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6、　报告期末按公允价值占基金资产净值比例大小排序的前十名资产支持证券投资明细</w:t>
      </w:r>
    </w:p>
    <w:tbl>
      <w:tblPr>
        <w:tblStyle w:val="TableGrid"/>
        <w:tblW w:w="0" w:type="auto"/>
        <w:tblInd w:w="15" w:type="dxa"/>
        <w:tblLook w:val="04A0"/>
      </w:tblPr>
      <w:tblGrid>
        <w:gridCol w:w="1087"/>
        <w:gridCol w:w="1264"/>
        <w:gridCol w:w="1178"/>
        <w:gridCol w:w="1698"/>
        <w:gridCol w:w="1682"/>
        <w:gridCol w:w="1598"/>
      </w:tblGrid>
      <w:tr>
        <w:tblPrEx>
          <w:tblW w:w="0" w:type="auto"/>
          <w:tblInd w:w="15" w:type="dxa"/>
          <w:tblLook w:val="04A0"/>
        </w:tblPrEx>
        <w:tc>
          <w:tcPr>
            <w:tcW w:w="1187" w:type="dxa"/>
            <w:tcBorders>
              <w:top w:val="single" w:sz="0" w:space="0" w:color="000000"/>
              <w:left w:val="single" w:sz="0" w:space="0" w:color="000000"/>
              <w:bottom w:val="single" w:sz="0" w:space="0" w:color="000000"/>
              <w:right w:val="single" w:sz="0" w:space="0" w:color="000000"/>
            </w:tcBorders>
            <w:vAlign w:val="center"/>
          </w:tcPr>
          <w:p w:rsidR="00ED044C" w:rsidRPr="00054588">
            <w:pPr>
              <w:autoSpaceDE w:val="0"/>
              <w:autoSpaceDN w:val="0"/>
              <w:adjustRightInd w:val="0"/>
              <w:ind w:left="15"/>
              <w:jc w:val="center"/>
              <w:rPr>
                <w:rFonts w:asciiTheme="minorEastAsia" w:eastAsiaTheme="minorEastAsia" w:hAnsiTheme="minorEastAsia"/>
                <w:color w:val="000000" w:themeColor="text1"/>
                <w:kern w:val="0"/>
                <w:sz w:val="24"/>
              </w:rPr>
            </w:pPr>
            <w:r w:rsidRPr="00054588">
              <w:rPr>
                <w:rFonts w:asciiTheme="minorEastAsia" w:eastAsiaTheme="minorEastAsia" w:hAnsiTheme="minorEastAsia"/>
                <w:color w:val="000000" w:themeColor="text1"/>
                <w:kern w:val="0"/>
              </w:rPr>
              <w:t>序号</w:t>
            </w:r>
          </w:p>
        </w:tc>
        <w:tc>
          <w:tcPr>
            <w:tcW w:w="1329" w:type="dxa"/>
            <w:tcBorders>
              <w:top w:val="single" w:sz="0" w:space="0" w:color="000000"/>
              <w:left w:val="single" w:sz="0" w:space="0" w:color="000000"/>
              <w:bottom w:val="single" w:sz="0" w:space="0" w:color="000000"/>
              <w:right w:val="single" w:sz="0" w:space="0" w:color="000000"/>
            </w:tcBorders>
            <w:vAlign w:val="center"/>
          </w:tcPr>
          <w:p w:rsidR="00ED044C" w:rsidRPr="00054588">
            <w:pPr>
              <w:autoSpaceDE w:val="0"/>
              <w:autoSpaceDN w:val="0"/>
              <w:adjustRightInd w:val="0"/>
              <w:ind w:left="15"/>
              <w:jc w:val="center"/>
              <w:rPr>
                <w:rFonts w:asciiTheme="minorEastAsia" w:eastAsiaTheme="minorEastAsia" w:hAnsiTheme="minorEastAsia"/>
                <w:color w:val="000000" w:themeColor="text1"/>
                <w:kern w:val="0"/>
                <w:sz w:val="24"/>
              </w:rPr>
            </w:pPr>
            <w:r w:rsidRPr="00054588">
              <w:rPr>
                <w:rFonts w:asciiTheme="minorEastAsia" w:eastAsiaTheme="minorEastAsia" w:hAnsiTheme="minorEastAsia"/>
                <w:color w:val="000000" w:themeColor="text1"/>
                <w:kern w:val="0"/>
              </w:rPr>
              <w:t>证券代码</w:t>
            </w:r>
          </w:p>
        </w:tc>
        <w:tc>
          <w:tcPr>
            <w:tcW w:w="1263" w:type="dxa"/>
            <w:tcBorders>
              <w:top w:val="single" w:sz="0" w:space="0" w:color="000000"/>
              <w:left w:val="single" w:sz="0" w:space="0" w:color="000000"/>
              <w:bottom w:val="single" w:sz="0" w:space="0" w:color="000000"/>
              <w:right w:val="single" w:sz="0" w:space="0" w:color="000000"/>
            </w:tcBorders>
            <w:vAlign w:val="center"/>
          </w:tcPr>
          <w:p w:rsidR="00ED044C" w:rsidRPr="00054588">
            <w:pPr>
              <w:autoSpaceDE w:val="0"/>
              <w:autoSpaceDN w:val="0"/>
              <w:adjustRightInd w:val="0"/>
              <w:ind w:left="15"/>
              <w:jc w:val="center"/>
              <w:rPr>
                <w:rFonts w:asciiTheme="minorEastAsia" w:eastAsiaTheme="minorEastAsia" w:hAnsiTheme="minorEastAsia"/>
                <w:color w:val="000000" w:themeColor="text1"/>
                <w:kern w:val="0"/>
                <w:sz w:val="24"/>
              </w:rPr>
            </w:pPr>
            <w:r w:rsidRPr="00054588">
              <w:rPr>
                <w:rFonts w:asciiTheme="minorEastAsia" w:eastAsiaTheme="minorEastAsia" w:hAnsiTheme="minorEastAsia"/>
                <w:color w:val="000000" w:themeColor="text1"/>
                <w:kern w:val="0"/>
              </w:rPr>
              <w:t>证券名称</w:t>
            </w:r>
          </w:p>
        </w:tc>
        <w:tc>
          <w:tcPr>
            <w:tcW w:w="1815" w:type="dxa"/>
            <w:tcBorders>
              <w:top w:val="single" w:sz="0" w:space="0" w:color="000000"/>
              <w:left w:val="single" w:sz="0" w:space="0" w:color="000000"/>
              <w:bottom w:val="single" w:sz="0" w:space="0" w:color="000000"/>
              <w:right w:val="single" w:sz="0" w:space="0" w:color="000000"/>
            </w:tcBorders>
            <w:vAlign w:val="center"/>
          </w:tcPr>
          <w:p w:rsidR="00ED044C" w:rsidRPr="00054588">
            <w:pPr>
              <w:autoSpaceDE w:val="0"/>
              <w:autoSpaceDN w:val="0"/>
              <w:adjustRightInd w:val="0"/>
              <w:ind w:left="15"/>
              <w:jc w:val="center"/>
              <w:rPr>
                <w:rFonts w:asciiTheme="minorEastAsia" w:eastAsiaTheme="minorEastAsia" w:hAnsiTheme="minorEastAsia"/>
                <w:color w:val="000000" w:themeColor="text1"/>
                <w:kern w:val="0"/>
                <w:sz w:val="24"/>
              </w:rPr>
            </w:pPr>
            <w:r w:rsidRPr="00054588">
              <w:rPr>
                <w:rFonts w:asciiTheme="minorEastAsia" w:eastAsiaTheme="minorEastAsia" w:hAnsiTheme="minorEastAsia"/>
                <w:color w:val="000000" w:themeColor="text1"/>
                <w:kern w:val="0"/>
              </w:rPr>
              <w:t>数量(份)</w:t>
            </w:r>
          </w:p>
        </w:tc>
        <w:tc>
          <w:tcPr>
            <w:tcW w:w="1698" w:type="dxa"/>
            <w:tcBorders>
              <w:top w:val="single" w:sz="0" w:space="0" w:color="000000"/>
              <w:left w:val="single" w:sz="0" w:space="0" w:color="000000"/>
              <w:bottom w:val="single" w:sz="0" w:space="0" w:color="000000"/>
              <w:right w:val="single" w:sz="0" w:space="0" w:color="000000"/>
            </w:tcBorders>
            <w:vAlign w:val="center"/>
          </w:tcPr>
          <w:p w:rsidR="00ED044C" w:rsidRPr="00054588">
            <w:pPr>
              <w:autoSpaceDE w:val="0"/>
              <w:autoSpaceDN w:val="0"/>
              <w:adjustRightInd w:val="0"/>
              <w:ind w:left="15"/>
              <w:jc w:val="center"/>
              <w:rPr>
                <w:rFonts w:asciiTheme="minorEastAsia" w:eastAsiaTheme="minorEastAsia" w:hAnsiTheme="minorEastAsia"/>
                <w:color w:val="000000" w:themeColor="text1"/>
                <w:kern w:val="0"/>
                <w:sz w:val="24"/>
              </w:rPr>
            </w:pPr>
            <w:r w:rsidRPr="00054588">
              <w:rPr>
                <w:rFonts w:asciiTheme="minorEastAsia" w:eastAsiaTheme="minorEastAsia" w:hAnsiTheme="minorEastAsia"/>
                <w:color w:val="000000" w:themeColor="text1"/>
                <w:kern w:val="0"/>
              </w:rPr>
              <w:t>公允价值(元)</w:t>
            </w:r>
          </w:p>
        </w:tc>
        <w:tc>
          <w:tcPr>
            <w:tcW w:w="1729" w:type="dxa"/>
            <w:tcBorders>
              <w:top w:val="single" w:sz="0" w:space="0" w:color="000000"/>
              <w:left w:val="single" w:sz="0" w:space="0" w:color="000000"/>
              <w:bottom w:val="single" w:sz="0" w:space="0" w:color="000000"/>
              <w:right w:val="single" w:sz="0" w:space="0" w:color="000000"/>
            </w:tcBorders>
            <w:vAlign w:val="center"/>
          </w:tcPr>
          <w:p w:rsidR="00ED044C" w:rsidRPr="00054588">
            <w:pPr>
              <w:autoSpaceDE w:val="0"/>
              <w:autoSpaceDN w:val="0"/>
              <w:adjustRightInd w:val="0"/>
              <w:ind w:left="15"/>
              <w:jc w:val="center"/>
              <w:rPr>
                <w:rFonts w:asciiTheme="minorEastAsia" w:eastAsiaTheme="minorEastAsia" w:hAnsiTheme="minorEastAsia"/>
                <w:color w:val="000000" w:themeColor="text1"/>
                <w:kern w:val="0"/>
                <w:sz w:val="24"/>
              </w:rPr>
            </w:pPr>
            <w:r w:rsidRPr="00054588">
              <w:rPr>
                <w:rFonts w:asciiTheme="minorEastAsia" w:eastAsiaTheme="minorEastAsia" w:hAnsiTheme="minorEastAsia"/>
                <w:color w:val="000000" w:themeColor="text1"/>
                <w:kern w:val="0"/>
              </w:rPr>
              <w:t>占基金资产净值比例（%）</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136775</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江南01优</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500,000</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50,662,068.50</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0.20</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183216</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铁保10A3</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200,000</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20,327,433.42</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0.08</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3</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193472</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21绿装1A</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190,000</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19,373,406.74</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0.08</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4</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137881</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21中交B</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160,000</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16,115,349.92</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0.06</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5</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169843</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益辰02A1</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100,000</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10,562,725.48</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0.04</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6</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193732</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至通02A2</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100,000</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10,385,432.88</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0.04</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7</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183148</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G国电优</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100,000</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10,365,237.26</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0.04</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8</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193731</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至通02A1</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100,000</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10,358,452.06</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0.04</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9</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183086</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诚通01优</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100,000</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10,348,178.08</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0.04</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10</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169611</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健弘07A</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100,000</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10,326,541.37</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0.04</w:t>
            </w:r>
          </w:p>
        </w:tc>
      </w:tr>
    </w:tbl>
    <w:p w:rsidR="009945FE" w:rsidRPr="00054588" w:rsidP="00054588">
      <w:pPr>
        <w:snapToGrid w:val="0"/>
        <w:spacing w:line="360" w:lineRule="auto"/>
        <w:ind w:firstLine="48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7、报告期末按公允价值占基金资产净值比例大小排序的前五名贵金属投资明细</w:t>
      </w:r>
    </w:p>
    <w:p w:rsidR="009945FE" w:rsidRPr="00054588" w:rsidP="00054588">
      <w:pPr>
        <w:snapToGrid w:val="0"/>
        <w:spacing w:line="360" w:lineRule="auto"/>
        <w:ind w:firstLine="48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本基金本报告期末未持有贵金属。</w:t>
      </w:r>
    </w:p>
    <w:p w:rsidR="009945FE" w:rsidRPr="00054588" w:rsidP="00054588">
      <w:pPr>
        <w:snapToGrid w:val="0"/>
        <w:spacing w:line="360" w:lineRule="auto"/>
        <w:ind w:firstLine="48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8、报告期末按公允价值占基金资产净值比例大小排序的前五名权证投资明细</w:t>
      </w:r>
    </w:p>
    <w:p w:rsidR="009945FE" w:rsidRPr="00054588" w:rsidP="00054588">
      <w:pPr>
        <w:snapToGrid w:val="0"/>
        <w:spacing w:line="360" w:lineRule="auto"/>
        <w:ind w:firstLine="48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本基金本报告期末未持有权证。</w:t>
      </w:r>
    </w:p>
    <w:p w:rsidR="009945FE" w:rsidRPr="00054588" w:rsidP="00054588">
      <w:pPr>
        <w:snapToGrid w:val="0"/>
        <w:spacing w:line="360" w:lineRule="auto"/>
        <w:ind w:firstLine="48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9、报告期末本基金投资的股指期货交易情况说明</w:t>
      </w:r>
    </w:p>
    <w:p w:rsidR="009945FE" w:rsidRPr="00054588" w:rsidP="00054588">
      <w:pPr>
        <w:snapToGrid w:val="0"/>
        <w:spacing w:line="360" w:lineRule="auto"/>
        <w:ind w:firstLine="48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本基金本报告期末未投资股指期货。</w:t>
      </w:r>
    </w:p>
    <w:p w:rsidR="009945FE" w:rsidRPr="00054588" w:rsidP="00054588">
      <w:pPr>
        <w:snapToGrid w:val="0"/>
        <w:spacing w:line="360" w:lineRule="auto"/>
        <w:ind w:firstLine="48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10、报告期末本基金投资的国债期货交易情况说明</w:t>
      </w:r>
    </w:p>
    <w:p w:rsidR="009945FE" w:rsidRPr="00054588" w:rsidP="00054588">
      <w:pPr>
        <w:snapToGrid w:val="0"/>
        <w:spacing w:line="360" w:lineRule="auto"/>
        <w:ind w:firstLine="48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本基金本报告期末未投资国债期货。</w:t>
      </w:r>
    </w:p>
    <w:p w:rsidR="009945FE" w:rsidRPr="00054588" w:rsidP="00054588">
      <w:pPr>
        <w:snapToGrid w:val="0"/>
        <w:spacing w:line="360" w:lineRule="auto"/>
        <w:ind w:firstLine="48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11、投资组合报告附注</w:t>
      </w:r>
    </w:p>
    <w:p w:rsidR="009945FE" w:rsidRPr="00054588" w:rsidP="00054588">
      <w:pPr>
        <w:snapToGrid w:val="0"/>
        <w:spacing w:line="360" w:lineRule="auto"/>
        <w:ind w:firstLine="48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 本基金投资的前十名证券的发行主体中，上海浦东发展银行股份有限公司在报告编制日前一年内曾受到国家外汇管理局上海市分局、上海市市场监督管理局、中国银行保险监督管理委员会、中国银行保险监督管理委员会上海监管局的处罚。兴业银行股份有限公司在报告编制日前一年内曾受到中国银行保险监督管理委员会的处罚。国家开发银行在报告编制日前一年内曾受到中国银行保险监督管理委员会的处罚。中国工商银行股份有限公司在报告编制日前一年内曾受到中国银行保险监督管理委员会的处罚。中国邮政储蓄银行股份有限公司在报告编制日前一年内曾受到国家外汇管理局北京外汇管理部、中国银行保险监督管理委员会的处罚。中国进出口银行在报告编制日前一年内曾受到中国银行保险监督管理委员会的处罚。</w:t>
      </w:r>
    </w:p>
    <w:p w:rsidR="009945FE" w:rsidRPr="00054588" w:rsidP="00054588">
      <w:pPr>
        <w:snapToGrid w:val="0"/>
        <w:spacing w:line="360" w:lineRule="auto"/>
        <w:ind w:firstLine="48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本基金对上述主体所发行证券的投资决策程序符合公司投资制度的规定。除上述主体外，基金管理人未发现本基金投资的前十名证券的发行主体出现本期被监管部门立案调查，或在报告编制日前一年内受到公开谴责、处罚的情形。</w:t>
      </w:r>
    </w:p>
    <w:p w:rsidR="009945FE" w:rsidRPr="00054588" w:rsidP="00054588">
      <w:pPr>
        <w:snapToGrid w:val="0"/>
        <w:spacing w:line="360" w:lineRule="auto"/>
        <w:ind w:firstLine="48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 本基金投资的前十名股票没有超出基金合同规定的备选股票库。</w:t>
      </w:r>
    </w:p>
    <w:p w:rsidR="009945FE" w:rsidRPr="00054588" w:rsidP="00054588">
      <w:pPr>
        <w:snapToGrid w:val="0"/>
        <w:spacing w:line="360" w:lineRule="auto"/>
        <w:ind w:firstLine="48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（3）其他资产构成</w:t>
      </w:r>
    </w:p>
    <w:tbl>
      <w:tblPr>
        <w:tblStyle w:val="TableGrid"/>
        <w:tblW w:w="0" w:type="auto"/>
        <w:tblInd w:w="15" w:type="dxa"/>
        <w:tblLayout w:type="fixed"/>
        <w:tblLook w:val="04A0"/>
      </w:tblPr>
      <w:tblGrid>
        <w:gridCol w:w="944"/>
        <w:gridCol w:w="2761"/>
        <w:gridCol w:w="4808"/>
      </w:tblGrid>
      <w:tr w:rsidTr="00094303">
        <w:tblPrEx>
          <w:tblW w:w="0" w:type="auto"/>
          <w:tblInd w:w="15" w:type="dxa"/>
          <w:tblLayout w:type="fixed"/>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7B3D65" w:rsidRPr="00054588" w:rsidP="00094303">
            <w:pPr>
              <w:autoSpaceDE w:val="0"/>
              <w:autoSpaceDN w:val="0"/>
              <w:adjustRightInd w:val="0"/>
              <w:ind w:left="17"/>
              <w:jc w:val="center"/>
              <w:rPr>
                <w:rFonts w:asciiTheme="minorEastAsia" w:eastAsiaTheme="minorEastAsia" w:hAnsiTheme="minorEastAsia"/>
                <w:color w:val="000000" w:themeColor="text1"/>
                <w:kern w:val="0"/>
                <w:sz w:val="24"/>
              </w:rPr>
            </w:pPr>
            <w:r w:rsidRPr="00054588">
              <w:rPr>
                <w:rFonts w:asciiTheme="minorEastAsia" w:eastAsiaTheme="minorEastAsia" w:hAnsiTheme="minorEastAsia"/>
                <w:color w:val="000000" w:themeColor="text1"/>
                <w:kern w:val="0"/>
              </w:rPr>
              <w:t>序号</w:t>
            </w:r>
          </w:p>
        </w:tc>
        <w:tc>
          <w:tcPr>
            <w:tcW w:w="2761" w:type="dxa"/>
            <w:tcBorders>
              <w:top w:val="single" w:sz="0" w:space="0" w:color="000000"/>
              <w:left w:val="single" w:sz="0" w:space="0" w:color="000000"/>
              <w:bottom w:val="single" w:sz="0" w:space="0" w:color="000000"/>
              <w:right w:val="single" w:sz="0" w:space="0" w:color="000000"/>
            </w:tcBorders>
            <w:vAlign w:val="center"/>
          </w:tcPr>
          <w:p w:rsidR="007B3D65" w:rsidRPr="00054588" w:rsidP="00094303">
            <w:pPr>
              <w:autoSpaceDE w:val="0"/>
              <w:autoSpaceDN w:val="0"/>
              <w:adjustRightInd w:val="0"/>
              <w:ind w:left="17"/>
              <w:jc w:val="center"/>
              <w:rPr>
                <w:rFonts w:asciiTheme="minorEastAsia" w:eastAsiaTheme="minorEastAsia" w:hAnsiTheme="minorEastAsia"/>
                <w:color w:val="000000" w:themeColor="text1"/>
                <w:kern w:val="0"/>
                <w:sz w:val="24"/>
              </w:rPr>
            </w:pPr>
            <w:r w:rsidRPr="00054588">
              <w:rPr>
                <w:rFonts w:asciiTheme="minorEastAsia" w:eastAsiaTheme="minorEastAsia" w:hAnsiTheme="minorEastAsia"/>
                <w:color w:val="000000" w:themeColor="text1"/>
                <w:kern w:val="0"/>
              </w:rPr>
              <w:t>名称</w:t>
            </w:r>
          </w:p>
        </w:tc>
        <w:tc>
          <w:tcPr>
            <w:tcW w:w="4808" w:type="dxa"/>
            <w:tcBorders>
              <w:top w:val="single" w:sz="0" w:space="0" w:color="000000"/>
              <w:left w:val="single" w:sz="0" w:space="0" w:color="000000"/>
              <w:bottom w:val="single" w:sz="0" w:space="0" w:color="000000"/>
              <w:right w:val="single" w:sz="0" w:space="0" w:color="000000"/>
            </w:tcBorders>
            <w:vAlign w:val="center"/>
          </w:tcPr>
          <w:p w:rsidR="007B3D65" w:rsidRPr="00054588" w:rsidP="00094303">
            <w:pPr>
              <w:autoSpaceDE w:val="0"/>
              <w:autoSpaceDN w:val="0"/>
              <w:adjustRightInd w:val="0"/>
              <w:ind w:left="17"/>
              <w:jc w:val="center"/>
              <w:rPr>
                <w:rFonts w:asciiTheme="minorEastAsia" w:eastAsiaTheme="minorEastAsia" w:hAnsiTheme="minorEastAsia"/>
                <w:color w:val="000000" w:themeColor="text1"/>
                <w:kern w:val="0"/>
                <w:sz w:val="24"/>
              </w:rPr>
            </w:pPr>
            <w:r w:rsidRPr="00054588">
              <w:rPr>
                <w:rFonts w:asciiTheme="minorEastAsia" w:eastAsiaTheme="minorEastAsia" w:hAnsiTheme="minorEastAsia"/>
                <w:color w:val="000000" w:themeColor="text1"/>
                <w:kern w:val="0"/>
              </w:rPr>
              <w:t>金额（元）</w:t>
            </w:r>
          </w:p>
        </w:tc>
      </w:tr>
      <w:tr w:rsidTr="00094303">
        <w:tblPrEx>
          <w:tblW w:w="0" w:type="auto"/>
          <w:tblInd w:w="15" w:type="dxa"/>
          <w:tblLayout w:type="fixed"/>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7B3D65" w:rsidRPr="00054588" w:rsidP="00094303">
            <w:pPr>
              <w:autoSpaceDE w:val="0"/>
              <w:autoSpaceDN w:val="0"/>
              <w:adjustRightInd w:val="0"/>
              <w:ind w:left="15"/>
              <w:jc w:val="center"/>
              <w:rPr>
                <w:rFonts w:asciiTheme="minorEastAsia" w:eastAsiaTheme="minorEastAsia" w:hAnsiTheme="minorEastAsia"/>
                <w:color w:val="000000" w:themeColor="text1"/>
                <w:kern w:val="0"/>
                <w:sz w:val="24"/>
              </w:rPr>
            </w:pPr>
            <w:r w:rsidRPr="00054588">
              <w:rPr>
                <w:rFonts w:asciiTheme="minorEastAsia" w:eastAsiaTheme="minorEastAsia" w:hAnsiTheme="minorEastAsia"/>
                <w:color w:val="000000" w:themeColor="text1"/>
              </w:rPr>
              <w:t>1</w:t>
            </w:r>
          </w:p>
        </w:tc>
        <w:tc>
          <w:tcPr>
            <w:tcW w:w="2761" w:type="dxa"/>
            <w:tcBorders>
              <w:top w:val="single" w:sz="0" w:space="0" w:color="000000"/>
              <w:left w:val="single" w:sz="0" w:space="0" w:color="000000"/>
              <w:bottom w:val="single" w:sz="0" w:space="0" w:color="000000"/>
              <w:right w:val="single" w:sz="0" w:space="0" w:color="000000"/>
            </w:tcBorders>
            <w:vAlign w:val="center"/>
          </w:tcPr>
          <w:p w:rsidR="007B3D65" w:rsidRPr="00054588" w:rsidP="00094303">
            <w:pPr>
              <w:autoSpaceDE w:val="0"/>
              <w:autoSpaceDN w:val="0"/>
              <w:adjustRightInd w:val="0"/>
              <w:ind w:left="15"/>
              <w:jc w:val="left"/>
              <w:rPr>
                <w:rFonts w:asciiTheme="minorEastAsia" w:eastAsiaTheme="minorEastAsia" w:hAnsiTheme="minorEastAsia"/>
                <w:color w:val="000000" w:themeColor="text1"/>
                <w:kern w:val="0"/>
                <w:sz w:val="24"/>
              </w:rPr>
            </w:pPr>
            <w:r w:rsidRPr="00054588">
              <w:rPr>
                <w:rFonts w:asciiTheme="minorEastAsia" w:eastAsiaTheme="minorEastAsia" w:hAnsiTheme="minorEastAsia"/>
                <w:color w:val="000000" w:themeColor="text1"/>
                <w:kern w:val="0"/>
              </w:rPr>
              <w:t>存出保证金</w:t>
            </w:r>
          </w:p>
        </w:tc>
        <w:tc>
          <w:tcPr>
            <w:tcW w:w="4808" w:type="dxa"/>
            <w:tcBorders>
              <w:top w:val="single" w:sz="0" w:space="0" w:color="000000"/>
              <w:left w:val="single" w:sz="0" w:space="0" w:color="000000"/>
              <w:bottom w:val="single" w:sz="0" w:space="0" w:color="000000"/>
              <w:right w:val="single" w:sz="0" w:space="0" w:color="000000"/>
            </w:tcBorders>
            <w:vAlign w:val="center"/>
          </w:tcPr>
          <w:p w:rsidR="007B3D65" w:rsidRPr="00054588" w:rsidP="00094303">
            <w:pPr>
              <w:autoSpaceDE w:val="0"/>
              <w:autoSpaceDN w:val="0"/>
              <w:adjustRightInd w:val="0"/>
              <w:ind w:left="15"/>
              <w:jc w:val="right"/>
              <w:rPr>
                <w:rFonts w:asciiTheme="minorEastAsia" w:eastAsiaTheme="minorEastAsia" w:hAnsiTheme="minorEastAsia"/>
                <w:color w:val="000000" w:themeColor="text1"/>
                <w:kern w:val="0"/>
                <w:sz w:val="24"/>
              </w:rPr>
            </w:pPr>
            <w:r w:rsidRPr="00054588">
              <w:rPr>
                <w:rFonts w:asciiTheme="minorEastAsia" w:eastAsiaTheme="minorEastAsia" w:hAnsiTheme="minorEastAsia"/>
                <w:color w:val="000000" w:themeColor="text1"/>
                <w:kern w:val="0"/>
              </w:rPr>
              <w:t>274,222.25</w:t>
            </w:r>
          </w:p>
        </w:tc>
      </w:tr>
      <w:tr w:rsidTr="00094303">
        <w:tblPrEx>
          <w:tblW w:w="0" w:type="auto"/>
          <w:tblInd w:w="15" w:type="dxa"/>
          <w:tblLayout w:type="fixed"/>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7B3D65" w:rsidRPr="00054588" w:rsidP="00094303">
            <w:pPr>
              <w:autoSpaceDE w:val="0"/>
              <w:autoSpaceDN w:val="0"/>
              <w:adjustRightInd w:val="0"/>
              <w:ind w:left="15"/>
              <w:jc w:val="center"/>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2</w:t>
            </w:r>
          </w:p>
        </w:tc>
        <w:tc>
          <w:tcPr>
            <w:tcW w:w="2761" w:type="dxa"/>
            <w:tcBorders>
              <w:top w:val="single" w:sz="0" w:space="0" w:color="000000"/>
              <w:left w:val="single" w:sz="0" w:space="0" w:color="000000"/>
              <w:bottom w:val="single" w:sz="0" w:space="0" w:color="000000"/>
              <w:right w:val="single" w:sz="0" w:space="0" w:color="000000"/>
            </w:tcBorders>
            <w:vAlign w:val="center"/>
          </w:tcPr>
          <w:p w:rsidR="007B3D65" w:rsidRPr="00054588" w:rsidP="00094303">
            <w:pPr>
              <w:autoSpaceDE w:val="0"/>
              <w:autoSpaceDN w:val="0"/>
              <w:adjustRightInd w:val="0"/>
              <w:ind w:left="15"/>
              <w:jc w:val="left"/>
              <w:rPr>
                <w:rFonts w:asciiTheme="minorEastAsia" w:eastAsiaTheme="minorEastAsia" w:hAnsiTheme="minorEastAsia"/>
                <w:color w:val="000000" w:themeColor="text1"/>
                <w:kern w:val="0"/>
                <w:sz w:val="24"/>
              </w:rPr>
            </w:pPr>
            <w:r w:rsidRPr="00054588">
              <w:rPr>
                <w:rFonts w:asciiTheme="minorEastAsia" w:eastAsiaTheme="minorEastAsia" w:hAnsiTheme="minorEastAsia"/>
                <w:color w:val="000000" w:themeColor="text1"/>
                <w:kern w:val="0"/>
              </w:rPr>
              <w:t>应收证券清算款</w:t>
            </w:r>
          </w:p>
        </w:tc>
        <w:tc>
          <w:tcPr>
            <w:tcW w:w="4808" w:type="dxa"/>
            <w:tcBorders>
              <w:top w:val="single" w:sz="0" w:space="0" w:color="000000"/>
              <w:left w:val="single" w:sz="0" w:space="0" w:color="000000"/>
              <w:bottom w:val="single" w:sz="0" w:space="0" w:color="000000"/>
              <w:right w:val="single" w:sz="0" w:space="0" w:color="000000"/>
            </w:tcBorders>
            <w:vAlign w:val="center"/>
          </w:tcPr>
          <w:p w:rsidR="007B3D65" w:rsidRPr="00054588" w:rsidP="00094303">
            <w:pPr>
              <w:autoSpaceDE w:val="0"/>
              <w:autoSpaceDN w:val="0"/>
              <w:adjustRightInd w:val="0"/>
              <w:ind w:left="15"/>
              <w:jc w:val="right"/>
              <w:rPr>
                <w:rFonts w:asciiTheme="minorEastAsia" w:eastAsiaTheme="minorEastAsia" w:hAnsiTheme="minorEastAsia"/>
                <w:color w:val="000000" w:themeColor="text1"/>
                <w:kern w:val="0"/>
                <w:sz w:val="24"/>
              </w:rPr>
            </w:pPr>
            <w:r w:rsidRPr="00054588">
              <w:rPr>
                <w:rFonts w:asciiTheme="minorEastAsia" w:eastAsiaTheme="minorEastAsia" w:hAnsiTheme="minorEastAsia"/>
                <w:color w:val="000000" w:themeColor="text1"/>
                <w:kern w:val="0"/>
              </w:rPr>
              <w:t>8,073,268.93</w:t>
            </w:r>
          </w:p>
        </w:tc>
      </w:tr>
      <w:tr w:rsidTr="00094303">
        <w:tblPrEx>
          <w:tblW w:w="0" w:type="auto"/>
          <w:tblInd w:w="15" w:type="dxa"/>
          <w:tblLayout w:type="fixed"/>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7B3D65" w:rsidRPr="00054588" w:rsidP="00094303">
            <w:pPr>
              <w:autoSpaceDE w:val="0"/>
              <w:autoSpaceDN w:val="0"/>
              <w:adjustRightInd w:val="0"/>
              <w:ind w:left="15"/>
              <w:jc w:val="center"/>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3</w:t>
            </w:r>
          </w:p>
        </w:tc>
        <w:tc>
          <w:tcPr>
            <w:tcW w:w="2761" w:type="dxa"/>
            <w:tcBorders>
              <w:top w:val="single" w:sz="0" w:space="0" w:color="000000"/>
              <w:left w:val="single" w:sz="0" w:space="0" w:color="000000"/>
              <w:bottom w:val="single" w:sz="0" w:space="0" w:color="000000"/>
              <w:right w:val="single" w:sz="0" w:space="0" w:color="000000"/>
            </w:tcBorders>
            <w:vAlign w:val="center"/>
          </w:tcPr>
          <w:p w:rsidR="007B3D65" w:rsidRPr="00054588" w:rsidP="00094303">
            <w:pPr>
              <w:autoSpaceDE w:val="0"/>
              <w:autoSpaceDN w:val="0"/>
              <w:adjustRightInd w:val="0"/>
              <w:ind w:left="15"/>
              <w:jc w:val="left"/>
              <w:rPr>
                <w:rFonts w:asciiTheme="minorEastAsia" w:eastAsiaTheme="minorEastAsia" w:hAnsiTheme="minorEastAsia"/>
                <w:color w:val="000000" w:themeColor="text1"/>
                <w:kern w:val="0"/>
                <w:sz w:val="24"/>
              </w:rPr>
            </w:pPr>
            <w:r w:rsidRPr="00054588">
              <w:rPr>
                <w:rFonts w:asciiTheme="minorEastAsia" w:eastAsiaTheme="minorEastAsia" w:hAnsiTheme="minorEastAsia"/>
                <w:color w:val="000000" w:themeColor="text1"/>
                <w:kern w:val="0"/>
              </w:rPr>
              <w:t>应收股利</w:t>
            </w:r>
          </w:p>
        </w:tc>
        <w:tc>
          <w:tcPr>
            <w:tcW w:w="4808" w:type="dxa"/>
            <w:tcBorders>
              <w:top w:val="single" w:sz="0" w:space="0" w:color="000000"/>
              <w:left w:val="single" w:sz="0" w:space="0" w:color="000000"/>
              <w:bottom w:val="single" w:sz="0" w:space="0" w:color="000000"/>
              <w:right w:val="single" w:sz="0" w:space="0" w:color="000000"/>
            </w:tcBorders>
            <w:vAlign w:val="center"/>
          </w:tcPr>
          <w:p w:rsidR="007B3D65" w:rsidRPr="00054588" w:rsidP="00094303">
            <w:pPr>
              <w:autoSpaceDE w:val="0"/>
              <w:autoSpaceDN w:val="0"/>
              <w:adjustRightInd w:val="0"/>
              <w:ind w:left="15"/>
              <w:jc w:val="right"/>
              <w:rPr>
                <w:rFonts w:asciiTheme="minorEastAsia" w:eastAsiaTheme="minorEastAsia" w:hAnsiTheme="minorEastAsia"/>
                <w:color w:val="000000" w:themeColor="text1"/>
                <w:kern w:val="0"/>
                <w:sz w:val="24"/>
              </w:rPr>
            </w:pPr>
            <w:r w:rsidRPr="00054588">
              <w:rPr>
                <w:rFonts w:asciiTheme="minorEastAsia" w:eastAsiaTheme="minorEastAsia" w:hAnsiTheme="minorEastAsia"/>
                <w:color w:val="000000" w:themeColor="text1"/>
                <w:kern w:val="0"/>
              </w:rPr>
              <w:t>-</w:t>
            </w:r>
          </w:p>
        </w:tc>
      </w:tr>
      <w:tr w:rsidTr="00094303">
        <w:tblPrEx>
          <w:tblW w:w="0" w:type="auto"/>
          <w:tblInd w:w="15" w:type="dxa"/>
          <w:tblLayout w:type="fixed"/>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7B3D65" w:rsidRPr="00054588" w:rsidP="00094303">
            <w:pPr>
              <w:autoSpaceDE w:val="0"/>
              <w:autoSpaceDN w:val="0"/>
              <w:adjustRightInd w:val="0"/>
              <w:ind w:left="15"/>
              <w:jc w:val="center"/>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4</w:t>
            </w:r>
          </w:p>
        </w:tc>
        <w:tc>
          <w:tcPr>
            <w:tcW w:w="2761" w:type="dxa"/>
            <w:tcBorders>
              <w:top w:val="single" w:sz="0" w:space="0" w:color="000000"/>
              <w:left w:val="single" w:sz="0" w:space="0" w:color="000000"/>
              <w:bottom w:val="single" w:sz="0" w:space="0" w:color="000000"/>
              <w:right w:val="single" w:sz="0" w:space="0" w:color="000000"/>
            </w:tcBorders>
            <w:vAlign w:val="center"/>
          </w:tcPr>
          <w:p w:rsidR="007B3D65" w:rsidRPr="00054588" w:rsidP="00094303">
            <w:pPr>
              <w:autoSpaceDE w:val="0"/>
              <w:autoSpaceDN w:val="0"/>
              <w:adjustRightInd w:val="0"/>
              <w:ind w:left="15"/>
              <w:jc w:val="left"/>
              <w:rPr>
                <w:rFonts w:asciiTheme="minorEastAsia" w:eastAsiaTheme="minorEastAsia" w:hAnsiTheme="minorEastAsia"/>
                <w:color w:val="000000" w:themeColor="text1"/>
                <w:kern w:val="0"/>
                <w:sz w:val="24"/>
              </w:rPr>
            </w:pPr>
            <w:r w:rsidRPr="00054588">
              <w:rPr>
                <w:rFonts w:asciiTheme="minorEastAsia" w:eastAsiaTheme="minorEastAsia" w:hAnsiTheme="minorEastAsia"/>
                <w:color w:val="000000" w:themeColor="text1"/>
                <w:kern w:val="0"/>
              </w:rPr>
              <w:t>应收利息</w:t>
            </w:r>
          </w:p>
        </w:tc>
        <w:tc>
          <w:tcPr>
            <w:tcW w:w="4808" w:type="dxa"/>
            <w:tcBorders>
              <w:top w:val="single" w:sz="0" w:space="0" w:color="000000"/>
              <w:left w:val="single" w:sz="0" w:space="0" w:color="000000"/>
              <w:bottom w:val="single" w:sz="0" w:space="0" w:color="000000"/>
              <w:right w:val="single" w:sz="0" w:space="0" w:color="000000"/>
            </w:tcBorders>
            <w:vAlign w:val="center"/>
          </w:tcPr>
          <w:p w:rsidR="007B3D65" w:rsidRPr="00054588" w:rsidP="00094303">
            <w:pPr>
              <w:autoSpaceDE w:val="0"/>
              <w:autoSpaceDN w:val="0"/>
              <w:adjustRightInd w:val="0"/>
              <w:ind w:left="15"/>
              <w:jc w:val="right"/>
              <w:rPr>
                <w:rFonts w:asciiTheme="minorEastAsia" w:eastAsiaTheme="minorEastAsia" w:hAnsiTheme="minorEastAsia"/>
                <w:color w:val="000000" w:themeColor="text1"/>
                <w:kern w:val="0"/>
                <w:sz w:val="24"/>
              </w:rPr>
            </w:pPr>
            <w:r w:rsidRPr="00054588">
              <w:rPr>
                <w:rFonts w:asciiTheme="minorEastAsia" w:eastAsiaTheme="minorEastAsia" w:hAnsiTheme="minorEastAsia"/>
                <w:color w:val="000000" w:themeColor="text1"/>
                <w:kern w:val="0"/>
              </w:rPr>
              <w:t>-</w:t>
            </w:r>
          </w:p>
        </w:tc>
      </w:tr>
      <w:tr w:rsidTr="00094303">
        <w:tblPrEx>
          <w:tblW w:w="0" w:type="auto"/>
          <w:tblInd w:w="15" w:type="dxa"/>
          <w:tblLayout w:type="fixed"/>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7B3D65" w:rsidRPr="00054588" w:rsidP="00094303">
            <w:pPr>
              <w:autoSpaceDE w:val="0"/>
              <w:autoSpaceDN w:val="0"/>
              <w:adjustRightInd w:val="0"/>
              <w:ind w:left="15"/>
              <w:jc w:val="center"/>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5</w:t>
            </w:r>
          </w:p>
        </w:tc>
        <w:tc>
          <w:tcPr>
            <w:tcW w:w="2761" w:type="dxa"/>
            <w:tcBorders>
              <w:top w:val="single" w:sz="0" w:space="0" w:color="000000"/>
              <w:left w:val="single" w:sz="0" w:space="0" w:color="000000"/>
              <w:bottom w:val="single" w:sz="0" w:space="0" w:color="000000"/>
              <w:right w:val="single" w:sz="0" w:space="0" w:color="000000"/>
            </w:tcBorders>
            <w:vAlign w:val="center"/>
          </w:tcPr>
          <w:p w:rsidR="007B3D65" w:rsidRPr="00054588" w:rsidP="00094303">
            <w:pPr>
              <w:autoSpaceDE w:val="0"/>
              <w:autoSpaceDN w:val="0"/>
              <w:adjustRightInd w:val="0"/>
              <w:ind w:left="15"/>
              <w:jc w:val="left"/>
              <w:rPr>
                <w:rFonts w:asciiTheme="minorEastAsia" w:eastAsiaTheme="minorEastAsia" w:hAnsiTheme="minorEastAsia"/>
                <w:color w:val="000000" w:themeColor="text1"/>
                <w:kern w:val="0"/>
                <w:sz w:val="24"/>
              </w:rPr>
            </w:pPr>
            <w:r w:rsidRPr="00054588">
              <w:rPr>
                <w:rFonts w:asciiTheme="minorEastAsia" w:eastAsiaTheme="minorEastAsia" w:hAnsiTheme="minorEastAsia"/>
                <w:color w:val="000000" w:themeColor="text1"/>
                <w:kern w:val="0"/>
              </w:rPr>
              <w:t>应收申购款</w:t>
            </w:r>
          </w:p>
        </w:tc>
        <w:tc>
          <w:tcPr>
            <w:tcW w:w="4808" w:type="dxa"/>
            <w:tcBorders>
              <w:top w:val="single" w:sz="0" w:space="0" w:color="000000"/>
              <w:left w:val="single" w:sz="0" w:space="0" w:color="000000"/>
              <w:bottom w:val="single" w:sz="0" w:space="0" w:color="000000"/>
              <w:right w:val="single" w:sz="0" w:space="0" w:color="000000"/>
            </w:tcBorders>
            <w:vAlign w:val="center"/>
          </w:tcPr>
          <w:p w:rsidR="007B3D65" w:rsidRPr="00054588" w:rsidP="00094303">
            <w:pPr>
              <w:autoSpaceDE w:val="0"/>
              <w:autoSpaceDN w:val="0"/>
              <w:adjustRightInd w:val="0"/>
              <w:ind w:left="15"/>
              <w:jc w:val="right"/>
              <w:rPr>
                <w:rFonts w:asciiTheme="minorEastAsia" w:eastAsiaTheme="minorEastAsia" w:hAnsiTheme="minorEastAsia"/>
                <w:color w:val="000000" w:themeColor="text1"/>
                <w:kern w:val="0"/>
                <w:sz w:val="24"/>
              </w:rPr>
            </w:pPr>
            <w:r w:rsidRPr="00054588">
              <w:rPr>
                <w:rFonts w:asciiTheme="minorEastAsia" w:eastAsiaTheme="minorEastAsia" w:hAnsiTheme="minorEastAsia"/>
                <w:color w:val="000000" w:themeColor="text1"/>
                <w:kern w:val="0"/>
              </w:rPr>
              <w:t>21,147,863.37</w:t>
            </w:r>
          </w:p>
        </w:tc>
      </w:tr>
      <w:tr w:rsidTr="00094303">
        <w:tblPrEx>
          <w:tblW w:w="0" w:type="auto"/>
          <w:tblInd w:w="15" w:type="dxa"/>
          <w:tblLayout w:type="fixed"/>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7B3D65" w:rsidRPr="00054588" w:rsidP="00094303">
            <w:pPr>
              <w:autoSpaceDE w:val="0"/>
              <w:autoSpaceDN w:val="0"/>
              <w:adjustRightInd w:val="0"/>
              <w:ind w:left="15"/>
              <w:jc w:val="center"/>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6</w:t>
            </w:r>
          </w:p>
        </w:tc>
        <w:tc>
          <w:tcPr>
            <w:tcW w:w="2761" w:type="dxa"/>
            <w:tcBorders>
              <w:top w:val="single" w:sz="0" w:space="0" w:color="000000"/>
              <w:left w:val="single" w:sz="0" w:space="0" w:color="000000"/>
              <w:bottom w:val="single" w:sz="0" w:space="0" w:color="000000"/>
              <w:right w:val="single" w:sz="0" w:space="0" w:color="000000"/>
            </w:tcBorders>
            <w:vAlign w:val="center"/>
          </w:tcPr>
          <w:p w:rsidR="007B3D65" w:rsidRPr="00054588" w:rsidP="00094303">
            <w:pPr>
              <w:autoSpaceDE w:val="0"/>
              <w:autoSpaceDN w:val="0"/>
              <w:adjustRightInd w:val="0"/>
              <w:ind w:left="15"/>
              <w:jc w:val="left"/>
              <w:rPr>
                <w:rFonts w:asciiTheme="minorEastAsia" w:eastAsiaTheme="minorEastAsia" w:hAnsiTheme="minorEastAsia"/>
                <w:color w:val="000000" w:themeColor="text1"/>
                <w:kern w:val="0"/>
                <w:sz w:val="24"/>
              </w:rPr>
            </w:pPr>
            <w:r w:rsidRPr="00054588">
              <w:rPr>
                <w:rFonts w:asciiTheme="minorEastAsia" w:eastAsiaTheme="minorEastAsia" w:hAnsiTheme="minorEastAsia"/>
                <w:color w:val="000000" w:themeColor="text1"/>
                <w:kern w:val="0"/>
              </w:rPr>
              <w:t>其他应收款</w:t>
            </w:r>
          </w:p>
        </w:tc>
        <w:tc>
          <w:tcPr>
            <w:tcW w:w="4808" w:type="dxa"/>
            <w:tcBorders>
              <w:top w:val="single" w:sz="0" w:space="0" w:color="000000"/>
              <w:left w:val="single" w:sz="0" w:space="0" w:color="000000"/>
              <w:bottom w:val="single" w:sz="0" w:space="0" w:color="000000"/>
              <w:right w:val="single" w:sz="0" w:space="0" w:color="000000"/>
            </w:tcBorders>
            <w:vAlign w:val="center"/>
          </w:tcPr>
          <w:p w:rsidR="007B3D65" w:rsidRPr="00054588" w:rsidP="00094303">
            <w:pPr>
              <w:autoSpaceDE w:val="0"/>
              <w:autoSpaceDN w:val="0"/>
              <w:adjustRightInd w:val="0"/>
              <w:ind w:left="15"/>
              <w:jc w:val="right"/>
              <w:rPr>
                <w:rFonts w:asciiTheme="minorEastAsia" w:eastAsiaTheme="minorEastAsia" w:hAnsiTheme="minorEastAsia"/>
                <w:color w:val="000000" w:themeColor="text1"/>
                <w:kern w:val="0"/>
                <w:sz w:val="24"/>
              </w:rPr>
            </w:pPr>
            <w:r w:rsidRPr="00054588">
              <w:rPr>
                <w:rFonts w:asciiTheme="minorEastAsia" w:eastAsiaTheme="minorEastAsia" w:hAnsiTheme="minorEastAsia"/>
                <w:color w:val="000000" w:themeColor="text1"/>
                <w:kern w:val="0"/>
              </w:rPr>
              <w:t>-</w:t>
            </w:r>
          </w:p>
        </w:tc>
      </w:tr>
      <w:tr w:rsidTr="00094303">
        <w:tblPrEx>
          <w:tblW w:w="0" w:type="auto"/>
          <w:tblInd w:w="15" w:type="dxa"/>
          <w:tblLayout w:type="fixed"/>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7B3D65" w:rsidRPr="00054588" w:rsidP="001D3F5B">
            <w:pPr>
              <w:autoSpaceDE w:val="0"/>
              <w:autoSpaceDN w:val="0"/>
              <w:adjustRightInd w:val="0"/>
              <w:ind w:left="15"/>
              <w:jc w:val="center"/>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7</w:t>
            </w:r>
          </w:p>
        </w:tc>
        <w:tc>
          <w:tcPr>
            <w:tcW w:w="2761" w:type="dxa"/>
            <w:tcBorders>
              <w:top w:val="single" w:sz="0" w:space="0" w:color="000000"/>
              <w:left w:val="single" w:sz="0" w:space="0" w:color="000000"/>
              <w:bottom w:val="single" w:sz="0" w:space="0" w:color="000000"/>
              <w:right w:val="single" w:sz="0" w:space="0" w:color="000000"/>
            </w:tcBorders>
            <w:vAlign w:val="center"/>
          </w:tcPr>
          <w:p w:rsidR="007B3D65" w:rsidRPr="00054588" w:rsidP="00094303">
            <w:pPr>
              <w:autoSpaceDE w:val="0"/>
              <w:autoSpaceDN w:val="0"/>
              <w:adjustRightInd w:val="0"/>
              <w:ind w:left="15"/>
              <w:jc w:val="left"/>
              <w:rPr>
                <w:rFonts w:asciiTheme="minorEastAsia" w:eastAsiaTheme="minorEastAsia" w:hAnsiTheme="minorEastAsia"/>
                <w:color w:val="000000" w:themeColor="text1"/>
                <w:kern w:val="0"/>
                <w:sz w:val="24"/>
              </w:rPr>
            </w:pPr>
            <w:r w:rsidRPr="00054588">
              <w:rPr>
                <w:rFonts w:asciiTheme="minorEastAsia" w:eastAsiaTheme="minorEastAsia" w:hAnsiTheme="minorEastAsia"/>
                <w:color w:val="000000" w:themeColor="text1"/>
                <w:kern w:val="0"/>
              </w:rPr>
              <w:t>其他</w:t>
            </w:r>
          </w:p>
        </w:tc>
        <w:tc>
          <w:tcPr>
            <w:tcW w:w="4808" w:type="dxa"/>
            <w:tcBorders>
              <w:top w:val="single" w:sz="0" w:space="0" w:color="000000"/>
              <w:left w:val="single" w:sz="0" w:space="0" w:color="000000"/>
              <w:bottom w:val="single" w:sz="0" w:space="0" w:color="000000"/>
              <w:right w:val="single" w:sz="0" w:space="0" w:color="000000"/>
            </w:tcBorders>
            <w:vAlign w:val="center"/>
          </w:tcPr>
          <w:p w:rsidR="007B3D65" w:rsidRPr="00054588" w:rsidP="00094303">
            <w:pPr>
              <w:autoSpaceDE w:val="0"/>
              <w:autoSpaceDN w:val="0"/>
              <w:adjustRightInd w:val="0"/>
              <w:ind w:left="15"/>
              <w:jc w:val="right"/>
              <w:rPr>
                <w:rFonts w:asciiTheme="minorEastAsia" w:eastAsiaTheme="minorEastAsia" w:hAnsiTheme="minorEastAsia"/>
                <w:color w:val="000000" w:themeColor="text1"/>
                <w:kern w:val="0"/>
                <w:sz w:val="24"/>
              </w:rPr>
            </w:pPr>
            <w:r w:rsidRPr="00054588">
              <w:rPr>
                <w:rFonts w:asciiTheme="minorEastAsia" w:eastAsiaTheme="minorEastAsia" w:hAnsiTheme="minorEastAsia"/>
                <w:color w:val="000000" w:themeColor="text1"/>
                <w:kern w:val="0"/>
              </w:rPr>
              <w:t>-</w:t>
            </w:r>
          </w:p>
        </w:tc>
      </w:tr>
      <w:tr w:rsidTr="00094303">
        <w:tblPrEx>
          <w:tblW w:w="0" w:type="auto"/>
          <w:tblInd w:w="15" w:type="dxa"/>
          <w:tblLayout w:type="fixed"/>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7B3D65" w:rsidRPr="00054588" w:rsidP="001D3F5B">
            <w:pPr>
              <w:autoSpaceDE w:val="0"/>
              <w:autoSpaceDN w:val="0"/>
              <w:adjustRightInd w:val="0"/>
              <w:ind w:left="15"/>
              <w:jc w:val="center"/>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8</w:t>
            </w:r>
          </w:p>
        </w:tc>
        <w:tc>
          <w:tcPr>
            <w:tcW w:w="2761" w:type="dxa"/>
            <w:tcBorders>
              <w:top w:val="single" w:sz="0" w:space="0" w:color="000000"/>
              <w:left w:val="single" w:sz="0" w:space="0" w:color="000000"/>
              <w:bottom w:val="single" w:sz="0" w:space="0" w:color="000000"/>
              <w:right w:val="single" w:sz="0" w:space="0" w:color="000000"/>
            </w:tcBorders>
            <w:vAlign w:val="center"/>
          </w:tcPr>
          <w:p w:rsidR="007B3D65" w:rsidRPr="00054588" w:rsidP="00094303">
            <w:pPr>
              <w:autoSpaceDE w:val="0"/>
              <w:autoSpaceDN w:val="0"/>
              <w:adjustRightInd w:val="0"/>
              <w:ind w:left="15"/>
              <w:jc w:val="left"/>
              <w:rPr>
                <w:rFonts w:asciiTheme="minorEastAsia" w:eastAsiaTheme="minorEastAsia" w:hAnsiTheme="minorEastAsia"/>
                <w:color w:val="000000" w:themeColor="text1"/>
                <w:kern w:val="0"/>
                <w:sz w:val="24"/>
              </w:rPr>
            </w:pPr>
            <w:r w:rsidRPr="00054588">
              <w:rPr>
                <w:rFonts w:asciiTheme="minorEastAsia" w:eastAsiaTheme="minorEastAsia" w:hAnsiTheme="minorEastAsia"/>
                <w:color w:val="000000" w:themeColor="text1"/>
                <w:kern w:val="0"/>
              </w:rPr>
              <w:t>合计</w:t>
            </w:r>
          </w:p>
        </w:tc>
        <w:tc>
          <w:tcPr>
            <w:tcW w:w="4808" w:type="dxa"/>
            <w:tcBorders>
              <w:top w:val="single" w:sz="0" w:space="0" w:color="000000"/>
              <w:left w:val="single" w:sz="0" w:space="0" w:color="000000"/>
              <w:bottom w:val="single" w:sz="0" w:space="0" w:color="000000"/>
              <w:right w:val="single" w:sz="0" w:space="0" w:color="000000"/>
            </w:tcBorders>
            <w:vAlign w:val="center"/>
          </w:tcPr>
          <w:p w:rsidR="007B3D65" w:rsidRPr="00054588" w:rsidP="00094303">
            <w:pPr>
              <w:autoSpaceDE w:val="0"/>
              <w:autoSpaceDN w:val="0"/>
              <w:adjustRightInd w:val="0"/>
              <w:ind w:left="15"/>
              <w:jc w:val="right"/>
              <w:rPr>
                <w:rFonts w:asciiTheme="minorEastAsia" w:eastAsiaTheme="minorEastAsia" w:hAnsiTheme="minorEastAsia"/>
                <w:color w:val="000000" w:themeColor="text1"/>
                <w:kern w:val="0"/>
                <w:sz w:val="24"/>
              </w:rPr>
            </w:pPr>
            <w:r w:rsidRPr="00054588">
              <w:rPr>
                <w:rFonts w:asciiTheme="minorEastAsia" w:eastAsiaTheme="minorEastAsia" w:hAnsiTheme="minorEastAsia"/>
                <w:color w:val="000000" w:themeColor="text1"/>
                <w:kern w:val="0"/>
              </w:rPr>
              <w:t>29,495,354.55</w:t>
            </w:r>
          </w:p>
        </w:tc>
      </w:tr>
    </w:tbl>
    <w:p w:rsidR="009945FE" w:rsidRPr="00054588" w:rsidP="00054588">
      <w:pPr>
        <w:snapToGrid w:val="0"/>
        <w:spacing w:line="360" w:lineRule="auto"/>
        <w:ind w:firstLine="48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（4）报告期末持有的处于转股期的可转换债券明细</w:t>
      </w:r>
    </w:p>
    <w:tbl>
      <w:tblPr>
        <w:tblStyle w:val="TableGrid"/>
        <w:tblW w:w="0" w:type="auto"/>
        <w:tblInd w:w="15" w:type="dxa"/>
        <w:tblLook w:val="04A0"/>
      </w:tblPr>
      <w:tblGrid>
        <w:gridCol w:w="943"/>
        <w:gridCol w:w="2566"/>
        <w:gridCol w:w="1663"/>
        <w:gridCol w:w="1727"/>
        <w:gridCol w:w="1608"/>
      </w:tblGrid>
      <w:tr>
        <w:tblPrEx>
          <w:tblW w:w="0" w:type="auto"/>
          <w:tblInd w:w="15" w:type="dxa"/>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center"/>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序号</w:t>
            </w:r>
          </w:p>
        </w:tc>
        <w:tc>
          <w:tcPr>
            <w:tcW w:w="2568"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center"/>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债券代码</w:t>
            </w:r>
          </w:p>
        </w:tc>
        <w:tc>
          <w:tcPr>
            <w:tcW w:w="1665"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center"/>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债券名称</w:t>
            </w:r>
          </w:p>
        </w:tc>
        <w:tc>
          <w:tcPr>
            <w:tcW w:w="1727"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center"/>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公允价值(元)</w:t>
            </w:r>
          </w:p>
        </w:tc>
        <w:tc>
          <w:tcPr>
            <w:tcW w:w="1609" w:type="dxa"/>
            <w:tcBorders>
              <w:top w:val="single" w:sz="0" w:space="0" w:color="000000"/>
              <w:left w:val="single" w:sz="0" w:space="0" w:color="000000"/>
              <w:bottom w:val="single" w:sz="0" w:space="0" w:color="000000"/>
              <w:right w:val="single" w:sz="0" w:space="0" w:color="000000"/>
            </w:tcBorders>
            <w:vAlign w:val="center"/>
          </w:tcPr>
          <w:p w:rsidR="00ED044C" w:rsidRPr="00054588">
            <w:pPr>
              <w:ind w:left="17"/>
              <w:jc w:val="center"/>
              <w:rPr>
                <w:rFonts w:asciiTheme="minorEastAsia" w:eastAsiaTheme="minorEastAsia" w:hAnsiTheme="minorEastAsia"/>
                <w:color w:val="000000" w:themeColor="text1"/>
                <w:sz w:val="24"/>
              </w:rPr>
            </w:pPr>
            <w:r w:rsidRPr="00054588">
              <w:rPr>
                <w:rFonts w:asciiTheme="minorEastAsia" w:eastAsiaTheme="minorEastAsia" w:hAnsiTheme="minorEastAsia"/>
                <w:color w:val="000000" w:themeColor="text1"/>
              </w:rPr>
              <w:t>占基金资产净值比例(%)</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113052</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兴业转债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358,460,973.87</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1.43</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132018</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G三峡EB1</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313,840,533.48</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1.25</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3</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113050</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南银转债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149,264,571.30</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0.60</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4</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113013</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国君转债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126,509,229.51</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0.50</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5</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113011</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光大转债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103,756,655.57</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0.41</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6</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110053</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苏银转债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94,683,242.16</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0.38</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7</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113037</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紫银转债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85,913,105.74</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0.34</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8</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127016</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鲁泰转债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52,363,185.44</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0.21</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9</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110085</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通22转债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47,660,444.40</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0.19</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10</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128129</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青农转债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44,458,800.55</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0.18</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11</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110062</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烽火转债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44,299,623.70</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0.18</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12</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128108</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蓝帆转债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38,930,658.02</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0.16</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13</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110079</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杭银转债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37,166,163.36</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0.15</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14</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110057</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现代转债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36,554,890.99</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0.15</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15</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132014</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18中化EB</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26,136,211.32</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0.10</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16</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110076</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华海转债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26,017,810.08</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0.10</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17</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127058</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科伦转债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24,978,660.78</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0.10</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18</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113584</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家悦转债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24,116,083.56</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0.10</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19</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110073</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国投转债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22,946,162.74</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0.09</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127022</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恒逸转债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22,757,430.45</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0.09</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21</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128081</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海亮转债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21,685,194.56</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0.09</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22</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132021</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19中电EB</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21,527,660.12</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0.09</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23</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128109</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楚江转债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20,668,830.68</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0.08</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24</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123076</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强力转债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20,106,255.30</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0.08</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25</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110077</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洪城转债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19,060,497.86</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0.08</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26</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110047</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山鹰转债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18,464,538.70</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0.07</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27</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110045</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海澜转债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18,313,970.99</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0.07</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28</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128026</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众兴转债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16,546,632.30</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0.07</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29</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127047</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帝欧转债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15,736,226.11</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0.06</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30</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113563</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柳药转债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15,598,272.60</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0.06</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31</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128083</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新北转债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14,628,951.46</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0.06</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32</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128074</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游族转债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14,608,277.92</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0.06</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33</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113598</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法兰转债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13,993,462.91</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0.06</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34</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123056</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雪榕转债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13,518,222.08</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0.05</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35</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123128</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首华转债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10,615,662.49</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0.04</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36</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127019</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国城转债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10,354,982.55</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0.04</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37</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128042</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凯中转债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10,142,774.08</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0.04</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38</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132020</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19蓝星EB</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9,540,740.17</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0.04</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39</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123117</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健帆转债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9,478,323.87</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0.04</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40</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113622</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杭叉转债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9,448,979.44</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0.04</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41</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123115</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捷捷转债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8,973,439.56</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0.04</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42</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123049</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维尔转债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8,816,453.78</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0.04</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43</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123082</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北陆转债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8,772,294.40</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0.03</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44</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128063</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未来转债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8,432,082.12</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0.03</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45</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127029</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中钢转债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6,940,648.55</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0.03</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46</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123090</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三诺转债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5,938,954.97</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0.02</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47</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113604</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多伦转债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5,339,915.18</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0.02</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48</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110081</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闻泰转债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4,669,442.15</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0.02</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49</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128037</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岩土转债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3,667,411.02</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0.01</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50</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113605</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大参转债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3,633,048.66</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0.01</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51</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113542</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好客转债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3,311,416.44</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0.01</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52</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127046</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百润转债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2,785,562.15</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0.01</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53</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127032</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苏行转债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2,359,615.89</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0.01</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54</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127014</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北方转债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1,081,160.05</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0.00</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55</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127025</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冀东转债</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980.99</w:t>
            </w:r>
          </w:p>
        </w:tc>
        <w:tc>
          <w:tcPr>
            <w:tcW w:w="0" w:type="auto"/>
            <w:tcBorders>
              <w:top w:val="single" w:sz="0" w:space="0" w:color="000000"/>
              <w:left w:val="single" w:sz="0" w:space="0" w:color="000000"/>
              <w:bottom w:val="single" w:sz="0" w:space="0" w:color="000000"/>
              <w:right w:val="single" w:sz="0" w:space="0" w:color="000000"/>
            </w:tcBorders>
            <w:vAlign w:val="center"/>
          </w:tcPr>
          <w:p w:rsidR="00743825" w:rsidRPr="00054588">
            <w:pPr>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0.00</w:t>
            </w:r>
          </w:p>
        </w:tc>
      </w:tr>
    </w:tbl>
    <w:p w:rsidR="009945FE" w:rsidRPr="00054588" w:rsidP="00054588">
      <w:pPr>
        <w:snapToGrid w:val="0"/>
        <w:spacing w:line="360" w:lineRule="auto"/>
        <w:ind w:firstLine="48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（5）报告期末前十名股票中存在流通受限情况的说明</w:t>
      </w:r>
    </w:p>
    <w:p w:rsidR="009945FE" w:rsidRPr="00054588" w:rsidP="00054588">
      <w:pPr>
        <w:snapToGrid w:val="0"/>
        <w:spacing w:line="360" w:lineRule="auto"/>
        <w:ind w:firstLine="48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本基金本报告期末前十名股票中不存在流通受限情况。</w:t>
      </w:r>
      <w:r w:rsidRPr="00054588">
        <w:rPr>
          <w:rFonts w:asciiTheme="minorEastAsia" w:eastAsiaTheme="minorEastAsia" w:hAnsiTheme="minorEastAsia"/>
          <w:color w:val="000000" w:themeColor="text1"/>
        </w:rPr>
        <w:br w:type="page"/>
      </w:r>
    </w:p>
    <w:p w:rsidR="007228CC" w:rsidRPr="00054588" w:rsidP="00941EC8">
      <w:pPr>
        <w:pStyle w:val="111"/>
        <w:numPr>
          <w:ilvl w:val="0"/>
          <w:numId w:val="7"/>
        </w:numPr>
        <w:tabs>
          <w:tab w:val="num" w:pos="0"/>
          <w:tab w:val="clear" w:pos="2798"/>
        </w:tabs>
        <w:snapToGrid w:val="0"/>
        <w:spacing w:beforeLines="0" w:afterLines="0" w:line="360" w:lineRule="auto"/>
        <w:ind w:left="0" w:firstLine="0" w:firstLineChars="0"/>
        <w:rPr>
          <w:rFonts w:asciiTheme="minorEastAsia" w:eastAsiaTheme="minorEastAsia" w:hAnsiTheme="minorEastAsia"/>
          <w:b/>
          <w:color w:val="000000" w:themeColor="text1"/>
          <w:szCs w:val="32"/>
        </w:rPr>
      </w:pPr>
      <w:bookmarkStart w:id="189" w:name="_Toc228889107"/>
      <w:bookmarkStart w:id="190" w:name="_Toc229970317"/>
      <w:bookmarkStart w:id="191" w:name="_Toc229970878"/>
      <w:bookmarkStart w:id="192" w:name="_Toc229971437"/>
      <w:bookmarkStart w:id="193" w:name="_Toc228889119"/>
      <w:bookmarkStart w:id="194" w:name="_Toc229970329"/>
      <w:bookmarkStart w:id="195" w:name="_Toc229970890"/>
      <w:bookmarkStart w:id="196" w:name="_Toc229971449"/>
      <w:bookmarkStart w:id="197" w:name="_Toc228889129"/>
      <w:bookmarkStart w:id="198" w:name="_Toc229970339"/>
      <w:bookmarkStart w:id="199" w:name="_Toc229970900"/>
      <w:bookmarkStart w:id="200" w:name="_Toc229971459"/>
      <w:bookmarkStart w:id="201" w:name="_Toc228889134"/>
      <w:bookmarkStart w:id="202" w:name="_Toc229970344"/>
      <w:bookmarkStart w:id="203" w:name="_Toc229970905"/>
      <w:bookmarkStart w:id="204" w:name="_Toc229971464"/>
      <w:bookmarkStart w:id="205" w:name="_Toc228889149"/>
      <w:bookmarkStart w:id="206" w:name="_Toc229970359"/>
      <w:bookmarkStart w:id="207" w:name="_Toc229970920"/>
      <w:bookmarkStart w:id="208" w:name="_Toc229971479"/>
      <w:bookmarkStart w:id="209" w:name="_Toc228889169"/>
      <w:bookmarkStart w:id="210" w:name="_Toc229970379"/>
      <w:bookmarkStart w:id="211" w:name="_Toc229970940"/>
      <w:bookmarkStart w:id="212" w:name="_Toc229971499"/>
      <w:bookmarkStart w:id="213" w:name="_Toc228889290"/>
      <w:bookmarkStart w:id="214" w:name="_Toc229970500"/>
      <w:bookmarkStart w:id="215" w:name="_Toc229971061"/>
      <w:bookmarkStart w:id="216" w:name="_Toc229971620"/>
      <w:bookmarkStart w:id="217" w:name="_Toc228889295"/>
      <w:bookmarkStart w:id="218" w:name="_Toc229970505"/>
      <w:bookmarkStart w:id="219" w:name="_Toc229971066"/>
      <w:bookmarkStart w:id="220" w:name="_Toc229971625"/>
      <w:bookmarkStart w:id="221" w:name="_Toc228889346"/>
      <w:bookmarkStart w:id="222" w:name="_Toc229970556"/>
      <w:bookmarkStart w:id="223" w:name="_Toc229971117"/>
      <w:bookmarkStart w:id="224" w:name="_Toc229971676"/>
      <w:bookmarkStart w:id="225" w:name="_Toc228889347"/>
      <w:bookmarkStart w:id="226" w:name="_Toc229970557"/>
      <w:bookmarkStart w:id="227" w:name="_Toc229971118"/>
      <w:bookmarkStart w:id="228" w:name="_Toc229971677"/>
      <w:bookmarkStart w:id="229" w:name="_Toc228889369"/>
      <w:bookmarkStart w:id="230" w:name="_Toc229970579"/>
      <w:bookmarkStart w:id="231" w:name="_Toc229971140"/>
      <w:bookmarkStart w:id="232" w:name="_Toc229971699"/>
      <w:bookmarkStart w:id="233" w:name="_Toc228889399"/>
      <w:bookmarkStart w:id="234" w:name="_Toc229970609"/>
      <w:bookmarkStart w:id="235" w:name="_Toc229971170"/>
      <w:bookmarkStart w:id="236" w:name="_Toc229971729"/>
      <w:bookmarkStart w:id="237" w:name="_Toc228889442"/>
      <w:bookmarkStart w:id="238" w:name="_Toc229970652"/>
      <w:bookmarkStart w:id="239" w:name="_Toc229971213"/>
      <w:bookmarkStart w:id="240" w:name="_Toc229971772"/>
      <w:bookmarkStart w:id="241" w:name="_Toc228889443"/>
      <w:bookmarkStart w:id="242" w:name="_Toc229970653"/>
      <w:bookmarkStart w:id="243" w:name="_Toc229971214"/>
      <w:bookmarkStart w:id="244" w:name="_Toc229971773"/>
      <w:bookmarkStart w:id="245" w:name="_Toc228889444"/>
      <w:bookmarkStart w:id="246" w:name="_Toc229970654"/>
      <w:bookmarkStart w:id="247" w:name="_Toc229971215"/>
      <w:bookmarkStart w:id="248" w:name="_Toc229971774"/>
      <w:bookmarkStart w:id="249" w:name="_Toc228889459"/>
      <w:bookmarkStart w:id="250" w:name="_Toc229970669"/>
      <w:bookmarkStart w:id="251" w:name="_Toc229971230"/>
      <w:bookmarkStart w:id="252" w:name="_Toc229971789"/>
      <w:bookmarkStart w:id="253" w:name="_Toc228889460"/>
      <w:bookmarkStart w:id="254" w:name="_Toc229970670"/>
      <w:bookmarkStart w:id="255" w:name="_Toc229971231"/>
      <w:bookmarkStart w:id="256" w:name="_Toc229971790"/>
      <w:bookmarkStart w:id="257" w:name="_Toc228889461"/>
      <w:bookmarkStart w:id="258" w:name="_Toc229970671"/>
      <w:bookmarkStart w:id="259" w:name="_Toc229971232"/>
      <w:bookmarkStart w:id="260" w:name="_Toc229971791"/>
      <w:bookmarkStart w:id="261" w:name="_Toc228889462"/>
      <w:bookmarkStart w:id="262" w:name="_Toc229970672"/>
      <w:bookmarkStart w:id="263" w:name="_Toc229971233"/>
      <w:bookmarkStart w:id="264" w:name="_Toc229971792"/>
      <w:bookmarkStart w:id="265" w:name="_Toc228889463"/>
      <w:bookmarkStart w:id="266" w:name="_Toc229970673"/>
      <w:bookmarkStart w:id="267" w:name="_Toc229971234"/>
      <w:bookmarkStart w:id="268" w:name="_Toc229971793"/>
      <w:bookmarkStart w:id="269" w:name="_Toc228889504"/>
      <w:bookmarkStart w:id="270" w:name="_Toc229970714"/>
      <w:bookmarkStart w:id="271" w:name="_Toc229971275"/>
      <w:bookmarkStart w:id="272" w:name="_Toc229971834"/>
      <w:bookmarkStart w:id="273" w:name="_Toc228889505"/>
      <w:bookmarkStart w:id="274" w:name="_Toc229970715"/>
      <w:bookmarkStart w:id="275" w:name="_Toc229971276"/>
      <w:bookmarkStart w:id="276" w:name="_Toc229971835"/>
      <w:bookmarkStart w:id="277" w:name="_Toc228889506"/>
      <w:bookmarkStart w:id="278" w:name="_Toc229970716"/>
      <w:bookmarkStart w:id="279" w:name="_Toc229971277"/>
      <w:bookmarkStart w:id="280" w:name="_Toc229971836"/>
      <w:bookmarkStart w:id="281" w:name="_Toc213730051"/>
      <w:bookmarkStart w:id="282" w:name="_Toc214336215"/>
      <w:bookmarkStart w:id="283" w:name="_Toc214423876"/>
      <w:bookmarkStart w:id="284" w:name="_Toc211920164"/>
      <w:bookmarkStart w:id="285" w:name="_Toc211927695"/>
      <w:bookmarkStart w:id="286" w:name="_Toc123296456"/>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Pr="00054588">
        <w:rPr>
          <w:rFonts w:asciiTheme="minorEastAsia" w:eastAsiaTheme="minorEastAsia" w:hAnsiTheme="minorEastAsia" w:hint="eastAsia"/>
          <w:b/>
          <w:color w:val="000000" w:themeColor="text1"/>
          <w:szCs w:val="32"/>
        </w:rPr>
        <w:t>基金的业绩</w:t>
      </w:r>
      <w:bookmarkEnd w:id="284"/>
      <w:bookmarkEnd w:id="285"/>
      <w:bookmarkEnd w:id="286"/>
    </w:p>
    <w:p w:rsidR="007228CC" w:rsidRPr="00054588" w:rsidP="0071223F">
      <w:pPr>
        <w:autoSpaceDE w:val="0"/>
        <w:autoSpaceDN w:val="0"/>
        <w:adjustRightInd w:val="0"/>
        <w:snapToGrid w:val="0"/>
        <w:spacing w:line="360" w:lineRule="auto"/>
        <w:ind w:firstLine="420"/>
        <w:rPr>
          <w:rFonts w:asciiTheme="minorEastAsia" w:eastAsiaTheme="minorEastAsia" w:hAnsiTheme="minorEastAsia"/>
          <w:color w:val="000000" w:themeColor="text1"/>
          <w:kern w:val="0"/>
          <w:szCs w:val="21"/>
        </w:rPr>
      </w:pPr>
      <w:r w:rsidRPr="00054588">
        <w:rPr>
          <w:rFonts w:asciiTheme="minorEastAsia" w:eastAsiaTheme="minorEastAsia" w:hAnsiTheme="minorEastAsia"/>
          <w:color w:val="000000" w:themeColor="text1"/>
          <w:kern w:val="0"/>
          <w:szCs w:val="21"/>
        </w:rPr>
        <w:t>基金管理人依照恪尽职守、诚实信用、谨慎勤勉的原则管理和运用基金财产，但不保证基金一定盈利，也不保证最低收益。基金的过往业绩并不代表其未来表现。投资有风险，投资者在</w:t>
      </w:r>
      <w:r w:rsidRPr="00054588">
        <w:rPr>
          <w:rFonts w:asciiTheme="minorEastAsia" w:eastAsiaTheme="minorEastAsia" w:hAnsiTheme="minorEastAsia" w:hint="eastAsia"/>
          <w:color w:val="000000" w:themeColor="text1"/>
          <w:kern w:val="0"/>
          <w:szCs w:val="21"/>
        </w:rPr>
        <w:t>做出</w:t>
      </w:r>
      <w:r w:rsidRPr="00054588">
        <w:rPr>
          <w:rFonts w:asciiTheme="minorEastAsia" w:eastAsiaTheme="minorEastAsia" w:hAnsiTheme="minorEastAsia"/>
          <w:color w:val="000000" w:themeColor="text1"/>
          <w:kern w:val="0"/>
          <w:szCs w:val="21"/>
        </w:rPr>
        <w:t>投资决策前应仔细阅读本基金的招募说明书。</w:t>
      </w:r>
    </w:p>
    <w:p w:rsidR="007228CC" w:rsidRPr="00054588" w:rsidP="0071223F">
      <w:pPr>
        <w:autoSpaceDE w:val="0"/>
        <w:autoSpaceDN w:val="0"/>
        <w:adjustRightInd w:val="0"/>
        <w:snapToGrid w:val="0"/>
        <w:spacing w:line="360" w:lineRule="auto"/>
        <w:ind w:firstLine="420"/>
        <w:rPr>
          <w:rFonts w:asciiTheme="minorEastAsia" w:eastAsiaTheme="minorEastAsia" w:hAnsiTheme="minorEastAsia"/>
          <w:color w:val="000000" w:themeColor="text1"/>
          <w:kern w:val="0"/>
          <w:szCs w:val="21"/>
        </w:rPr>
      </w:pPr>
      <w:r w:rsidRPr="00054588">
        <w:rPr>
          <w:rFonts w:asciiTheme="minorEastAsia" w:eastAsiaTheme="minorEastAsia" w:hAnsiTheme="minorEastAsia" w:hint="eastAsia"/>
          <w:color w:val="000000" w:themeColor="text1"/>
          <w:kern w:val="0"/>
          <w:szCs w:val="21"/>
        </w:rPr>
        <w:t>本基金合同生效日为2008年3月19日，基金合同生效以来</w:t>
      </w:r>
      <w:r w:rsidRPr="00054588" w:rsidR="00D224A3">
        <w:rPr>
          <w:rFonts w:asciiTheme="minorEastAsia" w:eastAsiaTheme="minorEastAsia" w:hAnsiTheme="minorEastAsia" w:hint="eastAsia"/>
          <w:color w:val="000000" w:themeColor="text1"/>
          <w:kern w:val="0"/>
          <w:szCs w:val="21"/>
        </w:rPr>
        <w:t>最近1</w:t>
      </w:r>
      <w:r w:rsidRPr="00054588" w:rsidR="00D224A3">
        <w:rPr>
          <w:rFonts w:asciiTheme="minorEastAsia" w:eastAsiaTheme="minorEastAsia" w:hAnsiTheme="minorEastAsia"/>
          <w:color w:val="000000" w:themeColor="text1"/>
          <w:kern w:val="0"/>
          <w:szCs w:val="21"/>
        </w:rPr>
        <w:t>0</w:t>
      </w:r>
      <w:r w:rsidRPr="00054588" w:rsidR="006523F7">
        <w:rPr>
          <w:rFonts w:asciiTheme="minorEastAsia" w:eastAsiaTheme="minorEastAsia" w:hAnsiTheme="minorEastAsia" w:hint="eastAsia"/>
          <w:color w:val="000000" w:themeColor="text1"/>
          <w:kern w:val="0"/>
          <w:szCs w:val="21"/>
        </w:rPr>
        <w:t>个完整会计年度（截至</w:t>
      </w:r>
      <w:r w:rsidRPr="00054588" w:rsidR="006523F7">
        <w:rPr>
          <w:rFonts w:asciiTheme="minorEastAsia" w:eastAsiaTheme="minorEastAsia" w:hAnsiTheme="minorEastAsia" w:cs="宋体" w:hint="eastAsia"/>
          <w:color w:val="000000" w:themeColor="text1"/>
          <w:szCs w:val="21"/>
        </w:rPr>
        <w:t>20</w:t>
      </w:r>
      <w:r w:rsidRPr="00054588" w:rsidR="00D224A3">
        <w:rPr>
          <w:rFonts w:asciiTheme="minorEastAsia" w:eastAsiaTheme="minorEastAsia" w:hAnsiTheme="minorEastAsia" w:cs="宋体" w:hint="eastAsia"/>
          <w:color w:val="000000" w:themeColor="text1"/>
          <w:szCs w:val="21"/>
        </w:rPr>
        <w:t>2</w:t>
      </w:r>
      <w:r w:rsidRPr="00054588" w:rsidR="00D224A3">
        <w:rPr>
          <w:rFonts w:asciiTheme="minorEastAsia" w:eastAsiaTheme="minorEastAsia" w:hAnsiTheme="minorEastAsia" w:cs="宋体"/>
          <w:color w:val="000000" w:themeColor="text1"/>
          <w:szCs w:val="21"/>
        </w:rPr>
        <w:t>1</w:t>
      </w:r>
      <w:r w:rsidRPr="00054588" w:rsidR="006523F7">
        <w:rPr>
          <w:rFonts w:asciiTheme="minorEastAsia" w:eastAsiaTheme="minorEastAsia" w:hAnsiTheme="minorEastAsia" w:cs="宋体" w:hint="eastAsia"/>
          <w:color w:val="000000" w:themeColor="text1"/>
          <w:szCs w:val="21"/>
        </w:rPr>
        <w:t>年</w:t>
      </w:r>
      <w:r w:rsidRPr="00054588" w:rsidR="006523F7">
        <w:rPr>
          <w:rFonts w:asciiTheme="minorEastAsia" w:eastAsiaTheme="minorEastAsia" w:hAnsiTheme="minorEastAsia" w:cs="宋体"/>
          <w:color w:val="000000" w:themeColor="text1"/>
          <w:szCs w:val="21"/>
        </w:rPr>
        <w:t>12</w:t>
      </w:r>
      <w:r w:rsidRPr="00054588" w:rsidR="006523F7">
        <w:rPr>
          <w:rFonts w:asciiTheme="minorEastAsia" w:eastAsiaTheme="minorEastAsia" w:hAnsiTheme="minorEastAsia" w:cs="宋体" w:hint="eastAsia"/>
          <w:color w:val="000000" w:themeColor="text1"/>
          <w:szCs w:val="21"/>
        </w:rPr>
        <w:t>月3</w:t>
      </w:r>
      <w:r w:rsidRPr="00054588" w:rsidR="006523F7">
        <w:rPr>
          <w:rFonts w:asciiTheme="minorEastAsia" w:eastAsiaTheme="minorEastAsia" w:hAnsiTheme="minorEastAsia" w:cs="宋体"/>
          <w:color w:val="000000" w:themeColor="text1"/>
          <w:szCs w:val="21"/>
        </w:rPr>
        <w:t>1</w:t>
      </w:r>
      <w:r w:rsidRPr="00054588" w:rsidR="006523F7">
        <w:rPr>
          <w:rFonts w:asciiTheme="minorEastAsia" w:eastAsiaTheme="minorEastAsia" w:hAnsiTheme="minorEastAsia" w:cs="宋体" w:hint="eastAsia"/>
          <w:color w:val="000000" w:themeColor="text1"/>
          <w:szCs w:val="21"/>
        </w:rPr>
        <w:t>日</w:t>
      </w:r>
      <w:r w:rsidRPr="00054588" w:rsidR="006523F7">
        <w:rPr>
          <w:rFonts w:asciiTheme="minorEastAsia" w:eastAsiaTheme="minorEastAsia" w:hAnsiTheme="minorEastAsia" w:hint="eastAsia"/>
          <w:color w:val="000000" w:themeColor="text1"/>
          <w:kern w:val="0"/>
          <w:szCs w:val="21"/>
        </w:rPr>
        <w:t>）</w:t>
      </w:r>
      <w:r w:rsidRPr="00054588">
        <w:rPr>
          <w:rFonts w:asciiTheme="minorEastAsia" w:eastAsiaTheme="minorEastAsia" w:hAnsiTheme="minorEastAsia" w:hint="eastAsia"/>
          <w:color w:val="000000" w:themeColor="text1"/>
          <w:kern w:val="0"/>
          <w:szCs w:val="21"/>
        </w:rPr>
        <w:t>的投资业绩及与同期基准的比较如下表所示：</w:t>
      </w:r>
    </w:p>
    <w:p w:rsidR="00FE5BF8" w:rsidRPr="00054588" w:rsidP="0021144C">
      <w:pPr>
        <w:autoSpaceDE w:val="0"/>
        <w:autoSpaceDN w:val="0"/>
        <w:adjustRightInd w:val="0"/>
        <w:snapToGrid w:val="0"/>
        <w:spacing w:line="360" w:lineRule="auto"/>
        <w:ind w:firstLine="420"/>
        <w:rPr>
          <w:rFonts w:asciiTheme="minorEastAsia" w:eastAsiaTheme="minorEastAsia" w:hAnsiTheme="minorEastAsia"/>
          <w:color w:val="000000" w:themeColor="text1"/>
          <w:kern w:val="0"/>
          <w:szCs w:val="21"/>
        </w:rPr>
      </w:pPr>
      <w:r w:rsidRPr="00054588">
        <w:rPr>
          <w:rFonts w:asciiTheme="minorEastAsia" w:eastAsiaTheme="minorEastAsia" w:hAnsiTheme="minorEastAsia" w:hint="eastAsia"/>
          <w:color w:val="000000" w:themeColor="text1"/>
          <w:kern w:val="0"/>
          <w:szCs w:val="21"/>
        </w:rPr>
        <w:t>1、A类基金份额净值增长率与同期业绩比较基准收益率比较</w:t>
      </w:r>
    </w:p>
    <w:tbl>
      <w:tblPr>
        <w:tblStyle w:val="TableGrid"/>
        <w:tblW w:w="9190" w:type="dxa"/>
        <w:tblLook w:val="04A0"/>
      </w:tblPr>
      <w:tblGrid>
        <w:gridCol w:w="1467"/>
        <w:gridCol w:w="1480"/>
        <w:gridCol w:w="1078"/>
        <w:gridCol w:w="1253"/>
        <w:gridCol w:w="1338"/>
        <w:gridCol w:w="1270"/>
        <w:gridCol w:w="1304"/>
      </w:tblGrid>
      <w:tr w:rsidTr="004772EC">
        <w:tblPrEx>
          <w:tblW w:w="9190" w:type="dxa"/>
          <w:tblLook w:val="04A0"/>
        </w:tblPrEx>
        <w:trPr>
          <w:trHeight w:val="705"/>
        </w:trPr>
        <w:tc>
          <w:tcPr>
            <w:tcW w:w="1467" w:type="dxa"/>
            <w:noWrap/>
            <w:hideMark/>
          </w:tcPr>
          <w:p w:rsidR="004F772B" w:rsidRPr="00054588" w:rsidP="0071223F">
            <w:pPr>
              <w:snapToGrid w:val="0"/>
              <w:spacing w:line="360" w:lineRule="auto"/>
              <w:jc w:val="center"/>
              <w:rPr>
                <w:rFonts w:asciiTheme="minorEastAsia" w:eastAsiaTheme="minorEastAsia" w:hAnsiTheme="minorEastAsia" w:cs="Arial Unicode MS"/>
                <w:color w:val="000000" w:themeColor="text1"/>
                <w:szCs w:val="21"/>
              </w:rPr>
            </w:pPr>
            <w:r w:rsidRPr="00054588">
              <w:rPr>
                <w:rFonts w:asciiTheme="minorEastAsia" w:eastAsiaTheme="minorEastAsia" w:hAnsiTheme="minorEastAsia" w:hint="eastAsia"/>
                <w:color w:val="000000" w:themeColor="text1"/>
                <w:szCs w:val="21"/>
              </w:rPr>
              <w:t>阶段</w:t>
            </w:r>
          </w:p>
        </w:tc>
        <w:tc>
          <w:tcPr>
            <w:tcW w:w="1480" w:type="dxa"/>
            <w:hideMark/>
          </w:tcPr>
          <w:p w:rsidR="004F772B" w:rsidRPr="00054588" w:rsidP="0071223F">
            <w:pPr>
              <w:snapToGrid w:val="0"/>
              <w:spacing w:line="360" w:lineRule="auto"/>
              <w:jc w:val="center"/>
              <w:rPr>
                <w:rFonts w:asciiTheme="minorEastAsia" w:eastAsiaTheme="minorEastAsia" w:hAnsiTheme="minorEastAsia" w:cs="Arial Unicode MS"/>
                <w:color w:val="000000" w:themeColor="text1"/>
                <w:szCs w:val="21"/>
              </w:rPr>
            </w:pPr>
            <w:r w:rsidRPr="00054588">
              <w:rPr>
                <w:rFonts w:asciiTheme="minorEastAsia" w:eastAsiaTheme="minorEastAsia" w:hAnsiTheme="minorEastAsia" w:hint="eastAsia"/>
                <w:color w:val="000000" w:themeColor="text1"/>
                <w:szCs w:val="21"/>
              </w:rPr>
              <w:t>净值增长率（1）</w:t>
            </w:r>
          </w:p>
        </w:tc>
        <w:tc>
          <w:tcPr>
            <w:tcW w:w="1078" w:type="dxa"/>
            <w:hideMark/>
          </w:tcPr>
          <w:p w:rsidR="004F772B" w:rsidRPr="00054588" w:rsidP="0071223F">
            <w:pPr>
              <w:snapToGrid w:val="0"/>
              <w:spacing w:line="360" w:lineRule="auto"/>
              <w:jc w:val="center"/>
              <w:rPr>
                <w:rFonts w:asciiTheme="minorEastAsia" w:eastAsiaTheme="minorEastAsia" w:hAnsiTheme="minorEastAsia" w:cs="Arial Unicode MS"/>
                <w:color w:val="000000" w:themeColor="text1"/>
                <w:szCs w:val="21"/>
              </w:rPr>
            </w:pPr>
            <w:r w:rsidRPr="00054588">
              <w:rPr>
                <w:rFonts w:asciiTheme="minorEastAsia" w:eastAsiaTheme="minorEastAsia" w:hAnsiTheme="minorEastAsia" w:hint="eastAsia"/>
                <w:color w:val="000000" w:themeColor="text1"/>
                <w:szCs w:val="21"/>
              </w:rPr>
              <w:t>净值增长率标准差（2）</w:t>
            </w:r>
          </w:p>
        </w:tc>
        <w:tc>
          <w:tcPr>
            <w:tcW w:w="1253" w:type="dxa"/>
            <w:hideMark/>
          </w:tcPr>
          <w:p w:rsidR="004F772B" w:rsidRPr="00054588" w:rsidP="0071223F">
            <w:pPr>
              <w:snapToGrid w:val="0"/>
              <w:spacing w:line="360" w:lineRule="auto"/>
              <w:jc w:val="center"/>
              <w:rPr>
                <w:rFonts w:asciiTheme="minorEastAsia" w:eastAsiaTheme="minorEastAsia" w:hAnsiTheme="minorEastAsia" w:cs="Arial Unicode MS"/>
                <w:color w:val="000000" w:themeColor="text1"/>
                <w:szCs w:val="21"/>
              </w:rPr>
            </w:pPr>
            <w:r w:rsidRPr="00054588">
              <w:rPr>
                <w:rFonts w:asciiTheme="minorEastAsia" w:eastAsiaTheme="minorEastAsia" w:hAnsiTheme="minorEastAsia" w:hint="eastAsia"/>
                <w:color w:val="000000" w:themeColor="text1"/>
                <w:szCs w:val="21"/>
              </w:rPr>
              <w:t>业绩比较基准收益率（3）</w:t>
            </w:r>
          </w:p>
        </w:tc>
        <w:tc>
          <w:tcPr>
            <w:tcW w:w="1338" w:type="dxa"/>
            <w:hideMark/>
          </w:tcPr>
          <w:p w:rsidR="004F772B" w:rsidRPr="00054588" w:rsidP="0071223F">
            <w:pPr>
              <w:snapToGrid w:val="0"/>
              <w:spacing w:line="360" w:lineRule="auto"/>
              <w:jc w:val="center"/>
              <w:rPr>
                <w:rFonts w:asciiTheme="minorEastAsia" w:eastAsiaTheme="minorEastAsia" w:hAnsiTheme="minorEastAsia" w:cs="Arial Unicode MS"/>
                <w:color w:val="000000" w:themeColor="text1"/>
                <w:szCs w:val="21"/>
              </w:rPr>
            </w:pPr>
            <w:r w:rsidRPr="00054588">
              <w:rPr>
                <w:rFonts w:asciiTheme="minorEastAsia" w:eastAsiaTheme="minorEastAsia" w:hAnsiTheme="minorEastAsia" w:hint="eastAsia"/>
                <w:color w:val="000000" w:themeColor="text1"/>
                <w:szCs w:val="21"/>
              </w:rPr>
              <w:t>业绩比较基准收益率标准差（4）</w:t>
            </w:r>
          </w:p>
        </w:tc>
        <w:tc>
          <w:tcPr>
            <w:tcW w:w="1270" w:type="dxa"/>
            <w:noWrap/>
            <w:hideMark/>
          </w:tcPr>
          <w:p w:rsidR="004F772B" w:rsidRPr="00054588" w:rsidP="0071223F">
            <w:pPr>
              <w:snapToGrid w:val="0"/>
              <w:spacing w:line="360" w:lineRule="auto"/>
              <w:jc w:val="center"/>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(1)－(3)</w:t>
            </w:r>
          </w:p>
        </w:tc>
        <w:tc>
          <w:tcPr>
            <w:tcW w:w="1304" w:type="dxa"/>
            <w:noWrap/>
            <w:hideMark/>
          </w:tcPr>
          <w:p w:rsidR="004F772B" w:rsidRPr="00054588" w:rsidP="0071223F">
            <w:pPr>
              <w:snapToGrid w:val="0"/>
              <w:spacing w:line="360" w:lineRule="auto"/>
              <w:jc w:val="center"/>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(2)－(4)</w:t>
            </w:r>
          </w:p>
        </w:tc>
      </w:tr>
      <w:tr>
        <w:tblPrEx>
          <w:tblW w:w="9190" w:type="dxa"/>
          <w:tblLook w:val="04A0"/>
        </w:tblPrEx>
        <w:tc>
          <w:tcPr>
            <w:tcW w:w="1467"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2012年1月1日至2012年12月31日</w:t>
            </w:r>
          </w:p>
        </w:tc>
        <w:tc>
          <w:tcPr>
            <w:tcW w:w="14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9.75%</w:t>
            </w:r>
          </w:p>
        </w:tc>
        <w:tc>
          <w:tcPr>
            <w:tcW w:w="1078"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0.25%</w:t>
            </w:r>
          </w:p>
        </w:tc>
        <w:tc>
          <w:tcPr>
            <w:tcW w:w="1253"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-0.67%</w:t>
            </w:r>
          </w:p>
        </w:tc>
        <w:tc>
          <w:tcPr>
            <w:tcW w:w="1338"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0.07%</w:t>
            </w:r>
          </w:p>
        </w:tc>
        <w:tc>
          <w:tcPr>
            <w:tcW w:w="127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10.42%</w:t>
            </w:r>
          </w:p>
        </w:tc>
        <w:tc>
          <w:tcPr>
            <w:tcW w:w="1304"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0.18%</w:t>
            </w:r>
          </w:p>
        </w:tc>
      </w:tr>
      <w:tr>
        <w:tblPrEx>
          <w:tblW w:w="9190" w:type="dxa"/>
          <w:tblLook w:val="04A0"/>
        </w:tblPrEx>
        <w:tc>
          <w:tcPr>
            <w:tcW w:w="1467"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2013年1月1日至2013年12月31日</w:t>
            </w:r>
          </w:p>
        </w:tc>
        <w:tc>
          <w:tcPr>
            <w:tcW w:w="14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1.96%</w:t>
            </w:r>
          </w:p>
        </w:tc>
        <w:tc>
          <w:tcPr>
            <w:tcW w:w="1078"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0.24%</w:t>
            </w:r>
          </w:p>
        </w:tc>
        <w:tc>
          <w:tcPr>
            <w:tcW w:w="1253"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-5.28%</w:t>
            </w:r>
          </w:p>
        </w:tc>
        <w:tc>
          <w:tcPr>
            <w:tcW w:w="1338"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0.11%</w:t>
            </w:r>
          </w:p>
        </w:tc>
        <w:tc>
          <w:tcPr>
            <w:tcW w:w="127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7.24%</w:t>
            </w:r>
          </w:p>
        </w:tc>
        <w:tc>
          <w:tcPr>
            <w:tcW w:w="1304"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0.13%</w:t>
            </w:r>
          </w:p>
        </w:tc>
      </w:tr>
      <w:tr>
        <w:tblPrEx>
          <w:tblW w:w="9190" w:type="dxa"/>
          <w:tblLook w:val="04A0"/>
        </w:tblPrEx>
        <w:tc>
          <w:tcPr>
            <w:tcW w:w="1467"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2014年1月1日至2014年12月31日</w:t>
            </w:r>
          </w:p>
        </w:tc>
        <w:tc>
          <w:tcPr>
            <w:tcW w:w="14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26.39%</w:t>
            </w:r>
          </w:p>
        </w:tc>
        <w:tc>
          <w:tcPr>
            <w:tcW w:w="1078"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0.33%</w:t>
            </w:r>
          </w:p>
        </w:tc>
        <w:tc>
          <w:tcPr>
            <w:tcW w:w="1253"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7.48%</w:t>
            </w:r>
          </w:p>
        </w:tc>
        <w:tc>
          <w:tcPr>
            <w:tcW w:w="1338"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0.15%</w:t>
            </w:r>
          </w:p>
        </w:tc>
        <w:tc>
          <w:tcPr>
            <w:tcW w:w="127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18.91%</w:t>
            </w:r>
          </w:p>
        </w:tc>
        <w:tc>
          <w:tcPr>
            <w:tcW w:w="1304"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0.18%</w:t>
            </w:r>
          </w:p>
        </w:tc>
      </w:tr>
      <w:tr>
        <w:tblPrEx>
          <w:tblW w:w="9190" w:type="dxa"/>
          <w:tblLook w:val="04A0"/>
        </w:tblPrEx>
        <w:tc>
          <w:tcPr>
            <w:tcW w:w="1467"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2015年1月1日至2015年12月31日</w:t>
            </w:r>
          </w:p>
        </w:tc>
        <w:tc>
          <w:tcPr>
            <w:tcW w:w="14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17.33%</w:t>
            </w:r>
          </w:p>
        </w:tc>
        <w:tc>
          <w:tcPr>
            <w:tcW w:w="1078"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0.50%</w:t>
            </w:r>
          </w:p>
        </w:tc>
        <w:tc>
          <w:tcPr>
            <w:tcW w:w="1253"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4.51%</w:t>
            </w:r>
          </w:p>
        </w:tc>
        <w:tc>
          <w:tcPr>
            <w:tcW w:w="1338"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0.12%</w:t>
            </w:r>
          </w:p>
        </w:tc>
        <w:tc>
          <w:tcPr>
            <w:tcW w:w="127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12.82%</w:t>
            </w:r>
          </w:p>
        </w:tc>
        <w:tc>
          <w:tcPr>
            <w:tcW w:w="1304"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0.38%</w:t>
            </w:r>
          </w:p>
        </w:tc>
      </w:tr>
      <w:tr>
        <w:tblPrEx>
          <w:tblW w:w="9190" w:type="dxa"/>
          <w:tblLook w:val="04A0"/>
        </w:tblPrEx>
        <w:tc>
          <w:tcPr>
            <w:tcW w:w="1467"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2016年1月1日至2016年12月31日</w:t>
            </w:r>
          </w:p>
        </w:tc>
        <w:tc>
          <w:tcPr>
            <w:tcW w:w="14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1.13%</w:t>
            </w:r>
          </w:p>
        </w:tc>
        <w:tc>
          <w:tcPr>
            <w:tcW w:w="1078"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0.13%</w:t>
            </w:r>
          </w:p>
        </w:tc>
        <w:tc>
          <w:tcPr>
            <w:tcW w:w="1253"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-1.80%</w:t>
            </w:r>
          </w:p>
        </w:tc>
        <w:tc>
          <w:tcPr>
            <w:tcW w:w="1338"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0.13%</w:t>
            </w:r>
          </w:p>
        </w:tc>
        <w:tc>
          <w:tcPr>
            <w:tcW w:w="127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2.93%</w:t>
            </w:r>
          </w:p>
        </w:tc>
        <w:tc>
          <w:tcPr>
            <w:tcW w:w="1304"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0.00%</w:t>
            </w:r>
          </w:p>
        </w:tc>
      </w:tr>
      <w:tr>
        <w:tblPrEx>
          <w:tblW w:w="9190" w:type="dxa"/>
          <w:tblLook w:val="04A0"/>
        </w:tblPrEx>
        <w:tc>
          <w:tcPr>
            <w:tcW w:w="1467"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2017年1月1日至2017年12月31日</w:t>
            </w:r>
          </w:p>
        </w:tc>
        <w:tc>
          <w:tcPr>
            <w:tcW w:w="14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6.71%</w:t>
            </w:r>
          </w:p>
        </w:tc>
        <w:tc>
          <w:tcPr>
            <w:tcW w:w="1078"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0.14%</w:t>
            </w:r>
          </w:p>
        </w:tc>
        <w:tc>
          <w:tcPr>
            <w:tcW w:w="1253"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-4.26%</w:t>
            </w:r>
          </w:p>
        </w:tc>
        <w:tc>
          <w:tcPr>
            <w:tcW w:w="1338"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0.09%</w:t>
            </w:r>
          </w:p>
        </w:tc>
        <w:tc>
          <w:tcPr>
            <w:tcW w:w="127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10.97%</w:t>
            </w:r>
          </w:p>
        </w:tc>
        <w:tc>
          <w:tcPr>
            <w:tcW w:w="1304"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0.05%</w:t>
            </w:r>
          </w:p>
        </w:tc>
      </w:tr>
      <w:tr>
        <w:tblPrEx>
          <w:tblW w:w="9190" w:type="dxa"/>
          <w:tblLook w:val="04A0"/>
        </w:tblPrEx>
        <w:tc>
          <w:tcPr>
            <w:tcW w:w="1467"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2018年1月1日至2018年12月31日</w:t>
            </w:r>
          </w:p>
        </w:tc>
        <w:tc>
          <w:tcPr>
            <w:tcW w:w="14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0.33%</w:t>
            </w:r>
          </w:p>
        </w:tc>
        <w:tc>
          <w:tcPr>
            <w:tcW w:w="1078"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0.28%</w:t>
            </w:r>
          </w:p>
        </w:tc>
        <w:tc>
          <w:tcPr>
            <w:tcW w:w="1253"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6.17%</w:t>
            </w:r>
          </w:p>
        </w:tc>
        <w:tc>
          <w:tcPr>
            <w:tcW w:w="1338"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0.11%</w:t>
            </w:r>
          </w:p>
        </w:tc>
        <w:tc>
          <w:tcPr>
            <w:tcW w:w="127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-5.84%</w:t>
            </w:r>
          </w:p>
        </w:tc>
        <w:tc>
          <w:tcPr>
            <w:tcW w:w="1304"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0.17%</w:t>
            </w:r>
          </w:p>
        </w:tc>
      </w:tr>
      <w:tr>
        <w:tblPrEx>
          <w:tblW w:w="9190" w:type="dxa"/>
          <w:tblLook w:val="04A0"/>
        </w:tblPrEx>
        <w:tc>
          <w:tcPr>
            <w:tcW w:w="1467"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2019年1月1日至2019年12月31日</w:t>
            </w:r>
          </w:p>
        </w:tc>
        <w:tc>
          <w:tcPr>
            <w:tcW w:w="14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15.47%</w:t>
            </w:r>
          </w:p>
        </w:tc>
        <w:tc>
          <w:tcPr>
            <w:tcW w:w="1078"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0.29%</w:t>
            </w:r>
          </w:p>
        </w:tc>
        <w:tc>
          <w:tcPr>
            <w:tcW w:w="1253"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1.10%</w:t>
            </w:r>
          </w:p>
        </w:tc>
        <w:tc>
          <w:tcPr>
            <w:tcW w:w="1338"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0.09%</w:t>
            </w:r>
          </w:p>
        </w:tc>
        <w:tc>
          <w:tcPr>
            <w:tcW w:w="127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14.37%</w:t>
            </w:r>
          </w:p>
        </w:tc>
        <w:tc>
          <w:tcPr>
            <w:tcW w:w="1304"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0.20%</w:t>
            </w:r>
          </w:p>
        </w:tc>
      </w:tr>
      <w:tr>
        <w:tblPrEx>
          <w:tblW w:w="9190" w:type="dxa"/>
          <w:tblLook w:val="04A0"/>
        </w:tblPrEx>
        <w:tc>
          <w:tcPr>
            <w:tcW w:w="1467"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2020年1月1日至2020年12月31日</w:t>
            </w:r>
          </w:p>
        </w:tc>
        <w:tc>
          <w:tcPr>
            <w:tcW w:w="14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11.78%</w:t>
            </w:r>
          </w:p>
        </w:tc>
        <w:tc>
          <w:tcPr>
            <w:tcW w:w="1078"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0.34%</w:t>
            </w:r>
          </w:p>
        </w:tc>
        <w:tc>
          <w:tcPr>
            <w:tcW w:w="1253"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-0.16%</w:t>
            </w:r>
          </w:p>
        </w:tc>
        <w:tc>
          <w:tcPr>
            <w:tcW w:w="1338"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0.15%</w:t>
            </w:r>
          </w:p>
        </w:tc>
        <w:tc>
          <w:tcPr>
            <w:tcW w:w="127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11.94%</w:t>
            </w:r>
          </w:p>
        </w:tc>
        <w:tc>
          <w:tcPr>
            <w:tcW w:w="1304"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0.19%</w:t>
            </w:r>
          </w:p>
        </w:tc>
      </w:tr>
      <w:tr>
        <w:tblPrEx>
          <w:tblW w:w="9190" w:type="dxa"/>
          <w:tblLook w:val="04A0"/>
        </w:tblPrEx>
        <w:tc>
          <w:tcPr>
            <w:tcW w:w="1467"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2021年1月1日至2021年12月31日</w:t>
            </w:r>
          </w:p>
        </w:tc>
        <w:tc>
          <w:tcPr>
            <w:tcW w:w="14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6.44%</w:t>
            </w:r>
          </w:p>
        </w:tc>
        <w:tc>
          <w:tcPr>
            <w:tcW w:w="1078"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0.22%</w:t>
            </w:r>
          </w:p>
        </w:tc>
        <w:tc>
          <w:tcPr>
            <w:tcW w:w="1253"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2.28%</w:t>
            </w:r>
          </w:p>
        </w:tc>
        <w:tc>
          <w:tcPr>
            <w:tcW w:w="1338"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0.08%</w:t>
            </w:r>
          </w:p>
        </w:tc>
        <w:tc>
          <w:tcPr>
            <w:tcW w:w="127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4.16%</w:t>
            </w:r>
          </w:p>
        </w:tc>
        <w:tc>
          <w:tcPr>
            <w:tcW w:w="1304"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0.14%</w:t>
            </w:r>
          </w:p>
        </w:tc>
      </w:tr>
    </w:tbl>
    <w:p w:rsidR="00FE5BF8" w:rsidRPr="00054588" w:rsidP="0021144C">
      <w:pPr>
        <w:autoSpaceDE w:val="0"/>
        <w:autoSpaceDN w:val="0"/>
        <w:adjustRightInd w:val="0"/>
        <w:snapToGrid w:val="0"/>
        <w:spacing w:line="360" w:lineRule="auto"/>
        <w:ind w:firstLine="420"/>
        <w:rPr>
          <w:rFonts w:asciiTheme="minorEastAsia" w:eastAsiaTheme="minorEastAsia" w:hAnsiTheme="minorEastAsia"/>
          <w:color w:val="000000" w:themeColor="text1"/>
          <w:kern w:val="0"/>
          <w:szCs w:val="21"/>
        </w:rPr>
      </w:pPr>
      <w:r w:rsidRPr="00054588">
        <w:rPr>
          <w:rFonts w:asciiTheme="minorEastAsia" w:eastAsiaTheme="minorEastAsia" w:hAnsiTheme="minorEastAsia" w:hint="eastAsia"/>
          <w:color w:val="000000" w:themeColor="text1"/>
          <w:kern w:val="0"/>
          <w:szCs w:val="21"/>
        </w:rPr>
        <w:t>2、B类基金份额净值增长率与同期业绩比较基准收益率比较</w:t>
      </w:r>
    </w:p>
    <w:tbl>
      <w:tblPr>
        <w:tblStyle w:val="TableGrid"/>
        <w:tblW w:w="9201" w:type="dxa"/>
        <w:tblLook w:val="04A0"/>
      </w:tblPr>
      <w:tblGrid>
        <w:gridCol w:w="1547"/>
        <w:gridCol w:w="1480"/>
        <w:gridCol w:w="1078"/>
        <w:gridCol w:w="1253"/>
        <w:gridCol w:w="1250"/>
        <w:gridCol w:w="1270"/>
        <w:gridCol w:w="1323"/>
      </w:tblGrid>
      <w:tr w:rsidTr="004772EC">
        <w:tblPrEx>
          <w:tblW w:w="9201" w:type="dxa"/>
          <w:tblLook w:val="04A0"/>
        </w:tblPrEx>
        <w:trPr>
          <w:trHeight w:val="705"/>
        </w:trPr>
        <w:tc>
          <w:tcPr>
            <w:tcW w:w="1547" w:type="dxa"/>
            <w:noWrap/>
            <w:hideMark/>
          </w:tcPr>
          <w:p w:rsidR="004F772B" w:rsidRPr="00054588" w:rsidP="0071223F">
            <w:pPr>
              <w:snapToGrid w:val="0"/>
              <w:spacing w:line="360" w:lineRule="auto"/>
              <w:jc w:val="center"/>
              <w:rPr>
                <w:rFonts w:asciiTheme="minorEastAsia" w:eastAsiaTheme="minorEastAsia" w:hAnsiTheme="minorEastAsia" w:cs="Arial Unicode MS"/>
                <w:color w:val="000000" w:themeColor="text1"/>
                <w:szCs w:val="21"/>
              </w:rPr>
            </w:pPr>
            <w:r w:rsidRPr="00054588">
              <w:rPr>
                <w:rFonts w:asciiTheme="minorEastAsia" w:eastAsiaTheme="minorEastAsia" w:hAnsiTheme="minorEastAsia" w:hint="eastAsia"/>
                <w:color w:val="000000" w:themeColor="text1"/>
                <w:szCs w:val="21"/>
              </w:rPr>
              <w:t>阶段</w:t>
            </w:r>
          </w:p>
        </w:tc>
        <w:tc>
          <w:tcPr>
            <w:tcW w:w="1480" w:type="dxa"/>
            <w:hideMark/>
          </w:tcPr>
          <w:p w:rsidR="004F772B" w:rsidRPr="00054588" w:rsidP="0071223F">
            <w:pPr>
              <w:snapToGrid w:val="0"/>
              <w:spacing w:line="360" w:lineRule="auto"/>
              <w:jc w:val="center"/>
              <w:rPr>
                <w:rFonts w:asciiTheme="minorEastAsia" w:eastAsiaTheme="minorEastAsia" w:hAnsiTheme="minorEastAsia" w:cs="Arial Unicode MS"/>
                <w:color w:val="000000" w:themeColor="text1"/>
                <w:szCs w:val="21"/>
              </w:rPr>
            </w:pPr>
            <w:r w:rsidRPr="00054588">
              <w:rPr>
                <w:rFonts w:asciiTheme="minorEastAsia" w:eastAsiaTheme="minorEastAsia" w:hAnsiTheme="minorEastAsia" w:hint="eastAsia"/>
                <w:color w:val="000000" w:themeColor="text1"/>
                <w:szCs w:val="21"/>
              </w:rPr>
              <w:t>净值增长率（1）</w:t>
            </w:r>
          </w:p>
        </w:tc>
        <w:tc>
          <w:tcPr>
            <w:tcW w:w="1078" w:type="dxa"/>
            <w:hideMark/>
          </w:tcPr>
          <w:p w:rsidR="004F772B" w:rsidRPr="00054588" w:rsidP="0071223F">
            <w:pPr>
              <w:snapToGrid w:val="0"/>
              <w:spacing w:line="360" w:lineRule="auto"/>
              <w:jc w:val="center"/>
              <w:rPr>
                <w:rFonts w:asciiTheme="minorEastAsia" w:eastAsiaTheme="minorEastAsia" w:hAnsiTheme="minorEastAsia" w:cs="Arial Unicode MS"/>
                <w:color w:val="000000" w:themeColor="text1"/>
                <w:szCs w:val="21"/>
              </w:rPr>
            </w:pPr>
            <w:r w:rsidRPr="00054588">
              <w:rPr>
                <w:rFonts w:asciiTheme="minorEastAsia" w:eastAsiaTheme="minorEastAsia" w:hAnsiTheme="minorEastAsia" w:hint="eastAsia"/>
                <w:color w:val="000000" w:themeColor="text1"/>
                <w:szCs w:val="21"/>
              </w:rPr>
              <w:t>净值增长率标准差（2）</w:t>
            </w:r>
          </w:p>
        </w:tc>
        <w:tc>
          <w:tcPr>
            <w:tcW w:w="1253" w:type="dxa"/>
            <w:hideMark/>
          </w:tcPr>
          <w:p w:rsidR="004F772B" w:rsidRPr="00054588" w:rsidP="0071223F">
            <w:pPr>
              <w:snapToGrid w:val="0"/>
              <w:spacing w:line="360" w:lineRule="auto"/>
              <w:jc w:val="center"/>
              <w:rPr>
                <w:rFonts w:asciiTheme="minorEastAsia" w:eastAsiaTheme="minorEastAsia" w:hAnsiTheme="minorEastAsia" w:cs="Arial Unicode MS"/>
                <w:color w:val="000000" w:themeColor="text1"/>
                <w:szCs w:val="21"/>
              </w:rPr>
            </w:pPr>
            <w:r w:rsidRPr="00054588">
              <w:rPr>
                <w:rFonts w:asciiTheme="minorEastAsia" w:eastAsiaTheme="minorEastAsia" w:hAnsiTheme="minorEastAsia" w:hint="eastAsia"/>
                <w:color w:val="000000" w:themeColor="text1"/>
                <w:szCs w:val="21"/>
              </w:rPr>
              <w:t>业绩比较基准收益率（3）</w:t>
            </w:r>
          </w:p>
        </w:tc>
        <w:tc>
          <w:tcPr>
            <w:tcW w:w="1250" w:type="dxa"/>
            <w:hideMark/>
          </w:tcPr>
          <w:p w:rsidR="004F772B" w:rsidRPr="00054588" w:rsidP="0071223F">
            <w:pPr>
              <w:snapToGrid w:val="0"/>
              <w:spacing w:line="360" w:lineRule="auto"/>
              <w:jc w:val="center"/>
              <w:rPr>
                <w:rFonts w:asciiTheme="minorEastAsia" w:eastAsiaTheme="minorEastAsia" w:hAnsiTheme="minorEastAsia" w:cs="Arial Unicode MS"/>
                <w:color w:val="000000" w:themeColor="text1"/>
                <w:szCs w:val="21"/>
              </w:rPr>
            </w:pPr>
            <w:r w:rsidRPr="00054588">
              <w:rPr>
                <w:rFonts w:asciiTheme="minorEastAsia" w:eastAsiaTheme="minorEastAsia" w:hAnsiTheme="minorEastAsia" w:hint="eastAsia"/>
                <w:color w:val="000000" w:themeColor="text1"/>
                <w:szCs w:val="21"/>
              </w:rPr>
              <w:t>业绩比较基准收益率标准差（4）</w:t>
            </w:r>
          </w:p>
        </w:tc>
        <w:tc>
          <w:tcPr>
            <w:tcW w:w="1270" w:type="dxa"/>
            <w:noWrap/>
            <w:hideMark/>
          </w:tcPr>
          <w:p w:rsidR="004F772B" w:rsidRPr="00054588" w:rsidP="0071223F">
            <w:pPr>
              <w:snapToGrid w:val="0"/>
              <w:spacing w:line="360" w:lineRule="auto"/>
              <w:jc w:val="center"/>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(1)－(3)</w:t>
            </w:r>
          </w:p>
        </w:tc>
        <w:tc>
          <w:tcPr>
            <w:tcW w:w="1323" w:type="dxa"/>
            <w:noWrap/>
            <w:hideMark/>
          </w:tcPr>
          <w:p w:rsidR="004F772B" w:rsidRPr="00054588" w:rsidP="0071223F">
            <w:pPr>
              <w:snapToGrid w:val="0"/>
              <w:spacing w:line="360" w:lineRule="auto"/>
              <w:jc w:val="center"/>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(2)－(4)</w:t>
            </w:r>
          </w:p>
        </w:tc>
      </w:tr>
      <w:tr>
        <w:tblPrEx>
          <w:tblW w:w="9201" w:type="dxa"/>
          <w:tblLook w:val="04A0"/>
        </w:tblPrEx>
        <w:tc>
          <w:tcPr>
            <w:tcW w:w="1547"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2012年1月1日至2012年12月31日</w:t>
            </w:r>
          </w:p>
        </w:tc>
        <w:tc>
          <w:tcPr>
            <w:tcW w:w="14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9.26%</w:t>
            </w:r>
          </w:p>
        </w:tc>
        <w:tc>
          <w:tcPr>
            <w:tcW w:w="1078"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0.25%</w:t>
            </w:r>
          </w:p>
        </w:tc>
        <w:tc>
          <w:tcPr>
            <w:tcW w:w="1253"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-0.67%</w:t>
            </w:r>
          </w:p>
        </w:tc>
        <w:tc>
          <w:tcPr>
            <w:tcW w:w="125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0.07%</w:t>
            </w:r>
          </w:p>
        </w:tc>
        <w:tc>
          <w:tcPr>
            <w:tcW w:w="127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9.93%</w:t>
            </w:r>
          </w:p>
        </w:tc>
        <w:tc>
          <w:tcPr>
            <w:tcW w:w="1323"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0.18%</w:t>
            </w:r>
          </w:p>
        </w:tc>
      </w:tr>
      <w:tr>
        <w:tblPrEx>
          <w:tblW w:w="9201" w:type="dxa"/>
          <w:tblLook w:val="04A0"/>
        </w:tblPrEx>
        <w:tc>
          <w:tcPr>
            <w:tcW w:w="1547"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2013年1月1日至2013年12月31日</w:t>
            </w:r>
          </w:p>
        </w:tc>
        <w:tc>
          <w:tcPr>
            <w:tcW w:w="14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1.53%</w:t>
            </w:r>
          </w:p>
        </w:tc>
        <w:tc>
          <w:tcPr>
            <w:tcW w:w="1078"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0.23%</w:t>
            </w:r>
          </w:p>
        </w:tc>
        <w:tc>
          <w:tcPr>
            <w:tcW w:w="1253"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-5.28%</w:t>
            </w:r>
          </w:p>
        </w:tc>
        <w:tc>
          <w:tcPr>
            <w:tcW w:w="125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0.11%</w:t>
            </w:r>
          </w:p>
        </w:tc>
        <w:tc>
          <w:tcPr>
            <w:tcW w:w="127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6.81%</w:t>
            </w:r>
          </w:p>
        </w:tc>
        <w:tc>
          <w:tcPr>
            <w:tcW w:w="1323"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0.12%</w:t>
            </w:r>
          </w:p>
        </w:tc>
      </w:tr>
      <w:tr>
        <w:tblPrEx>
          <w:tblW w:w="9201" w:type="dxa"/>
          <w:tblLook w:val="04A0"/>
        </w:tblPrEx>
        <w:tc>
          <w:tcPr>
            <w:tcW w:w="1547"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2014年1月1日至2014年12月31日</w:t>
            </w:r>
          </w:p>
        </w:tc>
        <w:tc>
          <w:tcPr>
            <w:tcW w:w="14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25.84%</w:t>
            </w:r>
          </w:p>
        </w:tc>
        <w:tc>
          <w:tcPr>
            <w:tcW w:w="1078"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0.33%</w:t>
            </w:r>
          </w:p>
        </w:tc>
        <w:tc>
          <w:tcPr>
            <w:tcW w:w="1253"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7.48%</w:t>
            </w:r>
          </w:p>
        </w:tc>
        <w:tc>
          <w:tcPr>
            <w:tcW w:w="125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0.15%</w:t>
            </w:r>
          </w:p>
        </w:tc>
        <w:tc>
          <w:tcPr>
            <w:tcW w:w="127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18.36%</w:t>
            </w:r>
          </w:p>
        </w:tc>
        <w:tc>
          <w:tcPr>
            <w:tcW w:w="1323"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0.18%</w:t>
            </w:r>
          </w:p>
        </w:tc>
      </w:tr>
      <w:tr>
        <w:tblPrEx>
          <w:tblW w:w="9201" w:type="dxa"/>
          <w:tblLook w:val="04A0"/>
        </w:tblPrEx>
        <w:tc>
          <w:tcPr>
            <w:tcW w:w="1547"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2015年1月1日至2015年12月31日</w:t>
            </w:r>
          </w:p>
        </w:tc>
        <w:tc>
          <w:tcPr>
            <w:tcW w:w="14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16.86%</w:t>
            </w:r>
          </w:p>
        </w:tc>
        <w:tc>
          <w:tcPr>
            <w:tcW w:w="1078"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0.50%</w:t>
            </w:r>
          </w:p>
        </w:tc>
        <w:tc>
          <w:tcPr>
            <w:tcW w:w="1253"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4.51%</w:t>
            </w:r>
          </w:p>
        </w:tc>
        <w:tc>
          <w:tcPr>
            <w:tcW w:w="125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0.12%</w:t>
            </w:r>
          </w:p>
        </w:tc>
        <w:tc>
          <w:tcPr>
            <w:tcW w:w="127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12.35%</w:t>
            </w:r>
          </w:p>
        </w:tc>
        <w:tc>
          <w:tcPr>
            <w:tcW w:w="1323"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0.38%</w:t>
            </w:r>
          </w:p>
        </w:tc>
      </w:tr>
      <w:tr>
        <w:tblPrEx>
          <w:tblW w:w="9201" w:type="dxa"/>
          <w:tblLook w:val="04A0"/>
        </w:tblPrEx>
        <w:tc>
          <w:tcPr>
            <w:tcW w:w="1547"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2016年1月1日至2016年12月31日</w:t>
            </w:r>
          </w:p>
        </w:tc>
        <w:tc>
          <w:tcPr>
            <w:tcW w:w="14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0.76%</w:t>
            </w:r>
          </w:p>
        </w:tc>
        <w:tc>
          <w:tcPr>
            <w:tcW w:w="1078"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0.13%</w:t>
            </w:r>
          </w:p>
        </w:tc>
        <w:tc>
          <w:tcPr>
            <w:tcW w:w="1253"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-1.80%</w:t>
            </w:r>
          </w:p>
        </w:tc>
        <w:tc>
          <w:tcPr>
            <w:tcW w:w="125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0.13%</w:t>
            </w:r>
          </w:p>
        </w:tc>
        <w:tc>
          <w:tcPr>
            <w:tcW w:w="127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2.56%</w:t>
            </w:r>
          </w:p>
        </w:tc>
        <w:tc>
          <w:tcPr>
            <w:tcW w:w="1323"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0.00%</w:t>
            </w:r>
          </w:p>
        </w:tc>
      </w:tr>
      <w:tr>
        <w:tblPrEx>
          <w:tblW w:w="9201" w:type="dxa"/>
          <w:tblLook w:val="04A0"/>
        </w:tblPrEx>
        <w:tc>
          <w:tcPr>
            <w:tcW w:w="1547"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2017年1月1日至2017年12月31日</w:t>
            </w:r>
          </w:p>
        </w:tc>
        <w:tc>
          <w:tcPr>
            <w:tcW w:w="14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6.16%</w:t>
            </w:r>
          </w:p>
        </w:tc>
        <w:tc>
          <w:tcPr>
            <w:tcW w:w="1078"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0.14%</w:t>
            </w:r>
          </w:p>
        </w:tc>
        <w:tc>
          <w:tcPr>
            <w:tcW w:w="1253"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-4.26%</w:t>
            </w:r>
          </w:p>
        </w:tc>
        <w:tc>
          <w:tcPr>
            <w:tcW w:w="125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0.09%</w:t>
            </w:r>
          </w:p>
        </w:tc>
        <w:tc>
          <w:tcPr>
            <w:tcW w:w="127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10.42%</w:t>
            </w:r>
          </w:p>
        </w:tc>
        <w:tc>
          <w:tcPr>
            <w:tcW w:w="1323"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0.05%</w:t>
            </w:r>
          </w:p>
        </w:tc>
      </w:tr>
      <w:tr>
        <w:tblPrEx>
          <w:tblW w:w="9201" w:type="dxa"/>
          <w:tblLook w:val="04A0"/>
        </w:tblPrEx>
        <w:tc>
          <w:tcPr>
            <w:tcW w:w="1547"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2018年1月1日至2018年12月31日</w:t>
            </w:r>
          </w:p>
        </w:tc>
        <w:tc>
          <w:tcPr>
            <w:tcW w:w="14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-0.08%</w:t>
            </w:r>
          </w:p>
        </w:tc>
        <w:tc>
          <w:tcPr>
            <w:tcW w:w="1078"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0.28%</w:t>
            </w:r>
          </w:p>
        </w:tc>
        <w:tc>
          <w:tcPr>
            <w:tcW w:w="1253"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6.17%</w:t>
            </w:r>
          </w:p>
        </w:tc>
        <w:tc>
          <w:tcPr>
            <w:tcW w:w="125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0.11%</w:t>
            </w:r>
          </w:p>
        </w:tc>
        <w:tc>
          <w:tcPr>
            <w:tcW w:w="127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-6.25%</w:t>
            </w:r>
          </w:p>
        </w:tc>
        <w:tc>
          <w:tcPr>
            <w:tcW w:w="1323"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0.17%</w:t>
            </w:r>
          </w:p>
        </w:tc>
      </w:tr>
      <w:tr>
        <w:tblPrEx>
          <w:tblW w:w="9201" w:type="dxa"/>
          <w:tblLook w:val="04A0"/>
        </w:tblPrEx>
        <w:tc>
          <w:tcPr>
            <w:tcW w:w="1547"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2019年1月1日至2019年12月31日</w:t>
            </w:r>
          </w:p>
        </w:tc>
        <w:tc>
          <w:tcPr>
            <w:tcW w:w="14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15.10%</w:t>
            </w:r>
          </w:p>
        </w:tc>
        <w:tc>
          <w:tcPr>
            <w:tcW w:w="1078"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0.29%</w:t>
            </w:r>
          </w:p>
        </w:tc>
        <w:tc>
          <w:tcPr>
            <w:tcW w:w="1253"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1.10%</w:t>
            </w:r>
          </w:p>
        </w:tc>
        <w:tc>
          <w:tcPr>
            <w:tcW w:w="125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0.09%</w:t>
            </w:r>
          </w:p>
        </w:tc>
        <w:tc>
          <w:tcPr>
            <w:tcW w:w="127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14.00%</w:t>
            </w:r>
          </w:p>
        </w:tc>
        <w:tc>
          <w:tcPr>
            <w:tcW w:w="1323"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0.20%</w:t>
            </w:r>
          </w:p>
        </w:tc>
      </w:tr>
      <w:tr>
        <w:tblPrEx>
          <w:tblW w:w="9201" w:type="dxa"/>
          <w:tblLook w:val="04A0"/>
        </w:tblPrEx>
        <w:tc>
          <w:tcPr>
            <w:tcW w:w="1547"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2020年1月1日至2020年12月31日</w:t>
            </w:r>
          </w:p>
        </w:tc>
        <w:tc>
          <w:tcPr>
            <w:tcW w:w="14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11.35%</w:t>
            </w:r>
          </w:p>
        </w:tc>
        <w:tc>
          <w:tcPr>
            <w:tcW w:w="1078"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0.34%</w:t>
            </w:r>
          </w:p>
        </w:tc>
        <w:tc>
          <w:tcPr>
            <w:tcW w:w="1253"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-0.16%</w:t>
            </w:r>
          </w:p>
        </w:tc>
        <w:tc>
          <w:tcPr>
            <w:tcW w:w="125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0.15%</w:t>
            </w:r>
          </w:p>
        </w:tc>
        <w:tc>
          <w:tcPr>
            <w:tcW w:w="127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11.51%</w:t>
            </w:r>
          </w:p>
        </w:tc>
        <w:tc>
          <w:tcPr>
            <w:tcW w:w="1323"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0.19%</w:t>
            </w:r>
          </w:p>
        </w:tc>
      </w:tr>
      <w:tr>
        <w:tblPrEx>
          <w:tblW w:w="9201" w:type="dxa"/>
          <w:tblLook w:val="04A0"/>
        </w:tblPrEx>
        <w:tc>
          <w:tcPr>
            <w:tcW w:w="1547"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2021年1月1日至2021年12月31日</w:t>
            </w:r>
          </w:p>
        </w:tc>
        <w:tc>
          <w:tcPr>
            <w:tcW w:w="148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5.93%</w:t>
            </w:r>
          </w:p>
        </w:tc>
        <w:tc>
          <w:tcPr>
            <w:tcW w:w="1078"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0.22%</w:t>
            </w:r>
          </w:p>
        </w:tc>
        <w:tc>
          <w:tcPr>
            <w:tcW w:w="1253"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2.28%</w:t>
            </w:r>
          </w:p>
        </w:tc>
        <w:tc>
          <w:tcPr>
            <w:tcW w:w="125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0.08%</w:t>
            </w:r>
          </w:p>
        </w:tc>
        <w:tc>
          <w:tcPr>
            <w:tcW w:w="127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3.65%</w:t>
            </w:r>
          </w:p>
        </w:tc>
        <w:tc>
          <w:tcPr>
            <w:tcW w:w="1323"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0.14%</w:t>
            </w:r>
          </w:p>
        </w:tc>
      </w:tr>
    </w:tbl>
    <w:p w:rsidR="002F240D" w:rsidRPr="00054588" w:rsidP="00D031BC">
      <w:pPr>
        <w:spacing w:line="360" w:lineRule="auto"/>
        <w:ind w:firstLine="420"/>
        <w:rPr>
          <w:rFonts w:asciiTheme="minorEastAsia" w:eastAsiaTheme="minorEastAsia" w:hAnsiTheme="minorEastAsia"/>
          <w:color w:val="000000" w:themeColor="text1"/>
          <w:kern w:val="0"/>
          <w:szCs w:val="21"/>
        </w:rPr>
      </w:pPr>
      <w:r w:rsidRPr="00054588">
        <w:rPr>
          <w:rFonts w:asciiTheme="minorEastAsia" w:eastAsiaTheme="minorEastAsia" w:hAnsiTheme="minorEastAsia"/>
          <w:color w:val="000000" w:themeColor="text1"/>
        </w:rPr>
        <w:t>本基金历任基金经理情况：钟鸣远，管理时间为2008年3月19日至2014年1月17日；张雅君，管理时间为2014年7月19日至2020年5月26日。</w:t>
      </w:r>
    </w:p>
    <w:p w:rsidR="002F240D" w:rsidRPr="00054588" w:rsidP="00B30899">
      <w:pPr>
        <w:snapToGrid w:val="0"/>
        <w:spacing w:line="360" w:lineRule="auto"/>
        <w:ind w:firstLine="420" w:firstLineChars="200"/>
        <w:rPr>
          <w:rFonts w:asciiTheme="minorEastAsia" w:eastAsiaTheme="minorEastAsia" w:hAnsiTheme="minorEastAsia"/>
          <w:color w:val="000000" w:themeColor="text1"/>
          <w:kern w:val="0"/>
          <w:szCs w:val="21"/>
        </w:rPr>
      </w:pPr>
    </w:p>
    <w:p w:rsidR="002F240D" w:rsidRPr="00054588" w:rsidP="00B30899">
      <w:pPr>
        <w:snapToGrid w:val="0"/>
        <w:spacing w:line="360" w:lineRule="auto"/>
        <w:ind w:firstLine="420" w:firstLineChars="200"/>
        <w:rPr>
          <w:rFonts w:asciiTheme="minorEastAsia" w:eastAsiaTheme="minorEastAsia" w:hAnsiTheme="minorEastAsia"/>
          <w:color w:val="000000" w:themeColor="text1"/>
          <w:kern w:val="0"/>
          <w:szCs w:val="21"/>
        </w:rPr>
      </w:pPr>
    </w:p>
    <w:p w:rsidR="007228CC" w:rsidRPr="00054588" w:rsidP="00941EC8">
      <w:pPr>
        <w:pStyle w:val="111"/>
        <w:numPr>
          <w:ilvl w:val="0"/>
          <w:numId w:val="7"/>
        </w:numPr>
        <w:tabs>
          <w:tab w:val="num" w:pos="0"/>
          <w:tab w:val="clear" w:pos="2798"/>
        </w:tabs>
        <w:snapToGrid w:val="0"/>
        <w:spacing w:beforeLines="0" w:afterLines="0" w:line="360" w:lineRule="auto"/>
        <w:ind w:left="0" w:firstLine="0" w:firstLineChars="0"/>
        <w:rPr>
          <w:rFonts w:asciiTheme="minorEastAsia" w:eastAsiaTheme="minorEastAsia" w:hAnsiTheme="minorEastAsia"/>
          <w:b/>
          <w:color w:val="000000" w:themeColor="text1"/>
        </w:rPr>
      </w:pPr>
      <w:bookmarkStart w:id="287" w:name="_Toc59471781"/>
      <w:bookmarkStart w:id="288" w:name="_Toc59471921"/>
      <w:bookmarkStart w:id="289" w:name="_Toc211920165"/>
      <w:bookmarkStart w:id="290" w:name="_Toc211927696"/>
      <w:bookmarkStart w:id="291" w:name="_Toc123296457"/>
      <w:bookmarkEnd w:id="134"/>
      <w:bookmarkEnd w:id="187"/>
      <w:bookmarkEnd w:id="188"/>
      <w:bookmarkEnd w:id="287"/>
      <w:bookmarkEnd w:id="288"/>
      <w:r w:rsidRPr="00054588">
        <w:rPr>
          <w:rFonts w:asciiTheme="minorEastAsia" w:eastAsiaTheme="minorEastAsia" w:hAnsiTheme="minorEastAsia" w:hint="eastAsia"/>
          <w:b/>
          <w:color w:val="000000" w:themeColor="text1"/>
        </w:rPr>
        <w:t>基金的财产</w:t>
      </w:r>
      <w:bookmarkEnd w:id="289"/>
      <w:bookmarkEnd w:id="290"/>
      <w:bookmarkEnd w:id="291"/>
    </w:p>
    <w:p w:rsidR="007228CC" w:rsidRPr="00054588"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292" w:name="_Toc211920166"/>
      <w:bookmarkStart w:id="293" w:name="_Toc211927697"/>
      <w:bookmarkStart w:id="294" w:name="_Toc123296458"/>
      <w:r w:rsidRPr="00054588">
        <w:rPr>
          <w:rFonts w:asciiTheme="minorEastAsia" w:eastAsiaTheme="minorEastAsia" w:hAnsiTheme="minorEastAsia" w:hint="eastAsia"/>
          <w:color w:val="000000" w:themeColor="text1"/>
        </w:rPr>
        <w:t>（一）基金资产总值</w:t>
      </w:r>
      <w:bookmarkEnd w:id="292"/>
      <w:bookmarkEnd w:id="293"/>
      <w:bookmarkEnd w:id="294"/>
    </w:p>
    <w:p w:rsidR="007228CC" w:rsidRPr="00054588" w:rsidP="0071223F">
      <w:pPr>
        <w:snapToGrid w:val="0"/>
        <w:spacing w:line="360" w:lineRule="auto"/>
        <w:ind w:firstLine="420" w:firstLineChars="200"/>
        <w:rPr>
          <w:rFonts w:asciiTheme="minorEastAsia" w:eastAsiaTheme="minorEastAsia" w:hAnsiTheme="minorEastAsia"/>
          <w:color w:val="000000" w:themeColor="text1"/>
          <w:kern w:val="0"/>
          <w:szCs w:val="21"/>
        </w:rPr>
      </w:pPr>
      <w:bookmarkStart w:id="295" w:name="_Toc79392635"/>
      <w:bookmarkStart w:id="296" w:name="_Toc79556449"/>
      <w:r w:rsidRPr="00054588">
        <w:rPr>
          <w:rFonts w:asciiTheme="minorEastAsia" w:eastAsiaTheme="minorEastAsia" w:hAnsiTheme="minorEastAsia" w:hint="eastAsia"/>
          <w:color w:val="000000" w:themeColor="text1"/>
          <w:kern w:val="0"/>
          <w:szCs w:val="21"/>
        </w:rPr>
        <w:t>基金资产总值是指本基金拥有的各类证券及票据价值、银行存款本息、债券的应计利息、基金应收的申购基金款、缴存的保证金以及其他投资所形成的价值总和。</w:t>
      </w:r>
    </w:p>
    <w:p w:rsidR="007228CC" w:rsidRPr="00054588" w:rsidP="0071223F">
      <w:pPr>
        <w:snapToGrid w:val="0"/>
        <w:spacing w:line="360" w:lineRule="auto"/>
        <w:ind w:firstLine="420" w:firstLineChars="200"/>
        <w:rPr>
          <w:rFonts w:asciiTheme="minorEastAsia" w:eastAsiaTheme="minorEastAsia" w:hAnsiTheme="minorEastAsia"/>
          <w:color w:val="000000" w:themeColor="text1"/>
          <w:kern w:val="0"/>
          <w:szCs w:val="21"/>
        </w:rPr>
      </w:pPr>
      <w:r w:rsidRPr="00054588">
        <w:rPr>
          <w:rFonts w:asciiTheme="minorEastAsia" w:eastAsiaTheme="minorEastAsia" w:hAnsiTheme="minorEastAsia" w:hint="eastAsia"/>
          <w:color w:val="000000" w:themeColor="text1"/>
          <w:kern w:val="0"/>
          <w:szCs w:val="21"/>
        </w:rPr>
        <w:t>其构成主要有：</w:t>
      </w:r>
    </w:p>
    <w:p w:rsidR="007228CC" w:rsidRPr="00054588" w:rsidP="0021144C">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1、银行存款及其应计利息；</w:t>
      </w:r>
    </w:p>
    <w:p w:rsidR="007228CC" w:rsidRPr="00054588" w:rsidP="0021144C">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2、清算备付金及其应计利息；</w:t>
      </w:r>
    </w:p>
    <w:p w:rsidR="007228CC" w:rsidRPr="00054588" w:rsidP="0021144C">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3、根据有关规定缴存的保证金；</w:t>
      </w:r>
    </w:p>
    <w:p w:rsidR="007228CC" w:rsidRPr="00054588" w:rsidP="0021144C">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4、应收证券交易清算款；</w:t>
      </w:r>
    </w:p>
    <w:p w:rsidR="007228CC" w:rsidRPr="00054588" w:rsidP="0021144C">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5、应收申购基金款；</w:t>
      </w:r>
    </w:p>
    <w:p w:rsidR="007228CC" w:rsidRPr="00054588" w:rsidP="0021144C">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6、股票投资及其估值调整；</w:t>
      </w:r>
    </w:p>
    <w:p w:rsidR="007228CC" w:rsidRPr="00054588" w:rsidP="0021144C">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7、债券投资及其估值调整和应计利息；</w:t>
      </w:r>
    </w:p>
    <w:p w:rsidR="007228CC" w:rsidRPr="00054588" w:rsidP="0021144C">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8、其他投资及其估值调整；</w:t>
      </w:r>
    </w:p>
    <w:p w:rsidR="007228CC" w:rsidRPr="00054588" w:rsidP="0021144C">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9、其他资产等。</w:t>
      </w:r>
      <w:bookmarkEnd w:id="295"/>
      <w:bookmarkEnd w:id="296"/>
    </w:p>
    <w:p w:rsidR="007228CC" w:rsidRPr="00054588"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297" w:name="_Toc211920167"/>
      <w:bookmarkStart w:id="298" w:name="_Toc211927698"/>
      <w:bookmarkStart w:id="299" w:name="_Toc123296459"/>
      <w:r w:rsidRPr="00054588">
        <w:rPr>
          <w:rFonts w:asciiTheme="minorEastAsia" w:eastAsiaTheme="minorEastAsia" w:hAnsiTheme="minorEastAsia" w:hint="eastAsia"/>
          <w:color w:val="000000" w:themeColor="text1"/>
        </w:rPr>
        <w:t>（二）基金资产净值</w:t>
      </w:r>
      <w:bookmarkEnd w:id="297"/>
      <w:bookmarkEnd w:id="298"/>
      <w:bookmarkEnd w:id="299"/>
    </w:p>
    <w:p w:rsidR="007228CC" w:rsidRPr="00054588" w:rsidP="0071223F">
      <w:pPr>
        <w:snapToGrid w:val="0"/>
        <w:spacing w:line="360" w:lineRule="auto"/>
        <w:ind w:firstLine="420" w:firstLineChars="20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基金资产净值是指基金资产总值减去基金负债后的价值。</w:t>
      </w:r>
    </w:p>
    <w:p w:rsidR="007228CC" w:rsidRPr="00054588"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300" w:name="_Toc211920168"/>
      <w:bookmarkStart w:id="301" w:name="_Toc211927699"/>
      <w:bookmarkStart w:id="302" w:name="_Toc123296460"/>
      <w:r w:rsidRPr="00054588">
        <w:rPr>
          <w:rFonts w:asciiTheme="minorEastAsia" w:eastAsiaTheme="minorEastAsia" w:hAnsiTheme="minorEastAsia" w:hint="eastAsia"/>
          <w:color w:val="000000" w:themeColor="text1"/>
        </w:rPr>
        <w:t>（三）基金财产的账户</w:t>
      </w:r>
      <w:bookmarkEnd w:id="300"/>
      <w:bookmarkEnd w:id="301"/>
      <w:bookmarkEnd w:id="302"/>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rsidR="007228CC" w:rsidRPr="00054588"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303" w:name="_Toc211920169"/>
      <w:bookmarkStart w:id="304" w:name="_Toc211927700"/>
      <w:bookmarkStart w:id="305" w:name="_Toc123296461"/>
      <w:r w:rsidRPr="00054588">
        <w:rPr>
          <w:rFonts w:asciiTheme="minorEastAsia" w:eastAsiaTheme="minorEastAsia" w:hAnsiTheme="minorEastAsia" w:hint="eastAsia"/>
          <w:color w:val="000000" w:themeColor="text1"/>
        </w:rPr>
        <w:t>（四）基金财产的处分</w:t>
      </w:r>
      <w:bookmarkEnd w:id="303"/>
      <w:bookmarkEnd w:id="304"/>
      <w:bookmarkEnd w:id="305"/>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基金财产独立于基金管理人、基金托管人和</w:t>
      </w:r>
      <w:r w:rsidRPr="00054588" w:rsidR="00236E5B">
        <w:rPr>
          <w:rFonts w:asciiTheme="minorEastAsia" w:eastAsiaTheme="minorEastAsia" w:hAnsiTheme="minorEastAsia" w:hint="eastAsia"/>
          <w:color w:val="000000" w:themeColor="text1"/>
          <w:szCs w:val="21"/>
        </w:rPr>
        <w:t>销售</w:t>
      </w:r>
      <w:r w:rsidRPr="00054588">
        <w:rPr>
          <w:rFonts w:asciiTheme="minorEastAsia" w:eastAsiaTheme="minorEastAsia" w:hAnsiTheme="minorEastAsia" w:hint="eastAsia"/>
          <w:color w:val="000000" w:themeColor="text1"/>
          <w:szCs w:val="21"/>
        </w:rPr>
        <w:t>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抵销，不同基金财产的债权债务，不得相互抵销。</w:t>
      </w:r>
      <w:r w:rsidRPr="00054588">
        <w:rPr>
          <w:rFonts w:asciiTheme="minorEastAsia" w:eastAsiaTheme="minorEastAsia" w:hAnsiTheme="minorEastAsia"/>
          <w:color w:val="000000" w:themeColor="text1"/>
          <w:szCs w:val="21"/>
        </w:rPr>
        <w:t>基金管理人、基金托管人以其自有资产承担法律责任，其债权人不得对基金</w:t>
      </w:r>
      <w:r w:rsidRPr="00054588">
        <w:rPr>
          <w:rFonts w:asciiTheme="minorEastAsia" w:eastAsiaTheme="minorEastAsia" w:hAnsiTheme="minorEastAsia" w:hint="eastAsia"/>
          <w:color w:val="000000" w:themeColor="text1"/>
          <w:szCs w:val="21"/>
        </w:rPr>
        <w:t>财产</w:t>
      </w:r>
      <w:r w:rsidRPr="00054588">
        <w:rPr>
          <w:rFonts w:asciiTheme="minorEastAsia" w:eastAsiaTheme="minorEastAsia" w:hAnsiTheme="minorEastAsia"/>
          <w:color w:val="000000" w:themeColor="text1"/>
          <w:szCs w:val="21"/>
        </w:rPr>
        <w:t>行使请求冻结、扣押和其他权利。</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基金管理人、基金托管人因依法解散、被依法撤销或者被依法宣告破产等原因进行清算的，基金财产不属于其清算财产。</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除依据《基金法》、基金合同及其他有关规定处分外，基金</w:t>
      </w:r>
      <w:r w:rsidRPr="00054588">
        <w:rPr>
          <w:rFonts w:asciiTheme="minorEastAsia" w:eastAsiaTheme="minorEastAsia" w:hAnsiTheme="minorEastAsia" w:hint="eastAsia"/>
          <w:color w:val="000000" w:themeColor="text1"/>
          <w:szCs w:val="21"/>
        </w:rPr>
        <w:t>财产</w:t>
      </w:r>
      <w:r w:rsidRPr="00054588">
        <w:rPr>
          <w:rFonts w:asciiTheme="minorEastAsia" w:eastAsiaTheme="minorEastAsia" w:hAnsiTheme="minorEastAsia"/>
          <w:color w:val="000000" w:themeColor="text1"/>
          <w:szCs w:val="21"/>
        </w:rPr>
        <w:t>不得被处分。</w:t>
      </w:r>
      <w:r w:rsidRPr="00054588">
        <w:rPr>
          <w:rFonts w:asciiTheme="minorEastAsia" w:eastAsiaTheme="minorEastAsia" w:hAnsiTheme="minorEastAsia" w:hint="eastAsia"/>
          <w:color w:val="000000" w:themeColor="text1"/>
          <w:szCs w:val="21"/>
        </w:rPr>
        <w:t>非因基金财产本身承担的债务，不得对基金财产强制执行。</w:t>
      </w:r>
    </w:p>
    <w:p w:rsidR="007228CC" w:rsidRPr="00054588" w:rsidP="00941EC8">
      <w:pPr>
        <w:pStyle w:val="111"/>
        <w:numPr>
          <w:ilvl w:val="0"/>
          <w:numId w:val="7"/>
        </w:numPr>
        <w:tabs>
          <w:tab w:val="num" w:pos="0"/>
          <w:tab w:val="clear" w:pos="2798"/>
        </w:tabs>
        <w:snapToGrid w:val="0"/>
        <w:spacing w:beforeLines="0" w:afterLines="0" w:line="360" w:lineRule="auto"/>
        <w:ind w:left="0" w:firstLine="0" w:firstLineChars="0"/>
        <w:rPr>
          <w:rFonts w:asciiTheme="minorEastAsia" w:eastAsiaTheme="minorEastAsia" w:hAnsiTheme="minorEastAsia"/>
          <w:b/>
          <w:color w:val="000000" w:themeColor="text1"/>
        </w:rPr>
      </w:pPr>
      <w:bookmarkStart w:id="306" w:name="_Toc123296462"/>
      <w:bookmarkStart w:id="307" w:name="_Toc66706733"/>
      <w:bookmarkStart w:id="308" w:name="_Toc86584624"/>
      <w:bookmarkStart w:id="309" w:name="_Toc211920171"/>
      <w:bookmarkStart w:id="310" w:name="_Toc211927702"/>
      <w:bookmarkStart w:id="311" w:name="_Toc84149655"/>
      <w:r w:rsidRPr="00054588">
        <w:rPr>
          <w:rFonts w:asciiTheme="minorEastAsia" w:eastAsiaTheme="minorEastAsia" w:hAnsiTheme="minorEastAsia" w:hint="eastAsia"/>
          <w:b/>
          <w:color w:val="000000" w:themeColor="text1"/>
        </w:rPr>
        <w:t>基金资产估值</w:t>
      </w:r>
      <w:bookmarkEnd w:id="306"/>
    </w:p>
    <w:p w:rsidR="007228CC" w:rsidRPr="00054588"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312" w:name="_Toc123296463"/>
      <w:r w:rsidRPr="00054588">
        <w:rPr>
          <w:rFonts w:asciiTheme="minorEastAsia" w:eastAsiaTheme="minorEastAsia" w:hAnsiTheme="minorEastAsia" w:hint="eastAsia"/>
          <w:color w:val="000000" w:themeColor="text1"/>
        </w:rPr>
        <w:t>（一）估值目的</w:t>
      </w:r>
      <w:bookmarkEnd w:id="307"/>
      <w:bookmarkEnd w:id="308"/>
      <w:bookmarkEnd w:id="309"/>
      <w:bookmarkEnd w:id="310"/>
      <w:bookmarkEnd w:id="312"/>
    </w:p>
    <w:p w:rsidR="007228CC" w:rsidRPr="00054588" w:rsidP="0071223F">
      <w:pPr>
        <w:snapToGrid w:val="0"/>
        <w:spacing w:line="360" w:lineRule="auto"/>
        <w:ind w:firstLine="42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基金估值的目的是为了准确、真实地反映基金相关金融资产和金融负债的公允价值。开放式基金份额申购、赎回价格应按基金估值后确定的基金份额净值计算。</w:t>
      </w:r>
    </w:p>
    <w:p w:rsidR="007228CC" w:rsidRPr="00054588"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313" w:name="_Toc66706734"/>
      <w:bookmarkStart w:id="314" w:name="_Toc86584625"/>
      <w:bookmarkStart w:id="315" w:name="_Toc211920172"/>
      <w:bookmarkStart w:id="316" w:name="_Toc211927703"/>
      <w:bookmarkStart w:id="317" w:name="_Toc123296464"/>
      <w:r w:rsidRPr="00054588">
        <w:rPr>
          <w:rFonts w:asciiTheme="minorEastAsia" w:eastAsiaTheme="minorEastAsia" w:hAnsiTheme="minorEastAsia" w:hint="eastAsia"/>
          <w:color w:val="000000" w:themeColor="text1"/>
        </w:rPr>
        <w:t>（二）估值日</w:t>
      </w:r>
      <w:bookmarkEnd w:id="313"/>
      <w:bookmarkEnd w:id="314"/>
      <w:bookmarkEnd w:id="315"/>
      <w:bookmarkEnd w:id="316"/>
      <w:bookmarkEnd w:id="317"/>
    </w:p>
    <w:p w:rsidR="007228CC" w:rsidRPr="00054588" w:rsidP="0071223F">
      <w:pPr>
        <w:snapToGrid w:val="0"/>
        <w:spacing w:line="360" w:lineRule="auto"/>
        <w:ind w:firstLine="42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本基金的估值日为本基金相关的证券交易场所的正常营业日以及国家法律法规规定需要对外披露基金净值的非营业日。</w:t>
      </w:r>
    </w:p>
    <w:p w:rsidR="007228CC" w:rsidRPr="00054588"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318" w:name="_Toc66706735"/>
      <w:bookmarkStart w:id="319" w:name="_Toc86584626"/>
      <w:bookmarkStart w:id="320" w:name="_Toc211920173"/>
      <w:bookmarkStart w:id="321" w:name="_Toc211927704"/>
      <w:bookmarkStart w:id="322" w:name="_Toc123296465"/>
      <w:r w:rsidRPr="00054588">
        <w:rPr>
          <w:rFonts w:asciiTheme="minorEastAsia" w:eastAsiaTheme="minorEastAsia" w:hAnsiTheme="minorEastAsia" w:hint="eastAsia"/>
          <w:color w:val="000000" w:themeColor="text1"/>
        </w:rPr>
        <w:t>（三）估值对象</w:t>
      </w:r>
      <w:bookmarkEnd w:id="318"/>
      <w:bookmarkEnd w:id="319"/>
      <w:bookmarkEnd w:id="320"/>
      <w:bookmarkEnd w:id="321"/>
      <w:bookmarkEnd w:id="322"/>
    </w:p>
    <w:p w:rsidR="007228CC" w:rsidRPr="00054588" w:rsidP="0071223F">
      <w:pPr>
        <w:snapToGrid w:val="0"/>
        <w:spacing w:line="360" w:lineRule="auto"/>
        <w:ind w:firstLine="525" w:firstLineChars="250"/>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基金所拥有的股票、</w:t>
      </w:r>
      <w:r w:rsidRPr="00054588">
        <w:rPr>
          <w:rFonts w:asciiTheme="minorEastAsia" w:eastAsiaTheme="minorEastAsia" w:hAnsiTheme="minorEastAsia" w:hint="eastAsia"/>
          <w:color w:val="000000" w:themeColor="text1"/>
          <w:szCs w:val="21"/>
        </w:rPr>
        <w:t>权证、</w:t>
      </w:r>
      <w:r w:rsidRPr="00054588">
        <w:rPr>
          <w:rFonts w:asciiTheme="minorEastAsia" w:eastAsiaTheme="minorEastAsia" w:hAnsiTheme="minorEastAsia"/>
          <w:color w:val="000000" w:themeColor="text1"/>
          <w:szCs w:val="21"/>
        </w:rPr>
        <w:t>债券和银行存款本息、应收款项、其它投资等资产。</w:t>
      </w:r>
    </w:p>
    <w:p w:rsidR="007228CC" w:rsidRPr="00054588"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323" w:name="_Toc180325992"/>
      <w:bookmarkStart w:id="324" w:name="_Toc180326116"/>
      <w:bookmarkStart w:id="325" w:name="_Toc180326236"/>
      <w:bookmarkStart w:id="326" w:name="_Toc180326356"/>
      <w:bookmarkStart w:id="327" w:name="_Toc180326476"/>
      <w:bookmarkStart w:id="328" w:name="_Toc180326595"/>
      <w:bookmarkStart w:id="329" w:name="_Toc180485194"/>
      <w:bookmarkStart w:id="330" w:name="_Toc66706736"/>
      <w:bookmarkStart w:id="331" w:name="_Toc86584627"/>
      <w:bookmarkStart w:id="332" w:name="_Toc211920174"/>
      <w:bookmarkStart w:id="333" w:name="_Toc211927705"/>
      <w:bookmarkStart w:id="334" w:name="_Toc123296466"/>
      <w:bookmarkEnd w:id="323"/>
      <w:bookmarkEnd w:id="324"/>
      <w:bookmarkEnd w:id="325"/>
      <w:bookmarkEnd w:id="326"/>
      <w:bookmarkEnd w:id="327"/>
      <w:bookmarkEnd w:id="328"/>
      <w:bookmarkEnd w:id="329"/>
      <w:r w:rsidRPr="00054588">
        <w:rPr>
          <w:rFonts w:asciiTheme="minorEastAsia" w:eastAsiaTheme="minorEastAsia" w:hAnsiTheme="minorEastAsia" w:hint="eastAsia"/>
          <w:color w:val="000000" w:themeColor="text1"/>
        </w:rPr>
        <w:t>（四）估值方法</w:t>
      </w:r>
      <w:bookmarkEnd w:id="330"/>
      <w:bookmarkEnd w:id="331"/>
      <w:bookmarkEnd w:id="332"/>
      <w:bookmarkEnd w:id="333"/>
      <w:bookmarkEnd w:id="334"/>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w:t>
      </w:r>
      <w:r w:rsidRPr="00054588">
        <w:rPr>
          <w:rFonts w:asciiTheme="minorEastAsia" w:eastAsiaTheme="minorEastAsia" w:hAnsiTheme="minorEastAsia"/>
          <w:color w:val="000000" w:themeColor="text1"/>
          <w:szCs w:val="21"/>
        </w:rPr>
        <w:t>股票估值方法：</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w:t>
      </w:r>
      <w:r w:rsidRPr="00054588">
        <w:rPr>
          <w:rFonts w:asciiTheme="minorEastAsia" w:eastAsiaTheme="minorEastAsia" w:hAnsiTheme="minorEastAsia"/>
          <w:color w:val="000000" w:themeColor="text1"/>
          <w:szCs w:val="21"/>
        </w:rPr>
        <w:t>上市流通股票按估值日其所在证券交易所的收盘价估值；估值日无交易的，以最近交易日的收盘价估值</w:t>
      </w:r>
      <w:r w:rsidRPr="00054588">
        <w:rPr>
          <w:rFonts w:asciiTheme="minorEastAsia" w:eastAsiaTheme="minorEastAsia" w:hAnsiTheme="minorEastAsia" w:hint="eastAsia"/>
          <w:color w:val="000000" w:themeColor="text1"/>
          <w:szCs w:val="21"/>
        </w:rPr>
        <w:t>。</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w:t>
      </w:r>
      <w:r w:rsidRPr="00054588">
        <w:rPr>
          <w:rFonts w:asciiTheme="minorEastAsia" w:eastAsiaTheme="minorEastAsia" w:hAnsiTheme="minorEastAsia"/>
          <w:color w:val="000000" w:themeColor="text1"/>
          <w:szCs w:val="21"/>
        </w:rPr>
        <w:t>未上市股票的估值：</w:t>
      </w:r>
    </w:p>
    <w:p w:rsidR="007228CC" w:rsidRPr="00054588" w:rsidP="001037EA">
      <w:pPr>
        <w:widowControl/>
        <w:adjustRightInd w:val="0"/>
        <w:snapToGrid w:val="0"/>
        <w:spacing w:line="360" w:lineRule="auto"/>
        <w:ind w:firstLine="420"/>
        <w:jc w:val="left"/>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w:t>
      </w:r>
      <w:r w:rsidRPr="00054588">
        <w:rPr>
          <w:rFonts w:asciiTheme="minorEastAsia" w:eastAsiaTheme="minorEastAsia" w:hAnsiTheme="minorEastAsia" w:cs="宋体"/>
          <w:color w:val="000000" w:themeColor="text1"/>
          <w:kern w:val="0"/>
          <w:szCs w:val="21"/>
        </w:rPr>
        <w:t>首次发行</w:t>
      </w:r>
      <w:r w:rsidRPr="00054588">
        <w:rPr>
          <w:rFonts w:asciiTheme="minorEastAsia" w:eastAsiaTheme="minorEastAsia" w:hAnsiTheme="minorEastAsia" w:cs="宋体" w:hint="eastAsia"/>
          <w:color w:val="000000" w:themeColor="text1"/>
          <w:kern w:val="0"/>
          <w:szCs w:val="21"/>
        </w:rPr>
        <w:t>未上市</w:t>
      </w:r>
      <w:r w:rsidRPr="00054588">
        <w:rPr>
          <w:rFonts w:asciiTheme="minorEastAsia" w:eastAsiaTheme="minorEastAsia" w:hAnsiTheme="minorEastAsia" w:cs="宋体"/>
          <w:color w:val="000000" w:themeColor="text1"/>
          <w:kern w:val="0"/>
          <w:szCs w:val="21"/>
        </w:rPr>
        <w:t>的股票</w:t>
      </w:r>
      <w:r w:rsidRPr="00054588">
        <w:rPr>
          <w:rFonts w:asciiTheme="minorEastAsia" w:eastAsiaTheme="minorEastAsia" w:hAnsiTheme="minorEastAsia"/>
          <w:color w:val="000000" w:themeColor="text1"/>
          <w:szCs w:val="21"/>
        </w:rPr>
        <w:t>，按成本</w:t>
      </w:r>
      <w:r w:rsidRPr="00054588">
        <w:rPr>
          <w:rFonts w:asciiTheme="minorEastAsia" w:eastAsiaTheme="minorEastAsia" w:hAnsiTheme="minorEastAsia" w:hint="eastAsia"/>
          <w:color w:val="000000" w:themeColor="text1"/>
          <w:szCs w:val="21"/>
        </w:rPr>
        <w:t>计量；</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w:t>
      </w:r>
      <w:r w:rsidRPr="00054588">
        <w:rPr>
          <w:rFonts w:asciiTheme="minorEastAsia" w:eastAsiaTheme="minorEastAsia" w:hAnsiTheme="minorEastAsia"/>
          <w:color w:val="000000" w:themeColor="text1"/>
          <w:szCs w:val="21"/>
        </w:rPr>
        <w:t>送股、转增股、配股和</w:t>
      </w:r>
      <w:r w:rsidRPr="00054588">
        <w:rPr>
          <w:rFonts w:asciiTheme="minorEastAsia" w:eastAsiaTheme="minorEastAsia" w:hAnsiTheme="minorEastAsia" w:hint="eastAsia"/>
          <w:color w:val="000000" w:themeColor="text1"/>
          <w:szCs w:val="21"/>
        </w:rPr>
        <w:t>公开增发新股等</w:t>
      </w:r>
      <w:r w:rsidRPr="00054588">
        <w:rPr>
          <w:rFonts w:asciiTheme="minorEastAsia" w:eastAsiaTheme="minorEastAsia" w:hAnsiTheme="minorEastAsia"/>
          <w:color w:val="000000" w:themeColor="text1"/>
          <w:szCs w:val="21"/>
        </w:rPr>
        <w:t>发行</w:t>
      </w:r>
      <w:r w:rsidRPr="00054588">
        <w:rPr>
          <w:rFonts w:asciiTheme="minorEastAsia" w:eastAsiaTheme="minorEastAsia" w:hAnsiTheme="minorEastAsia" w:hint="eastAsia"/>
          <w:color w:val="000000" w:themeColor="text1"/>
          <w:szCs w:val="21"/>
        </w:rPr>
        <w:t>未上市</w:t>
      </w:r>
      <w:r w:rsidRPr="00054588">
        <w:rPr>
          <w:rFonts w:asciiTheme="minorEastAsia" w:eastAsiaTheme="minorEastAsia" w:hAnsiTheme="minorEastAsia"/>
          <w:color w:val="000000" w:themeColor="text1"/>
          <w:szCs w:val="21"/>
        </w:rPr>
        <w:t>的股票，按估值日在</w:t>
      </w:r>
      <w:r w:rsidRPr="00054588">
        <w:rPr>
          <w:rFonts w:asciiTheme="minorEastAsia" w:eastAsiaTheme="minorEastAsia" w:hAnsiTheme="minorEastAsia" w:hint="eastAsia"/>
          <w:color w:val="000000" w:themeColor="text1"/>
          <w:szCs w:val="21"/>
        </w:rPr>
        <w:t>证券</w:t>
      </w:r>
      <w:r w:rsidRPr="00054588">
        <w:rPr>
          <w:rFonts w:asciiTheme="minorEastAsia" w:eastAsiaTheme="minorEastAsia" w:hAnsiTheme="minorEastAsia"/>
          <w:color w:val="000000" w:themeColor="text1"/>
          <w:szCs w:val="21"/>
        </w:rPr>
        <w:t>交易所挂牌的同一股票的</w:t>
      </w:r>
      <w:r w:rsidRPr="00054588">
        <w:rPr>
          <w:rFonts w:asciiTheme="minorEastAsia" w:eastAsiaTheme="minorEastAsia" w:hAnsiTheme="minorEastAsia" w:hint="eastAsia"/>
          <w:color w:val="000000" w:themeColor="text1"/>
          <w:szCs w:val="21"/>
        </w:rPr>
        <w:t>市</w:t>
      </w:r>
      <w:r w:rsidRPr="00054588">
        <w:rPr>
          <w:rFonts w:asciiTheme="minorEastAsia" w:eastAsiaTheme="minorEastAsia" w:hAnsiTheme="minorEastAsia"/>
          <w:color w:val="000000" w:themeColor="text1"/>
          <w:szCs w:val="21"/>
        </w:rPr>
        <w:t>价估值</w:t>
      </w:r>
      <w:r w:rsidRPr="00054588">
        <w:rPr>
          <w:rFonts w:asciiTheme="minorEastAsia" w:eastAsiaTheme="minorEastAsia" w:hAnsiTheme="minorEastAsia" w:hint="eastAsia"/>
          <w:color w:val="000000" w:themeColor="text1"/>
          <w:szCs w:val="21"/>
        </w:rPr>
        <w:t>；</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3）首次公开发行有明确锁定期的股票，同一股票在交易所上市后，按交易所上市的同一股票的市价估值；</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4）非公开发行有明确锁定期的流通受限股票，按监管机构或行业协会有关规定确定公允价值；</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(3)</w:t>
      </w:r>
      <w:r w:rsidRPr="00054588">
        <w:rPr>
          <w:rFonts w:asciiTheme="minorEastAsia" w:eastAsiaTheme="minorEastAsia" w:hAnsiTheme="minorEastAsia"/>
          <w:color w:val="000000" w:themeColor="text1"/>
          <w:szCs w:val="21"/>
        </w:rPr>
        <w:t>在任何情况下，基金管理人如采用本项第</w:t>
      </w:r>
      <w:r w:rsidRPr="00054588">
        <w:rPr>
          <w:rFonts w:asciiTheme="minorEastAsia" w:eastAsiaTheme="minorEastAsia" w:hAnsiTheme="minorEastAsia" w:hint="eastAsia"/>
          <w:color w:val="000000" w:themeColor="text1"/>
          <w:szCs w:val="21"/>
        </w:rPr>
        <w:t>(1)－(2)</w:t>
      </w:r>
      <w:r w:rsidRPr="00054588">
        <w:rPr>
          <w:rFonts w:asciiTheme="minorEastAsia" w:eastAsiaTheme="minorEastAsia" w:hAnsiTheme="minorEastAsia"/>
          <w:color w:val="000000" w:themeColor="text1"/>
          <w:szCs w:val="21"/>
        </w:rPr>
        <w:t>小项规定的方法对基金资产进行估值，均应被认为采用了适当的估值方法。但是，如果基金管理人认为按本项第</w:t>
      </w:r>
      <w:r w:rsidRPr="00054588">
        <w:rPr>
          <w:rFonts w:asciiTheme="minorEastAsia" w:eastAsiaTheme="minorEastAsia" w:hAnsiTheme="minorEastAsia" w:hint="eastAsia"/>
          <w:color w:val="000000" w:themeColor="text1"/>
          <w:szCs w:val="21"/>
        </w:rPr>
        <w:t>(1)－(2)</w:t>
      </w:r>
      <w:r w:rsidRPr="00054588">
        <w:rPr>
          <w:rFonts w:asciiTheme="minorEastAsia" w:eastAsiaTheme="minorEastAsia" w:hAnsiTheme="minorEastAsia"/>
          <w:color w:val="000000" w:themeColor="text1"/>
          <w:szCs w:val="21"/>
        </w:rPr>
        <w:t>小项规定的方法对基金资产进行估值不能客观反映其公允价值的，基金管理人可根据具体情况，并与基金托管人商定后，按最能反映公允价值的价格估值；</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(4)</w:t>
      </w:r>
      <w:r w:rsidRPr="00054588">
        <w:rPr>
          <w:rFonts w:asciiTheme="minorEastAsia" w:eastAsiaTheme="minorEastAsia" w:hAnsiTheme="minorEastAsia"/>
          <w:color w:val="000000" w:themeColor="text1"/>
          <w:szCs w:val="21"/>
        </w:rPr>
        <w:t>国家有最新规定的，按其规定进行估值。</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w:t>
      </w:r>
      <w:r w:rsidRPr="00054588">
        <w:rPr>
          <w:rFonts w:asciiTheme="minorEastAsia" w:eastAsiaTheme="minorEastAsia" w:hAnsiTheme="minorEastAsia"/>
          <w:color w:val="000000" w:themeColor="text1"/>
          <w:szCs w:val="21"/>
        </w:rPr>
        <w:t>债券估值</w:t>
      </w:r>
      <w:r w:rsidRPr="00054588">
        <w:rPr>
          <w:rFonts w:asciiTheme="minorEastAsia" w:eastAsiaTheme="minorEastAsia" w:hAnsiTheme="minorEastAsia" w:hint="eastAsia"/>
          <w:color w:val="000000" w:themeColor="text1"/>
          <w:szCs w:val="21"/>
        </w:rPr>
        <w:t>方</w:t>
      </w:r>
      <w:r w:rsidRPr="00054588">
        <w:rPr>
          <w:rFonts w:asciiTheme="minorEastAsia" w:eastAsiaTheme="minorEastAsia" w:hAnsiTheme="minorEastAsia"/>
          <w:color w:val="000000" w:themeColor="text1"/>
          <w:szCs w:val="21"/>
        </w:rPr>
        <w:t>法：</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w:t>
      </w:r>
      <w:r w:rsidRPr="00054588">
        <w:rPr>
          <w:rFonts w:asciiTheme="minorEastAsia" w:eastAsiaTheme="minorEastAsia" w:hAnsiTheme="minorEastAsia"/>
          <w:color w:val="000000" w:themeColor="text1"/>
          <w:szCs w:val="21"/>
        </w:rPr>
        <w:t>证券交易所市场实行净价交易的债券按估值日收盘价估值，估值日没有交易的，按最近交易日的收盘价估值；</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w:t>
      </w:r>
      <w:r w:rsidRPr="00054588">
        <w:rPr>
          <w:rFonts w:asciiTheme="minorEastAsia" w:eastAsiaTheme="minorEastAsia" w:hAnsiTheme="minorEastAsia"/>
          <w:color w:val="000000" w:themeColor="text1"/>
          <w:szCs w:val="21"/>
        </w:rPr>
        <w:t>证券交易所市场未实行净价交易的债券按估值日收盘价减去债券收盘价中所含的应收利息(自债券计息起始日或上一起息日至估值当日的利息)得到的净价进行估值，估值日没有交易的，</w:t>
      </w:r>
      <w:r w:rsidRPr="00054588">
        <w:rPr>
          <w:rFonts w:asciiTheme="minorEastAsia" w:eastAsiaTheme="minorEastAsia" w:hAnsiTheme="minorEastAsia" w:hint="eastAsia"/>
          <w:color w:val="000000" w:themeColor="text1"/>
          <w:szCs w:val="21"/>
        </w:rPr>
        <w:t>以</w:t>
      </w:r>
      <w:r w:rsidRPr="00054588">
        <w:rPr>
          <w:rFonts w:asciiTheme="minorEastAsia" w:eastAsiaTheme="minorEastAsia" w:hAnsiTheme="minorEastAsia"/>
          <w:color w:val="000000" w:themeColor="text1"/>
          <w:szCs w:val="21"/>
        </w:rPr>
        <w:t>最近交易日</w:t>
      </w:r>
      <w:r w:rsidRPr="00054588">
        <w:rPr>
          <w:rFonts w:asciiTheme="minorEastAsia" w:eastAsiaTheme="minorEastAsia" w:hAnsiTheme="minorEastAsia" w:hint="eastAsia"/>
          <w:color w:val="000000" w:themeColor="text1"/>
          <w:szCs w:val="21"/>
        </w:rPr>
        <w:t>的</w:t>
      </w:r>
      <w:r w:rsidRPr="00054588">
        <w:rPr>
          <w:rFonts w:asciiTheme="minorEastAsia" w:eastAsiaTheme="minorEastAsia" w:hAnsiTheme="minorEastAsia"/>
          <w:color w:val="000000" w:themeColor="text1"/>
          <w:szCs w:val="21"/>
        </w:rPr>
        <w:t>收盘净价估值；</w:t>
      </w:r>
    </w:p>
    <w:p w:rsidR="007228CC" w:rsidRPr="00054588" w:rsidP="001037EA">
      <w:pPr>
        <w:widowControl/>
        <w:adjustRightInd w:val="0"/>
        <w:snapToGrid w:val="0"/>
        <w:spacing w:line="360" w:lineRule="auto"/>
        <w:ind w:firstLine="420"/>
        <w:jc w:val="left"/>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(3)</w:t>
      </w:r>
      <w:r w:rsidRPr="00054588">
        <w:rPr>
          <w:rFonts w:asciiTheme="minorEastAsia" w:eastAsiaTheme="minorEastAsia" w:hAnsiTheme="minorEastAsia" w:cs="宋体" w:hint="eastAsia"/>
          <w:color w:val="000000" w:themeColor="text1"/>
          <w:kern w:val="0"/>
          <w:szCs w:val="21"/>
        </w:rPr>
        <w:t>发行未上市债券采用估值技术确定公允价值</w:t>
      </w:r>
      <w:r w:rsidRPr="00054588">
        <w:rPr>
          <w:rFonts w:asciiTheme="minorEastAsia" w:eastAsiaTheme="minorEastAsia" w:hAnsiTheme="minorEastAsia" w:hint="eastAsia"/>
          <w:color w:val="000000" w:themeColor="text1"/>
          <w:szCs w:val="21"/>
        </w:rPr>
        <w:t>，在估值技术难以可靠计量公允价值的情况下，按成本进行后续计量</w:t>
      </w:r>
      <w:r w:rsidRPr="00054588">
        <w:rPr>
          <w:rFonts w:asciiTheme="minorEastAsia" w:eastAsiaTheme="minorEastAsia" w:hAnsiTheme="minorEastAsia"/>
          <w:color w:val="000000" w:themeColor="text1"/>
          <w:szCs w:val="21"/>
        </w:rPr>
        <w:t>；</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(4)在全国银行间债券市场交易的债券、资产支持证券等固定收益品种，采用估值技术确定公允价值；</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(5)同一债券同时在两个或两个以上市场交易的，按债券所处的市场分别估值；</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(6)</w:t>
      </w:r>
      <w:r w:rsidRPr="00054588">
        <w:rPr>
          <w:rFonts w:asciiTheme="minorEastAsia" w:eastAsiaTheme="minorEastAsia" w:hAnsiTheme="minorEastAsia"/>
          <w:color w:val="000000" w:themeColor="text1"/>
          <w:szCs w:val="21"/>
        </w:rPr>
        <w:t>在任何情况下，基金管理人如采用本项第</w:t>
      </w:r>
      <w:r w:rsidRPr="00054588">
        <w:rPr>
          <w:rFonts w:asciiTheme="minorEastAsia" w:eastAsiaTheme="minorEastAsia" w:hAnsiTheme="minorEastAsia" w:hint="eastAsia"/>
          <w:color w:val="000000" w:themeColor="text1"/>
          <w:szCs w:val="21"/>
        </w:rPr>
        <w:t>(1)－(5)</w:t>
      </w:r>
      <w:r w:rsidRPr="00054588">
        <w:rPr>
          <w:rFonts w:asciiTheme="minorEastAsia" w:eastAsiaTheme="minorEastAsia" w:hAnsiTheme="minorEastAsia"/>
          <w:color w:val="000000" w:themeColor="text1"/>
          <w:szCs w:val="21"/>
        </w:rPr>
        <w:t>小项规定的方法对基金资产进行估值，均应被认为采用了适当的估值方法。但是，如果基金管理人认为按本项第</w:t>
      </w:r>
      <w:r w:rsidRPr="00054588">
        <w:rPr>
          <w:rFonts w:asciiTheme="minorEastAsia" w:eastAsiaTheme="minorEastAsia" w:hAnsiTheme="minorEastAsia" w:hint="eastAsia"/>
          <w:color w:val="000000" w:themeColor="text1"/>
          <w:szCs w:val="21"/>
        </w:rPr>
        <w:t>(1)－(5)</w:t>
      </w:r>
      <w:r w:rsidRPr="00054588">
        <w:rPr>
          <w:rFonts w:asciiTheme="minorEastAsia" w:eastAsiaTheme="minorEastAsia" w:hAnsiTheme="minorEastAsia"/>
          <w:color w:val="000000" w:themeColor="text1"/>
          <w:szCs w:val="21"/>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(7)</w:t>
      </w:r>
      <w:r w:rsidRPr="00054588">
        <w:rPr>
          <w:rFonts w:asciiTheme="minorEastAsia" w:eastAsiaTheme="minorEastAsia" w:hAnsiTheme="minorEastAsia"/>
          <w:color w:val="000000" w:themeColor="text1"/>
          <w:szCs w:val="21"/>
        </w:rPr>
        <w:t>国家有最新规定的，按其规定进行估值。</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3、权证估值方法：</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(1)基金持有的权证，从持有确认日起到卖出日或行权日止，上市交易的权证按估值日在证券交易所挂牌的该权证的收盘价估值；估值日没有交易的，按最近交易日的收盘价估值；</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未上市交易的权证采用估值技术确定公允价值；在估值技术难以可靠计量公允价值的情况下，按成本计量；因持有股票而享有的配股权，按公允价值进行估值。</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w:t>
      </w:r>
      <w:r w:rsidRPr="00054588">
        <w:rPr>
          <w:rFonts w:asciiTheme="minorEastAsia" w:eastAsiaTheme="minorEastAsia" w:hAnsiTheme="minorEastAsia"/>
          <w:color w:val="000000" w:themeColor="text1"/>
          <w:szCs w:val="21"/>
        </w:rPr>
        <w:t>在任何情况下，基金管理人如采用本项第</w:t>
      </w:r>
      <w:r w:rsidRPr="00054588">
        <w:rPr>
          <w:rFonts w:asciiTheme="minorEastAsia" w:eastAsiaTheme="minorEastAsia" w:hAnsiTheme="minorEastAsia" w:hint="eastAsia"/>
          <w:color w:val="000000" w:themeColor="text1"/>
          <w:szCs w:val="21"/>
        </w:rPr>
        <w:t>(1)</w:t>
      </w:r>
      <w:r w:rsidRPr="00054588">
        <w:rPr>
          <w:rFonts w:asciiTheme="minorEastAsia" w:eastAsiaTheme="minorEastAsia" w:hAnsiTheme="minorEastAsia"/>
          <w:color w:val="000000" w:themeColor="text1"/>
          <w:szCs w:val="21"/>
        </w:rPr>
        <w:t>小项规定的方法对基金资产进行估值，均应被认为采用了适当的估值方法。但是，如果基金管理人认为按本项第</w:t>
      </w:r>
      <w:r w:rsidRPr="00054588">
        <w:rPr>
          <w:rFonts w:asciiTheme="minorEastAsia" w:eastAsiaTheme="minorEastAsia" w:hAnsiTheme="minorEastAsia" w:hint="eastAsia"/>
          <w:color w:val="000000" w:themeColor="text1"/>
          <w:szCs w:val="21"/>
        </w:rPr>
        <w:t>(1)</w:t>
      </w:r>
      <w:r w:rsidRPr="00054588">
        <w:rPr>
          <w:rFonts w:asciiTheme="minorEastAsia" w:eastAsiaTheme="minorEastAsia" w:hAnsiTheme="minorEastAsia"/>
          <w:color w:val="000000" w:themeColor="text1"/>
          <w:szCs w:val="21"/>
        </w:rPr>
        <w:t>小项规定的方法对基金资产进行估值不能客观反映其公允价值的，基金管理人可根据具体情况，并与基金托管人商定后，按最能反映公允价值的价格估值；</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(3)</w:t>
      </w:r>
      <w:r w:rsidRPr="00054588">
        <w:rPr>
          <w:rFonts w:asciiTheme="minorEastAsia" w:eastAsiaTheme="minorEastAsia" w:hAnsiTheme="minorEastAsia"/>
          <w:color w:val="000000" w:themeColor="text1"/>
          <w:szCs w:val="21"/>
        </w:rPr>
        <w:t>国家有最新规定的，按其规定进行估值。</w:t>
      </w:r>
    </w:p>
    <w:p w:rsidR="00401C0B" w:rsidRPr="00054588" w:rsidP="00401C0B">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bCs/>
          <w:color w:val="000000" w:themeColor="text1"/>
          <w:szCs w:val="21"/>
        </w:rPr>
        <w:t xml:space="preserve">4. </w:t>
      </w:r>
      <w:r w:rsidRPr="00054588">
        <w:rPr>
          <w:rFonts w:asciiTheme="minorEastAsia" w:eastAsiaTheme="minorEastAsia" w:hAnsiTheme="minorEastAsia" w:hint="eastAsia"/>
          <w:bCs/>
          <w:color w:val="000000" w:themeColor="text1"/>
          <w:szCs w:val="21"/>
        </w:rPr>
        <w:t>本基金投资存托凭证的估值核算，依照境内上市交易的股票执行。</w:t>
      </w:r>
    </w:p>
    <w:p w:rsidR="007228CC" w:rsidRPr="00054588" w:rsidP="0071223F">
      <w:pPr>
        <w:snapToGrid w:val="0"/>
        <w:spacing w:line="360" w:lineRule="auto"/>
        <w:ind w:firstLine="420" w:firstLineChars="200"/>
        <w:rPr>
          <w:rStyle w:val="read"/>
          <w:rFonts w:asciiTheme="minorEastAsia" w:eastAsiaTheme="minorEastAsia" w:hAnsiTheme="minorEastAsia" w:cs="Arial"/>
          <w:color w:val="000000" w:themeColor="text1"/>
          <w:szCs w:val="21"/>
        </w:rPr>
      </w:pPr>
      <w:r w:rsidRPr="00054588">
        <w:rPr>
          <w:rFonts w:asciiTheme="minorEastAsia" w:eastAsiaTheme="minorEastAsia" w:hAnsiTheme="minorEastAsia"/>
          <w:color w:val="000000" w:themeColor="text1"/>
          <w:szCs w:val="21"/>
        </w:rPr>
        <w:t>5</w:t>
      </w:r>
      <w:r w:rsidRPr="00054588" w:rsidR="0021144C">
        <w:rPr>
          <w:rFonts w:asciiTheme="minorEastAsia" w:eastAsiaTheme="minorEastAsia" w:hAnsiTheme="minorEastAsia" w:hint="eastAsia"/>
          <w:color w:val="000000" w:themeColor="text1"/>
          <w:szCs w:val="21"/>
        </w:rPr>
        <w:t>、</w:t>
      </w:r>
      <w:r w:rsidRPr="00054588">
        <w:rPr>
          <w:rStyle w:val="read"/>
          <w:rFonts w:asciiTheme="minorEastAsia" w:eastAsiaTheme="minorEastAsia" w:hAnsiTheme="minorEastAsia" w:cs="Arial" w:hint="eastAsia"/>
          <w:color w:val="000000" w:themeColor="text1"/>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665E69" w:rsidRPr="00054588" w:rsidP="0071223F">
      <w:pPr>
        <w:tabs>
          <w:tab w:val="left" w:pos="1080"/>
        </w:tabs>
        <w:autoSpaceDE w:val="0"/>
        <w:autoSpaceDN w:val="0"/>
        <w:snapToGrid w:val="0"/>
        <w:spacing w:line="360" w:lineRule="auto"/>
        <w:ind w:firstLine="420" w:firstLineChars="200"/>
        <w:textAlignment w:val="bottom"/>
        <w:rPr>
          <w:rFonts w:asciiTheme="minorEastAsia" w:eastAsiaTheme="minorEastAsia" w:hAnsiTheme="minorEastAsia"/>
          <w:color w:val="000000" w:themeColor="text1"/>
          <w:szCs w:val="21"/>
        </w:rPr>
      </w:pPr>
      <w:r w:rsidRPr="00054588">
        <w:rPr>
          <w:rStyle w:val="read"/>
          <w:rFonts w:asciiTheme="minorEastAsia" w:eastAsiaTheme="minorEastAsia" w:hAnsiTheme="minorEastAsia" w:cs="Arial"/>
          <w:color w:val="000000" w:themeColor="text1"/>
          <w:szCs w:val="21"/>
        </w:rPr>
        <w:t>6</w:t>
      </w:r>
      <w:r w:rsidRPr="00054588" w:rsidR="0021144C">
        <w:rPr>
          <w:rStyle w:val="read"/>
          <w:rFonts w:asciiTheme="minorEastAsia" w:eastAsiaTheme="minorEastAsia" w:hAnsiTheme="minorEastAsia" w:cs="Arial" w:hint="eastAsia"/>
          <w:color w:val="000000" w:themeColor="text1"/>
          <w:szCs w:val="21"/>
        </w:rPr>
        <w:t>、</w:t>
      </w:r>
      <w:r w:rsidRPr="00054588" w:rsidR="007228CC">
        <w:rPr>
          <w:rFonts w:asciiTheme="minorEastAsia" w:eastAsiaTheme="minorEastAsia" w:hAnsiTheme="minorEastAsia" w:hint="eastAsia"/>
          <w:color w:val="000000" w:themeColor="text1"/>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7228CC" w:rsidRPr="00054588"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335" w:name="_Toc44229106"/>
      <w:bookmarkStart w:id="336" w:name="_Toc44229201"/>
      <w:bookmarkStart w:id="337" w:name="_Toc44229107"/>
      <w:bookmarkStart w:id="338" w:name="_Toc44229202"/>
      <w:bookmarkStart w:id="339" w:name="_Toc44229108"/>
      <w:bookmarkStart w:id="340" w:name="_Toc44229203"/>
      <w:bookmarkStart w:id="341" w:name="_Toc44229109"/>
      <w:bookmarkStart w:id="342" w:name="_Toc44229204"/>
      <w:bookmarkStart w:id="343" w:name="_Toc44229110"/>
      <w:bookmarkStart w:id="344" w:name="_Toc44229205"/>
      <w:bookmarkStart w:id="345" w:name="_Toc44229111"/>
      <w:bookmarkStart w:id="346" w:name="_Toc44229206"/>
      <w:bookmarkStart w:id="347" w:name="_Toc44229112"/>
      <w:bookmarkStart w:id="348" w:name="_Toc44229207"/>
      <w:bookmarkStart w:id="349" w:name="_Toc44229113"/>
      <w:bookmarkStart w:id="350" w:name="_Toc44229208"/>
      <w:bookmarkStart w:id="351" w:name="_Toc66706737"/>
      <w:bookmarkStart w:id="352" w:name="_Toc86584628"/>
      <w:bookmarkStart w:id="353" w:name="_Toc211920175"/>
      <w:bookmarkStart w:id="354" w:name="_Toc211927706"/>
      <w:bookmarkStart w:id="355" w:name="_Toc123296467"/>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rsidRPr="00054588">
        <w:rPr>
          <w:rFonts w:asciiTheme="minorEastAsia" w:eastAsiaTheme="minorEastAsia" w:hAnsiTheme="minorEastAsia" w:hint="eastAsia"/>
          <w:color w:val="000000" w:themeColor="text1"/>
        </w:rPr>
        <w:t>（五）估值程序</w:t>
      </w:r>
      <w:bookmarkEnd w:id="351"/>
      <w:bookmarkEnd w:id="352"/>
      <w:bookmarkEnd w:id="353"/>
      <w:bookmarkEnd w:id="354"/>
      <w:bookmarkEnd w:id="355"/>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1</w:t>
      </w:r>
      <w:r w:rsidRPr="00054588" w:rsidR="0021144C">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基金份额净值是按照每个</w:t>
      </w:r>
      <w:r w:rsidRPr="00054588">
        <w:rPr>
          <w:rFonts w:asciiTheme="minorEastAsia" w:eastAsiaTheme="minorEastAsia" w:hAnsiTheme="minorEastAsia" w:hint="eastAsia"/>
          <w:color w:val="000000" w:themeColor="text1"/>
          <w:szCs w:val="21"/>
        </w:rPr>
        <w:t>工作</w:t>
      </w:r>
      <w:r w:rsidRPr="00054588">
        <w:rPr>
          <w:rFonts w:asciiTheme="minorEastAsia" w:eastAsiaTheme="minorEastAsia" w:hAnsiTheme="minorEastAsia"/>
          <w:color w:val="000000" w:themeColor="text1"/>
          <w:szCs w:val="21"/>
        </w:rPr>
        <w:t>日闭市后，基金资产净值除以当日基金份额的余额数量计算，精确到0.001元，小数点后第</w:t>
      </w:r>
      <w:r w:rsidRPr="00054588">
        <w:rPr>
          <w:rFonts w:asciiTheme="minorEastAsia" w:eastAsiaTheme="minorEastAsia" w:hAnsiTheme="minorEastAsia" w:hint="eastAsia"/>
          <w:color w:val="000000" w:themeColor="text1"/>
          <w:szCs w:val="21"/>
        </w:rPr>
        <w:t>四</w:t>
      </w:r>
      <w:r w:rsidRPr="00054588">
        <w:rPr>
          <w:rFonts w:asciiTheme="minorEastAsia" w:eastAsiaTheme="minorEastAsia" w:hAnsiTheme="minorEastAsia"/>
          <w:color w:val="000000" w:themeColor="text1"/>
          <w:szCs w:val="21"/>
        </w:rPr>
        <w:t>位四舍五入。国家另有规定的，从其规定。</w:t>
      </w:r>
    </w:p>
    <w:p w:rsidR="007228CC" w:rsidRPr="00054588" w:rsidP="0071223F">
      <w:pPr>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olor w:val="000000" w:themeColor="text1"/>
          <w:szCs w:val="21"/>
        </w:rPr>
        <w:t>每个</w:t>
      </w:r>
      <w:r w:rsidRPr="00054588">
        <w:rPr>
          <w:rFonts w:asciiTheme="minorEastAsia" w:eastAsiaTheme="minorEastAsia" w:hAnsiTheme="minorEastAsia" w:hint="eastAsia"/>
          <w:color w:val="000000" w:themeColor="text1"/>
          <w:szCs w:val="21"/>
        </w:rPr>
        <w:t>工作日</w:t>
      </w:r>
      <w:r w:rsidRPr="00054588">
        <w:rPr>
          <w:rFonts w:asciiTheme="minorEastAsia" w:eastAsiaTheme="minorEastAsia" w:hAnsiTheme="minorEastAsia"/>
          <w:color w:val="000000" w:themeColor="text1"/>
          <w:szCs w:val="21"/>
        </w:rPr>
        <w:t>计算基金资产净值及基金份额净值，并按规定公告。</w:t>
      </w:r>
    </w:p>
    <w:p w:rsidR="00665E69" w:rsidRPr="00054588" w:rsidP="0071223F">
      <w:pPr>
        <w:tabs>
          <w:tab w:val="left" w:pos="1080"/>
        </w:tabs>
        <w:autoSpaceDE w:val="0"/>
        <w:autoSpaceDN w:val="0"/>
        <w:snapToGrid w:val="0"/>
        <w:spacing w:line="360" w:lineRule="auto"/>
        <w:ind w:firstLine="420" w:firstLineChars="200"/>
        <w:textAlignment w:val="bottom"/>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2</w:t>
      </w:r>
      <w:r w:rsidRPr="00054588" w:rsidR="0021144C">
        <w:rPr>
          <w:rFonts w:asciiTheme="minorEastAsia" w:eastAsiaTheme="minorEastAsia" w:hAnsiTheme="minorEastAsia" w:hint="eastAsia"/>
          <w:color w:val="000000" w:themeColor="text1"/>
          <w:szCs w:val="21"/>
        </w:rPr>
        <w:t>、</w:t>
      </w:r>
      <w:r w:rsidRPr="00054588">
        <w:rPr>
          <w:rFonts w:asciiTheme="minorEastAsia" w:eastAsiaTheme="minorEastAsia" w:hAnsiTheme="minorEastAsia" w:hint="eastAsia"/>
          <w:color w:val="000000" w:themeColor="text1"/>
          <w:szCs w:val="21"/>
        </w:rPr>
        <w:t>基金管理人应每个工作</w:t>
      </w:r>
      <w:r w:rsidRPr="00054588">
        <w:rPr>
          <w:rFonts w:asciiTheme="minorEastAsia" w:eastAsiaTheme="minorEastAsia" w:hAnsiTheme="minorEastAsia"/>
          <w:color w:val="000000" w:themeColor="text1"/>
          <w:szCs w:val="21"/>
        </w:rPr>
        <w:t>日</w:t>
      </w:r>
      <w:r w:rsidRPr="00054588">
        <w:rPr>
          <w:rFonts w:asciiTheme="minorEastAsia" w:eastAsiaTheme="minorEastAsia" w:hAnsiTheme="minorEastAsia" w:hint="eastAsia"/>
          <w:color w:val="000000" w:themeColor="text1"/>
          <w:szCs w:val="21"/>
        </w:rPr>
        <w:t>对基金资产估值。</w:t>
      </w:r>
      <w:r w:rsidRPr="00054588">
        <w:rPr>
          <w:rFonts w:asciiTheme="minorEastAsia" w:eastAsiaTheme="minorEastAsia" w:hAnsiTheme="minorEastAsia"/>
          <w:color w:val="000000" w:themeColor="text1"/>
          <w:szCs w:val="21"/>
        </w:rPr>
        <w:t>基金管理人每个</w:t>
      </w:r>
      <w:r w:rsidRPr="00054588">
        <w:rPr>
          <w:rFonts w:asciiTheme="minorEastAsia" w:eastAsiaTheme="minorEastAsia" w:hAnsiTheme="minorEastAsia" w:hint="eastAsia"/>
          <w:color w:val="000000" w:themeColor="text1"/>
          <w:szCs w:val="21"/>
        </w:rPr>
        <w:t>工作</w:t>
      </w:r>
      <w:r w:rsidRPr="00054588">
        <w:rPr>
          <w:rFonts w:asciiTheme="minorEastAsia" w:eastAsiaTheme="minorEastAsia" w:hAnsiTheme="minorEastAsia"/>
          <w:color w:val="000000" w:themeColor="text1"/>
          <w:szCs w:val="21"/>
        </w:rPr>
        <w:t>日对基金资产估值后，将基金份额净值结果发送基金托管人，经基金托管人复核无误后，由基金管理人对外公布。</w:t>
      </w:r>
      <w:r w:rsidRPr="00054588">
        <w:rPr>
          <w:rFonts w:asciiTheme="minorEastAsia" w:eastAsiaTheme="minorEastAsia" w:hAnsiTheme="minorEastAsia" w:hint="eastAsia"/>
          <w:color w:val="000000" w:themeColor="text1"/>
          <w:szCs w:val="21"/>
        </w:rPr>
        <w:t>月末、年中和年末估值复核与基金会计账目的核对同时进行。</w:t>
      </w:r>
    </w:p>
    <w:p w:rsidR="007228CC" w:rsidRPr="00054588"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356" w:name="_Toc66706738"/>
      <w:bookmarkStart w:id="357" w:name="_Toc86584629"/>
      <w:bookmarkStart w:id="358" w:name="_Toc211920176"/>
      <w:bookmarkStart w:id="359" w:name="_Toc211927707"/>
      <w:bookmarkStart w:id="360" w:name="_Toc123296468"/>
      <w:r w:rsidRPr="00054588">
        <w:rPr>
          <w:rFonts w:asciiTheme="minorEastAsia" w:eastAsiaTheme="minorEastAsia" w:hAnsiTheme="minorEastAsia" w:hint="eastAsia"/>
          <w:color w:val="000000" w:themeColor="text1"/>
        </w:rPr>
        <w:t>（六）暂停公告净值的情形</w:t>
      </w:r>
      <w:bookmarkEnd w:id="356"/>
      <w:bookmarkEnd w:id="357"/>
      <w:bookmarkEnd w:id="358"/>
      <w:bookmarkEnd w:id="359"/>
      <w:bookmarkEnd w:id="360"/>
    </w:p>
    <w:p w:rsidR="007228CC" w:rsidRPr="00054588"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bookmarkStart w:id="361" w:name="_Toc183353792"/>
      <w:bookmarkStart w:id="362" w:name="_Toc183400150"/>
      <w:bookmarkStart w:id="363" w:name="_Toc531317973"/>
      <w:bookmarkStart w:id="364" w:name="_Toc531323738"/>
      <w:bookmarkStart w:id="365" w:name="_Toc211920177"/>
      <w:r w:rsidRPr="00054588">
        <w:rPr>
          <w:rFonts w:asciiTheme="minorEastAsia" w:eastAsiaTheme="minorEastAsia" w:hAnsiTheme="minorEastAsia" w:cs="Arial" w:hint="eastAsia"/>
          <w:color w:val="000000" w:themeColor="text1"/>
          <w:szCs w:val="21"/>
        </w:rPr>
        <w:t>（1）基金投资所涉及的证券交易所遇法定节假日或因其他原因暂停营业时；</w:t>
      </w:r>
      <w:bookmarkEnd w:id="361"/>
      <w:bookmarkEnd w:id="362"/>
      <w:bookmarkEnd w:id="363"/>
      <w:bookmarkEnd w:id="364"/>
      <w:bookmarkEnd w:id="365"/>
    </w:p>
    <w:p w:rsidR="007228CC" w:rsidRPr="00054588"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bookmarkStart w:id="366" w:name="_Toc183353793"/>
      <w:bookmarkStart w:id="367" w:name="_Toc183400151"/>
      <w:bookmarkStart w:id="368" w:name="_Toc531317974"/>
      <w:bookmarkStart w:id="369" w:name="_Toc531323739"/>
      <w:bookmarkStart w:id="370" w:name="_Toc211920178"/>
      <w:r w:rsidRPr="00054588">
        <w:rPr>
          <w:rFonts w:asciiTheme="minorEastAsia" w:eastAsiaTheme="minorEastAsia" w:hAnsiTheme="minorEastAsia" w:cs="Arial" w:hint="eastAsia"/>
          <w:color w:val="000000" w:themeColor="text1"/>
          <w:szCs w:val="21"/>
        </w:rPr>
        <w:t>（2）因不可抗力或其他情形致使基金管理人、基金托管人无法准确评估基金资产价值时；</w:t>
      </w:r>
      <w:bookmarkEnd w:id="366"/>
      <w:bookmarkEnd w:id="367"/>
      <w:bookmarkEnd w:id="368"/>
      <w:bookmarkEnd w:id="369"/>
      <w:bookmarkEnd w:id="370"/>
    </w:p>
    <w:p w:rsidR="00C609DD" w:rsidRPr="00054588" w:rsidP="0071223F">
      <w:pPr>
        <w:tabs>
          <w:tab w:val="left" w:pos="1080"/>
        </w:tabs>
        <w:autoSpaceDE w:val="0"/>
        <w:autoSpaceDN w:val="0"/>
        <w:snapToGrid w:val="0"/>
        <w:spacing w:line="360" w:lineRule="auto"/>
        <w:ind w:firstLine="420" w:firstLineChars="200"/>
        <w:textAlignment w:val="bottom"/>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（3）</w:t>
      </w:r>
      <w:r w:rsidRPr="00054588" w:rsidR="00401C0B">
        <w:rPr>
          <w:rFonts w:asciiTheme="minorEastAsia" w:eastAsiaTheme="minorEastAsia" w:hAnsiTheme="minorEastAsia" w:cs="Arial" w:hint="eastAsia"/>
          <w:color w:val="000000" w:themeColor="text1"/>
          <w:szCs w:val="21"/>
        </w:rPr>
        <w:t>当特定资产占前一估值日基金资产净值50%以上的，经与基金托管人协商确认后，基金管理人应当暂停估值；</w:t>
      </w:r>
    </w:p>
    <w:p w:rsidR="007228CC" w:rsidRPr="00054588" w:rsidP="0071223F">
      <w:pPr>
        <w:tabs>
          <w:tab w:val="left" w:pos="1080"/>
        </w:tabs>
        <w:autoSpaceDE w:val="0"/>
        <w:autoSpaceDN w:val="0"/>
        <w:snapToGrid w:val="0"/>
        <w:spacing w:line="360" w:lineRule="auto"/>
        <w:ind w:firstLine="420" w:firstLineChars="200"/>
        <w:textAlignment w:val="bottom"/>
        <w:rPr>
          <w:rFonts w:asciiTheme="minorEastAsia" w:eastAsiaTheme="minorEastAsia" w:hAnsiTheme="minorEastAsia"/>
          <w:color w:val="000000" w:themeColor="text1"/>
          <w:szCs w:val="21"/>
        </w:rPr>
      </w:pPr>
      <w:r w:rsidRPr="00054588">
        <w:rPr>
          <w:rFonts w:asciiTheme="minorEastAsia" w:eastAsiaTheme="minorEastAsia" w:hAnsiTheme="minorEastAsia" w:cs="Arial" w:hint="eastAsia"/>
          <w:color w:val="000000" w:themeColor="text1"/>
          <w:szCs w:val="21"/>
        </w:rPr>
        <w:t>（4</w:t>
      </w:r>
      <w:r w:rsidRPr="00054588">
        <w:rPr>
          <w:rFonts w:asciiTheme="minorEastAsia" w:eastAsiaTheme="minorEastAsia" w:hAnsiTheme="minorEastAsia" w:cs="Arial"/>
          <w:color w:val="000000" w:themeColor="text1"/>
          <w:szCs w:val="21"/>
        </w:rPr>
        <w:t>）</w:t>
      </w:r>
      <w:r w:rsidRPr="00054588">
        <w:rPr>
          <w:rFonts w:asciiTheme="minorEastAsia" w:eastAsiaTheme="minorEastAsia" w:hAnsiTheme="minorEastAsia" w:cs="Arial" w:hint="eastAsia"/>
          <w:color w:val="000000" w:themeColor="text1"/>
          <w:szCs w:val="21"/>
        </w:rPr>
        <w:t>中国证监会和基金合同认定的其他情形。</w:t>
      </w:r>
    </w:p>
    <w:p w:rsidR="007228CC" w:rsidRPr="00054588"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371" w:name="_Toc66706739"/>
      <w:bookmarkStart w:id="372" w:name="_Toc86584630"/>
      <w:bookmarkStart w:id="373" w:name="_Toc211920179"/>
      <w:bookmarkStart w:id="374" w:name="_Toc211927708"/>
      <w:bookmarkStart w:id="375" w:name="_Toc123296469"/>
      <w:r w:rsidRPr="00054588">
        <w:rPr>
          <w:rFonts w:asciiTheme="minorEastAsia" w:eastAsiaTheme="minorEastAsia" w:hAnsiTheme="minorEastAsia" w:hint="eastAsia"/>
          <w:color w:val="000000" w:themeColor="text1"/>
        </w:rPr>
        <w:t>（七）估值错误处理</w:t>
      </w:r>
      <w:bookmarkEnd w:id="371"/>
      <w:bookmarkEnd w:id="372"/>
      <w:bookmarkEnd w:id="373"/>
      <w:bookmarkEnd w:id="374"/>
      <w:bookmarkEnd w:id="375"/>
    </w:p>
    <w:p w:rsidR="007228CC" w:rsidRPr="00054588" w:rsidP="0071223F">
      <w:pPr>
        <w:snapToGrid w:val="0"/>
        <w:spacing w:line="360" w:lineRule="auto"/>
        <w:ind w:firstLine="420" w:firstLineChars="200"/>
        <w:rPr>
          <w:rFonts w:asciiTheme="minorEastAsia" w:eastAsiaTheme="minorEastAsia" w:hAnsiTheme="minorEastAsia" w:cs="Arial"/>
          <w:color w:val="000000" w:themeColor="text1"/>
          <w:szCs w:val="21"/>
        </w:rPr>
      </w:pPr>
      <w:bookmarkStart w:id="376" w:name="_Toc97031289"/>
      <w:bookmarkStart w:id="377" w:name="_Toc97107249"/>
      <w:bookmarkEnd w:id="311"/>
      <w:bookmarkEnd w:id="376"/>
      <w:bookmarkEnd w:id="377"/>
      <w:r w:rsidRPr="00054588">
        <w:rPr>
          <w:rFonts w:asciiTheme="minorEastAsia" w:eastAsiaTheme="minorEastAsia" w:hAnsiTheme="minorEastAsia"/>
          <w:color w:val="000000" w:themeColor="text1"/>
          <w:szCs w:val="21"/>
        </w:rPr>
        <w:t>基金管理人和基金托管人将采取必要、适当、合理的措施确保基金资产估值的准确性、及时性。</w:t>
      </w:r>
      <w:r w:rsidRPr="00054588">
        <w:rPr>
          <w:rFonts w:asciiTheme="minorEastAsia" w:eastAsiaTheme="minorEastAsia" w:hAnsiTheme="minorEastAsia" w:cs="Arial" w:hint="eastAsia"/>
          <w:color w:val="000000" w:themeColor="text1"/>
          <w:szCs w:val="21"/>
        </w:rPr>
        <w:t>当基金份额净值小数点后3位以内(含第3位)发生差错时，视为基金份额净值错误。</w:t>
      </w:r>
    </w:p>
    <w:p w:rsidR="007228CC" w:rsidRPr="00054588" w:rsidP="0071223F">
      <w:pPr>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本基金合同的当事人应按照以下约定处理：</w:t>
      </w:r>
    </w:p>
    <w:p w:rsidR="007228CC" w:rsidRPr="00054588" w:rsidP="0071223F">
      <w:pPr>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1、差错类型</w:t>
      </w:r>
    </w:p>
    <w:p w:rsidR="007228CC" w:rsidRPr="00054588" w:rsidP="0071223F">
      <w:pPr>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本基金运作过程中，如果由于基金管理人或基金托管人、或注册登记机构、或</w:t>
      </w:r>
      <w:r w:rsidRPr="00054588" w:rsidR="00236E5B">
        <w:rPr>
          <w:rFonts w:asciiTheme="minorEastAsia" w:eastAsiaTheme="minorEastAsia" w:hAnsiTheme="minorEastAsia" w:cs="Arial" w:hint="eastAsia"/>
          <w:color w:val="000000" w:themeColor="text1"/>
          <w:szCs w:val="21"/>
        </w:rPr>
        <w:t>销售</w:t>
      </w:r>
      <w:r w:rsidRPr="00054588">
        <w:rPr>
          <w:rFonts w:asciiTheme="minorEastAsia" w:eastAsiaTheme="minorEastAsia" w:hAnsiTheme="minorEastAsia" w:cs="Arial" w:hint="eastAsia"/>
          <w:color w:val="000000" w:themeColor="text1"/>
          <w:szCs w:val="21"/>
        </w:rPr>
        <w:t>机构、或投资人自身的过错造成差错，导致其他当事人遭受损失的，过错的责任人应当对由于该差错遭受损失的当事人(“受损方”)按下述“差错处理原则”给予赔偿，承担赔偿责任。</w:t>
      </w:r>
    </w:p>
    <w:p w:rsidR="007228CC" w:rsidRPr="00054588" w:rsidP="0071223F">
      <w:pPr>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7228CC" w:rsidRPr="00054588" w:rsidP="0071223F">
      <w:pPr>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7228CC" w:rsidRPr="00054588" w:rsidP="0071223F">
      <w:pPr>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2、差错处理原则</w:t>
      </w:r>
    </w:p>
    <w:p w:rsidR="007228CC" w:rsidRPr="00054588" w:rsidP="0071223F">
      <w:pPr>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(1)差错已发生，但尚未给当事人造成损失时，差错责任方应及时协调各方，及时进行更正，因更正差错发生的费用由差错责任方承担；由于差错责任方未及时更正已产生的差错，给当事人造成损失的，由差错责任方承担赔偿责任；若差错责任方已经积极协调，并且有协助义务的当事人有足够的时间进行更正而未更正，则其应当承担相应赔偿责任。差错责任方应对更正的情况向有关当事人进行确认，确保差错已得到更正。</w:t>
      </w:r>
    </w:p>
    <w:p w:rsidR="007228CC" w:rsidRPr="00054588" w:rsidP="0071223F">
      <w:pPr>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(2)差错的责任方对可能导致有关当事人的直接损失负责，不对间接损失负责，并且仅对差错的有关直接当事人负责，不对第三方负责。</w:t>
      </w:r>
    </w:p>
    <w:p w:rsidR="007228CC" w:rsidRPr="00054588" w:rsidP="0071223F">
      <w:pPr>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7228CC" w:rsidRPr="00054588" w:rsidP="0071223F">
      <w:pPr>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(4)差错调整采用尽量恢复至假设未发生差错的正确情形的方式。</w:t>
      </w:r>
    </w:p>
    <w:p w:rsidR="007228CC" w:rsidRPr="00054588" w:rsidP="0071223F">
      <w:pPr>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(5)差错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托管人之外的第三方造成基金财产的损失，并拒绝进行赔偿时，由基金管理人负责向差错方追偿；追偿过程中产生的有关费用，应列入基金费用，从基金资产中支付。</w:t>
      </w:r>
    </w:p>
    <w:p w:rsidR="007228CC" w:rsidRPr="00054588" w:rsidP="0071223F">
      <w:pPr>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(6)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损失。</w:t>
      </w:r>
    </w:p>
    <w:p w:rsidR="007228CC" w:rsidRPr="00054588" w:rsidP="0071223F">
      <w:pPr>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(7)按法律法规规定的其他原则处理差错。</w:t>
      </w:r>
    </w:p>
    <w:p w:rsidR="007228CC" w:rsidRPr="00054588" w:rsidP="0071223F">
      <w:pPr>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3、差错处理程序</w:t>
      </w:r>
    </w:p>
    <w:p w:rsidR="007228CC" w:rsidRPr="00054588" w:rsidP="0071223F">
      <w:pPr>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差错被发现后，有关的当事人应当及时进行处理，处理的程序如下：</w:t>
      </w:r>
    </w:p>
    <w:p w:rsidR="007228CC" w:rsidRPr="00054588" w:rsidP="0071223F">
      <w:pPr>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(1)查明差错发生的原因，列明所有的当事人，并根据差错发生的原因确定差错的责任方；</w:t>
      </w:r>
    </w:p>
    <w:p w:rsidR="007228CC" w:rsidRPr="00054588" w:rsidP="0071223F">
      <w:pPr>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(2)根据差错处理原则或当事人协商的方法对因差错造成的损失进行评估；</w:t>
      </w:r>
    </w:p>
    <w:p w:rsidR="007228CC" w:rsidRPr="00054588" w:rsidP="0071223F">
      <w:pPr>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(3)根据差错处理原则或当事人协商的方法由差错的责任方进行更正和赔偿损失；</w:t>
      </w:r>
    </w:p>
    <w:p w:rsidR="007228CC" w:rsidRPr="00054588" w:rsidP="0071223F">
      <w:pPr>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(4)根据差错处理的方法，需要修改基金注册登记机构交易数据的，由基金注册登记机构进行更正，并就差错的更正向有关当事人进行确认。</w:t>
      </w:r>
    </w:p>
    <w:p w:rsidR="007228CC" w:rsidRPr="00054588" w:rsidP="0071223F">
      <w:pPr>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4、基金份额净值差错处理的原则和方法如下：</w:t>
      </w:r>
    </w:p>
    <w:p w:rsidR="007228CC" w:rsidRPr="00054588" w:rsidP="0071223F">
      <w:pPr>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(1)基金份额净值计算出现错误时，基金管理人应当立即予以纠正，通报基金托管人，并采取合理的措施防止损失进一步扩大。</w:t>
      </w:r>
    </w:p>
    <w:p w:rsidR="007228CC" w:rsidRPr="00054588" w:rsidP="0071223F">
      <w:pPr>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(2)错误偏差达到基金份额净值的0.25%时，基金管理人应当通报基金托管人并报中国证监会备案；错误偏差达到基金份额净值的</w:t>
      </w:r>
      <w:r w:rsidRPr="00054588">
        <w:rPr>
          <w:rFonts w:asciiTheme="minorEastAsia" w:eastAsiaTheme="minorEastAsia" w:hAnsiTheme="minorEastAsia" w:hint="eastAsia"/>
          <w:color w:val="000000" w:themeColor="text1"/>
          <w:szCs w:val="21"/>
        </w:rPr>
        <w:t>0.5%时，基金管理人应当公告</w:t>
      </w:r>
      <w:r w:rsidRPr="00054588">
        <w:rPr>
          <w:rFonts w:asciiTheme="minorEastAsia" w:eastAsiaTheme="minorEastAsia" w:hAnsiTheme="minorEastAsia" w:cs="Arial" w:hint="eastAsia"/>
          <w:color w:val="000000" w:themeColor="text1"/>
          <w:szCs w:val="21"/>
        </w:rPr>
        <w:t>。</w:t>
      </w:r>
    </w:p>
    <w:p w:rsidR="007228CC" w:rsidRPr="00054588" w:rsidP="0071223F">
      <w:pPr>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(3)因基金份额净值计算错误，给基金或基金份额持有人造成损失的，应由基金管理人先行赔付，基金管理人按差错情形，有权向其他当事人追偿。</w:t>
      </w:r>
    </w:p>
    <w:p w:rsidR="007228CC" w:rsidRPr="00054588" w:rsidP="0071223F">
      <w:pPr>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(4)基金管理人和基金托管人由于各自技术系统设置而产生的净值计算尾差，以基金管理人计算结果为准。</w:t>
      </w:r>
    </w:p>
    <w:p w:rsidR="007228CC" w:rsidRPr="00054588" w:rsidP="0071223F">
      <w:pPr>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(5)前述内容如法律法规或监管机关另有规定的，从其规定处理。</w:t>
      </w:r>
    </w:p>
    <w:p w:rsidR="007228CC" w:rsidRPr="00054588"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378" w:name="_Toc211920180"/>
      <w:bookmarkStart w:id="379" w:name="_Toc211927709"/>
      <w:bookmarkStart w:id="380" w:name="_Toc123296470"/>
      <w:r w:rsidRPr="00054588">
        <w:rPr>
          <w:rFonts w:asciiTheme="minorEastAsia" w:eastAsiaTheme="minorEastAsia" w:hAnsiTheme="minorEastAsia" w:hint="eastAsia"/>
          <w:color w:val="000000" w:themeColor="text1"/>
        </w:rPr>
        <w:t>（八）</w:t>
      </w:r>
      <w:r w:rsidRPr="00054588">
        <w:rPr>
          <w:rFonts w:asciiTheme="minorEastAsia" w:eastAsiaTheme="minorEastAsia" w:hAnsiTheme="minorEastAsia"/>
          <w:color w:val="000000" w:themeColor="text1"/>
        </w:rPr>
        <w:t>基金净值的确认</w:t>
      </w:r>
      <w:bookmarkEnd w:id="378"/>
      <w:bookmarkEnd w:id="379"/>
      <w:bookmarkEnd w:id="380"/>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用于基金信息披露的基金资产净值和基金份额净值由基金管理人负责计算，基金托管人负责进行复核。基金管理人应于每个开放日交易结束后计算当日的基金资产净值并发送给基金托管人。基金托管人对净值计算结果复核确认后发送给基金管理人，由基金管理人对基金净值予以公布。</w:t>
      </w:r>
    </w:p>
    <w:p w:rsidR="007228CC" w:rsidRPr="00054588"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381" w:name="_Toc211920181"/>
      <w:bookmarkStart w:id="382" w:name="_Toc211927710"/>
      <w:bookmarkStart w:id="383" w:name="_Toc123296471"/>
      <w:r w:rsidRPr="00054588">
        <w:rPr>
          <w:rFonts w:asciiTheme="minorEastAsia" w:eastAsiaTheme="minorEastAsia" w:hAnsiTheme="minorEastAsia" w:hint="eastAsia"/>
          <w:color w:val="000000" w:themeColor="text1"/>
        </w:rPr>
        <w:t>（九）特殊情形的处理</w:t>
      </w:r>
      <w:bookmarkEnd w:id="381"/>
      <w:bookmarkEnd w:id="382"/>
      <w:bookmarkEnd w:id="383"/>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w:t>
      </w:r>
      <w:r w:rsidRPr="00054588">
        <w:rPr>
          <w:rFonts w:asciiTheme="minorEastAsia" w:eastAsiaTheme="minorEastAsia" w:hAnsiTheme="minorEastAsia"/>
          <w:color w:val="000000" w:themeColor="text1"/>
          <w:szCs w:val="21"/>
        </w:rPr>
        <w:t>基金管理人或基金托管人按股票估值方法的第</w:t>
      </w:r>
      <w:r w:rsidRPr="00054588">
        <w:rPr>
          <w:rFonts w:asciiTheme="minorEastAsia" w:eastAsiaTheme="minorEastAsia" w:hAnsiTheme="minorEastAsia" w:hint="eastAsia"/>
          <w:color w:val="000000" w:themeColor="text1"/>
          <w:szCs w:val="21"/>
        </w:rPr>
        <w:t>(3)</w:t>
      </w:r>
      <w:r w:rsidRPr="00054588">
        <w:rPr>
          <w:rFonts w:asciiTheme="minorEastAsia" w:eastAsiaTheme="minorEastAsia" w:hAnsiTheme="minorEastAsia"/>
          <w:color w:val="000000" w:themeColor="text1"/>
          <w:szCs w:val="21"/>
        </w:rPr>
        <w:t>项</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债券估值方法的第</w:t>
      </w:r>
      <w:r w:rsidRPr="00054588">
        <w:rPr>
          <w:rFonts w:asciiTheme="minorEastAsia" w:eastAsiaTheme="minorEastAsia" w:hAnsiTheme="minorEastAsia" w:hint="eastAsia"/>
          <w:color w:val="000000" w:themeColor="text1"/>
          <w:szCs w:val="21"/>
        </w:rPr>
        <w:t>(6)</w:t>
      </w:r>
      <w:r w:rsidRPr="00054588">
        <w:rPr>
          <w:rFonts w:asciiTheme="minorEastAsia" w:eastAsiaTheme="minorEastAsia" w:hAnsiTheme="minorEastAsia"/>
          <w:color w:val="000000" w:themeColor="text1"/>
          <w:szCs w:val="21"/>
        </w:rPr>
        <w:t>项</w:t>
      </w:r>
      <w:r w:rsidRPr="00054588">
        <w:rPr>
          <w:rFonts w:asciiTheme="minorEastAsia" w:eastAsiaTheme="minorEastAsia" w:hAnsiTheme="minorEastAsia" w:hint="eastAsia"/>
          <w:color w:val="000000" w:themeColor="text1"/>
          <w:szCs w:val="21"/>
        </w:rPr>
        <w:t>或权证估值方法的第(2)项</w:t>
      </w:r>
      <w:r w:rsidRPr="00054588">
        <w:rPr>
          <w:rFonts w:asciiTheme="minorEastAsia" w:eastAsiaTheme="minorEastAsia" w:hAnsiTheme="minorEastAsia"/>
          <w:color w:val="000000" w:themeColor="text1"/>
          <w:szCs w:val="21"/>
        </w:rPr>
        <w:t>进行估值时，所造成的误差不作为</w:t>
      </w:r>
      <w:r w:rsidRPr="00054588">
        <w:rPr>
          <w:rFonts w:asciiTheme="minorEastAsia" w:eastAsiaTheme="minorEastAsia" w:hAnsiTheme="minorEastAsia" w:hint="eastAsia"/>
          <w:color w:val="000000" w:themeColor="text1"/>
          <w:szCs w:val="21"/>
        </w:rPr>
        <w:t>基金资产估值</w:t>
      </w:r>
      <w:r w:rsidRPr="00054588">
        <w:rPr>
          <w:rFonts w:asciiTheme="minorEastAsia" w:eastAsiaTheme="minorEastAsia" w:hAnsiTheme="minorEastAsia"/>
          <w:color w:val="000000" w:themeColor="text1"/>
          <w:szCs w:val="21"/>
        </w:rPr>
        <w:t>错误处理。</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w:t>
      </w:r>
      <w:r w:rsidRPr="00054588">
        <w:rPr>
          <w:rFonts w:asciiTheme="minorEastAsia" w:eastAsiaTheme="minorEastAsia" w:hAnsiTheme="minorEastAsia"/>
          <w:color w:val="000000" w:themeColor="text1"/>
          <w:szCs w:val="21"/>
        </w:rPr>
        <w:t>由于不可抗力原因，或由于证券交易所及登记结算公司发送的数据错误，</w:t>
      </w:r>
      <w:r w:rsidRPr="00054588">
        <w:rPr>
          <w:rFonts w:asciiTheme="minorEastAsia" w:eastAsiaTheme="minorEastAsia" w:hAnsiTheme="minorEastAsia" w:hint="eastAsia"/>
          <w:color w:val="000000" w:themeColor="text1"/>
          <w:szCs w:val="21"/>
        </w:rPr>
        <w:t>或国家会计政策变更、市场规则变更等，</w:t>
      </w:r>
      <w:r w:rsidRPr="00054588">
        <w:rPr>
          <w:rFonts w:asciiTheme="minorEastAsia" w:eastAsiaTheme="minorEastAsia" w:hAnsiTheme="minorEastAsia"/>
          <w:color w:val="000000" w:themeColor="text1"/>
          <w:szCs w:val="21"/>
        </w:rPr>
        <w:t>基金管理人和基金托管人虽然已经采取必要、适当、合理的措施进行检查，但未能发现错误的，由此造成的基金资产估值错误，基金管理人和基金托管人免除赔偿责任。但基金管理人应当积极采取必要的措施消除由此造成的影响。</w:t>
      </w:r>
    </w:p>
    <w:p w:rsidR="00401C0B" w:rsidRPr="00054588" w:rsidP="00401C0B">
      <w:pPr>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（十）实施侧袋机制期间的基金资产估值</w:t>
      </w:r>
    </w:p>
    <w:p w:rsidR="00401C0B" w:rsidRPr="00054588" w:rsidP="00401C0B">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本基金实施侧袋机制的，应根据本部分的约定对主袋账户资产进行估值并披露主袋账户的基金资产净值和份额净值，暂停披露侧袋账户份额净值。</w:t>
      </w:r>
    </w:p>
    <w:p w:rsidR="007228CC" w:rsidRPr="00054588" w:rsidP="0071223F">
      <w:pPr>
        <w:snapToGrid w:val="0"/>
        <w:spacing w:line="360" w:lineRule="auto"/>
        <w:rPr>
          <w:rFonts w:asciiTheme="minorEastAsia" w:eastAsiaTheme="minorEastAsia" w:hAnsiTheme="minorEastAsia"/>
          <w:color w:val="000000" w:themeColor="text1"/>
        </w:rPr>
      </w:pPr>
    </w:p>
    <w:p w:rsidR="007228CC" w:rsidRPr="00054588" w:rsidP="0071223F">
      <w:pPr>
        <w:snapToGrid w:val="0"/>
        <w:spacing w:line="360" w:lineRule="auto"/>
        <w:rPr>
          <w:rFonts w:asciiTheme="minorEastAsia" w:eastAsiaTheme="minorEastAsia" w:hAnsiTheme="minorEastAsia"/>
          <w:color w:val="000000" w:themeColor="text1"/>
        </w:rPr>
      </w:pPr>
    </w:p>
    <w:p w:rsidR="007228CC" w:rsidRPr="00054588" w:rsidP="00941EC8">
      <w:pPr>
        <w:pStyle w:val="Heading1"/>
        <w:numPr>
          <w:ilvl w:val="0"/>
          <w:numId w:val="7"/>
        </w:numPr>
        <w:tabs>
          <w:tab w:val="num" w:pos="0"/>
          <w:tab w:val="clear" w:pos="2798"/>
        </w:tabs>
        <w:snapToGrid w:val="0"/>
        <w:spacing w:beforeLines="0" w:afterLines="0" w:line="360" w:lineRule="auto"/>
        <w:ind w:left="0" w:firstLine="640" w:firstLineChars="0"/>
        <w:rPr>
          <w:rFonts w:asciiTheme="minorEastAsia" w:eastAsiaTheme="minorEastAsia" w:hAnsiTheme="minorEastAsia"/>
          <w:b/>
          <w:color w:val="000000" w:themeColor="text1"/>
        </w:rPr>
        <w:sectPr w:rsidSect="00DE4B5E">
          <w:pgSz w:w="11906" w:h="16838" w:code="9"/>
          <w:pgMar w:top="1440" w:right="1800" w:bottom="1440" w:left="1800" w:header="851" w:footer="992" w:gutter="0"/>
          <w:cols w:space="425"/>
          <w:docGrid w:type="lines" w:linePitch="312"/>
        </w:sectPr>
      </w:pPr>
    </w:p>
    <w:p w:rsidR="007228CC" w:rsidRPr="00054588" w:rsidP="00941EC8">
      <w:pPr>
        <w:pStyle w:val="111"/>
        <w:numPr>
          <w:ilvl w:val="0"/>
          <w:numId w:val="7"/>
        </w:numPr>
        <w:tabs>
          <w:tab w:val="num" w:pos="0"/>
          <w:tab w:val="clear" w:pos="2798"/>
        </w:tabs>
        <w:snapToGrid w:val="0"/>
        <w:spacing w:beforeLines="0" w:afterLines="0" w:line="360" w:lineRule="auto"/>
        <w:ind w:left="0" w:firstLine="0" w:firstLineChars="0"/>
        <w:rPr>
          <w:rFonts w:asciiTheme="minorEastAsia" w:eastAsiaTheme="minorEastAsia" w:hAnsiTheme="minorEastAsia"/>
          <w:b/>
          <w:color w:val="000000" w:themeColor="text1"/>
        </w:rPr>
      </w:pPr>
      <w:bookmarkStart w:id="384" w:name="_Toc123296472"/>
      <w:r w:rsidRPr="00054588">
        <w:rPr>
          <w:rFonts w:asciiTheme="minorEastAsia" w:eastAsiaTheme="minorEastAsia" w:hAnsiTheme="minorEastAsia" w:hint="eastAsia"/>
          <w:b/>
          <w:color w:val="000000" w:themeColor="text1"/>
        </w:rPr>
        <w:t>基金的收益与分配</w:t>
      </w:r>
      <w:bookmarkEnd w:id="384"/>
    </w:p>
    <w:p w:rsidR="007228CC" w:rsidRPr="00054588" w:rsidP="00941EC8">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85" w:name="_Toc84149664"/>
      <w:bookmarkStart w:id="386" w:name="_Toc86584639"/>
      <w:bookmarkStart w:id="387" w:name="_Toc211920183"/>
      <w:bookmarkStart w:id="388" w:name="_Toc211927712"/>
      <w:bookmarkStart w:id="389" w:name="_Toc123296473"/>
      <w:r w:rsidRPr="00054588">
        <w:rPr>
          <w:rFonts w:asciiTheme="minorEastAsia" w:eastAsiaTheme="minorEastAsia" w:hAnsiTheme="minorEastAsia" w:hint="eastAsia"/>
          <w:color w:val="000000" w:themeColor="text1"/>
        </w:rPr>
        <w:t>（一）收益的构成</w:t>
      </w:r>
      <w:bookmarkEnd w:id="385"/>
      <w:bookmarkEnd w:id="386"/>
      <w:bookmarkEnd w:id="387"/>
      <w:bookmarkEnd w:id="388"/>
      <w:bookmarkEnd w:id="389"/>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1</w:t>
      </w:r>
      <w:r w:rsidRPr="00054588" w:rsidR="0021144C">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买卖证券差价；</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2</w:t>
      </w:r>
      <w:r w:rsidRPr="00054588" w:rsidR="0021144C">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基金投资所得红利、股息、债券利息；</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3</w:t>
      </w:r>
      <w:r w:rsidRPr="00054588" w:rsidR="0021144C">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银行存款利息；</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4</w:t>
      </w:r>
      <w:r w:rsidRPr="00054588" w:rsidR="0021144C">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其他收入</w:t>
      </w:r>
      <w:r w:rsidRPr="00054588">
        <w:rPr>
          <w:rFonts w:asciiTheme="minorEastAsia" w:eastAsiaTheme="minorEastAsia" w:hAnsiTheme="minorEastAsia" w:hint="eastAsia"/>
          <w:color w:val="000000" w:themeColor="text1"/>
          <w:szCs w:val="21"/>
        </w:rPr>
        <w:t>。</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因运用基金财产带来的成本或费用的节约应计入收益。</w:t>
      </w:r>
    </w:p>
    <w:p w:rsidR="007228CC" w:rsidRPr="00054588" w:rsidP="0071223F">
      <w:pPr>
        <w:snapToGrid w:val="0"/>
        <w:spacing w:line="360" w:lineRule="auto"/>
        <w:ind w:firstLine="420"/>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基金净收益为基金收益扣除按国家有关规定</w:t>
      </w:r>
      <w:r w:rsidRPr="00054588">
        <w:rPr>
          <w:rFonts w:asciiTheme="minorEastAsia" w:eastAsiaTheme="minorEastAsia" w:hAnsiTheme="minorEastAsia" w:hint="eastAsia"/>
          <w:color w:val="000000" w:themeColor="text1"/>
          <w:szCs w:val="21"/>
        </w:rPr>
        <w:t>应</w:t>
      </w:r>
      <w:r w:rsidRPr="00054588">
        <w:rPr>
          <w:rFonts w:asciiTheme="minorEastAsia" w:eastAsiaTheme="minorEastAsia" w:hAnsiTheme="minorEastAsia"/>
          <w:color w:val="000000" w:themeColor="text1"/>
          <w:szCs w:val="21"/>
        </w:rPr>
        <w:t>在基金收益中扣除的费用后的余额。</w:t>
      </w:r>
    </w:p>
    <w:p w:rsidR="007228CC" w:rsidRPr="00054588" w:rsidP="00941EC8">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90" w:name="_Toc84149665"/>
      <w:bookmarkStart w:id="391" w:name="_Toc86584640"/>
      <w:bookmarkStart w:id="392" w:name="_Toc211920184"/>
      <w:bookmarkStart w:id="393" w:name="_Toc211927713"/>
      <w:bookmarkStart w:id="394" w:name="_Toc123296474"/>
      <w:r w:rsidRPr="00054588">
        <w:rPr>
          <w:rFonts w:asciiTheme="minorEastAsia" w:eastAsiaTheme="minorEastAsia" w:hAnsiTheme="minorEastAsia" w:hint="eastAsia"/>
          <w:color w:val="000000" w:themeColor="text1"/>
        </w:rPr>
        <w:t>（二）收益分配原则</w:t>
      </w:r>
      <w:bookmarkEnd w:id="390"/>
      <w:bookmarkEnd w:id="391"/>
      <w:bookmarkEnd w:id="392"/>
      <w:bookmarkEnd w:id="393"/>
      <w:bookmarkEnd w:id="394"/>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bookmarkStart w:id="395" w:name="_Toc84149666"/>
      <w:bookmarkStart w:id="396" w:name="_Toc86584642"/>
      <w:r w:rsidRPr="00054588">
        <w:rPr>
          <w:rFonts w:asciiTheme="minorEastAsia" w:eastAsiaTheme="minorEastAsia" w:hAnsiTheme="minorEastAsia" w:hint="eastAsia"/>
          <w:color w:val="000000" w:themeColor="text1"/>
          <w:szCs w:val="21"/>
        </w:rPr>
        <w:t>1、</w:t>
      </w:r>
      <w:r w:rsidRPr="00054588">
        <w:rPr>
          <w:rFonts w:asciiTheme="minorEastAsia" w:eastAsiaTheme="minorEastAsia" w:hAnsiTheme="minorEastAsia"/>
          <w:color w:val="000000" w:themeColor="text1"/>
          <w:szCs w:val="21"/>
        </w:rPr>
        <w:t>本基金的每份基金份额享有同等分配权；</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w:t>
      </w:r>
      <w:r w:rsidRPr="00054588">
        <w:rPr>
          <w:rFonts w:asciiTheme="minorEastAsia" w:eastAsiaTheme="minorEastAsia" w:hAnsiTheme="minorEastAsia"/>
          <w:color w:val="000000" w:themeColor="text1"/>
          <w:szCs w:val="21"/>
        </w:rPr>
        <w:t>收益分配时所发生的银行转账或其他手续费用由投资</w:t>
      </w:r>
      <w:r w:rsidRPr="00054588">
        <w:rPr>
          <w:rFonts w:asciiTheme="minorEastAsia" w:eastAsiaTheme="minorEastAsia" w:hAnsiTheme="minorEastAsia" w:hint="eastAsia"/>
          <w:color w:val="000000" w:themeColor="text1"/>
          <w:szCs w:val="21"/>
        </w:rPr>
        <w:t>人</w:t>
      </w:r>
      <w:r w:rsidRPr="00054588">
        <w:rPr>
          <w:rFonts w:asciiTheme="minorEastAsia" w:eastAsiaTheme="minorEastAsia" w:hAnsiTheme="minorEastAsia"/>
          <w:color w:val="000000" w:themeColor="text1"/>
          <w:szCs w:val="21"/>
        </w:rPr>
        <w:t>自行承担。当投资</w:t>
      </w:r>
      <w:r w:rsidRPr="00054588">
        <w:rPr>
          <w:rFonts w:asciiTheme="minorEastAsia" w:eastAsiaTheme="minorEastAsia" w:hAnsiTheme="minorEastAsia" w:hint="eastAsia"/>
          <w:color w:val="000000" w:themeColor="text1"/>
          <w:szCs w:val="21"/>
        </w:rPr>
        <w:t>人</w:t>
      </w:r>
      <w:r w:rsidRPr="00054588">
        <w:rPr>
          <w:rFonts w:asciiTheme="minorEastAsia" w:eastAsiaTheme="minorEastAsia" w:hAnsiTheme="minorEastAsia"/>
          <w:color w:val="000000" w:themeColor="text1"/>
          <w:szCs w:val="21"/>
        </w:rPr>
        <w:t>的现金红利小于一定金额，不足以支付银行转账或其他手续费用时，基金</w:t>
      </w:r>
      <w:r w:rsidRPr="00054588">
        <w:rPr>
          <w:rFonts w:asciiTheme="minorEastAsia" w:eastAsiaTheme="minorEastAsia" w:hAnsiTheme="minorEastAsia" w:hint="eastAsia"/>
          <w:color w:val="000000" w:themeColor="text1"/>
          <w:szCs w:val="21"/>
        </w:rPr>
        <w:t>注册登记机构</w:t>
      </w:r>
      <w:r w:rsidRPr="00054588">
        <w:rPr>
          <w:rFonts w:asciiTheme="minorEastAsia" w:eastAsiaTheme="minorEastAsia" w:hAnsiTheme="minorEastAsia"/>
          <w:color w:val="000000" w:themeColor="text1"/>
          <w:szCs w:val="21"/>
        </w:rPr>
        <w:t>可将投资</w:t>
      </w:r>
      <w:r w:rsidRPr="00054588">
        <w:rPr>
          <w:rFonts w:asciiTheme="minorEastAsia" w:eastAsiaTheme="minorEastAsia" w:hAnsiTheme="minorEastAsia" w:hint="eastAsia"/>
          <w:color w:val="000000" w:themeColor="text1"/>
          <w:szCs w:val="21"/>
        </w:rPr>
        <w:t>人</w:t>
      </w:r>
      <w:r w:rsidRPr="00054588">
        <w:rPr>
          <w:rFonts w:asciiTheme="minorEastAsia" w:eastAsiaTheme="minorEastAsia" w:hAnsiTheme="minorEastAsia"/>
          <w:color w:val="000000" w:themeColor="text1"/>
          <w:szCs w:val="21"/>
        </w:rPr>
        <w:t>的现金红利按红利</w:t>
      </w:r>
      <w:r w:rsidRPr="00054588">
        <w:rPr>
          <w:rFonts w:asciiTheme="minorEastAsia" w:eastAsiaTheme="minorEastAsia" w:hAnsiTheme="minorEastAsia" w:hint="eastAsia"/>
          <w:color w:val="000000" w:themeColor="text1"/>
          <w:szCs w:val="21"/>
        </w:rPr>
        <w:t>发放前一工作</w:t>
      </w:r>
      <w:r w:rsidRPr="00054588">
        <w:rPr>
          <w:rFonts w:asciiTheme="minorEastAsia" w:eastAsiaTheme="minorEastAsia" w:hAnsiTheme="minorEastAsia"/>
          <w:color w:val="000000" w:themeColor="text1"/>
          <w:szCs w:val="21"/>
        </w:rPr>
        <w:t>日的基金份额净值自动转为基金份额。</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3、</w:t>
      </w:r>
      <w:r w:rsidRPr="00054588">
        <w:rPr>
          <w:rFonts w:asciiTheme="minorEastAsia" w:eastAsiaTheme="minorEastAsia" w:hAnsiTheme="minorEastAsia"/>
          <w:color w:val="000000" w:themeColor="text1"/>
          <w:szCs w:val="21"/>
        </w:rPr>
        <w:t>本基金收益每年最多分配</w:t>
      </w:r>
      <w:r w:rsidRPr="00054588">
        <w:rPr>
          <w:rFonts w:asciiTheme="minorEastAsia" w:eastAsiaTheme="minorEastAsia" w:hAnsiTheme="minorEastAsia" w:hint="eastAsia"/>
          <w:color w:val="000000" w:themeColor="text1"/>
          <w:szCs w:val="21"/>
        </w:rPr>
        <w:t>12</w:t>
      </w:r>
      <w:r w:rsidRPr="00054588">
        <w:rPr>
          <w:rFonts w:asciiTheme="minorEastAsia" w:eastAsiaTheme="minorEastAsia" w:hAnsiTheme="minorEastAsia"/>
          <w:color w:val="000000" w:themeColor="text1"/>
          <w:szCs w:val="21"/>
        </w:rPr>
        <w:t>次，</w:t>
      </w:r>
      <w:r w:rsidRPr="00054588">
        <w:rPr>
          <w:rFonts w:asciiTheme="minorEastAsia" w:eastAsiaTheme="minorEastAsia" w:hAnsiTheme="minorEastAsia" w:hint="eastAsia"/>
          <w:color w:val="000000" w:themeColor="text1"/>
          <w:szCs w:val="21"/>
        </w:rPr>
        <w:t>全年</w:t>
      </w:r>
      <w:r w:rsidRPr="00054588">
        <w:rPr>
          <w:rFonts w:asciiTheme="minorEastAsia" w:eastAsiaTheme="minorEastAsia" w:hAnsiTheme="minorEastAsia"/>
          <w:color w:val="000000" w:themeColor="text1"/>
          <w:szCs w:val="21"/>
        </w:rPr>
        <w:t>分配比例不</w:t>
      </w:r>
      <w:r w:rsidRPr="00054588">
        <w:rPr>
          <w:rFonts w:asciiTheme="minorEastAsia" w:eastAsiaTheme="minorEastAsia" w:hAnsiTheme="minorEastAsia" w:hint="eastAsia"/>
          <w:color w:val="000000" w:themeColor="text1"/>
          <w:szCs w:val="21"/>
        </w:rPr>
        <w:t>得</w:t>
      </w:r>
      <w:r w:rsidRPr="00054588">
        <w:rPr>
          <w:rFonts w:asciiTheme="minorEastAsia" w:eastAsiaTheme="minorEastAsia" w:hAnsiTheme="minorEastAsia"/>
          <w:color w:val="000000" w:themeColor="text1"/>
          <w:szCs w:val="21"/>
        </w:rPr>
        <w:t>低于</w:t>
      </w:r>
      <w:r w:rsidRPr="00054588">
        <w:rPr>
          <w:rFonts w:asciiTheme="minorEastAsia" w:eastAsiaTheme="minorEastAsia" w:hAnsiTheme="minorEastAsia" w:hint="eastAsia"/>
          <w:color w:val="000000" w:themeColor="text1"/>
          <w:szCs w:val="21"/>
        </w:rPr>
        <w:t>年度</w:t>
      </w:r>
      <w:r w:rsidRPr="00054588">
        <w:rPr>
          <w:rFonts w:asciiTheme="minorEastAsia" w:eastAsiaTheme="minorEastAsia" w:hAnsiTheme="minorEastAsia"/>
          <w:color w:val="000000" w:themeColor="text1"/>
          <w:szCs w:val="21"/>
        </w:rPr>
        <w:t>可</w:t>
      </w:r>
      <w:r w:rsidRPr="00054588">
        <w:rPr>
          <w:rFonts w:asciiTheme="minorEastAsia" w:eastAsiaTheme="minorEastAsia" w:hAnsiTheme="minorEastAsia" w:hint="eastAsia"/>
          <w:color w:val="000000" w:themeColor="text1"/>
          <w:szCs w:val="21"/>
        </w:rPr>
        <w:t>供</w:t>
      </w:r>
      <w:r w:rsidRPr="00054588">
        <w:rPr>
          <w:rFonts w:asciiTheme="minorEastAsia" w:eastAsiaTheme="minorEastAsia" w:hAnsiTheme="minorEastAsia"/>
          <w:color w:val="000000" w:themeColor="text1"/>
          <w:szCs w:val="21"/>
        </w:rPr>
        <w:t>分配收益的</w:t>
      </w:r>
      <w:r w:rsidRPr="00054588">
        <w:rPr>
          <w:rFonts w:asciiTheme="minorEastAsia" w:eastAsiaTheme="minorEastAsia" w:hAnsiTheme="minorEastAsia" w:hint="eastAsia"/>
          <w:color w:val="000000" w:themeColor="text1"/>
          <w:szCs w:val="21"/>
        </w:rPr>
        <w:t>60</w:t>
      </w:r>
      <w:r w:rsidRPr="00054588">
        <w:rPr>
          <w:rFonts w:asciiTheme="minorEastAsia" w:eastAsiaTheme="minorEastAsia" w:hAnsiTheme="minorEastAsia"/>
          <w:color w:val="000000" w:themeColor="text1"/>
          <w:szCs w:val="21"/>
        </w:rPr>
        <w:t>%；</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4、若基金合同生效不满3个月则可不进行收益分配；</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5、本基金收益分配方式分为两种：现金分红与红利再投资，投资人可选择现金红利或将现金红利转为基金份额进行再投资；若投资人不选择，本基金默认的收益分配方式是现金分红；</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6、基金投资当期出现净亏损，则不进行收益分配；</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7、基金当期收益应先弥补上期亏损后，方可进行当期收益分配；</w:t>
      </w:r>
    </w:p>
    <w:p w:rsidR="007228CC" w:rsidRPr="00054588" w:rsidP="0071223F">
      <w:pPr>
        <w:snapToGrid w:val="0"/>
        <w:spacing w:line="360" w:lineRule="auto"/>
        <w:ind w:firstLine="458"/>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8、</w:t>
      </w:r>
      <w:r w:rsidRPr="00054588">
        <w:rPr>
          <w:rFonts w:asciiTheme="minorEastAsia" w:eastAsiaTheme="minorEastAsia" w:hAnsiTheme="minorEastAsia"/>
          <w:color w:val="000000" w:themeColor="text1"/>
          <w:szCs w:val="21"/>
        </w:rPr>
        <w:t>法律法规或监管机构另有规定的从其规定。</w:t>
      </w:r>
    </w:p>
    <w:p w:rsidR="007228CC" w:rsidRPr="00054588"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397" w:name="_Toc211920185"/>
      <w:bookmarkStart w:id="398" w:name="_Toc211927714"/>
      <w:bookmarkStart w:id="399" w:name="_Toc123296475"/>
      <w:r w:rsidRPr="00054588">
        <w:rPr>
          <w:rFonts w:asciiTheme="minorEastAsia" w:eastAsiaTheme="minorEastAsia" w:hAnsiTheme="minorEastAsia" w:hint="eastAsia"/>
          <w:color w:val="000000" w:themeColor="text1"/>
        </w:rPr>
        <w:t>（三）收益分配方案</w:t>
      </w:r>
      <w:bookmarkEnd w:id="395"/>
      <w:bookmarkEnd w:id="396"/>
      <w:bookmarkEnd w:id="397"/>
      <w:bookmarkEnd w:id="398"/>
      <w:bookmarkEnd w:id="399"/>
    </w:p>
    <w:p w:rsidR="007228CC" w:rsidRPr="00054588" w:rsidP="0071223F">
      <w:pPr>
        <w:snapToGrid w:val="0"/>
        <w:spacing w:line="360" w:lineRule="auto"/>
        <w:ind w:firstLine="420"/>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基金收益分配方案中应载明基金收益分配对象、分配时间、分配数额、分配方式等内容。</w:t>
      </w:r>
    </w:p>
    <w:p w:rsidR="007228CC" w:rsidRPr="00054588"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400" w:name="_Toc211920186"/>
      <w:bookmarkStart w:id="401" w:name="_Toc211927715"/>
      <w:bookmarkStart w:id="402" w:name="_Toc123296476"/>
      <w:bookmarkStart w:id="403" w:name="_Toc84149667"/>
      <w:bookmarkStart w:id="404" w:name="_Toc86584643"/>
      <w:r w:rsidRPr="00054588">
        <w:rPr>
          <w:rFonts w:asciiTheme="minorEastAsia" w:eastAsiaTheme="minorEastAsia" w:hAnsiTheme="minorEastAsia" w:hint="eastAsia"/>
          <w:color w:val="000000" w:themeColor="text1"/>
        </w:rPr>
        <w:t>（四）</w:t>
      </w:r>
      <w:r w:rsidRPr="00054588">
        <w:rPr>
          <w:rFonts w:asciiTheme="minorEastAsia" w:eastAsiaTheme="minorEastAsia" w:hAnsiTheme="minorEastAsia"/>
          <w:color w:val="000000" w:themeColor="text1"/>
        </w:rPr>
        <w:t>收益分配的时间和程序</w:t>
      </w:r>
      <w:bookmarkEnd w:id="400"/>
      <w:bookmarkEnd w:id="401"/>
      <w:bookmarkEnd w:id="402"/>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1</w:t>
      </w:r>
      <w:r w:rsidRPr="00054588" w:rsidR="0021144C">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基金收益分配方案由基金管理人拟订，由基金托管人</w:t>
      </w:r>
      <w:r w:rsidRPr="00054588">
        <w:rPr>
          <w:rFonts w:asciiTheme="minorEastAsia" w:eastAsiaTheme="minorEastAsia" w:hAnsiTheme="minorEastAsia" w:hint="eastAsia"/>
          <w:color w:val="000000" w:themeColor="text1"/>
          <w:szCs w:val="21"/>
        </w:rPr>
        <w:t>复核</w:t>
      </w:r>
      <w:r w:rsidRPr="00054588">
        <w:rPr>
          <w:rFonts w:asciiTheme="minorEastAsia" w:eastAsiaTheme="minorEastAsia" w:hAnsiTheme="minorEastAsia"/>
          <w:color w:val="000000" w:themeColor="text1"/>
          <w:szCs w:val="21"/>
        </w:rPr>
        <w:t>，</w:t>
      </w:r>
      <w:r w:rsidRPr="00054588">
        <w:rPr>
          <w:rFonts w:asciiTheme="minorEastAsia" w:eastAsiaTheme="minorEastAsia" w:hAnsiTheme="minorEastAsia" w:hint="eastAsia"/>
          <w:color w:val="000000" w:themeColor="text1"/>
          <w:szCs w:val="21"/>
        </w:rPr>
        <w:t>依照《信息披露办法》的有关规定在</w:t>
      </w:r>
      <w:r w:rsidRPr="00054588" w:rsidR="00575E02">
        <w:rPr>
          <w:rFonts w:asciiTheme="minorEastAsia" w:eastAsiaTheme="minorEastAsia" w:hAnsiTheme="minorEastAsia" w:hint="eastAsia"/>
          <w:color w:val="000000" w:themeColor="text1"/>
          <w:szCs w:val="21"/>
        </w:rPr>
        <w:t>指定媒介</w:t>
      </w:r>
      <w:r w:rsidRPr="00054588">
        <w:rPr>
          <w:rFonts w:asciiTheme="minorEastAsia" w:eastAsiaTheme="minorEastAsia" w:hAnsiTheme="minorEastAsia" w:hint="eastAsia"/>
          <w:color w:val="000000" w:themeColor="text1"/>
          <w:szCs w:val="21"/>
        </w:rPr>
        <w:t>上公告</w:t>
      </w:r>
      <w:r w:rsidRPr="00054588">
        <w:rPr>
          <w:rFonts w:asciiTheme="minorEastAsia" w:eastAsiaTheme="minorEastAsia" w:hAnsiTheme="minorEastAsia"/>
          <w:color w:val="000000" w:themeColor="text1"/>
          <w:szCs w:val="21"/>
        </w:rPr>
        <w:t>；</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2</w:t>
      </w:r>
      <w:r w:rsidRPr="00054588" w:rsidR="0021144C">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在</w:t>
      </w:r>
      <w:r w:rsidRPr="00054588">
        <w:rPr>
          <w:rFonts w:asciiTheme="minorEastAsia" w:eastAsiaTheme="minorEastAsia" w:hAnsiTheme="minorEastAsia" w:hint="eastAsia"/>
          <w:color w:val="000000" w:themeColor="text1"/>
          <w:szCs w:val="21"/>
        </w:rPr>
        <w:t>收益</w:t>
      </w:r>
      <w:r w:rsidRPr="00054588">
        <w:rPr>
          <w:rFonts w:asciiTheme="minorEastAsia" w:eastAsiaTheme="minorEastAsia" w:hAnsiTheme="minorEastAsia"/>
          <w:color w:val="000000" w:themeColor="text1"/>
          <w:szCs w:val="21"/>
        </w:rPr>
        <w:t>分配方案公布后，基金管理人</w:t>
      </w:r>
      <w:r w:rsidRPr="00054588">
        <w:rPr>
          <w:rFonts w:asciiTheme="minorEastAsia" w:eastAsiaTheme="minorEastAsia" w:hAnsiTheme="minorEastAsia" w:hint="eastAsia"/>
          <w:color w:val="000000" w:themeColor="text1"/>
          <w:szCs w:val="21"/>
        </w:rPr>
        <w:t>依据具体方案的规定</w:t>
      </w:r>
      <w:r w:rsidRPr="00054588">
        <w:rPr>
          <w:rFonts w:asciiTheme="minorEastAsia" w:eastAsiaTheme="minorEastAsia" w:hAnsiTheme="minorEastAsia"/>
          <w:color w:val="000000" w:themeColor="text1"/>
          <w:szCs w:val="21"/>
        </w:rPr>
        <w:t>就支付的现金红利向基金托管人发送划款指令，基金托管人按照基金管理人的指令及时进行分红资金的划付。</w:t>
      </w:r>
    </w:p>
    <w:p w:rsidR="007228CC" w:rsidRPr="00054588"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405" w:name="_Toc211920187"/>
      <w:bookmarkStart w:id="406" w:name="_Toc211927716"/>
      <w:bookmarkStart w:id="407" w:name="_Toc123296477"/>
      <w:r w:rsidRPr="00054588">
        <w:rPr>
          <w:rFonts w:asciiTheme="minorEastAsia" w:eastAsiaTheme="minorEastAsia" w:hAnsiTheme="minorEastAsia" w:hint="eastAsia"/>
          <w:color w:val="000000" w:themeColor="text1"/>
        </w:rPr>
        <w:t>（五）</w:t>
      </w:r>
      <w:r w:rsidRPr="00054588">
        <w:rPr>
          <w:rFonts w:asciiTheme="minorEastAsia" w:eastAsiaTheme="minorEastAsia" w:hAnsiTheme="minorEastAsia"/>
          <w:color w:val="000000" w:themeColor="text1"/>
        </w:rPr>
        <w:t>收益分配中发生的费用</w:t>
      </w:r>
      <w:bookmarkEnd w:id="403"/>
      <w:bookmarkEnd w:id="404"/>
      <w:bookmarkEnd w:id="405"/>
      <w:bookmarkEnd w:id="406"/>
      <w:bookmarkEnd w:id="407"/>
    </w:p>
    <w:p w:rsidR="007228CC" w:rsidRPr="00054588" w:rsidP="0071223F">
      <w:pPr>
        <w:widowControl/>
        <w:snapToGrid w:val="0"/>
        <w:spacing w:line="360" w:lineRule="auto"/>
        <w:ind w:firstLine="420"/>
        <w:jc w:val="left"/>
        <w:rPr>
          <w:rFonts w:asciiTheme="minorEastAsia" w:eastAsiaTheme="minorEastAsia" w:hAnsiTheme="minorEastAsia" w:cs="宋体"/>
          <w:color w:val="000000" w:themeColor="text1"/>
          <w:kern w:val="0"/>
          <w:szCs w:val="21"/>
        </w:rPr>
      </w:pPr>
      <w:r w:rsidRPr="00054588">
        <w:rPr>
          <w:rFonts w:asciiTheme="minorEastAsia" w:eastAsiaTheme="minorEastAsia" w:hAnsiTheme="minorEastAsia" w:cs="宋体" w:hint="eastAsia"/>
          <w:color w:val="000000" w:themeColor="text1"/>
          <w:kern w:val="0"/>
          <w:szCs w:val="21"/>
        </w:rPr>
        <w:t>红利分配时所发生的银行转账或其他手续费用由投资者自行承担。当投资者的现金红利小于一定金额，不足于支付银行转账或其他手续费用时，基金注册登记人可将投资者的现金红利按红利发放日前一工作日的基金份额净值自动转为基金份额。红利再投资的计算方法，依照业务规则执行。</w:t>
      </w:r>
    </w:p>
    <w:p w:rsidR="00401C0B" w:rsidRPr="00054588" w:rsidP="00401C0B">
      <w:pPr>
        <w:spacing w:line="360" w:lineRule="auto"/>
        <w:ind w:firstLine="472" w:firstLineChars="225"/>
        <w:jc w:val="left"/>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（六）实施侧袋机制期间的收益分配</w:t>
      </w:r>
    </w:p>
    <w:p w:rsidR="00401C0B" w:rsidRPr="00054588" w:rsidP="00401C0B">
      <w:pPr>
        <w:widowControl/>
        <w:snapToGrid w:val="0"/>
        <w:spacing w:line="360" w:lineRule="auto"/>
        <w:ind w:firstLine="420"/>
        <w:jc w:val="left"/>
        <w:rPr>
          <w:rFonts w:asciiTheme="minorEastAsia" w:eastAsiaTheme="minorEastAsia" w:hAnsiTheme="minorEastAsia" w:cs="宋体"/>
          <w:color w:val="000000" w:themeColor="text1"/>
          <w:kern w:val="0"/>
          <w:szCs w:val="21"/>
        </w:rPr>
      </w:pPr>
      <w:r w:rsidRPr="00054588">
        <w:rPr>
          <w:rFonts w:asciiTheme="minorEastAsia" w:eastAsiaTheme="minorEastAsia" w:hAnsiTheme="minorEastAsia" w:hint="eastAsia"/>
          <w:color w:val="000000" w:themeColor="text1"/>
          <w:szCs w:val="21"/>
        </w:rPr>
        <w:t>本基金实施侧袋机制的，侧袋账户不进行收益分配。</w:t>
      </w:r>
    </w:p>
    <w:p w:rsidR="007228CC" w:rsidRPr="00054588" w:rsidP="0071223F">
      <w:pPr>
        <w:snapToGrid w:val="0"/>
        <w:spacing w:line="360" w:lineRule="auto"/>
        <w:ind w:firstLine="640"/>
        <w:rPr>
          <w:rFonts w:asciiTheme="minorEastAsia" w:eastAsiaTheme="minorEastAsia" w:hAnsiTheme="minorEastAsia"/>
          <w:color w:val="000000" w:themeColor="text1"/>
        </w:rPr>
      </w:pPr>
    </w:p>
    <w:p w:rsidR="007228CC" w:rsidRPr="00054588" w:rsidP="00941EC8">
      <w:pPr>
        <w:pStyle w:val="Heading1"/>
        <w:numPr>
          <w:ilvl w:val="0"/>
          <w:numId w:val="7"/>
        </w:numPr>
        <w:tabs>
          <w:tab w:val="num" w:pos="0"/>
          <w:tab w:val="clear" w:pos="2798"/>
        </w:tabs>
        <w:snapToGrid w:val="0"/>
        <w:spacing w:beforeLines="0" w:afterLines="0" w:line="360" w:lineRule="auto"/>
        <w:ind w:left="0" w:firstLine="0" w:firstLineChars="0"/>
        <w:rPr>
          <w:rFonts w:asciiTheme="minorEastAsia" w:eastAsiaTheme="minorEastAsia" w:hAnsiTheme="minorEastAsia"/>
          <w:color w:val="000000" w:themeColor="text1"/>
        </w:rPr>
        <w:sectPr w:rsidSect="00DE4B5E">
          <w:pgSz w:w="11906" w:h="16838" w:code="9"/>
          <w:pgMar w:top="1440" w:right="1800" w:bottom="1440" w:left="1800" w:header="851" w:footer="992" w:gutter="0"/>
          <w:cols w:space="425"/>
          <w:docGrid w:type="lines" w:linePitch="312"/>
        </w:sectPr>
      </w:pPr>
      <w:bookmarkStart w:id="408" w:name="_Toc84149669"/>
      <w:bookmarkStart w:id="409" w:name="_Toc86584633"/>
      <w:bookmarkStart w:id="410" w:name="_Toc211920189"/>
      <w:bookmarkStart w:id="411" w:name="_Toc211927718"/>
    </w:p>
    <w:p w:rsidR="007228CC" w:rsidRPr="00054588" w:rsidP="00941EC8">
      <w:pPr>
        <w:pStyle w:val="111"/>
        <w:numPr>
          <w:ilvl w:val="0"/>
          <w:numId w:val="7"/>
        </w:numPr>
        <w:tabs>
          <w:tab w:val="num" w:pos="0"/>
          <w:tab w:val="clear" w:pos="2798"/>
        </w:tabs>
        <w:snapToGrid w:val="0"/>
        <w:spacing w:beforeLines="0" w:afterLines="0" w:line="360" w:lineRule="auto"/>
        <w:ind w:left="0" w:firstLine="0" w:firstLineChars="0"/>
        <w:rPr>
          <w:rFonts w:asciiTheme="minorEastAsia" w:eastAsiaTheme="minorEastAsia" w:hAnsiTheme="minorEastAsia"/>
          <w:b/>
          <w:color w:val="000000" w:themeColor="text1"/>
        </w:rPr>
      </w:pPr>
      <w:bookmarkStart w:id="412" w:name="_Toc123296478"/>
      <w:r w:rsidRPr="00054588">
        <w:rPr>
          <w:rFonts w:asciiTheme="minorEastAsia" w:eastAsiaTheme="minorEastAsia" w:hAnsiTheme="minorEastAsia" w:hint="eastAsia"/>
          <w:b/>
          <w:color w:val="000000" w:themeColor="text1"/>
        </w:rPr>
        <w:t>基金的费用与税收</w:t>
      </w:r>
      <w:bookmarkEnd w:id="412"/>
    </w:p>
    <w:p w:rsidR="007228CC" w:rsidRPr="00054588"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413" w:name="_Toc123296479"/>
      <w:r w:rsidRPr="00054588">
        <w:rPr>
          <w:rFonts w:asciiTheme="minorEastAsia" w:eastAsiaTheme="minorEastAsia" w:hAnsiTheme="minorEastAsia" w:hint="eastAsia"/>
          <w:color w:val="000000" w:themeColor="text1"/>
        </w:rPr>
        <w:t>（一）与基金运作相关的费用</w:t>
      </w:r>
      <w:bookmarkEnd w:id="408"/>
      <w:bookmarkEnd w:id="409"/>
      <w:bookmarkEnd w:id="410"/>
      <w:bookmarkEnd w:id="411"/>
      <w:bookmarkEnd w:id="413"/>
    </w:p>
    <w:p w:rsidR="007228CC" w:rsidRPr="00054588" w:rsidP="0071223F">
      <w:pPr>
        <w:snapToGrid w:val="0"/>
        <w:spacing w:line="360" w:lineRule="auto"/>
        <w:ind w:firstLine="420" w:firstLineChars="200"/>
        <w:rPr>
          <w:rFonts w:asciiTheme="minorEastAsia" w:eastAsiaTheme="minorEastAsia" w:hAnsiTheme="minorEastAsia"/>
          <w:b/>
          <w:bCs/>
          <w:color w:val="000000" w:themeColor="text1"/>
          <w:sz w:val="24"/>
        </w:rPr>
      </w:pPr>
      <w:r w:rsidRPr="00054588">
        <w:rPr>
          <w:rFonts w:asciiTheme="minorEastAsia" w:eastAsiaTheme="minorEastAsia" w:hAnsiTheme="minorEastAsia" w:hint="eastAsia"/>
          <w:b/>
          <w:color w:val="000000" w:themeColor="text1"/>
          <w:szCs w:val="21"/>
        </w:rPr>
        <w:t>1、基金费用的种类</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（1）基金管理人的管理费；</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2</w:t>
      </w:r>
      <w:r w:rsidRPr="00054588">
        <w:rPr>
          <w:rFonts w:asciiTheme="minorEastAsia" w:eastAsiaTheme="minorEastAsia" w:hAnsiTheme="minorEastAsia" w:hint="eastAsia"/>
          <w:color w:val="000000" w:themeColor="text1"/>
          <w:szCs w:val="21"/>
        </w:rPr>
        <w:t>）基金托管人的托管费；</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3</w:t>
      </w:r>
      <w:r w:rsidRPr="00054588">
        <w:rPr>
          <w:rFonts w:asciiTheme="minorEastAsia" w:eastAsiaTheme="minorEastAsia" w:hAnsiTheme="minorEastAsia" w:hint="eastAsia"/>
          <w:color w:val="000000" w:themeColor="text1"/>
          <w:szCs w:val="21"/>
        </w:rPr>
        <w:t>）销售服务费</w:t>
      </w:r>
      <w:r w:rsidRPr="00054588">
        <w:rPr>
          <w:rFonts w:asciiTheme="minorEastAsia" w:eastAsiaTheme="minorEastAsia" w:hAnsiTheme="minorEastAsia"/>
          <w:color w:val="000000" w:themeColor="text1"/>
          <w:szCs w:val="21"/>
        </w:rPr>
        <w:t>；</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4</w:t>
      </w:r>
      <w:r w:rsidRPr="00054588">
        <w:rPr>
          <w:rFonts w:asciiTheme="minorEastAsia" w:eastAsiaTheme="minorEastAsia" w:hAnsiTheme="minorEastAsia" w:hint="eastAsia"/>
          <w:color w:val="000000" w:themeColor="text1"/>
          <w:szCs w:val="21"/>
        </w:rPr>
        <w:t>）基金合同生效后的基金信息披露费用；</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5</w:t>
      </w:r>
      <w:r w:rsidRPr="00054588">
        <w:rPr>
          <w:rFonts w:asciiTheme="minorEastAsia" w:eastAsiaTheme="minorEastAsia" w:hAnsiTheme="minorEastAsia" w:hint="eastAsia"/>
          <w:color w:val="000000" w:themeColor="text1"/>
          <w:szCs w:val="21"/>
        </w:rPr>
        <w:t>）基金份额持有人大会费用；</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6</w:t>
      </w:r>
      <w:r w:rsidRPr="00054588">
        <w:rPr>
          <w:rFonts w:asciiTheme="minorEastAsia" w:eastAsiaTheme="minorEastAsia" w:hAnsiTheme="minorEastAsia" w:hint="eastAsia"/>
          <w:color w:val="000000" w:themeColor="text1"/>
          <w:szCs w:val="21"/>
        </w:rPr>
        <w:t>）基金合同生效后与基金有关的会计师费和律师费；</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7</w:t>
      </w:r>
      <w:r w:rsidRPr="00054588">
        <w:rPr>
          <w:rFonts w:asciiTheme="minorEastAsia" w:eastAsiaTheme="minorEastAsia" w:hAnsiTheme="minorEastAsia" w:hint="eastAsia"/>
          <w:color w:val="000000" w:themeColor="text1"/>
          <w:szCs w:val="21"/>
        </w:rPr>
        <w:t>）基金的证券交易费用；</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8</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基金财产拨划支付的银行费用</w:t>
      </w:r>
      <w:r w:rsidRPr="00054588">
        <w:rPr>
          <w:rFonts w:asciiTheme="minorEastAsia" w:eastAsiaTheme="minorEastAsia" w:hAnsiTheme="minorEastAsia" w:hint="eastAsia"/>
          <w:color w:val="000000" w:themeColor="text1"/>
          <w:szCs w:val="21"/>
        </w:rPr>
        <w:t>；</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9</w:t>
      </w:r>
      <w:r w:rsidRPr="00054588">
        <w:rPr>
          <w:rFonts w:asciiTheme="minorEastAsia" w:eastAsiaTheme="minorEastAsia" w:hAnsiTheme="minorEastAsia" w:hint="eastAsia"/>
          <w:color w:val="000000" w:themeColor="text1"/>
          <w:szCs w:val="21"/>
        </w:rPr>
        <w:t>）依法可以</w:t>
      </w:r>
      <w:r w:rsidRPr="00054588">
        <w:rPr>
          <w:rFonts w:asciiTheme="minorEastAsia" w:eastAsiaTheme="minorEastAsia" w:hAnsiTheme="minorEastAsia"/>
          <w:color w:val="000000" w:themeColor="text1"/>
          <w:szCs w:val="21"/>
        </w:rPr>
        <w:t>在基金财产中列支的</w:t>
      </w:r>
      <w:r w:rsidRPr="00054588">
        <w:rPr>
          <w:rFonts w:asciiTheme="minorEastAsia" w:eastAsiaTheme="minorEastAsia" w:hAnsiTheme="minorEastAsia" w:hint="eastAsia"/>
          <w:color w:val="000000" w:themeColor="text1"/>
          <w:szCs w:val="21"/>
        </w:rPr>
        <w:t>其他费用。</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上述费用从基金财产中支付。</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本基金终止清算时所发生费用，按实际支出额从基金财产总值中扣除。</w:t>
      </w:r>
    </w:p>
    <w:p w:rsidR="007228CC" w:rsidRPr="00054588" w:rsidP="0071223F">
      <w:pPr>
        <w:snapToGrid w:val="0"/>
        <w:spacing w:line="360" w:lineRule="auto"/>
        <w:ind w:firstLine="420" w:firstLineChars="200"/>
        <w:rPr>
          <w:rFonts w:asciiTheme="minorEastAsia" w:eastAsiaTheme="minorEastAsia" w:hAnsiTheme="minorEastAsia"/>
          <w:b/>
          <w:color w:val="000000" w:themeColor="text1"/>
          <w:szCs w:val="21"/>
        </w:rPr>
      </w:pPr>
      <w:r w:rsidRPr="00054588">
        <w:rPr>
          <w:rFonts w:asciiTheme="minorEastAsia" w:eastAsiaTheme="minorEastAsia" w:hAnsiTheme="minorEastAsia" w:hint="eastAsia"/>
          <w:b/>
          <w:color w:val="000000" w:themeColor="text1"/>
          <w:szCs w:val="21"/>
        </w:rPr>
        <w:t>2、基金费用计提方法、计提标准和支付方式</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（1）基金管理人的管理费</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在通常情况下，本基金</w:t>
      </w:r>
      <w:r w:rsidRPr="00054588">
        <w:rPr>
          <w:rFonts w:asciiTheme="minorEastAsia" w:eastAsiaTheme="minorEastAsia" w:hAnsiTheme="minorEastAsia"/>
          <w:color w:val="000000" w:themeColor="text1"/>
          <w:szCs w:val="21"/>
        </w:rPr>
        <w:t>的管理费</w:t>
      </w:r>
      <w:r w:rsidRPr="00054588">
        <w:rPr>
          <w:rFonts w:asciiTheme="minorEastAsia" w:eastAsiaTheme="minorEastAsia" w:hAnsiTheme="minorEastAsia" w:hint="eastAsia"/>
          <w:color w:val="000000" w:themeColor="text1"/>
          <w:szCs w:val="21"/>
        </w:rPr>
        <w:t>按前一日</w:t>
      </w:r>
      <w:r w:rsidRPr="00054588">
        <w:rPr>
          <w:rFonts w:asciiTheme="minorEastAsia" w:eastAsiaTheme="minorEastAsia" w:hAnsiTheme="minorEastAsia"/>
          <w:color w:val="000000" w:themeColor="text1"/>
          <w:szCs w:val="21"/>
        </w:rPr>
        <w:t>基金资产净值的</w:t>
      </w:r>
      <w:r w:rsidRPr="00054588">
        <w:rPr>
          <w:rFonts w:asciiTheme="minorEastAsia" w:eastAsiaTheme="minorEastAsia" w:hAnsiTheme="minorEastAsia" w:hint="eastAsia"/>
          <w:color w:val="000000" w:themeColor="text1"/>
          <w:szCs w:val="21"/>
        </w:rPr>
        <w:t>0.65</w:t>
      </w:r>
      <w:r w:rsidRPr="00054588">
        <w:rPr>
          <w:rFonts w:asciiTheme="minorEastAsia" w:eastAsiaTheme="minorEastAsia" w:hAnsiTheme="minorEastAsia"/>
          <w:color w:val="000000" w:themeColor="text1"/>
          <w:szCs w:val="21"/>
        </w:rPr>
        <w:t>%年费率计提。</w:t>
      </w:r>
      <w:r w:rsidRPr="00054588">
        <w:rPr>
          <w:rFonts w:asciiTheme="minorEastAsia" w:eastAsiaTheme="minorEastAsia" w:hAnsiTheme="minorEastAsia" w:hint="eastAsia"/>
          <w:color w:val="000000" w:themeColor="text1"/>
          <w:szCs w:val="21"/>
        </w:rPr>
        <w:t>管理费的</w:t>
      </w:r>
      <w:r w:rsidRPr="00054588">
        <w:rPr>
          <w:rFonts w:asciiTheme="minorEastAsia" w:eastAsiaTheme="minorEastAsia" w:hAnsiTheme="minorEastAsia"/>
          <w:color w:val="000000" w:themeColor="text1"/>
          <w:szCs w:val="21"/>
        </w:rPr>
        <w:t>计算方法如下：</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H＝E×</w:t>
      </w:r>
      <w:r w:rsidRPr="00054588">
        <w:rPr>
          <w:rFonts w:asciiTheme="minorEastAsia" w:eastAsiaTheme="minorEastAsia" w:hAnsiTheme="minorEastAsia" w:hint="eastAsia"/>
          <w:color w:val="000000" w:themeColor="text1"/>
          <w:szCs w:val="21"/>
        </w:rPr>
        <w:t>0.65</w:t>
      </w:r>
      <w:r w:rsidRPr="00054588">
        <w:rPr>
          <w:rFonts w:asciiTheme="minorEastAsia" w:eastAsiaTheme="minorEastAsia" w:hAnsiTheme="minorEastAsia"/>
          <w:color w:val="000000" w:themeColor="text1"/>
          <w:szCs w:val="21"/>
        </w:rPr>
        <w:t>%</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当年天数</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H为每日应</w:t>
      </w:r>
      <w:r w:rsidRPr="00054588">
        <w:rPr>
          <w:rFonts w:asciiTheme="minorEastAsia" w:eastAsiaTheme="minorEastAsia" w:hAnsiTheme="minorEastAsia" w:hint="eastAsia"/>
          <w:color w:val="000000" w:themeColor="text1"/>
          <w:szCs w:val="21"/>
        </w:rPr>
        <w:t>计提</w:t>
      </w:r>
      <w:r w:rsidRPr="00054588">
        <w:rPr>
          <w:rFonts w:asciiTheme="minorEastAsia" w:eastAsiaTheme="minorEastAsia" w:hAnsiTheme="minorEastAsia"/>
          <w:color w:val="000000" w:themeColor="text1"/>
          <w:szCs w:val="21"/>
        </w:rPr>
        <w:t>的基金管理费</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E</w:t>
      </w:r>
      <w:r w:rsidRPr="00054588">
        <w:rPr>
          <w:rFonts w:asciiTheme="minorEastAsia" w:eastAsiaTheme="minorEastAsia" w:hAnsiTheme="minorEastAsia"/>
          <w:color w:val="000000" w:themeColor="text1"/>
          <w:szCs w:val="21"/>
        </w:rPr>
        <w:t>为前一日的基金资产净值</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基金管理费每日计提，按月支付。由基金管理人向基金托管人发送基金管理费划付指令，经基金托管人复核后于次月首日起3个工作日内从基金财产中一次性支付给基金管理人，若遇法定节假日、休息日，支付日期顺延。</w:t>
      </w:r>
    </w:p>
    <w:p w:rsidR="007228CC" w:rsidRPr="00054588" w:rsidP="0071223F">
      <w:pPr>
        <w:snapToGrid w:val="0"/>
        <w:spacing w:line="360" w:lineRule="auto"/>
        <w:ind w:firstLine="42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（2）基金托管人的托管费</w:t>
      </w:r>
    </w:p>
    <w:p w:rsidR="007228CC" w:rsidRPr="00054588" w:rsidP="0071223F">
      <w:pPr>
        <w:snapToGrid w:val="0"/>
        <w:spacing w:line="360" w:lineRule="auto"/>
        <w:ind w:firstLine="42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在通常情况下，本</w:t>
      </w:r>
      <w:r w:rsidRPr="00054588">
        <w:rPr>
          <w:rFonts w:asciiTheme="minorEastAsia" w:eastAsiaTheme="minorEastAsia" w:hAnsiTheme="minorEastAsia"/>
          <w:color w:val="000000" w:themeColor="text1"/>
          <w:szCs w:val="21"/>
        </w:rPr>
        <w:t>基金的托管费按</w:t>
      </w:r>
      <w:r w:rsidRPr="00054588">
        <w:rPr>
          <w:rFonts w:asciiTheme="minorEastAsia" w:eastAsiaTheme="minorEastAsia" w:hAnsiTheme="minorEastAsia" w:hint="eastAsia"/>
          <w:color w:val="000000" w:themeColor="text1"/>
          <w:szCs w:val="21"/>
        </w:rPr>
        <w:t>前一日</w:t>
      </w:r>
      <w:r w:rsidRPr="00054588">
        <w:rPr>
          <w:rFonts w:asciiTheme="minorEastAsia" w:eastAsiaTheme="minorEastAsia" w:hAnsiTheme="minorEastAsia"/>
          <w:color w:val="000000" w:themeColor="text1"/>
          <w:szCs w:val="21"/>
        </w:rPr>
        <w:t>基金资产净值的</w:t>
      </w:r>
      <w:r w:rsidRPr="00054588">
        <w:rPr>
          <w:rFonts w:asciiTheme="minorEastAsia" w:eastAsiaTheme="minorEastAsia" w:hAnsiTheme="minorEastAsia" w:hint="eastAsia"/>
          <w:color w:val="000000" w:themeColor="text1"/>
          <w:szCs w:val="21"/>
        </w:rPr>
        <w:t>0.2%</w:t>
      </w:r>
      <w:r w:rsidRPr="00054588">
        <w:rPr>
          <w:rFonts w:asciiTheme="minorEastAsia" w:eastAsiaTheme="minorEastAsia" w:hAnsiTheme="minorEastAsia"/>
          <w:color w:val="000000" w:themeColor="text1"/>
          <w:szCs w:val="21"/>
        </w:rPr>
        <w:t>的年费率计提。</w:t>
      </w:r>
      <w:r w:rsidRPr="00054588">
        <w:rPr>
          <w:rFonts w:asciiTheme="minorEastAsia" w:eastAsiaTheme="minorEastAsia" w:hAnsiTheme="minorEastAsia" w:hint="eastAsia"/>
          <w:color w:val="000000" w:themeColor="text1"/>
          <w:szCs w:val="21"/>
        </w:rPr>
        <w:t>托管费的</w:t>
      </w:r>
      <w:r w:rsidRPr="00054588">
        <w:rPr>
          <w:rFonts w:asciiTheme="minorEastAsia" w:eastAsiaTheme="minorEastAsia" w:hAnsiTheme="minorEastAsia"/>
          <w:color w:val="000000" w:themeColor="text1"/>
          <w:szCs w:val="21"/>
        </w:rPr>
        <w:t>计算方法如下：</w:t>
      </w:r>
    </w:p>
    <w:p w:rsidR="007228CC" w:rsidRPr="00054588" w:rsidP="0071223F">
      <w:pPr>
        <w:snapToGrid w:val="0"/>
        <w:spacing w:line="360" w:lineRule="auto"/>
        <w:ind w:firstLine="420"/>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H＝E×</w:t>
      </w:r>
      <w:r w:rsidRPr="00054588">
        <w:rPr>
          <w:rFonts w:asciiTheme="minorEastAsia" w:eastAsiaTheme="minorEastAsia" w:hAnsiTheme="minorEastAsia" w:hint="eastAsia"/>
          <w:color w:val="000000" w:themeColor="text1"/>
          <w:szCs w:val="21"/>
        </w:rPr>
        <w:t>0.2%÷</w:t>
      </w:r>
      <w:r w:rsidRPr="00054588">
        <w:rPr>
          <w:rFonts w:asciiTheme="minorEastAsia" w:eastAsiaTheme="minorEastAsia" w:hAnsiTheme="minorEastAsia"/>
          <w:color w:val="000000" w:themeColor="text1"/>
          <w:szCs w:val="21"/>
        </w:rPr>
        <w:t>当年天数</w:t>
      </w:r>
    </w:p>
    <w:p w:rsidR="007228CC" w:rsidRPr="00054588" w:rsidP="0071223F">
      <w:pPr>
        <w:snapToGrid w:val="0"/>
        <w:spacing w:line="360" w:lineRule="auto"/>
        <w:ind w:firstLine="420"/>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H为每日应</w:t>
      </w:r>
      <w:r w:rsidRPr="00054588">
        <w:rPr>
          <w:rFonts w:asciiTheme="minorEastAsia" w:eastAsiaTheme="minorEastAsia" w:hAnsiTheme="minorEastAsia" w:hint="eastAsia"/>
          <w:color w:val="000000" w:themeColor="text1"/>
          <w:szCs w:val="21"/>
        </w:rPr>
        <w:t>计提</w:t>
      </w:r>
      <w:r w:rsidRPr="00054588">
        <w:rPr>
          <w:rFonts w:asciiTheme="minorEastAsia" w:eastAsiaTheme="minorEastAsia" w:hAnsiTheme="minorEastAsia"/>
          <w:color w:val="000000" w:themeColor="text1"/>
          <w:szCs w:val="21"/>
        </w:rPr>
        <w:t>的基金托管费</w:t>
      </w:r>
    </w:p>
    <w:p w:rsidR="007228CC" w:rsidRPr="00054588" w:rsidP="0071223F">
      <w:pPr>
        <w:snapToGrid w:val="0"/>
        <w:spacing w:line="360" w:lineRule="auto"/>
        <w:ind w:firstLine="420"/>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E为前一日的基金资产净值</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基金托管费每日计提，按月支付。由基金管理人向基金托管人发送基金托管费划付指令，经基金托管人复核后于次月首日起3个工作日内从基金财产中一次性支付给基金托管人，若遇法定节假日、休息日，支付日期顺延。</w:t>
      </w:r>
    </w:p>
    <w:p w:rsidR="007228CC" w:rsidRPr="00054588" w:rsidP="0071223F">
      <w:pPr>
        <w:pStyle w:val="20"/>
        <w:snapToGrid w:val="0"/>
        <w:spacing w:before="0" w:beforeAutospacing="0" w:after="0" w:afterAutospacing="0"/>
        <w:ind w:firstLine="420" w:firstLineChars="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（3）基金的销售服务费</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本基金A类基金份额不收取销售服务费，B类基金份额的销售服务费年费率为0.4%。本基金销售服务费将专门用于本基金的销售与基金份额持有人服务。</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销售服务费按前一日B类基金资产净值的0.4%年费率计提。计算方法如下：</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H＝E×0.4%÷当年天数</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H为B类基金份额每日应计提的销售服务费</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E为B类基金份额前一日基金资产净值</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销售服务费每日计提，按月支付。由基金管理人向基金托管人发送销售服务费划付指令，基金托管人复核后于次月首日起3个工作日内从基金资产中划出，由注册登记机构代收，注册登记机构收到后按相关合同规定支付给基金销售机构等。</w:t>
      </w:r>
    </w:p>
    <w:p w:rsidR="007228CC" w:rsidRPr="00054588" w:rsidP="0071223F">
      <w:pPr>
        <w:autoSpaceDE w:val="0"/>
        <w:autoSpaceDN w:val="0"/>
        <w:snapToGrid w:val="0"/>
        <w:spacing w:line="360" w:lineRule="auto"/>
        <w:ind w:firstLine="420" w:firstLineChars="20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w:t>
      </w:r>
      <w:r w:rsidRPr="00054588">
        <w:rPr>
          <w:rFonts w:asciiTheme="minorEastAsia" w:eastAsiaTheme="minorEastAsia" w:hAnsiTheme="minorEastAsia" w:hint="eastAsia"/>
          <w:color w:val="000000" w:themeColor="text1"/>
          <w:szCs w:val="21"/>
        </w:rPr>
        <w:t>4）除管理费、托管费和销售服务费之外的基金费用，由基金托管人根据其他有关法规及相应协议的规定，按费用支出金额支付，列入或摊入当期基金费用。</w:t>
      </w:r>
    </w:p>
    <w:p w:rsidR="007228CC" w:rsidRPr="00054588" w:rsidP="0071223F">
      <w:pPr>
        <w:snapToGrid w:val="0"/>
        <w:spacing w:line="360" w:lineRule="auto"/>
        <w:ind w:firstLine="420" w:firstLineChars="200"/>
        <w:rPr>
          <w:rFonts w:asciiTheme="minorEastAsia" w:eastAsiaTheme="minorEastAsia" w:hAnsiTheme="minorEastAsia"/>
          <w:b/>
          <w:color w:val="000000" w:themeColor="text1"/>
          <w:szCs w:val="21"/>
        </w:rPr>
      </w:pPr>
      <w:r w:rsidRPr="00054588">
        <w:rPr>
          <w:rFonts w:asciiTheme="minorEastAsia" w:eastAsiaTheme="minorEastAsia" w:hAnsiTheme="minorEastAsia" w:hint="eastAsia"/>
          <w:b/>
          <w:color w:val="000000" w:themeColor="text1"/>
          <w:szCs w:val="21"/>
        </w:rPr>
        <w:t>3、不列入基金费用的项目</w:t>
      </w:r>
    </w:p>
    <w:p w:rsidR="007228CC" w:rsidRPr="00054588" w:rsidP="0071223F">
      <w:pPr>
        <w:snapToGrid w:val="0"/>
        <w:spacing w:line="360" w:lineRule="auto"/>
        <w:ind w:firstLine="42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基金管理人和基金托管人因未履行或未完全履行义务导致的费用支出或基金财产的损失，以及处理与基金运作无关的事项发生的费用等不列入基金费用。</w:t>
      </w:r>
      <w:r w:rsidRPr="00054588">
        <w:rPr>
          <w:rFonts w:asciiTheme="minorEastAsia" w:eastAsiaTheme="minorEastAsia" w:hAnsiTheme="minorEastAsia"/>
          <w:color w:val="000000" w:themeColor="text1"/>
          <w:szCs w:val="21"/>
        </w:rPr>
        <w:t>基金</w:t>
      </w:r>
      <w:r w:rsidRPr="00054588">
        <w:rPr>
          <w:rFonts w:asciiTheme="minorEastAsia" w:eastAsiaTheme="minorEastAsia" w:hAnsiTheme="minorEastAsia" w:hint="eastAsia"/>
          <w:color w:val="000000" w:themeColor="text1"/>
          <w:szCs w:val="21"/>
        </w:rPr>
        <w:t>合同生效前</w:t>
      </w:r>
      <w:r w:rsidRPr="00054588">
        <w:rPr>
          <w:rFonts w:asciiTheme="minorEastAsia" w:eastAsiaTheme="minorEastAsia" w:hAnsiTheme="minorEastAsia"/>
          <w:color w:val="000000" w:themeColor="text1"/>
          <w:szCs w:val="21"/>
        </w:rPr>
        <w:t>所发生的信息披露费、律师费和会计师费以及其他费用不从基金财产中支付。</w:t>
      </w:r>
    </w:p>
    <w:p w:rsidR="007228CC" w:rsidRPr="00054588" w:rsidP="0071223F">
      <w:pPr>
        <w:snapToGrid w:val="0"/>
        <w:spacing w:line="360" w:lineRule="auto"/>
        <w:ind w:firstLine="420" w:firstLineChars="200"/>
        <w:rPr>
          <w:rFonts w:asciiTheme="minorEastAsia" w:eastAsiaTheme="minorEastAsia" w:hAnsiTheme="minorEastAsia"/>
          <w:b/>
          <w:color w:val="000000" w:themeColor="text1"/>
          <w:szCs w:val="21"/>
        </w:rPr>
      </w:pPr>
      <w:r w:rsidRPr="00054588">
        <w:rPr>
          <w:rFonts w:asciiTheme="minorEastAsia" w:eastAsiaTheme="minorEastAsia" w:hAnsiTheme="minorEastAsia" w:hint="eastAsia"/>
          <w:b/>
          <w:color w:val="000000" w:themeColor="text1"/>
          <w:szCs w:val="21"/>
        </w:rPr>
        <w:t>4、基金费用的调整</w:t>
      </w:r>
    </w:p>
    <w:p w:rsidR="007228CC" w:rsidRPr="00054588" w:rsidP="0071223F">
      <w:pPr>
        <w:snapToGrid w:val="0"/>
        <w:spacing w:line="360" w:lineRule="auto"/>
        <w:ind w:firstLine="42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基金管理人和基金托管人可根据基金发展情况调低基金管理费率和基金托管费率。</w:t>
      </w:r>
      <w:r w:rsidRPr="00054588">
        <w:rPr>
          <w:rFonts w:asciiTheme="minorEastAsia" w:eastAsiaTheme="minorEastAsia" w:hAnsiTheme="minorEastAsia"/>
          <w:color w:val="000000" w:themeColor="text1"/>
          <w:szCs w:val="21"/>
        </w:rPr>
        <w:t>基金管理人必须最迟于新的费率实施日</w:t>
      </w:r>
      <w:r w:rsidRPr="00054588">
        <w:rPr>
          <w:rFonts w:asciiTheme="minorEastAsia" w:eastAsiaTheme="minorEastAsia" w:hAnsiTheme="minorEastAsia" w:hint="eastAsia"/>
          <w:color w:val="000000" w:themeColor="text1"/>
          <w:szCs w:val="21"/>
        </w:rPr>
        <w:t>2</w:t>
      </w:r>
      <w:r w:rsidRPr="00054588">
        <w:rPr>
          <w:rFonts w:asciiTheme="minorEastAsia" w:eastAsiaTheme="minorEastAsia" w:hAnsiTheme="minorEastAsia"/>
          <w:color w:val="000000" w:themeColor="text1"/>
          <w:szCs w:val="21"/>
        </w:rPr>
        <w:t>日</w:t>
      </w:r>
      <w:r w:rsidRPr="00054588">
        <w:rPr>
          <w:rFonts w:asciiTheme="minorEastAsia" w:eastAsiaTheme="minorEastAsia" w:hAnsiTheme="minorEastAsia" w:hint="eastAsia"/>
          <w:color w:val="000000" w:themeColor="text1"/>
          <w:szCs w:val="21"/>
        </w:rPr>
        <w:t>前</w:t>
      </w:r>
      <w:r w:rsidRPr="00054588">
        <w:rPr>
          <w:rFonts w:asciiTheme="minorEastAsia" w:eastAsiaTheme="minorEastAsia" w:hAnsiTheme="minorEastAsia"/>
          <w:color w:val="000000" w:themeColor="text1"/>
          <w:szCs w:val="21"/>
        </w:rPr>
        <w:t>在</w:t>
      </w:r>
      <w:r w:rsidRPr="00054588" w:rsidR="00575E02">
        <w:rPr>
          <w:rFonts w:asciiTheme="minorEastAsia" w:eastAsiaTheme="minorEastAsia" w:hAnsiTheme="minorEastAsia"/>
          <w:color w:val="000000" w:themeColor="text1"/>
          <w:szCs w:val="21"/>
        </w:rPr>
        <w:t>指定媒介</w:t>
      </w:r>
      <w:r w:rsidRPr="00054588">
        <w:rPr>
          <w:rFonts w:asciiTheme="minorEastAsia" w:eastAsiaTheme="minorEastAsia" w:hAnsiTheme="minorEastAsia"/>
          <w:color w:val="000000" w:themeColor="text1"/>
          <w:szCs w:val="21"/>
        </w:rPr>
        <w:t>上刊登公告。</w:t>
      </w:r>
    </w:p>
    <w:p w:rsidR="007228CC" w:rsidRPr="00054588"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414" w:name="_Toc211920190"/>
      <w:bookmarkStart w:id="415" w:name="_Toc211927719"/>
      <w:bookmarkStart w:id="416" w:name="_Toc123296480"/>
      <w:r w:rsidRPr="00054588">
        <w:rPr>
          <w:rFonts w:asciiTheme="minorEastAsia" w:eastAsiaTheme="minorEastAsia" w:hAnsiTheme="minorEastAsia" w:hint="eastAsia"/>
          <w:color w:val="000000" w:themeColor="text1"/>
        </w:rPr>
        <w:t>（二）与基金销售有关的费用</w:t>
      </w:r>
      <w:bookmarkEnd w:id="414"/>
      <w:bookmarkEnd w:id="415"/>
      <w:bookmarkEnd w:id="416"/>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bookmarkStart w:id="417" w:name="_Toc84149673"/>
      <w:bookmarkStart w:id="418" w:name="_Toc86584637"/>
      <w:r w:rsidRPr="00054588">
        <w:rPr>
          <w:rFonts w:asciiTheme="minorEastAsia" w:eastAsiaTheme="minorEastAsia" w:hAnsiTheme="minorEastAsia" w:hint="eastAsia"/>
          <w:color w:val="000000" w:themeColor="text1"/>
          <w:szCs w:val="21"/>
        </w:rPr>
        <w:t>1、</w:t>
      </w:r>
      <w:r w:rsidRPr="00054588">
        <w:rPr>
          <w:rFonts w:asciiTheme="minorEastAsia" w:eastAsiaTheme="minorEastAsia" w:hAnsiTheme="minorEastAsia"/>
          <w:color w:val="000000" w:themeColor="text1"/>
          <w:szCs w:val="21"/>
        </w:rPr>
        <w:t>本基金的申购费、赎回费的费率水平、计算公式</w:t>
      </w:r>
      <w:r w:rsidRPr="00054588">
        <w:rPr>
          <w:rFonts w:asciiTheme="minorEastAsia" w:eastAsiaTheme="minorEastAsia" w:hAnsiTheme="minorEastAsia" w:hint="eastAsia"/>
          <w:color w:val="000000" w:themeColor="text1"/>
          <w:szCs w:val="21"/>
        </w:rPr>
        <w:t>和</w:t>
      </w:r>
      <w:r w:rsidRPr="00054588">
        <w:rPr>
          <w:rFonts w:asciiTheme="minorEastAsia" w:eastAsiaTheme="minorEastAsia" w:hAnsiTheme="minorEastAsia"/>
          <w:color w:val="000000" w:themeColor="text1"/>
          <w:szCs w:val="21"/>
        </w:rPr>
        <w:t>收取方式详见本招募说明书</w:t>
      </w:r>
      <w:r w:rsidRPr="00054588" w:rsidR="008D22FF">
        <w:rPr>
          <w:rFonts w:asciiTheme="minorEastAsia" w:eastAsiaTheme="minorEastAsia" w:hAnsiTheme="minorEastAsia" w:hint="eastAsia"/>
          <w:color w:val="000000" w:themeColor="text1"/>
          <w:szCs w:val="21"/>
        </w:rPr>
        <w:t>“八、基金份额的申购、赎回”中的</w:t>
      </w:r>
      <w:r w:rsidRPr="00054588" w:rsidR="008D22FF">
        <w:rPr>
          <w:rFonts w:asciiTheme="minorEastAsia" w:eastAsiaTheme="minorEastAsia" w:hAnsiTheme="minorEastAsia" w:hint="eastAsia"/>
          <w:color w:val="000000" w:themeColor="text1"/>
        </w:rPr>
        <w:t>“（七）申购与赎回的费率”和“（八）申购份额与赎回金额的计算方式”的相关规定。</w:t>
      </w:r>
    </w:p>
    <w:p w:rsidR="007228CC" w:rsidRPr="00054588" w:rsidP="0071223F">
      <w:pPr>
        <w:snapToGrid w:val="0"/>
        <w:spacing w:line="360" w:lineRule="auto"/>
        <w:ind w:firstLine="42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w:t>
      </w:r>
      <w:r w:rsidRPr="00054588">
        <w:rPr>
          <w:rFonts w:asciiTheme="minorEastAsia" w:eastAsiaTheme="minorEastAsia" w:hAnsiTheme="minorEastAsia"/>
          <w:color w:val="000000" w:themeColor="text1"/>
          <w:szCs w:val="21"/>
        </w:rPr>
        <w:t>转换费率</w:t>
      </w:r>
    </w:p>
    <w:p w:rsidR="007228CC" w:rsidRPr="00054588" w:rsidP="0071223F">
      <w:pPr>
        <w:snapToGrid w:val="0"/>
        <w:spacing w:line="360" w:lineRule="auto"/>
        <w:ind w:firstLine="420"/>
        <w:rPr>
          <w:rFonts w:asciiTheme="minorEastAsia" w:eastAsiaTheme="minorEastAsia" w:hAnsiTheme="minorEastAsia"/>
          <w:color w:val="000000" w:themeColor="text1"/>
          <w:szCs w:val="21"/>
        </w:rPr>
      </w:pPr>
      <w:r w:rsidRPr="00054588">
        <w:rPr>
          <w:rFonts w:asciiTheme="minorEastAsia" w:eastAsiaTheme="minorEastAsia" w:hAnsiTheme="minorEastAsia" w:hint="eastAsia"/>
          <w:bCs/>
          <w:color w:val="000000" w:themeColor="text1"/>
          <w:szCs w:val="21"/>
        </w:rPr>
        <w:t>目前，基金管理人已开通了本基金与旗下部分开放式基金之间的转换业务，具体实施办法和转换费率详见相关公告。</w:t>
      </w:r>
      <w:r w:rsidRPr="00054588">
        <w:rPr>
          <w:rFonts w:asciiTheme="minorEastAsia" w:eastAsiaTheme="minorEastAsia" w:hAnsiTheme="minorEastAsia" w:hint="eastAsia"/>
          <w:color w:val="000000" w:themeColor="text1"/>
        </w:rPr>
        <w:t>基金转换费由基金份额持有人承担，</w:t>
      </w:r>
      <w:r w:rsidRPr="00054588">
        <w:rPr>
          <w:rFonts w:asciiTheme="minorEastAsia" w:eastAsiaTheme="minorEastAsia" w:hAnsiTheme="minorEastAsia" w:hint="eastAsia"/>
          <w:color w:val="000000" w:themeColor="text1"/>
          <w:szCs w:val="21"/>
        </w:rPr>
        <w:t>由转出基金赎回费用及基金申购补差费用构成，其中赎回费按照</w:t>
      </w:r>
      <w:r w:rsidRPr="00054588" w:rsidR="00223301">
        <w:rPr>
          <w:rFonts w:asciiTheme="minorEastAsia" w:eastAsiaTheme="minorEastAsia" w:hAnsiTheme="minorEastAsia" w:hint="eastAsia"/>
          <w:color w:val="000000" w:themeColor="text1"/>
          <w:szCs w:val="21"/>
        </w:rPr>
        <w:t>各基金</w:t>
      </w:r>
      <w:r w:rsidRPr="00054588" w:rsidR="00223301">
        <w:rPr>
          <w:rFonts w:asciiTheme="minorEastAsia" w:eastAsiaTheme="minorEastAsia" w:hAnsiTheme="minorEastAsia"/>
          <w:color w:val="000000" w:themeColor="text1"/>
          <w:szCs w:val="21"/>
        </w:rPr>
        <w:t>的</w:t>
      </w:r>
      <w:r w:rsidRPr="00054588">
        <w:rPr>
          <w:rFonts w:asciiTheme="minorEastAsia" w:eastAsiaTheme="minorEastAsia" w:hAnsiTheme="minorEastAsia" w:hint="eastAsia"/>
          <w:color w:val="000000" w:themeColor="text1"/>
          <w:szCs w:val="21"/>
        </w:rPr>
        <w:t>基金合同、更新的招募说明书及最新的相关公告约定的比例归入基金财产，其余部分用于支付注册登记费等相关手续费，</w:t>
      </w:r>
      <w:r w:rsidRPr="00054588">
        <w:rPr>
          <w:rFonts w:asciiTheme="minorEastAsia" w:eastAsiaTheme="minorEastAsia" w:hAnsiTheme="minorEastAsia"/>
          <w:color w:val="000000" w:themeColor="text1"/>
          <w:szCs w:val="21"/>
        </w:rPr>
        <w:t>转换费用以人民币元为单位，计算结果按照四舍五入方法，保留小数点后两位</w:t>
      </w:r>
      <w:r w:rsidRPr="00054588">
        <w:rPr>
          <w:rFonts w:asciiTheme="minorEastAsia" w:eastAsiaTheme="minorEastAsia" w:hAnsiTheme="minorEastAsia" w:cs="宋体" w:hint="eastAsia"/>
          <w:color w:val="000000" w:themeColor="text1"/>
          <w:kern w:val="0"/>
          <w:szCs w:val="21"/>
        </w:rPr>
        <w:t>。</w:t>
      </w:r>
    </w:p>
    <w:p w:rsidR="007228CC" w:rsidRPr="00054588" w:rsidP="0071223F">
      <w:pPr>
        <w:snapToGrid w:val="0"/>
        <w:spacing w:line="360" w:lineRule="auto"/>
        <w:ind w:firstLine="42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3、投资者通过本公司网上交易系统（www.efunds.com.cn）进行申购、赎回和转换的交易费率，请具体参照我公司网站上的相关说明。</w:t>
      </w:r>
    </w:p>
    <w:p w:rsidR="007228CC" w:rsidRPr="00054588" w:rsidP="0071223F">
      <w:pPr>
        <w:pStyle w:val="NormalIndent"/>
        <w:tabs>
          <w:tab w:val="left" w:pos="735"/>
        </w:tabs>
        <w:snapToGrid w:val="0"/>
        <w:spacing w:line="360" w:lineRule="auto"/>
        <w:ind w:firstLine="420" w:firstLineChars="20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szCs w:val="21"/>
        </w:rPr>
        <w:t>4</w:t>
      </w:r>
      <w:r w:rsidRPr="00054588" w:rsidR="0021144C">
        <w:rPr>
          <w:rFonts w:asciiTheme="minorEastAsia" w:eastAsiaTheme="minorEastAsia" w:hAnsiTheme="minorEastAsia" w:hint="eastAsia"/>
          <w:color w:val="000000" w:themeColor="text1"/>
        </w:rPr>
        <w:t>、</w:t>
      </w:r>
      <w:r w:rsidRPr="00054588">
        <w:rPr>
          <w:rFonts w:asciiTheme="minorEastAsia" w:eastAsiaTheme="minorEastAsia" w:hAnsiTheme="minorEastAsia"/>
          <w:color w:val="000000" w:themeColor="text1"/>
        </w:rPr>
        <w:t>基金管理人可以在基金合同规定的范围内调整</w:t>
      </w:r>
      <w:r w:rsidRPr="00054588">
        <w:rPr>
          <w:rFonts w:asciiTheme="minorEastAsia" w:eastAsiaTheme="minorEastAsia" w:hAnsiTheme="minorEastAsia" w:hint="eastAsia"/>
          <w:color w:val="000000" w:themeColor="text1"/>
        </w:rPr>
        <w:t>上述</w:t>
      </w:r>
      <w:r w:rsidRPr="00054588">
        <w:rPr>
          <w:rFonts w:asciiTheme="minorEastAsia" w:eastAsiaTheme="minorEastAsia" w:hAnsiTheme="minorEastAsia"/>
          <w:color w:val="000000" w:themeColor="text1"/>
        </w:rPr>
        <w:t>费率</w:t>
      </w:r>
      <w:r w:rsidRPr="00054588">
        <w:rPr>
          <w:rFonts w:asciiTheme="minorEastAsia" w:eastAsiaTheme="minorEastAsia" w:hAnsiTheme="minorEastAsia" w:hint="eastAsia"/>
          <w:color w:val="000000" w:themeColor="text1"/>
        </w:rPr>
        <w:t>。</w:t>
      </w:r>
      <w:r w:rsidRPr="00054588">
        <w:rPr>
          <w:rFonts w:asciiTheme="minorEastAsia" w:eastAsiaTheme="minorEastAsia" w:hAnsiTheme="minorEastAsia"/>
          <w:color w:val="000000" w:themeColor="text1"/>
        </w:rPr>
        <w:t>上述费率如发生变更，基金管理人应最迟于新的费率实施前</w:t>
      </w:r>
      <w:r w:rsidRPr="00054588">
        <w:rPr>
          <w:rFonts w:asciiTheme="minorEastAsia" w:eastAsiaTheme="minorEastAsia" w:hAnsiTheme="minorEastAsia" w:hint="eastAsia"/>
          <w:color w:val="000000" w:themeColor="text1"/>
        </w:rPr>
        <w:t>2</w:t>
      </w:r>
      <w:r w:rsidRPr="00054588">
        <w:rPr>
          <w:rFonts w:asciiTheme="minorEastAsia" w:eastAsiaTheme="minorEastAsia" w:hAnsiTheme="minorEastAsia"/>
          <w:color w:val="000000" w:themeColor="text1"/>
        </w:rPr>
        <w:t>日在至少一种中国证监会指定</w:t>
      </w:r>
      <w:r w:rsidRPr="00054588" w:rsidR="00D53B98">
        <w:rPr>
          <w:rFonts w:asciiTheme="minorEastAsia" w:eastAsiaTheme="minorEastAsia" w:hAnsiTheme="minorEastAsia" w:hint="eastAsia"/>
          <w:color w:val="000000" w:themeColor="text1"/>
        </w:rPr>
        <w:t>媒介</w:t>
      </w:r>
      <w:r w:rsidRPr="00054588">
        <w:rPr>
          <w:rFonts w:asciiTheme="minorEastAsia" w:eastAsiaTheme="minorEastAsia" w:hAnsiTheme="minorEastAsia"/>
          <w:color w:val="000000" w:themeColor="text1"/>
        </w:rPr>
        <w:t>公告。</w:t>
      </w:r>
    </w:p>
    <w:p w:rsidR="007228CC" w:rsidRPr="00054588" w:rsidP="0071223F">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5、</w:t>
      </w:r>
      <w:r w:rsidRPr="00054588" w:rsidR="009861F0">
        <w:rPr>
          <w:rFonts w:asciiTheme="minorEastAsia" w:eastAsiaTheme="minorEastAsia" w:hAnsiTheme="minorEastAsia" w:hint="eastAsia"/>
          <w:color w:val="000000" w:themeColor="text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401C0B" w:rsidRPr="00054588" w:rsidP="00B30899">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419" w:name="_Toc123296481"/>
      <w:r w:rsidRPr="00054588">
        <w:rPr>
          <w:rFonts w:asciiTheme="minorEastAsia" w:eastAsiaTheme="minorEastAsia" w:hAnsiTheme="minorEastAsia" w:hint="eastAsia"/>
          <w:color w:val="000000" w:themeColor="text1"/>
        </w:rPr>
        <w:t>（三）实施侧袋机制期间的基金费用</w:t>
      </w:r>
      <w:bookmarkEnd w:id="419"/>
    </w:p>
    <w:p w:rsidR="00401C0B" w:rsidRPr="00054588" w:rsidP="00401C0B">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054588">
        <w:rPr>
          <w:rStyle w:val="da"/>
          <w:rFonts w:asciiTheme="minorEastAsia" w:eastAsiaTheme="minorEastAsia" w:hAnsiTheme="minorEastAsia" w:hint="eastAsia"/>
          <w:color w:val="000000" w:themeColor="text1"/>
        </w:rPr>
        <w:t>本基金实施侧袋机制的，与侧袋账户有关的费用可以从侧袋账户中列支，但应待侧袋账户资产变现后方可列支，有关费用可酌情收取或减免，但不得收取管理费。</w:t>
      </w:r>
    </w:p>
    <w:p w:rsidR="007228CC" w:rsidRPr="00054588"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420" w:name="_Toc211920191"/>
      <w:bookmarkStart w:id="421" w:name="_Toc211927720"/>
      <w:bookmarkStart w:id="422" w:name="_Toc123296482"/>
      <w:r w:rsidRPr="00054588">
        <w:rPr>
          <w:rFonts w:asciiTheme="minorEastAsia" w:eastAsiaTheme="minorEastAsia" w:hAnsiTheme="minorEastAsia" w:hint="eastAsia"/>
          <w:color w:val="000000" w:themeColor="text1"/>
        </w:rPr>
        <w:t>（</w:t>
      </w:r>
      <w:r w:rsidRPr="00054588" w:rsidR="00401C0B">
        <w:rPr>
          <w:rFonts w:asciiTheme="minorEastAsia" w:eastAsiaTheme="minorEastAsia" w:hAnsiTheme="minorEastAsia"/>
          <w:color w:val="000000" w:themeColor="text1"/>
        </w:rPr>
        <w:t>四</w:t>
      </w:r>
      <w:r w:rsidRPr="00054588">
        <w:rPr>
          <w:rFonts w:asciiTheme="minorEastAsia" w:eastAsiaTheme="minorEastAsia" w:hAnsiTheme="minorEastAsia" w:hint="eastAsia"/>
          <w:color w:val="000000" w:themeColor="text1"/>
        </w:rPr>
        <w:t>）税收</w:t>
      </w:r>
      <w:bookmarkEnd w:id="420"/>
      <w:bookmarkEnd w:id="421"/>
      <w:bookmarkEnd w:id="422"/>
    </w:p>
    <w:p w:rsidR="007228CC" w:rsidRPr="00054588" w:rsidP="0071223F">
      <w:pPr>
        <w:snapToGrid w:val="0"/>
        <w:spacing w:line="360" w:lineRule="auto"/>
        <w:ind w:firstLine="420"/>
        <w:rPr>
          <w:rFonts w:asciiTheme="minorEastAsia" w:eastAsiaTheme="minorEastAsia" w:hAnsiTheme="minorEastAsia"/>
          <w:color w:val="000000" w:themeColor="text1"/>
          <w:kern w:val="0"/>
          <w:sz w:val="24"/>
        </w:rPr>
      </w:pPr>
      <w:r w:rsidRPr="00054588">
        <w:rPr>
          <w:rFonts w:asciiTheme="minorEastAsia" w:eastAsiaTheme="minorEastAsia" w:hAnsiTheme="minorEastAsia" w:hint="eastAsia"/>
          <w:color w:val="000000" w:themeColor="text1"/>
          <w:szCs w:val="21"/>
        </w:rPr>
        <w:t>本基金运作过程中涉及的各纳税主体，应按国家税收法律、法规履行其纳税义务。</w:t>
      </w:r>
    </w:p>
    <w:bookmarkEnd w:id="417"/>
    <w:bookmarkEnd w:id="418"/>
    <w:p w:rsidR="007228CC" w:rsidRPr="00054588" w:rsidP="0071223F">
      <w:pPr>
        <w:snapToGrid w:val="0"/>
        <w:spacing w:line="360" w:lineRule="auto"/>
        <w:rPr>
          <w:rFonts w:asciiTheme="minorEastAsia" w:eastAsiaTheme="minorEastAsia" w:hAnsiTheme="minorEastAsia"/>
          <w:color w:val="000000" w:themeColor="text1"/>
        </w:rPr>
      </w:pPr>
    </w:p>
    <w:p w:rsidR="007228CC" w:rsidRPr="00054588" w:rsidP="0071223F">
      <w:pPr>
        <w:snapToGrid w:val="0"/>
        <w:spacing w:line="360" w:lineRule="auto"/>
        <w:ind w:firstLine="640"/>
        <w:rPr>
          <w:rFonts w:asciiTheme="minorEastAsia" w:eastAsiaTheme="minorEastAsia" w:hAnsiTheme="minorEastAsia"/>
          <w:color w:val="000000" w:themeColor="text1"/>
        </w:rPr>
      </w:pPr>
    </w:p>
    <w:p w:rsidR="007228CC" w:rsidRPr="00054588" w:rsidP="0071223F">
      <w:pPr>
        <w:snapToGrid w:val="0"/>
        <w:spacing w:line="360" w:lineRule="auto"/>
        <w:ind w:firstLine="640"/>
        <w:rPr>
          <w:rFonts w:asciiTheme="minorEastAsia" w:eastAsiaTheme="minorEastAsia" w:hAnsiTheme="minorEastAsia"/>
          <w:color w:val="000000" w:themeColor="text1"/>
        </w:rPr>
      </w:pPr>
    </w:p>
    <w:p w:rsidR="007228CC" w:rsidRPr="00054588" w:rsidP="00941EC8">
      <w:pPr>
        <w:pStyle w:val="Heading1"/>
        <w:numPr>
          <w:ilvl w:val="0"/>
          <w:numId w:val="7"/>
        </w:numPr>
        <w:tabs>
          <w:tab w:val="num" w:pos="0"/>
          <w:tab w:val="clear" w:pos="2798"/>
        </w:tabs>
        <w:snapToGrid w:val="0"/>
        <w:spacing w:beforeLines="0" w:afterLines="0" w:line="360" w:lineRule="auto"/>
        <w:ind w:left="0" w:firstLine="0" w:firstLineChars="0"/>
        <w:rPr>
          <w:rFonts w:asciiTheme="minorEastAsia" w:eastAsiaTheme="minorEastAsia" w:hAnsiTheme="minorEastAsia"/>
          <w:color w:val="000000" w:themeColor="text1"/>
        </w:rPr>
        <w:sectPr w:rsidSect="00DE4B5E">
          <w:pgSz w:w="11906" w:h="16838" w:code="9"/>
          <w:pgMar w:top="1440" w:right="1800" w:bottom="1440" w:left="1800" w:header="851" w:footer="992" w:gutter="0"/>
          <w:cols w:space="425"/>
          <w:docGrid w:type="lines" w:linePitch="312"/>
        </w:sectPr>
      </w:pPr>
      <w:bookmarkStart w:id="423" w:name="_Toc211920192"/>
      <w:bookmarkStart w:id="424" w:name="_Toc211927721"/>
    </w:p>
    <w:p w:rsidR="007228CC" w:rsidRPr="00054588" w:rsidP="00941EC8">
      <w:pPr>
        <w:pStyle w:val="111"/>
        <w:numPr>
          <w:ilvl w:val="0"/>
          <w:numId w:val="7"/>
        </w:numPr>
        <w:tabs>
          <w:tab w:val="num" w:pos="0"/>
          <w:tab w:val="clear" w:pos="2798"/>
        </w:tabs>
        <w:snapToGrid w:val="0"/>
        <w:spacing w:beforeLines="0" w:afterLines="0" w:line="360" w:lineRule="auto"/>
        <w:ind w:left="0" w:firstLine="0" w:firstLineChars="0"/>
        <w:rPr>
          <w:rFonts w:asciiTheme="minorEastAsia" w:eastAsiaTheme="minorEastAsia" w:hAnsiTheme="minorEastAsia"/>
          <w:b/>
          <w:color w:val="000000" w:themeColor="text1"/>
        </w:rPr>
      </w:pPr>
      <w:bookmarkStart w:id="425" w:name="_Toc123296483"/>
      <w:r w:rsidRPr="00054588">
        <w:rPr>
          <w:rFonts w:asciiTheme="minorEastAsia" w:eastAsiaTheme="minorEastAsia" w:hAnsiTheme="minorEastAsia" w:hint="eastAsia"/>
          <w:b/>
          <w:color w:val="000000" w:themeColor="text1"/>
        </w:rPr>
        <w:t>基金的会计与审计</w:t>
      </w:r>
      <w:bookmarkEnd w:id="423"/>
      <w:bookmarkEnd w:id="424"/>
      <w:bookmarkEnd w:id="425"/>
    </w:p>
    <w:p w:rsidR="007228CC" w:rsidRPr="00054588"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426" w:name="_Toc211920193"/>
      <w:bookmarkStart w:id="427" w:name="_Toc211927722"/>
      <w:bookmarkStart w:id="428" w:name="_Toc123296484"/>
      <w:r w:rsidRPr="00054588">
        <w:rPr>
          <w:rFonts w:asciiTheme="minorEastAsia" w:eastAsiaTheme="minorEastAsia" w:hAnsiTheme="minorEastAsia" w:hint="eastAsia"/>
          <w:color w:val="000000" w:themeColor="text1"/>
        </w:rPr>
        <w:t>（一）基金会计政策</w:t>
      </w:r>
      <w:bookmarkEnd w:id="426"/>
      <w:bookmarkEnd w:id="427"/>
      <w:bookmarkEnd w:id="428"/>
    </w:p>
    <w:p w:rsidR="007228CC" w:rsidRPr="00054588" w:rsidP="0021144C">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1、基金管理人为本基金的基金会计责任方；</w:t>
      </w:r>
    </w:p>
    <w:p w:rsidR="007228CC" w:rsidRPr="00054588" w:rsidP="0021144C">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2、本基金的会计年度为公历每年的</w:t>
      </w:r>
      <w:r w:rsidRPr="00054588">
        <w:rPr>
          <w:rFonts w:asciiTheme="minorEastAsia" w:eastAsiaTheme="minorEastAsia" w:hAnsiTheme="minorEastAsia"/>
          <w:color w:val="000000" w:themeColor="text1"/>
        </w:rPr>
        <w:t>1</w:t>
      </w:r>
      <w:r w:rsidRPr="00054588">
        <w:rPr>
          <w:rFonts w:asciiTheme="minorEastAsia" w:eastAsiaTheme="minorEastAsia" w:hAnsiTheme="minorEastAsia" w:hint="eastAsia"/>
          <w:color w:val="000000" w:themeColor="text1"/>
        </w:rPr>
        <w:t>月</w:t>
      </w:r>
      <w:r w:rsidRPr="00054588">
        <w:rPr>
          <w:rFonts w:asciiTheme="minorEastAsia" w:eastAsiaTheme="minorEastAsia" w:hAnsiTheme="minorEastAsia"/>
          <w:color w:val="000000" w:themeColor="text1"/>
        </w:rPr>
        <w:t>1</w:t>
      </w:r>
      <w:r w:rsidRPr="00054588">
        <w:rPr>
          <w:rFonts w:asciiTheme="minorEastAsia" w:eastAsiaTheme="minorEastAsia" w:hAnsiTheme="minorEastAsia" w:hint="eastAsia"/>
          <w:color w:val="000000" w:themeColor="text1"/>
        </w:rPr>
        <w:t>日至</w:t>
      </w:r>
      <w:r w:rsidRPr="00054588">
        <w:rPr>
          <w:rFonts w:asciiTheme="minorEastAsia" w:eastAsiaTheme="minorEastAsia" w:hAnsiTheme="minorEastAsia"/>
          <w:color w:val="000000" w:themeColor="text1"/>
        </w:rPr>
        <w:t>12</w:t>
      </w:r>
      <w:r w:rsidRPr="00054588">
        <w:rPr>
          <w:rFonts w:asciiTheme="minorEastAsia" w:eastAsiaTheme="minorEastAsia" w:hAnsiTheme="minorEastAsia" w:hint="eastAsia"/>
          <w:color w:val="000000" w:themeColor="text1"/>
        </w:rPr>
        <w:t>月</w:t>
      </w:r>
      <w:r w:rsidRPr="00054588">
        <w:rPr>
          <w:rFonts w:asciiTheme="minorEastAsia" w:eastAsiaTheme="minorEastAsia" w:hAnsiTheme="minorEastAsia"/>
          <w:color w:val="000000" w:themeColor="text1"/>
        </w:rPr>
        <w:t>31</w:t>
      </w:r>
      <w:r w:rsidRPr="00054588">
        <w:rPr>
          <w:rFonts w:asciiTheme="minorEastAsia" w:eastAsiaTheme="minorEastAsia" w:hAnsiTheme="minorEastAsia" w:hint="eastAsia"/>
          <w:color w:val="000000" w:themeColor="text1"/>
        </w:rPr>
        <w:t>日，</w:t>
      </w:r>
      <w:r w:rsidRPr="00054588">
        <w:rPr>
          <w:rFonts w:asciiTheme="minorEastAsia" w:eastAsiaTheme="minorEastAsia" w:hAnsiTheme="minorEastAsia"/>
          <w:color w:val="000000" w:themeColor="text1"/>
        </w:rPr>
        <w:t>如果基金募集</w:t>
      </w:r>
      <w:r w:rsidRPr="00054588">
        <w:rPr>
          <w:rFonts w:asciiTheme="minorEastAsia" w:eastAsiaTheme="minorEastAsia" w:hAnsiTheme="minorEastAsia" w:hint="eastAsia"/>
          <w:color w:val="000000" w:themeColor="text1"/>
        </w:rPr>
        <w:t>所在</w:t>
      </w:r>
      <w:r w:rsidRPr="00054588">
        <w:rPr>
          <w:rFonts w:asciiTheme="minorEastAsia" w:eastAsiaTheme="minorEastAsia" w:hAnsiTheme="minorEastAsia"/>
          <w:color w:val="000000" w:themeColor="text1"/>
        </w:rPr>
        <w:t>的会计年度，基金合同生效少于</w:t>
      </w:r>
      <w:r w:rsidRPr="00054588">
        <w:rPr>
          <w:rFonts w:asciiTheme="minorEastAsia" w:eastAsiaTheme="minorEastAsia" w:hAnsiTheme="minorEastAsia" w:hint="eastAsia"/>
          <w:color w:val="000000" w:themeColor="text1"/>
        </w:rPr>
        <w:t>2</w:t>
      </w:r>
      <w:r w:rsidRPr="00054588">
        <w:rPr>
          <w:rFonts w:asciiTheme="minorEastAsia" w:eastAsiaTheme="minorEastAsia" w:hAnsiTheme="minorEastAsia"/>
          <w:color w:val="000000" w:themeColor="text1"/>
        </w:rPr>
        <w:t>个月</w:t>
      </w:r>
      <w:r w:rsidRPr="00054588">
        <w:rPr>
          <w:rFonts w:asciiTheme="minorEastAsia" w:eastAsiaTheme="minorEastAsia" w:hAnsiTheme="minorEastAsia" w:hint="eastAsia"/>
          <w:color w:val="000000" w:themeColor="text1"/>
        </w:rPr>
        <w:t>，</w:t>
      </w:r>
      <w:r w:rsidRPr="00054588">
        <w:rPr>
          <w:rFonts w:asciiTheme="minorEastAsia" w:eastAsiaTheme="minorEastAsia" w:hAnsiTheme="minorEastAsia"/>
          <w:color w:val="000000" w:themeColor="text1"/>
        </w:rPr>
        <w:t>可以并入下一个会计年度</w:t>
      </w:r>
      <w:r w:rsidRPr="00054588">
        <w:rPr>
          <w:rFonts w:asciiTheme="minorEastAsia" w:eastAsiaTheme="minorEastAsia" w:hAnsiTheme="minorEastAsia" w:hint="eastAsia"/>
          <w:color w:val="000000" w:themeColor="text1"/>
        </w:rPr>
        <w:t>；</w:t>
      </w:r>
    </w:p>
    <w:p w:rsidR="007228CC" w:rsidRPr="00054588" w:rsidP="0021144C">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3、基金核算以人民币为记账本位币，以人民币元为记账单位；</w:t>
      </w:r>
    </w:p>
    <w:p w:rsidR="007228CC" w:rsidRPr="00054588" w:rsidP="0021144C">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4、会计制度执行国家有关会计制度；</w:t>
      </w:r>
    </w:p>
    <w:p w:rsidR="007228CC" w:rsidRPr="00054588" w:rsidP="0021144C">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5、本基金独立建账、独立核算；</w:t>
      </w:r>
    </w:p>
    <w:p w:rsidR="007228CC" w:rsidRPr="00054588" w:rsidP="0021144C">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6、基金管理人保留完整的会计账目、凭证并进行日常的会计核算，按照有关规定编制基金会计报表；</w:t>
      </w:r>
    </w:p>
    <w:p w:rsidR="007228CC" w:rsidRPr="00054588" w:rsidP="0021144C">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7、基金托管人定期与基金管理人就基金的会计核算、报表编制等进行核对并书面确认。</w:t>
      </w:r>
    </w:p>
    <w:p w:rsidR="007228CC" w:rsidRPr="00054588"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429" w:name="_Toc211920194"/>
      <w:bookmarkStart w:id="430" w:name="_Toc211927723"/>
      <w:bookmarkStart w:id="431" w:name="_Toc123296485"/>
      <w:r w:rsidRPr="00054588">
        <w:rPr>
          <w:rFonts w:asciiTheme="minorEastAsia" w:eastAsiaTheme="minorEastAsia" w:hAnsiTheme="minorEastAsia" w:hint="eastAsia"/>
          <w:color w:val="000000" w:themeColor="text1"/>
        </w:rPr>
        <w:t>（二）基金年度审计</w:t>
      </w:r>
      <w:bookmarkEnd w:id="429"/>
      <w:bookmarkEnd w:id="430"/>
      <w:bookmarkEnd w:id="431"/>
    </w:p>
    <w:p w:rsidR="007228CC" w:rsidRPr="00054588" w:rsidP="0021144C">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1、基金管理人聘请具有</w:t>
      </w:r>
      <w:r w:rsidRPr="00054588" w:rsidR="00DA0868">
        <w:rPr>
          <w:rFonts w:asciiTheme="minorEastAsia" w:eastAsiaTheme="minorEastAsia" w:hAnsiTheme="minorEastAsia" w:hint="eastAsia"/>
          <w:color w:val="000000" w:themeColor="text1"/>
        </w:rPr>
        <w:t>证券、期货相关业务资格</w:t>
      </w:r>
      <w:r w:rsidRPr="00054588">
        <w:rPr>
          <w:rFonts w:asciiTheme="minorEastAsia" w:eastAsiaTheme="minorEastAsia" w:hAnsiTheme="minorEastAsia" w:hint="eastAsia"/>
          <w:color w:val="000000" w:themeColor="text1"/>
        </w:rPr>
        <w:t>的会计师事务所及其注册会计师对本基金年度财务报表</w:t>
      </w:r>
      <w:r w:rsidRPr="00054588">
        <w:rPr>
          <w:rFonts w:asciiTheme="minorEastAsia" w:eastAsiaTheme="minorEastAsia" w:hAnsiTheme="minorEastAsia"/>
          <w:color w:val="000000" w:themeColor="text1"/>
        </w:rPr>
        <w:t>及其他规定事项</w:t>
      </w:r>
      <w:r w:rsidRPr="00054588">
        <w:rPr>
          <w:rFonts w:asciiTheme="minorEastAsia" w:eastAsiaTheme="minorEastAsia" w:hAnsiTheme="minorEastAsia" w:hint="eastAsia"/>
          <w:color w:val="000000" w:themeColor="text1"/>
        </w:rPr>
        <w:t>进行审计。会计师事务所及其注册会计师与基金管理人、基金托管人相互独立。</w:t>
      </w:r>
    </w:p>
    <w:p w:rsidR="007228CC" w:rsidRPr="00054588" w:rsidP="0021144C">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2、会计师事务所更换经办注册会计师时，应事先征得基金管理人同意。</w:t>
      </w:r>
    </w:p>
    <w:p w:rsidR="007228CC" w:rsidRPr="00054588" w:rsidP="0021144C">
      <w:pPr>
        <w:autoSpaceDE w:val="0"/>
        <w:autoSpaceDN w:val="0"/>
        <w:adjustRightInd w:val="0"/>
        <w:snapToGrid w:val="0"/>
        <w:spacing w:line="360" w:lineRule="auto"/>
        <w:ind w:firstLine="420"/>
        <w:jc w:val="left"/>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3、基金管理人(或基金托管人)认为有充足理由更换会计师事务所，经基金托管人(或基金管理人)同意，</w:t>
      </w:r>
      <w:r w:rsidRPr="00054588">
        <w:rPr>
          <w:rFonts w:asciiTheme="minorEastAsia" w:eastAsiaTheme="minorEastAsia" w:hAnsiTheme="minorEastAsia"/>
          <w:color w:val="000000" w:themeColor="text1"/>
        </w:rPr>
        <w:t>并</w:t>
      </w:r>
      <w:r w:rsidRPr="00054588">
        <w:rPr>
          <w:rFonts w:asciiTheme="minorEastAsia" w:eastAsiaTheme="minorEastAsia" w:hAnsiTheme="minorEastAsia" w:hint="eastAsia"/>
          <w:color w:val="000000" w:themeColor="text1"/>
        </w:rPr>
        <w:t>依照《信息披露办法》的有关规定在</w:t>
      </w:r>
      <w:r w:rsidRPr="00054588" w:rsidR="00575E02">
        <w:rPr>
          <w:rFonts w:asciiTheme="minorEastAsia" w:eastAsiaTheme="minorEastAsia" w:hAnsiTheme="minorEastAsia" w:hint="eastAsia"/>
          <w:color w:val="000000" w:themeColor="text1"/>
        </w:rPr>
        <w:t>指定媒介</w:t>
      </w:r>
      <w:r w:rsidRPr="00054588">
        <w:rPr>
          <w:rFonts w:asciiTheme="minorEastAsia" w:eastAsiaTheme="minorEastAsia" w:hAnsiTheme="minorEastAsia" w:hint="eastAsia"/>
          <w:color w:val="000000" w:themeColor="text1"/>
        </w:rPr>
        <w:t>上公告。</w:t>
      </w:r>
    </w:p>
    <w:p w:rsidR="007228CC" w:rsidRPr="00054588" w:rsidP="0071223F">
      <w:pPr>
        <w:snapToGrid w:val="0"/>
        <w:spacing w:line="360" w:lineRule="auto"/>
        <w:rPr>
          <w:rFonts w:asciiTheme="minorEastAsia" w:eastAsiaTheme="minorEastAsia" w:hAnsiTheme="minorEastAsia"/>
          <w:color w:val="000000" w:themeColor="text1"/>
        </w:rPr>
      </w:pPr>
    </w:p>
    <w:p w:rsidR="007228CC" w:rsidRPr="00054588" w:rsidP="0071223F">
      <w:pPr>
        <w:snapToGrid w:val="0"/>
        <w:spacing w:line="360" w:lineRule="auto"/>
        <w:rPr>
          <w:rFonts w:asciiTheme="minorEastAsia" w:eastAsiaTheme="minorEastAsia" w:hAnsiTheme="minorEastAsia"/>
          <w:color w:val="000000" w:themeColor="text1"/>
        </w:rPr>
      </w:pPr>
    </w:p>
    <w:p w:rsidR="007228CC" w:rsidRPr="00054588" w:rsidP="00941EC8">
      <w:pPr>
        <w:pStyle w:val="Heading1"/>
        <w:numPr>
          <w:ilvl w:val="0"/>
          <w:numId w:val="7"/>
        </w:numPr>
        <w:tabs>
          <w:tab w:val="num" w:pos="0"/>
          <w:tab w:val="clear" w:pos="2798"/>
        </w:tabs>
        <w:snapToGrid w:val="0"/>
        <w:spacing w:beforeLines="0" w:afterLines="0" w:line="360" w:lineRule="auto"/>
        <w:ind w:left="0" w:firstLine="0" w:firstLineChars="0"/>
        <w:rPr>
          <w:rFonts w:asciiTheme="minorEastAsia" w:eastAsiaTheme="minorEastAsia" w:hAnsiTheme="minorEastAsia"/>
          <w:color w:val="000000" w:themeColor="text1"/>
        </w:rPr>
        <w:sectPr w:rsidSect="00DE4B5E">
          <w:pgSz w:w="11906" w:h="16838" w:code="9"/>
          <w:pgMar w:top="1440" w:right="1800" w:bottom="1440" w:left="1800" w:header="851" w:footer="992" w:gutter="0"/>
          <w:cols w:space="425"/>
          <w:docGrid w:type="lines" w:linePitch="312"/>
        </w:sectPr>
      </w:pPr>
    </w:p>
    <w:p w:rsidR="007228CC" w:rsidRPr="00054588" w:rsidP="00941EC8">
      <w:pPr>
        <w:pStyle w:val="111"/>
        <w:numPr>
          <w:ilvl w:val="0"/>
          <w:numId w:val="7"/>
        </w:numPr>
        <w:tabs>
          <w:tab w:val="num" w:pos="0"/>
          <w:tab w:val="clear" w:pos="2798"/>
        </w:tabs>
        <w:snapToGrid w:val="0"/>
        <w:spacing w:beforeLines="0" w:afterLines="0" w:line="360" w:lineRule="auto"/>
        <w:ind w:left="0" w:firstLine="0" w:firstLineChars="0"/>
        <w:rPr>
          <w:rFonts w:asciiTheme="minorEastAsia" w:eastAsiaTheme="minorEastAsia" w:hAnsiTheme="minorEastAsia"/>
          <w:b/>
          <w:color w:val="000000" w:themeColor="text1"/>
        </w:rPr>
      </w:pPr>
      <w:bookmarkStart w:id="432" w:name="_Toc123296486"/>
      <w:r w:rsidRPr="00054588">
        <w:rPr>
          <w:rFonts w:asciiTheme="minorEastAsia" w:eastAsiaTheme="minorEastAsia" w:hAnsiTheme="minorEastAsia" w:hint="eastAsia"/>
          <w:b/>
          <w:color w:val="000000" w:themeColor="text1"/>
        </w:rPr>
        <w:t>基金的信息披露</w:t>
      </w:r>
      <w:bookmarkEnd w:id="432"/>
    </w:p>
    <w:p w:rsidR="00DA0868" w:rsidRPr="00054588" w:rsidP="00DA0868">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基金的信息披露应符合《基金法》、《运作办法》、《信息披露办法》、基金合同、及其他有关规定。基金管理人、基金托管人和其他基金信息披露义务人以保护基金份额持有人利益为根本出发点，按照法律法规和中国证监会的规定披露基金信息，并保证所披露信息的真实性、准确性、完整性、及时性、简明性和易得性。</w:t>
      </w:r>
    </w:p>
    <w:p w:rsidR="00DA0868" w:rsidRPr="00054588" w:rsidP="00DA0868">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本基金信息披露义务人包括基金管理人、基金托管人、召集基金份额持有人大会的基金份额持有人等法律、行政法规和中国证监会规定的自然人、法人和非法人组织。本基金信息披露义务人应当在中国证监会规定时间内，将应予披露的基金信息通过中国证监会指定媒介披露，并保证基金投资者能够按照《基金合同》约定的时间和方式查阅或者复制公开披露的信息资料。</w:t>
      </w:r>
    </w:p>
    <w:p w:rsidR="00DA0868" w:rsidRPr="00054588" w:rsidP="00DA0868">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本基金信息披露义务人承诺公开披露的基金信息，不得有下列行为：</w:t>
      </w:r>
    </w:p>
    <w:p w:rsidR="00DA0868" w:rsidRPr="00054588" w:rsidP="00DA0868">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1.虚假记载、误导性陈述或者重大遗漏；</w:t>
      </w:r>
    </w:p>
    <w:p w:rsidR="00DA0868" w:rsidRPr="00054588" w:rsidP="00DA0868">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2.对证券投资业绩进行预测；</w:t>
      </w:r>
    </w:p>
    <w:p w:rsidR="00DA0868" w:rsidRPr="00054588" w:rsidP="00DA0868">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3.违规承诺收益或者承担损失；</w:t>
      </w:r>
    </w:p>
    <w:p w:rsidR="00DA0868" w:rsidRPr="00054588" w:rsidP="00DA0868">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rPr>
        <w:t>4.诋毁其他基金管理人、基金托管人或者基金份额销售机构；</w:t>
      </w:r>
    </w:p>
    <w:p w:rsidR="00DA0868" w:rsidRPr="00054588" w:rsidP="00DA0868">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5.登载任何自然人、法人和非法人组织的祝贺性、恭维性或推荐性的文字；</w:t>
      </w:r>
    </w:p>
    <w:p w:rsidR="00DA0868" w:rsidRPr="00054588" w:rsidP="00DA0868">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6.中国证监会禁止的其他行为。</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本基金公开披露的信息应采用中文文本。如同时采用外文文本的，基金信息披露义务人应保证不同文本的内容一致。不同文本之间发生歧义的，以中文文本为准。</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本基金公开披露的信息采用阿拉伯数字；除特别说明外，货币单位为人民币元。</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公开披露的基金信息包括：</w:t>
      </w:r>
    </w:p>
    <w:p w:rsidR="007228CC" w:rsidRPr="00054588"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433" w:name="_Toc211920196"/>
      <w:bookmarkStart w:id="434" w:name="_Toc211927725"/>
      <w:bookmarkStart w:id="435" w:name="_Toc123296487"/>
      <w:r w:rsidRPr="00054588">
        <w:rPr>
          <w:rFonts w:asciiTheme="minorEastAsia" w:eastAsiaTheme="minorEastAsia" w:hAnsiTheme="minorEastAsia" w:hint="eastAsia"/>
          <w:color w:val="000000" w:themeColor="text1"/>
        </w:rPr>
        <w:t>（</w:t>
      </w:r>
      <w:r w:rsidRPr="00054588">
        <w:rPr>
          <w:rFonts w:asciiTheme="minorEastAsia" w:eastAsiaTheme="minorEastAsia" w:hAnsiTheme="minorEastAsia"/>
          <w:color w:val="000000" w:themeColor="text1"/>
        </w:rPr>
        <w:t>一</w:t>
      </w:r>
      <w:r w:rsidRPr="00054588">
        <w:rPr>
          <w:rFonts w:asciiTheme="minorEastAsia" w:eastAsiaTheme="minorEastAsia" w:hAnsiTheme="minorEastAsia" w:hint="eastAsia"/>
          <w:color w:val="000000" w:themeColor="text1"/>
        </w:rPr>
        <w:t>）</w:t>
      </w:r>
      <w:r w:rsidRPr="00054588">
        <w:rPr>
          <w:rFonts w:asciiTheme="minorEastAsia" w:eastAsiaTheme="minorEastAsia" w:hAnsiTheme="minorEastAsia"/>
          <w:color w:val="000000" w:themeColor="text1"/>
        </w:rPr>
        <w:t>招募说明书</w:t>
      </w:r>
      <w:bookmarkEnd w:id="433"/>
      <w:bookmarkEnd w:id="434"/>
      <w:bookmarkEnd w:id="435"/>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招募说明书是基金向社会公开发售时对基金情况进行说明的法律文件。</w:t>
      </w:r>
    </w:p>
    <w:p w:rsidR="00DA0868" w:rsidRPr="00054588" w:rsidP="00DA0868">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7228CC" w:rsidRPr="00054588" w:rsidP="00DA0868">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基金管理人按照《基金法》、《信息披露办法》、基金合同编制并在基金份额发售的3日前，将基金招募说明书登载在指定报刊和网站上。</w:t>
      </w:r>
    </w:p>
    <w:p w:rsidR="007228CC" w:rsidRPr="00054588"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436" w:name="_Toc211920197"/>
      <w:bookmarkStart w:id="437" w:name="_Toc211927726"/>
      <w:bookmarkStart w:id="438" w:name="_Toc123296488"/>
      <w:r w:rsidRPr="00054588">
        <w:rPr>
          <w:rFonts w:asciiTheme="minorEastAsia" w:eastAsiaTheme="minorEastAsia" w:hAnsiTheme="minorEastAsia" w:hint="eastAsia"/>
          <w:color w:val="000000" w:themeColor="text1"/>
        </w:rPr>
        <w:t>（</w:t>
      </w:r>
      <w:r w:rsidRPr="00054588">
        <w:rPr>
          <w:rFonts w:asciiTheme="minorEastAsia" w:eastAsiaTheme="minorEastAsia" w:hAnsiTheme="minorEastAsia"/>
          <w:color w:val="000000" w:themeColor="text1"/>
        </w:rPr>
        <w:t>二</w:t>
      </w:r>
      <w:r w:rsidRPr="00054588">
        <w:rPr>
          <w:rFonts w:asciiTheme="minorEastAsia" w:eastAsiaTheme="minorEastAsia" w:hAnsiTheme="minorEastAsia" w:hint="eastAsia"/>
          <w:color w:val="000000" w:themeColor="text1"/>
        </w:rPr>
        <w:t>）</w:t>
      </w:r>
      <w:r w:rsidRPr="00054588">
        <w:rPr>
          <w:rFonts w:asciiTheme="minorEastAsia" w:eastAsiaTheme="minorEastAsia" w:hAnsiTheme="minorEastAsia"/>
          <w:color w:val="000000" w:themeColor="text1"/>
        </w:rPr>
        <w:t>基金合同、托管协议</w:t>
      </w:r>
      <w:bookmarkEnd w:id="436"/>
      <w:bookmarkEnd w:id="437"/>
      <w:bookmarkEnd w:id="438"/>
    </w:p>
    <w:p w:rsidR="00DA0868"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基金管理人应在基金份额发售的3日前，将基金合同摘要登载在指定报刊和网站上；基金管理人、基金托管人应将基金合同、托管协议登载在各自网站上。</w:t>
      </w:r>
    </w:p>
    <w:p w:rsidR="00DA0868" w:rsidRPr="00054588"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439" w:name="_Toc123296489"/>
      <w:r w:rsidRPr="00054588">
        <w:rPr>
          <w:rFonts w:asciiTheme="minorEastAsia" w:eastAsiaTheme="minorEastAsia" w:hAnsiTheme="minorEastAsia" w:hint="eastAsia"/>
          <w:color w:val="000000" w:themeColor="text1"/>
        </w:rPr>
        <w:t>（三）基金产品资料概要</w:t>
      </w:r>
      <w:bookmarkEnd w:id="439"/>
    </w:p>
    <w:p w:rsidR="007228CC" w:rsidRPr="00054588" w:rsidP="00DA0868">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7228CC" w:rsidRPr="00054588"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440" w:name="_Toc211920198"/>
      <w:bookmarkStart w:id="441" w:name="_Toc211927727"/>
      <w:bookmarkStart w:id="442" w:name="_Toc123296490"/>
      <w:r w:rsidRPr="00054588">
        <w:rPr>
          <w:rFonts w:asciiTheme="minorEastAsia" w:eastAsiaTheme="minorEastAsia" w:hAnsiTheme="minorEastAsia" w:hint="eastAsia"/>
          <w:color w:val="000000" w:themeColor="text1"/>
        </w:rPr>
        <w:t>（</w:t>
      </w:r>
      <w:r w:rsidRPr="00054588" w:rsidR="00DA0868">
        <w:rPr>
          <w:rFonts w:asciiTheme="minorEastAsia" w:eastAsiaTheme="minorEastAsia" w:hAnsiTheme="minorEastAsia"/>
          <w:color w:val="000000" w:themeColor="text1"/>
        </w:rPr>
        <w:t>四</w:t>
      </w:r>
      <w:r w:rsidRPr="00054588">
        <w:rPr>
          <w:rFonts w:asciiTheme="minorEastAsia" w:eastAsiaTheme="minorEastAsia" w:hAnsiTheme="minorEastAsia" w:hint="eastAsia"/>
          <w:color w:val="000000" w:themeColor="text1"/>
        </w:rPr>
        <w:t>）</w:t>
      </w:r>
      <w:r w:rsidRPr="00054588">
        <w:rPr>
          <w:rFonts w:asciiTheme="minorEastAsia" w:eastAsiaTheme="minorEastAsia" w:hAnsiTheme="minorEastAsia"/>
          <w:color w:val="000000" w:themeColor="text1"/>
        </w:rPr>
        <w:t>基金份额发售公告</w:t>
      </w:r>
      <w:bookmarkEnd w:id="440"/>
      <w:bookmarkEnd w:id="441"/>
      <w:bookmarkEnd w:id="442"/>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基金管理人将按照《基金法》、《信息披露办法》的有关规定，就基金份额发售的具体事宜编制基金份额发售公告，并在披露招募说明书的当日登载于指定报刊和网站上。</w:t>
      </w:r>
    </w:p>
    <w:p w:rsidR="007228CC" w:rsidRPr="00054588"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443" w:name="_Toc211920199"/>
      <w:bookmarkStart w:id="444" w:name="_Toc211927728"/>
      <w:bookmarkStart w:id="445" w:name="_Toc123296491"/>
      <w:r w:rsidRPr="00054588">
        <w:rPr>
          <w:rFonts w:asciiTheme="minorEastAsia" w:eastAsiaTheme="minorEastAsia" w:hAnsiTheme="minorEastAsia" w:hint="eastAsia"/>
          <w:color w:val="000000" w:themeColor="text1"/>
        </w:rPr>
        <w:t>（</w:t>
      </w:r>
      <w:r w:rsidRPr="00054588" w:rsidR="00DA0868">
        <w:rPr>
          <w:rFonts w:asciiTheme="minorEastAsia" w:eastAsiaTheme="minorEastAsia" w:hAnsiTheme="minorEastAsia"/>
          <w:color w:val="000000" w:themeColor="text1"/>
        </w:rPr>
        <w:t>五</w:t>
      </w:r>
      <w:r w:rsidRPr="00054588">
        <w:rPr>
          <w:rFonts w:asciiTheme="minorEastAsia" w:eastAsiaTheme="minorEastAsia" w:hAnsiTheme="minorEastAsia" w:hint="eastAsia"/>
          <w:color w:val="000000" w:themeColor="text1"/>
        </w:rPr>
        <w:t>）</w:t>
      </w:r>
      <w:r w:rsidRPr="00054588">
        <w:rPr>
          <w:rFonts w:asciiTheme="minorEastAsia" w:eastAsiaTheme="minorEastAsia" w:hAnsiTheme="minorEastAsia"/>
          <w:color w:val="000000" w:themeColor="text1"/>
        </w:rPr>
        <w:t>基金合同生效公告</w:t>
      </w:r>
      <w:bookmarkEnd w:id="443"/>
      <w:bookmarkEnd w:id="444"/>
      <w:bookmarkEnd w:id="445"/>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基金管理人将在基金合同生效的次日在指定报刊和网站上登载基金合同生效公告。</w:t>
      </w:r>
      <w:r w:rsidRPr="00054588">
        <w:rPr>
          <w:rFonts w:asciiTheme="minorEastAsia" w:eastAsiaTheme="minorEastAsia" w:hAnsiTheme="minorEastAsia" w:hint="eastAsia"/>
          <w:color w:val="000000" w:themeColor="text1"/>
          <w:szCs w:val="21"/>
        </w:rPr>
        <w:t>基金合同生效公告中将说明基金募集情况。</w:t>
      </w:r>
    </w:p>
    <w:p w:rsidR="007228CC" w:rsidRPr="00054588"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446" w:name="_Toc211920200"/>
      <w:bookmarkStart w:id="447" w:name="_Toc211927729"/>
      <w:bookmarkStart w:id="448" w:name="_Toc123296492"/>
      <w:r w:rsidRPr="00054588">
        <w:rPr>
          <w:rFonts w:asciiTheme="minorEastAsia" w:eastAsiaTheme="minorEastAsia" w:hAnsiTheme="minorEastAsia" w:hint="eastAsia"/>
          <w:color w:val="000000" w:themeColor="text1"/>
        </w:rPr>
        <w:t>（</w:t>
      </w:r>
      <w:r w:rsidRPr="00054588" w:rsidR="00DA0868">
        <w:rPr>
          <w:rFonts w:asciiTheme="minorEastAsia" w:eastAsiaTheme="minorEastAsia" w:hAnsiTheme="minorEastAsia" w:hint="eastAsia"/>
          <w:color w:val="000000" w:themeColor="text1"/>
        </w:rPr>
        <w:t>六</w:t>
      </w:r>
      <w:r w:rsidRPr="00054588">
        <w:rPr>
          <w:rFonts w:asciiTheme="minorEastAsia" w:eastAsiaTheme="minorEastAsia" w:hAnsiTheme="minorEastAsia" w:hint="eastAsia"/>
          <w:color w:val="000000" w:themeColor="text1"/>
        </w:rPr>
        <w:t>）</w:t>
      </w:r>
      <w:r w:rsidRPr="00054588" w:rsidR="00DA0868">
        <w:rPr>
          <w:rFonts w:asciiTheme="minorEastAsia" w:eastAsiaTheme="minorEastAsia" w:hAnsiTheme="minorEastAsia" w:hint="eastAsia"/>
          <w:color w:val="000000" w:themeColor="text1"/>
        </w:rPr>
        <w:t>基金净值信息</w:t>
      </w:r>
      <w:bookmarkEnd w:id="446"/>
      <w:bookmarkEnd w:id="447"/>
      <w:bookmarkEnd w:id="448"/>
    </w:p>
    <w:p w:rsidR="00DA0868" w:rsidRPr="00054588" w:rsidP="00DA0868">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1、基金合同生效后，在开始办理基金份额申购或者赎回前，基金管理人应当至少每周在指定网站披露一次基金份额净值和基金份额累计净值；</w:t>
      </w:r>
    </w:p>
    <w:p w:rsidR="00DA0868" w:rsidRPr="00054588" w:rsidP="00DA0868">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2、在开始办理基金份额申购或者赎回后，基金管理人应当在不晚于每个开放日的次日，通过指定网站、基金销售机构网站或者营业网点，披露开放日的基金份额净值和基金份额累计净值；</w:t>
      </w:r>
    </w:p>
    <w:p w:rsidR="007228CC" w:rsidRPr="00054588" w:rsidP="00DA0868">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3、基金管理人应当在不晚于半年度和年度最后一日的次日，在指定网站披露半年度和年度最后一日的基金份额净值和基金份额累计净值。</w:t>
      </w:r>
    </w:p>
    <w:p w:rsidR="007228CC" w:rsidRPr="00054588"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449" w:name="_Toc211920201"/>
      <w:bookmarkStart w:id="450" w:name="_Toc211927730"/>
      <w:bookmarkStart w:id="451" w:name="_Toc123296493"/>
      <w:r w:rsidRPr="00054588">
        <w:rPr>
          <w:rFonts w:asciiTheme="minorEastAsia" w:eastAsiaTheme="minorEastAsia" w:hAnsiTheme="minorEastAsia" w:hint="eastAsia"/>
          <w:color w:val="000000" w:themeColor="text1"/>
        </w:rPr>
        <w:t>（</w:t>
      </w:r>
      <w:r w:rsidRPr="00054588" w:rsidR="00DA0868">
        <w:rPr>
          <w:rFonts w:asciiTheme="minorEastAsia" w:eastAsiaTheme="minorEastAsia" w:hAnsiTheme="minorEastAsia" w:hint="eastAsia"/>
          <w:color w:val="000000" w:themeColor="text1"/>
        </w:rPr>
        <w:t>七</w:t>
      </w:r>
      <w:r w:rsidRPr="00054588">
        <w:rPr>
          <w:rFonts w:asciiTheme="minorEastAsia" w:eastAsiaTheme="minorEastAsia" w:hAnsiTheme="minorEastAsia" w:hint="eastAsia"/>
          <w:color w:val="000000" w:themeColor="text1"/>
        </w:rPr>
        <w:t>）</w:t>
      </w:r>
      <w:r w:rsidRPr="00054588">
        <w:rPr>
          <w:rFonts w:asciiTheme="minorEastAsia" w:eastAsiaTheme="minorEastAsia" w:hAnsiTheme="minorEastAsia"/>
          <w:color w:val="000000" w:themeColor="text1"/>
        </w:rPr>
        <w:t>基金份额申购、赎回价格公告</w:t>
      </w:r>
      <w:bookmarkEnd w:id="449"/>
      <w:bookmarkEnd w:id="450"/>
      <w:bookmarkEnd w:id="451"/>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基金管理人应当在本基金的基金合同、招募说明书等信息披露文件上载明基金份额申购、赎回价格的计算方式及有关申购、赎回费率，并保证投资人能够在基金销售机构网站或营业网点查阅或者复制前述信息资料。</w:t>
      </w:r>
    </w:p>
    <w:p w:rsidR="007228CC" w:rsidRPr="00054588"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452" w:name="_Toc211920202"/>
      <w:bookmarkStart w:id="453" w:name="_Toc211927731"/>
      <w:bookmarkStart w:id="454" w:name="_Toc123296494"/>
      <w:r w:rsidRPr="00054588">
        <w:rPr>
          <w:rFonts w:asciiTheme="minorEastAsia" w:eastAsiaTheme="minorEastAsia" w:hAnsiTheme="minorEastAsia" w:hint="eastAsia"/>
          <w:color w:val="000000" w:themeColor="text1"/>
        </w:rPr>
        <w:t>（</w:t>
      </w:r>
      <w:r w:rsidRPr="00054588" w:rsidR="00DA0868">
        <w:rPr>
          <w:rFonts w:asciiTheme="minorEastAsia" w:eastAsiaTheme="minorEastAsia" w:hAnsiTheme="minorEastAsia" w:hint="eastAsia"/>
          <w:color w:val="000000" w:themeColor="text1"/>
        </w:rPr>
        <w:t>八</w:t>
      </w:r>
      <w:r w:rsidRPr="00054588">
        <w:rPr>
          <w:rFonts w:asciiTheme="minorEastAsia" w:eastAsiaTheme="minorEastAsia" w:hAnsiTheme="minorEastAsia" w:hint="eastAsia"/>
          <w:color w:val="000000" w:themeColor="text1"/>
        </w:rPr>
        <w:t>）</w:t>
      </w:r>
      <w:r w:rsidRPr="00054588">
        <w:rPr>
          <w:rFonts w:asciiTheme="minorEastAsia" w:eastAsiaTheme="minorEastAsia" w:hAnsiTheme="minorEastAsia"/>
          <w:color w:val="000000" w:themeColor="text1"/>
        </w:rPr>
        <w:t>基金年度报告、基金</w:t>
      </w:r>
      <w:r w:rsidRPr="00054588" w:rsidR="00DA0868">
        <w:rPr>
          <w:rFonts w:asciiTheme="minorEastAsia" w:eastAsiaTheme="minorEastAsia" w:hAnsiTheme="minorEastAsia"/>
          <w:color w:val="000000" w:themeColor="text1"/>
        </w:rPr>
        <w:t>中期</w:t>
      </w:r>
      <w:r w:rsidRPr="00054588">
        <w:rPr>
          <w:rFonts w:asciiTheme="minorEastAsia" w:eastAsiaTheme="minorEastAsia" w:hAnsiTheme="minorEastAsia"/>
          <w:color w:val="000000" w:themeColor="text1"/>
        </w:rPr>
        <w:t>报告、基金季度报告</w:t>
      </w:r>
      <w:bookmarkEnd w:id="452"/>
      <w:bookmarkEnd w:id="453"/>
      <w:bookmarkEnd w:id="454"/>
    </w:p>
    <w:p w:rsidR="00DA0868" w:rsidRPr="00054588" w:rsidP="00DA0868">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1</w:t>
      </w:r>
      <w:r w:rsidRPr="00054588" w:rsidR="0021144C">
        <w:rPr>
          <w:rFonts w:asciiTheme="minorEastAsia" w:eastAsiaTheme="minorEastAsia" w:hAnsiTheme="minorEastAsia" w:hint="eastAsia"/>
          <w:color w:val="000000" w:themeColor="text1"/>
          <w:szCs w:val="21"/>
        </w:rPr>
        <w:t>、</w:t>
      </w:r>
      <w:r w:rsidRPr="00054588">
        <w:rPr>
          <w:rFonts w:asciiTheme="minorEastAsia" w:eastAsiaTheme="minorEastAsia" w:hAnsiTheme="minorEastAsia" w:hint="eastAsia"/>
          <w:color w:val="000000" w:themeColor="text1"/>
          <w:szCs w:val="21"/>
        </w:rPr>
        <w:t>基金管理人应当在每年结束之日起三个月内，编制完成基金年度报告，并将年度报告登载在指定网站上，并将年度报告提示性公告登载在指定报刊上。基金年度报告中的财务会计报告应当经过具有证券、期货相关业务资格的会计师事务所审计后，方可披露；</w:t>
      </w:r>
    </w:p>
    <w:p w:rsidR="00DA0868" w:rsidRPr="00054588" w:rsidP="00DA0868">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2、基金管理人应当在上半年结束之日起两个月内，编制完成基金中期报告，将中期报告登载在指定网站上，并将中期报告提示性公告登载在指定报刊上；</w:t>
      </w:r>
    </w:p>
    <w:p w:rsidR="00DA0868" w:rsidRPr="00054588" w:rsidP="00DA0868">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3、基金管理人应当在季度结束之日起15个工作日内，编制完成基金季度报告，将季度报告登载在指定网站上，并将季度报告提示性公告登载在指定报刊上；</w:t>
      </w:r>
    </w:p>
    <w:p w:rsidR="00DA0868" w:rsidRPr="00054588" w:rsidP="00DA0868">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4、基金合同生效不足2个月的，基金管理人可以不编制当期季度报告、中期报告或者年度报告。</w:t>
      </w:r>
    </w:p>
    <w:p w:rsidR="00DA0868" w:rsidRPr="00054588" w:rsidP="00DA0868">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报告期内出现单一投资者持有基金份额比例达到或超过20%的情形，基金管理人应当在季度报告、中期报告、年度报告等定期报告文件中披露该投资者的类别、报告期末持有份额及占比、报告期内持有份额变化情况及产品的特有风险，中国证监会认定的特殊情形除外。</w:t>
      </w:r>
    </w:p>
    <w:p w:rsidR="00C609DD" w:rsidRPr="00054588" w:rsidP="00DA0868">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基金持续运作过程中，基金管理人应当在基金年度报告和中期报告中披露基金组合资产情况及其流动性风险分析等。</w:t>
      </w:r>
    </w:p>
    <w:p w:rsidR="007228CC" w:rsidRPr="00054588"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455" w:name="_Toc211920203"/>
      <w:bookmarkStart w:id="456" w:name="_Toc211927732"/>
      <w:bookmarkStart w:id="457" w:name="_Toc123296495"/>
      <w:r w:rsidRPr="00054588">
        <w:rPr>
          <w:rFonts w:asciiTheme="minorEastAsia" w:eastAsiaTheme="minorEastAsia" w:hAnsiTheme="minorEastAsia" w:hint="eastAsia"/>
          <w:color w:val="000000" w:themeColor="text1"/>
        </w:rPr>
        <w:t>（</w:t>
      </w:r>
      <w:r w:rsidRPr="00054588" w:rsidR="00DA0868">
        <w:rPr>
          <w:rFonts w:asciiTheme="minorEastAsia" w:eastAsiaTheme="minorEastAsia" w:hAnsiTheme="minorEastAsia" w:hint="eastAsia"/>
          <w:color w:val="000000" w:themeColor="text1"/>
        </w:rPr>
        <w:t>九</w:t>
      </w:r>
      <w:r w:rsidRPr="00054588">
        <w:rPr>
          <w:rFonts w:asciiTheme="minorEastAsia" w:eastAsiaTheme="minorEastAsia" w:hAnsiTheme="minorEastAsia" w:hint="eastAsia"/>
          <w:color w:val="000000" w:themeColor="text1"/>
        </w:rPr>
        <w:t>）</w:t>
      </w:r>
      <w:r w:rsidRPr="00054588">
        <w:rPr>
          <w:rFonts w:asciiTheme="minorEastAsia" w:eastAsiaTheme="minorEastAsia" w:hAnsiTheme="minorEastAsia"/>
          <w:color w:val="000000" w:themeColor="text1"/>
        </w:rPr>
        <w:t>临时报告</w:t>
      </w:r>
      <w:bookmarkEnd w:id="455"/>
      <w:bookmarkEnd w:id="456"/>
      <w:bookmarkEnd w:id="457"/>
    </w:p>
    <w:p w:rsidR="00DA0868" w:rsidRPr="00054588" w:rsidP="00DA0868">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在基金运作过程中发生如下可能对基金份额持有人权益或者基金份额的价格产生重大影响的事件时，有关信息披露义务人应当在2日内编制临时报告书，并登载在指定报刊和指定网站上：</w:t>
      </w:r>
    </w:p>
    <w:p w:rsidR="00DA0868" w:rsidRPr="00054588" w:rsidP="00DA0868">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1.基金份额持有人大会的召开及决定的事项；</w:t>
      </w:r>
    </w:p>
    <w:p w:rsidR="00DA0868" w:rsidRPr="00054588" w:rsidP="00DA0868">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2.基金合同终止、基金清算；</w:t>
      </w:r>
    </w:p>
    <w:p w:rsidR="00DA0868" w:rsidRPr="00054588" w:rsidP="00DA0868">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3.转换基金运作方式、基金合并；</w:t>
      </w:r>
    </w:p>
    <w:p w:rsidR="00DA0868" w:rsidRPr="00054588" w:rsidP="00DA0868">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4.更换基金管理人、基金托管人、基金份额登记机构，基金改聘会计师事务所；</w:t>
      </w:r>
    </w:p>
    <w:p w:rsidR="00DA0868" w:rsidRPr="00054588" w:rsidP="00DA0868">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5.基金管理人委托基金服务机构代为办理基金的份额登记、核算、估值等事项，基金托管人委托基金服务机构代为办理基金的核算、估值、复核等事项；</w:t>
      </w:r>
    </w:p>
    <w:p w:rsidR="00DA0868" w:rsidRPr="00054588" w:rsidP="00DA0868">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6.基金管理人、基金托管人的法定名称、住所发生变更；</w:t>
      </w:r>
    </w:p>
    <w:p w:rsidR="00DA0868" w:rsidRPr="00054588" w:rsidP="00DA0868">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7.基金管理公司变更持有百分之五以上股权的股东、基金管理人的实际控制人变更；</w:t>
      </w:r>
    </w:p>
    <w:p w:rsidR="00DA0868" w:rsidRPr="00054588" w:rsidP="00DA0868">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8.基金募集期延长或提前结束募集；</w:t>
      </w:r>
    </w:p>
    <w:p w:rsidR="00DA0868" w:rsidRPr="00054588" w:rsidP="00DA0868">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9.基金管理人的高级管理人员、基金经理和基金托管人专门基金托管部门负责人发生变动；</w:t>
      </w:r>
    </w:p>
    <w:p w:rsidR="00DA0868" w:rsidRPr="00054588" w:rsidP="00DA0868">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10.基金管理人的董事在最近12个月内变更超过百分之五十，基金管理人、基金托管人专门基金托管部门的主要业务人员在最近12个月内变动超过百分之三十；</w:t>
      </w:r>
    </w:p>
    <w:p w:rsidR="00DA0868" w:rsidRPr="00054588" w:rsidP="00DA0868">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11.涉及基金财产、基金管理业务、基金托管业务的诉讼或仲裁；</w:t>
      </w:r>
    </w:p>
    <w:p w:rsidR="00DA0868" w:rsidRPr="00054588" w:rsidP="00DA0868">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12.基金管理人或其高级管理人员、基金经理因基金管理业务相关行为受到重大行政处罚、刑事处罚，基金托管人或其专门基金托管部门负责人因基金托管业务相关行为受到重大行政处罚、刑事处罚；</w:t>
      </w:r>
    </w:p>
    <w:p w:rsidR="00DA0868" w:rsidRPr="00054588" w:rsidP="00DA0868">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13.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DA0868" w:rsidRPr="00054588" w:rsidP="00DA0868">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14.基金收益分配事项；</w:t>
      </w:r>
    </w:p>
    <w:p w:rsidR="00DA0868" w:rsidRPr="00054588" w:rsidP="00DA0868">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15.管理费、托管费、销售服务费、申购费、赎回费等费用计提标准、计提方式和费率发生变更；</w:t>
      </w:r>
    </w:p>
    <w:p w:rsidR="00DA0868" w:rsidRPr="00054588" w:rsidP="00DA0868">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16.基金份额净值计价错误达基金份额净值百分之零点五；</w:t>
      </w:r>
    </w:p>
    <w:p w:rsidR="00DA0868" w:rsidRPr="00054588" w:rsidP="00DA0868">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17.本基金开始办理申购、赎回；</w:t>
      </w:r>
    </w:p>
    <w:p w:rsidR="00DA0868" w:rsidRPr="00054588" w:rsidP="00DA0868">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18.本基金暂停接受申购、赎回申请或重新接受申购、赎回申请；</w:t>
      </w:r>
    </w:p>
    <w:p w:rsidR="00DA0868" w:rsidRPr="00054588" w:rsidP="00DA0868">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19.调整基金份额类别的设置；</w:t>
      </w:r>
    </w:p>
    <w:p w:rsidR="00DA0868" w:rsidRPr="00054588" w:rsidP="00DA0868">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20.基金推出新业务或服务；</w:t>
      </w:r>
    </w:p>
    <w:p w:rsidR="007228CC" w:rsidRPr="00054588" w:rsidP="00DA0868">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21.基金信息披露义务人认为可能对基金份额持有人权益或者基金份额的价格产生重大影响的其他事项或中国证监会规定的其他事项。</w:t>
      </w:r>
    </w:p>
    <w:p w:rsidR="007228CC" w:rsidRPr="00054588" w:rsidP="009A1EA6">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458" w:name="_Toc211920204"/>
      <w:bookmarkStart w:id="459" w:name="_Toc211927733"/>
      <w:bookmarkStart w:id="460" w:name="_Toc123296496"/>
      <w:r w:rsidRPr="00054588">
        <w:rPr>
          <w:rFonts w:asciiTheme="minorEastAsia" w:eastAsiaTheme="minorEastAsia" w:hAnsiTheme="minorEastAsia" w:hint="eastAsia"/>
          <w:color w:val="000000" w:themeColor="text1"/>
        </w:rPr>
        <w:t>（</w:t>
      </w:r>
      <w:r w:rsidRPr="00054588" w:rsidR="00DA0868">
        <w:rPr>
          <w:rFonts w:asciiTheme="minorEastAsia" w:eastAsiaTheme="minorEastAsia" w:hAnsiTheme="minorEastAsia" w:hint="eastAsia"/>
          <w:color w:val="000000" w:themeColor="text1"/>
        </w:rPr>
        <w:t>十</w:t>
      </w:r>
      <w:r w:rsidRPr="00054588">
        <w:rPr>
          <w:rFonts w:asciiTheme="minorEastAsia" w:eastAsiaTheme="minorEastAsia" w:hAnsiTheme="minorEastAsia" w:hint="eastAsia"/>
          <w:color w:val="000000" w:themeColor="text1"/>
        </w:rPr>
        <w:t>）澄清公告</w:t>
      </w:r>
      <w:bookmarkEnd w:id="458"/>
      <w:bookmarkEnd w:id="459"/>
      <w:bookmarkEnd w:id="460"/>
    </w:p>
    <w:p w:rsidR="00DA0868"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DA0868" w:rsidRPr="00054588" w:rsidP="00DB3139">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461" w:name="_Toc123296497"/>
      <w:r w:rsidRPr="00054588">
        <w:rPr>
          <w:rFonts w:asciiTheme="minorEastAsia" w:eastAsiaTheme="minorEastAsia" w:hAnsiTheme="minorEastAsia" w:hint="eastAsia"/>
          <w:color w:val="000000" w:themeColor="text1"/>
        </w:rPr>
        <w:t>（十一）清算报告</w:t>
      </w:r>
      <w:bookmarkEnd w:id="461"/>
    </w:p>
    <w:p w:rsidR="007228CC" w:rsidRPr="00054588" w:rsidP="00DA0868">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基金合同终止的，基金管理人应当依法组织基金财产清算小组对基金财产进行清算并作出清算报告。基金财产清算小组应当将清算报告登载在指定网站上，并将清算报告提示性公告登载在指定报刊上。</w:t>
      </w:r>
    </w:p>
    <w:p w:rsidR="007228CC" w:rsidRPr="00054588" w:rsidP="009A1EA6">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462" w:name="_Toc211920205"/>
      <w:bookmarkStart w:id="463" w:name="_Toc211927734"/>
      <w:bookmarkStart w:id="464" w:name="_Toc123296498"/>
      <w:r w:rsidRPr="00054588">
        <w:rPr>
          <w:rFonts w:asciiTheme="minorEastAsia" w:eastAsiaTheme="minorEastAsia" w:hAnsiTheme="minorEastAsia" w:hint="eastAsia"/>
          <w:color w:val="000000" w:themeColor="text1"/>
        </w:rPr>
        <w:t>（</w:t>
      </w:r>
      <w:r w:rsidRPr="00054588">
        <w:rPr>
          <w:rFonts w:asciiTheme="minorEastAsia" w:eastAsiaTheme="minorEastAsia" w:hAnsiTheme="minorEastAsia"/>
          <w:color w:val="000000" w:themeColor="text1"/>
        </w:rPr>
        <w:t>十</w:t>
      </w:r>
      <w:r w:rsidRPr="00054588" w:rsidR="00DA0868">
        <w:rPr>
          <w:rFonts w:asciiTheme="minorEastAsia" w:eastAsiaTheme="minorEastAsia" w:hAnsiTheme="minorEastAsia"/>
          <w:color w:val="000000" w:themeColor="text1"/>
        </w:rPr>
        <w:t>二</w:t>
      </w:r>
      <w:r w:rsidRPr="00054588">
        <w:rPr>
          <w:rFonts w:asciiTheme="minorEastAsia" w:eastAsiaTheme="minorEastAsia" w:hAnsiTheme="minorEastAsia" w:hint="eastAsia"/>
          <w:color w:val="000000" w:themeColor="text1"/>
        </w:rPr>
        <w:t>）</w:t>
      </w:r>
      <w:r w:rsidRPr="00054588">
        <w:rPr>
          <w:rFonts w:asciiTheme="minorEastAsia" w:eastAsiaTheme="minorEastAsia" w:hAnsiTheme="minorEastAsia"/>
          <w:color w:val="000000" w:themeColor="text1"/>
        </w:rPr>
        <w:t>基金份额持有人大会决议</w:t>
      </w:r>
      <w:bookmarkEnd w:id="462"/>
      <w:bookmarkEnd w:id="463"/>
      <w:bookmarkEnd w:id="464"/>
    </w:p>
    <w:p w:rsidR="00401C0B" w:rsidRPr="00054588" w:rsidP="00B30899">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465" w:name="_Toc123296499"/>
      <w:r w:rsidRPr="00054588">
        <w:rPr>
          <w:rFonts w:asciiTheme="minorEastAsia" w:eastAsiaTheme="minorEastAsia" w:hAnsiTheme="minorEastAsia" w:hint="eastAsia"/>
          <w:color w:val="000000" w:themeColor="text1"/>
        </w:rPr>
        <w:t>（十二）实施侧袋机制期间的信息披露</w:t>
      </w:r>
      <w:bookmarkEnd w:id="465"/>
    </w:p>
    <w:p w:rsidR="00401C0B" w:rsidRPr="00054588" w:rsidP="00B30899">
      <w:pPr>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kern w:val="0"/>
          <w:szCs w:val="21"/>
        </w:rPr>
        <w:t>本基金实施侧袋机制的，相关信息披露义务人应当根据法律法规、基金合同和招募说明书的规定进行信息披露，详见本招募说明书“侧袋机制”部分的规定。</w:t>
      </w:r>
    </w:p>
    <w:p w:rsidR="007228CC" w:rsidRPr="00054588" w:rsidP="009A1EA6">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466" w:name="_Toc211920206"/>
      <w:bookmarkStart w:id="467" w:name="_Toc211927735"/>
      <w:bookmarkStart w:id="468" w:name="_Toc123296500"/>
      <w:r w:rsidRPr="00054588">
        <w:rPr>
          <w:rFonts w:asciiTheme="minorEastAsia" w:eastAsiaTheme="minorEastAsia" w:hAnsiTheme="minorEastAsia" w:hint="eastAsia"/>
          <w:color w:val="000000" w:themeColor="text1"/>
        </w:rPr>
        <w:t>（</w:t>
      </w:r>
      <w:r w:rsidRPr="00054588">
        <w:rPr>
          <w:rFonts w:asciiTheme="minorEastAsia" w:eastAsiaTheme="minorEastAsia" w:hAnsiTheme="minorEastAsia"/>
          <w:color w:val="000000" w:themeColor="text1"/>
        </w:rPr>
        <w:t>十</w:t>
      </w:r>
      <w:r w:rsidRPr="00054588" w:rsidR="00DA0868">
        <w:rPr>
          <w:rFonts w:asciiTheme="minorEastAsia" w:eastAsiaTheme="minorEastAsia" w:hAnsiTheme="minorEastAsia" w:hint="eastAsia"/>
          <w:color w:val="000000" w:themeColor="text1"/>
        </w:rPr>
        <w:t>三</w:t>
      </w:r>
      <w:r w:rsidRPr="00054588">
        <w:rPr>
          <w:rFonts w:asciiTheme="minorEastAsia" w:eastAsiaTheme="minorEastAsia" w:hAnsiTheme="minorEastAsia" w:hint="eastAsia"/>
          <w:color w:val="000000" w:themeColor="text1"/>
        </w:rPr>
        <w:t>）</w:t>
      </w:r>
      <w:r w:rsidRPr="00054588">
        <w:rPr>
          <w:rFonts w:asciiTheme="minorEastAsia" w:eastAsiaTheme="minorEastAsia" w:hAnsiTheme="minorEastAsia"/>
          <w:color w:val="000000" w:themeColor="text1"/>
        </w:rPr>
        <w:t>中国证监会规定的其他信息</w:t>
      </w:r>
      <w:bookmarkEnd w:id="466"/>
      <w:bookmarkEnd w:id="467"/>
      <w:bookmarkEnd w:id="468"/>
    </w:p>
    <w:p w:rsidR="007228CC" w:rsidRPr="00054588" w:rsidP="009A1EA6">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469" w:name="_Toc211920207"/>
      <w:bookmarkStart w:id="470" w:name="_Toc211927736"/>
      <w:bookmarkStart w:id="471" w:name="_Toc123296501"/>
      <w:r w:rsidRPr="00054588">
        <w:rPr>
          <w:rFonts w:asciiTheme="minorEastAsia" w:eastAsiaTheme="minorEastAsia" w:hAnsiTheme="minorEastAsia" w:hint="eastAsia"/>
          <w:color w:val="000000" w:themeColor="text1"/>
        </w:rPr>
        <w:t>（</w:t>
      </w:r>
      <w:r w:rsidRPr="00054588">
        <w:rPr>
          <w:rFonts w:asciiTheme="minorEastAsia" w:eastAsiaTheme="minorEastAsia" w:hAnsiTheme="minorEastAsia"/>
          <w:color w:val="000000" w:themeColor="text1"/>
        </w:rPr>
        <w:t>十</w:t>
      </w:r>
      <w:r w:rsidRPr="00054588" w:rsidR="00DA0868">
        <w:rPr>
          <w:rFonts w:asciiTheme="minorEastAsia" w:eastAsiaTheme="minorEastAsia" w:hAnsiTheme="minorEastAsia" w:hint="eastAsia"/>
          <w:color w:val="000000" w:themeColor="text1"/>
        </w:rPr>
        <w:t>四</w:t>
      </w:r>
      <w:r w:rsidRPr="00054588">
        <w:rPr>
          <w:rFonts w:asciiTheme="minorEastAsia" w:eastAsiaTheme="minorEastAsia" w:hAnsiTheme="minorEastAsia" w:hint="eastAsia"/>
          <w:color w:val="000000" w:themeColor="text1"/>
        </w:rPr>
        <w:t>）</w:t>
      </w:r>
      <w:r w:rsidRPr="00054588">
        <w:rPr>
          <w:rFonts w:asciiTheme="minorEastAsia" w:eastAsiaTheme="minorEastAsia" w:hAnsiTheme="minorEastAsia"/>
          <w:color w:val="000000" w:themeColor="text1"/>
        </w:rPr>
        <w:t>信息披露文件的存放与查阅</w:t>
      </w:r>
      <w:bookmarkEnd w:id="469"/>
      <w:bookmarkEnd w:id="470"/>
      <w:bookmarkEnd w:id="471"/>
    </w:p>
    <w:p w:rsidR="00DA0868" w:rsidRPr="00054588" w:rsidP="00DA0868">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依法必须披露的信息发布后，基金管理人、基金托管人应当按照相关法律法规规定将信息置备于公司办公场所，供社会公众查阅、复制。投资人在支付工本费后，可在合理时间内取得上述文件复制件或复印件。</w:t>
      </w:r>
    </w:p>
    <w:p w:rsidR="00DA0868" w:rsidRPr="00054588" w:rsidP="00DA0868">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投资人也可在基金管理人指定的网站上进行查阅。本基金的信息披露事项将在指定媒介上公告。</w:t>
      </w:r>
    </w:p>
    <w:p w:rsidR="007228CC" w:rsidRPr="00054588" w:rsidP="00DA0868">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本基金的信息披露将严格按照法律法规和基金合同的规定进行。</w:t>
      </w:r>
    </w:p>
    <w:p w:rsidR="00DA0868" w:rsidRPr="00054588" w:rsidP="00DB3139">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472" w:name="_Toc123296502"/>
      <w:r w:rsidRPr="00054588">
        <w:rPr>
          <w:rFonts w:asciiTheme="minorEastAsia" w:eastAsiaTheme="minorEastAsia" w:hAnsiTheme="minorEastAsia" w:hint="eastAsia"/>
          <w:color w:val="000000" w:themeColor="text1"/>
        </w:rPr>
        <w:t>（</w:t>
      </w:r>
      <w:r w:rsidRPr="00054588">
        <w:rPr>
          <w:rFonts w:asciiTheme="minorEastAsia" w:eastAsiaTheme="minorEastAsia" w:hAnsiTheme="minorEastAsia"/>
          <w:color w:val="000000" w:themeColor="text1"/>
        </w:rPr>
        <w:t>十</w:t>
      </w:r>
      <w:r w:rsidRPr="00054588">
        <w:rPr>
          <w:rFonts w:asciiTheme="minorEastAsia" w:eastAsiaTheme="minorEastAsia" w:hAnsiTheme="minorEastAsia" w:hint="eastAsia"/>
          <w:color w:val="000000" w:themeColor="text1"/>
        </w:rPr>
        <w:t>五）信息披露事务管理</w:t>
      </w:r>
      <w:bookmarkEnd w:id="472"/>
    </w:p>
    <w:p w:rsidR="00DA0868" w:rsidRPr="00054588" w:rsidP="00DB3139">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基金管理人、基金托管人应当建立健全信息披露管理制度，指定专门部门及高级管理人员负责管理信息披露事务。</w:t>
      </w:r>
    </w:p>
    <w:p w:rsidR="00DA0868" w:rsidRPr="00054588" w:rsidP="00DB3139">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基金信息披露义务人公开披露基金信息，应当符合中国证监会相关基金信息披露内容与格式准则等法规的规定。</w:t>
      </w:r>
    </w:p>
    <w:p w:rsidR="00DA0868" w:rsidRPr="00054588" w:rsidP="00DB3139">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DA0868" w:rsidRPr="00054588" w:rsidP="00DB3139">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DA0868" w:rsidRPr="00054588" w:rsidP="00DB3139">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rsidR="00401C0B" w:rsidRPr="00054588" w:rsidP="00DB3139">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401C0B" w:rsidRPr="00054588">
      <w:pPr>
        <w:widowControl/>
        <w:jc w:val="left"/>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br w:type="page"/>
      </w:r>
    </w:p>
    <w:p w:rsidR="00401C0B" w:rsidRPr="00054588" w:rsidP="00B30899">
      <w:pPr>
        <w:pStyle w:val="111"/>
        <w:numPr>
          <w:ilvl w:val="0"/>
          <w:numId w:val="7"/>
        </w:numPr>
        <w:tabs>
          <w:tab w:val="num" w:pos="0"/>
          <w:tab w:val="clear" w:pos="2798"/>
        </w:tabs>
        <w:snapToGrid w:val="0"/>
        <w:spacing w:beforeLines="0" w:afterLines="0" w:line="360" w:lineRule="auto"/>
        <w:ind w:left="0" w:firstLine="0" w:firstLineChars="0"/>
        <w:rPr>
          <w:rFonts w:asciiTheme="minorEastAsia" w:eastAsiaTheme="minorEastAsia" w:hAnsiTheme="minorEastAsia"/>
          <w:b/>
          <w:color w:val="000000" w:themeColor="text1"/>
        </w:rPr>
      </w:pPr>
      <w:bookmarkStart w:id="473" w:name="_Toc46676683"/>
      <w:bookmarkStart w:id="474" w:name="_Toc46737675"/>
      <w:bookmarkStart w:id="475" w:name="_Toc47535981"/>
      <w:bookmarkStart w:id="476" w:name="_Toc123296503"/>
      <w:r w:rsidRPr="00054588">
        <w:rPr>
          <w:rFonts w:asciiTheme="minorEastAsia" w:eastAsiaTheme="minorEastAsia" w:hAnsiTheme="minorEastAsia" w:hint="eastAsia"/>
          <w:b/>
          <w:color w:val="000000" w:themeColor="text1"/>
        </w:rPr>
        <w:t>侧袋机制</w:t>
      </w:r>
      <w:bookmarkEnd w:id="473"/>
      <w:bookmarkEnd w:id="474"/>
      <w:bookmarkEnd w:id="475"/>
      <w:bookmarkEnd w:id="476"/>
    </w:p>
    <w:p w:rsidR="00401C0B" w:rsidRPr="00054588" w:rsidP="00401C0B">
      <w:pPr>
        <w:rPr>
          <w:rFonts w:asciiTheme="minorEastAsia" w:eastAsiaTheme="minorEastAsia" w:hAnsiTheme="minorEastAsia"/>
          <w:color w:val="000000" w:themeColor="text1"/>
        </w:rPr>
      </w:pPr>
    </w:p>
    <w:p w:rsidR="00401C0B" w:rsidRPr="00054588" w:rsidP="00401C0B">
      <w:pPr>
        <w:spacing w:line="360" w:lineRule="auto"/>
        <w:ind w:firstLine="420" w:firstLineChars="200"/>
        <w:rPr>
          <w:rFonts w:asciiTheme="minorEastAsia" w:eastAsiaTheme="minorEastAsia" w:hAnsiTheme="minorEastAsia"/>
          <w:bCs/>
          <w:color w:val="000000" w:themeColor="text1"/>
          <w:szCs w:val="21"/>
        </w:rPr>
      </w:pPr>
      <w:r w:rsidRPr="00054588">
        <w:rPr>
          <w:rFonts w:asciiTheme="minorEastAsia" w:eastAsiaTheme="minorEastAsia" w:hAnsiTheme="minorEastAsia" w:hint="eastAsia"/>
          <w:bCs/>
          <w:color w:val="000000" w:themeColor="text1"/>
          <w:szCs w:val="21"/>
        </w:rPr>
        <w:t>（一）侧袋机制的实施条件和程序</w:t>
      </w:r>
    </w:p>
    <w:p w:rsidR="00401C0B" w:rsidRPr="00054588" w:rsidP="00401C0B">
      <w:pPr>
        <w:spacing w:line="360" w:lineRule="auto"/>
        <w:ind w:firstLine="420" w:firstLineChars="200"/>
        <w:rPr>
          <w:rFonts w:asciiTheme="minorEastAsia" w:eastAsiaTheme="minorEastAsia" w:hAnsiTheme="minorEastAsia"/>
          <w:bCs/>
          <w:color w:val="000000" w:themeColor="text1"/>
          <w:szCs w:val="21"/>
        </w:rPr>
      </w:pPr>
      <w:r w:rsidRPr="00054588">
        <w:rPr>
          <w:rFonts w:asciiTheme="minorEastAsia" w:eastAsiaTheme="minorEastAsia" w:hAnsiTheme="minorEastAsia" w:hint="eastAsia"/>
          <w:bCs/>
          <w:color w:val="000000" w:themeColor="text1"/>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401C0B" w:rsidRPr="00054588" w:rsidP="00401C0B">
      <w:pPr>
        <w:spacing w:line="360" w:lineRule="auto"/>
        <w:ind w:firstLine="420" w:firstLineChars="200"/>
        <w:rPr>
          <w:rFonts w:asciiTheme="minorEastAsia" w:eastAsiaTheme="minorEastAsia" w:hAnsiTheme="minorEastAsia"/>
          <w:bCs/>
          <w:color w:val="000000" w:themeColor="text1"/>
          <w:szCs w:val="21"/>
        </w:rPr>
      </w:pPr>
      <w:r w:rsidRPr="00054588">
        <w:rPr>
          <w:rFonts w:asciiTheme="minorEastAsia" w:eastAsiaTheme="minorEastAsia" w:hAnsiTheme="minorEastAsia" w:hint="eastAsia"/>
          <w:bCs/>
          <w:color w:val="000000" w:themeColor="text1"/>
          <w:szCs w:val="21"/>
        </w:rPr>
        <w:t>基金管理人应当在启用侧袋机制后及时发布临时公告，并及时聘请符合《证券法》规定的会计师事务所进行审计并披露专项审计意见。</w:t>
      </w:r>
    </w:p>
    <w:p w:rsidR="00401C0B" w:rsidRPr="00054588" w:rsidP="00401C0B">
      <w:pPr>
        <w:spacing w:line="360" w:lineRule="auto"/>
        <w:ind w:firstLine="420" w:firstLineChars="200"/>
        <w:rPr>
          <w:rFonts w:asciiTheme="minorEastAsia" w:eastAsiaTheme="minorEastAsia" w:hAnsiTheme="minorEastAsia"/>
          <w:bCs/>
          <w:color w:val="000000" w:themeColor="text1"/>
          <w:szCs w:val="21"/>
        </w:rPr>
      </w:pPr>
      <w:r w:rsidRPr="00054588">
        <w:rPr>
          <w:rFonts w:asciiTheme="minorEastAsia" w:eastAsiaTheme="minorEastAsia" w:hAnsiTheme="minorEastAsia" w:hint="eastAsia"/>
          <w:bCs/>
          <w:color w:val="000000" w:themeColor="text1"/>
          <w:szCs w:val="21"/>
        </w:rPr>
        <w:t>（二）实施侧袋机制期间基金份额的申购与赎回</w:t>
      </w:r>
    </w:p>
    <w:p w:rsidR="00401C0B" w:rsidRPr="00054588" w:rsidP="00401C0B">
      <w:pPr>
        <w:spacing w:line="360" w:lineRule="auto"/>
        <w:ind w:firstLine="420" w:firstLineChars="200"/>
        <w:rPr>
          <w:rFonts w:asciiTheme="minorEastAsia" w:eastAsiaTheme="minorEastAsia" w:hAnsiTheme="minorEastAsia"/>
          <w:bCs/>
          <w:color w:val="000000" w:themeColor="text1"/>
          <w:szCs w:val="21"/>
        </w:rPr>
      </w:pPr>
      <w:r w:rsidRPr="00054588">
        <w:rPr>
          <w:rFonts w:asciiTheme="minorEastAsia" w:eastAsiaTheme="minorEastAsia" w:hAnsiTheme="minorEastAsia"/>
          <w:bCs/>
          <w:color w:val="000000" w:themeColor="text1"/>
          <w:szCs w:val="21"/>
        </w:rPr>
        <w:t>1</w:t>
      </w:r>
      <w:r w:rsidRPr="00054588">
        <w:rPr>
          <w:rFonts w:asciiTheme="minorEastAsia" w:eastAsiaTheme="minorEastAsia" w:hAnsiTheme="minorEastAsia" w:hint="eastAsia"/>
          <w:bCs/>
          <w:color w:val="000000" w:themeColor="text1"/>
          <w:szCs w:val="21"/>
        </w:rPr>
        <w:t>、启用侧袋机制当日，本基金登记机构以基金份额持有人的原有账户份额为基础，确认基金份额持有人的相应侧袋账户份额；当日收到的申购申请，按照启用侧袋机制后的主袋账户份额办理；当日收到的赎回申请，仅办理主袋账户份额的赎回申请并支付赎回款项。</w:t>
      </w:r>
    </w:p>
    <w:p w:rsidR="00401C0B" w:rsidRPr="00054588" w:rsidP="00401C0B">
      <w:pPr>
        <w:spacing w:line="360" w:lineRule="auto"/>
        <w:ind w:firstLine="420" w:firstLineChars="200"/>
        <w:rPr>
          <w:rFonts w:asciiTheme="minorEastAsia" w:eastAsiaTheme="minorEastAsia" w:hAnsiTheme="minorEastAsia"/>
          <w:bCs/>
          <w:color w:val="000000" w:themeColor="text1"/>
          <w:szCs w:val="21"/>
        </w:rPr>
      </w:pPr>
      <w:r w:rsidRPr="00054588">
        <w:rPr>
          <w:rFonts w:asciiTheme="minorEastAsia" w:eastAsiaTheme="minorEastAsia" w:hAnsiTheme="minorEastAsia"/>
          <w:bCs/>
          <w:color w:val="000000" w:themeColor="text1"/>
          <w:szCs w:val="21"/>
        </w:rPr>
        <w:t>2</w:t>
      </w:r>
      <w:r w:rsidRPr="00054588">
        <w:rPr>
          <w:rFonts w:asciiTheme="minorEastAsia" w:eastAsiaTheme="minorEastAsia" w:hAnsiTheme="minorEastAsia" w:hint="eastAsia"/>
          <w:bCs/>
          <w:color w:val="000000" w:themeColor="text1"/>
          <w:szCs w:val="21"/>
        </w:rPr>
        <w:t>、实施侧袋机制期间，基金管理人不办理侧袋账户份额的申购、赎回和转换；同时，基金管理人按照基金合同和招募说明书约定的政策办理主袋账户份额的赎回，并根据主袋账户运作情况确定是否暂停申购。本招募说明书“基金份额的申购、赎回”部分的申购、赎回规定适用于主袋账户份额。</w:t>
      </w:r>
    </w:p>
    <w:p w:rsidR="00401C0B" w:rsidRPr="00054588" w:rsidP="00401C0B">
      <w:pPr>
        <w:spacing w:line="360" w:lineRule="auto"/>
        <w:ind w:firstLine="420" w:firstLineChars="200"/>
        <w:rPr>
          <w:rFonts w:asciiTheme="minorEastAsia" w:eastAsiaTheme="minorEastAsia" w:hAnsiTheme="minorEastAsia"/>
          <w:bCs/>
          <w:color w:val="000000" w:themeColor="text1"/>
          <w:szCs w:val="21"/>
        </w:rPr>
      </w:pPr>
      <w:r w:rsidRPr="00054588">
        <w:rPr>
          <w:rFonts w:asciiTheme="minorEastAsia" w:eastAsiaTheme="minorEastAsia" w:hAnsiTheme="minorEastAsia"/>
          <w:bCs/>
          <w:color w:val="000000" w:themeColor="text1"/>
          <w:szCs w:val="21"/>
        </w:rPr>
        <w:t>3</w:t>
      </w:r>
      <w:r w:rsidRPr="00054588">
        <w:rPr>
          <w:rFonts w:asciiTheme="minorEastAsia" w:eastAsiaTheme="minorEastAsia" w:hAnsiTheme="minorEastAsia" w:hint="eastAsia"/>
          <w:bCs/>
          <w:color w:val="000000" w:themeColor="text1"/>
          <w:szCs w:val="21"/>
        </w:rPr>
        <w:t>、基金管理人应按照主袋账户的份额净值办理主袋账户份额的申购和赎回。巨额赎回按照单个开放日内主袋账户份额净赎回申请超过前一开放日主袋账户总份额的</w:t>
      </w:r>
      <w:r w:rsidRPr="00054588">
        <w:rPr>
          <w:rFonts w:asciiTheme="minorEastAsia" w:eastAsiaTheme="minorEastAsia" w:hAnsiTheme="minorEastAsia"/>
          <w:bCs/>
          <w:color w:val="000000" w:themeColor="text1"/>
          <w:szCs w:val="21"/>
        </w:rPr>
        <w:t>10%</w:t>
      </w:r>
      <w:r w:rsidRPr="00054588">
        <w:rPr>
          <w:rFonts w:asciiTheme="minorEastAsia" w:eastAsiaTheme="minorEastAsia" w:hAnsiTheme="minorEastAsia" w:hint="eastAsia"/>
          <w:bCs/>
          <w:color w:val="000000" w:themeColor="text1"/>
          <w:szCs w:val="21"/>
        </w:rPr>
        <w:t>认定。</w:t>
      </w:r>
    </w:p>
    <w:p w:rsidR="00401C0B" w:rsidRPr="00054588" w:rsidP="00401C0B">
      <w:pPr>
        <w:spacing w:line="360" w:lineRule="auto"/>
        <w:ind w:firstLine="420" w:firstLineChars="200"/>
        <w:rPr>
          <w:rFonts w:asciiTheme="minorEastAsia" w:eastAsiaTheme="minorEastAsia" w:hAnsiTheme="minorEastAsia"/>
          <w:bCs/>
          <w:color w:val="000000" w:themeColor="text1"/>
          <w:szCs w:val="21"/>
        </w:rPr>
      </w:pPr>
      <w:r w:rsidRPr="00054588">
        <w:rPr>
          <w:rFonts w:asciiTheme="minorEastAsia" w:eastAsiaTheme="minorEastAsia" w:hAnsiTheme="minorEastAsia" w:hint="eastAsia"/>
          <w:bCs/>
          <w:color w:val="000000" w:themeColor="text1"/>
          <w:szCs w:val="21"/>
        </w:rPr>
        <w:t>（三）实施侧袋机制期间的基金投资</w:t>
      </w:r>
    </w:p>
    <w:p w:rsidR="00401C0B" w:rsidRPr="00054588" w:rsidP="00401C0B">
      <w:pPr>
        <w:spacing w:line="360" w:lineRule="auto"/>
        <w:ind w:firstLine="420" w:firstLineChars="200"/>
        <w:rPr>
          <w:rFonts w:asciiTheme="minorEastAsia" w:eastAsiaTheme="minorEastAsia" w:hAnsiTheme="minorEastAsia"/>
          <w:bCs/>
          <w:color w:val="000000" w:themeColor="text1"/>
          <w:szCs w:val="21"/>
        </w:rPr>
      </w:pPr>
      <w:r w:rsidRPr="00054588">
        <w:rPr>
          <w:rFonts w:asciiTheme="minorEastAsia" w:eastAsiaTheme="minorEastAsia" w:hAnsiTheme="minorEastAsia" w:hint="eastAsia"/>
          <w:bCs/>
          <w:color w:val="000000" w:themeColor="text1"/>
          <w:szCs w:val="21"/>
        </w:rPr>
        <w:t>侧袋机制实施期间，招募说明书“基金的投资”部分约定的投资组合比例、投资策略、组合限制、业绩比较基准、风险收益特征等约定仅适用于主袋账户。基金管理人计算各项投资运作指标和基金业绩指标时应当以主袋账户资产</w:t>
      </w:r>
      <w:r w:rsidRPr="00054588">
        <w:rPr>
          <w:rFonts w:asciiTheme="minorEastAsia" w:eastAsiaTheme="minorEastAsia" w:hAnsiTheme="minorEastAsia"/>
          <w:bCs/>
          <w:color w:val="000000" w:themeColor="text1"/>
          <w:szCs w:val="21"/>
        </w:rPr>
        <w:t>为基准</w:t>
      </w:r>
      <w:r w:rsidRPr="00054588">
        <w:rPr>
          <w:rFonts w:asciiTheme="minorEastAsia" w:eastAsiaTheme="minorEastAsia" w:hAnsiTheme="minorEastAsia" w:hint="eastAsia"/>
          <w:bCs/>
          <w:color w:val="000000" w:themeColor="text1"/>
          <w:szCs w:val="21"/>
        </w:rPr>
        <w:t>。</w:t>
      </w:r>
    </w:p>
    <w:p w:rsidR="00401C0B" w:rsidRPr="00054588" w:rsidP="00401C0B">
      <w:pPr>
        <w:spacing w:line="360" w:lineRule="auto"/>
        <w:ind w:firstLine="420" w:firstLineChars="200"/>
        <w:rPr>
          <w:rFonts w:asciiTheme="minorEastAsia" w:eastAsiaTheme="minorEastAsia" w:hAnsiTheme="minorEastAsia"/>
          <w:bCs/>
          <w:color w:val="000000" w:themeColor="text1"/>
          <w:szCs w:val="21"/>
        </w:rPr>
      </w:pPr>
      <w:r w:rsidRPr="00054588">
        <w:rPr>
          <w:rFonts w:asciiTheme="minorEastAsia" w:eastAsiaTheme="minorEastAsia" w:hAnsiTheme="minorEastAsia" w:hint="eastAsia"/>
          <w:bCs/>
          <w:color w:val="000000" w:themeColor="text1"/>
          <w:szCs w:val="21"/>
        </w:rPr>
        <w:t>基金管理人原则上应当在侧袋机制启动后</w:t>
      </w:r>
      <w:r w:rsidRPr="00054588">
        <w:rPr>
          <w:rFonts w:asciiTheme="minorEastAsia" w:eastAsiaTheme="minorEastAsia" w:hAnsiTheme="minorEastAsia"/>
          <w:bCs/>
          <w:color w:val="000000" w:themeColor="text1"/>
          <w:szCs w:val="21"/>
        </w:rPr>
        <w:t>20</w:t>
      </w:r>
      <w:r w:rsidRPr="00054588">
        <w:rPr>
          <w:rFonts w:asciiTheme="minorEastAsia" w:eastAsiaTheme="minorEastAsia" w:hAnsiTheme="minorEastAsia" w:hint="eastAsia"/>
          <w:bCs/>
          <w:color w:val="000000" w:themeColor="text1"/>
          <w:szCs w:val="21"/>
        </w:rPr>
        <w:t>个交易日内完成对主袋账户投资组合的调整，因资产流动性受限等中国证监会规定的情形除外。</w:t>
      </w:r>
    </w:p>
    <w:p w:rsidR="00401C0B" w:rsidRPr="00054588" w:rsidP="00401C0B">
      <w:pPr>
        <w:spacing w:line="360" w:lineRule="auto"/>
        <w:ind w:firstLine="420" w:firstLineChars="200"/>
        <w:rPr>
          <w:rFonts w:asciiTheme="minorEastAsia" w:eastAsiaTheme="minorEastAsia" w:hAnsiTheme="minorEastAsia"/>
          <w:bCs/>
          <w:color w:val="000000" w:themeColor="text1"/>
          <w:szCs w:val="21"/>
        </w:rPr>
      </w:pPr>
      <w:r w:rsidRPr="00054588">
        <w:rPr>
          <w:rFonts w:asciiTheme="minorEastAsia" w:eastAsiaTheme="minorEastAsia" w:hAnsiTheme="minorEastAsia" w:hint="eastAsia"/>
          <w:bCs/>
          <w:color w:val="000000" w:themeColor="text1"/>
          <w:szCs w:val="21"/>
        </w:rPr>
        <w:t>基金管理人不得在侧袋账户中进行除特定资产处置变现以外的其他投资操作。</w:t>
      </w:r>
    </w:p>
    <w:p w:rsidR="00401C0B" w:rsidRPr="00054588" w:rsidP="00401C0B">
      <w:pPr>
        <w:spacing w:line="360" w:lineRule="auto"/>
        <w:ind w:firstLine="420" w:firstLineChars="200"/>
        <w:rPr>
          <w:rFonts w:asciiTheme="minorEastAsia" w:eastAsiaTheme="minorEastAsia" w:hAnsiTheme="minorEastAsia"/>
          <w:bCs/>
          <w:color w:val="000000" w:themeColor="text1"/>
          <w:szCs w:val="21"/>
        </w:rPr>
      </w:pPr>
      <w:r w:rsidRPr="00054588">
        <w:rPr>
          <w:rFonts w:asciiTheme="minorEastAsia" w:eastAsiaTheme="minorEastAsia" w:hAnsiTheme="minorEastAsia" w:hint="eastAsia"/>
          <w:bCs/>
          <w:color w:val="000000" w:themeColor="text1"/>
          <w:szCs w:val="21"/>
        </w:rPr>
        <w:t>（四）侧袋账户中特定资产的处置变现和支付</w:t>
      </w:r>
    </w:p>
    <w:p w:rsidR="00401C0B" w:rsidRPr="00054588" w:rsidP="00401C0B">
      <w:pPr>
        <w:spacing w:line="360" w:lineRule="auto"/>
        <w:ind w:firstLine="420" w:firstLineChars="200"/>
        <w:rPr>
          <w:rFonts w:asciiTheme="minorEastAsia" w:eastAsiaTheme="minorEastAsia" w:hAnsiTheme="minorEastAsia"/>
          <w:bCs/>
          <w:color w:val="000000" w:themeColor="text1"/>
          <w:szCs w:val="21"/>
        </w:rPr>
      </w:pPr>
      <w:r w:rsidRPr="00054588">
        <w:rPr>
          <w:rFonts w:asciiTheme="minorEastAsia" w:eastAsiaTheme="minorEastAsia" w:hAnsiTheme="minorEastAsia" w:hint="eastAsia"/>
          <w:bCs/>
          <w:color w:val="000000" w:themeColor="text1"/>
          <w:szCs w:val="21"/>
        </w:rPr>
        <w:t>特定资产以可出售、可转让、恢复交易等方式恢复流动性后，基金管理人应当按照基金份额持有人利益最大化原则，采取将特定资产予以处置变现等方式，及时向侧袋账户份额持有人支付对应款项。</w:t>
      </w:r>
    </w:p>
    <w:p w:rsidR="00401C0B" w:rsidRPr="00054588" w:rsidP="00401C0B">
      <w:pPr>
        <w:spacing w:line="360" w:lineRule="auto"/>
        <w:ind w:firstLine="420" w:firstLineChars="200"/>
        <w:rPr>
          <w:rFonts w:asciiTheme="minorEastAsia" w:eastAsiaTheme="minorEastAsia" w:hAnsiTheme="minorEastAsia"/>
          <w:bCs/>
          <w:color w:val="000000" w:themeColor="text1"/>
          <w:szCs w:val="21"/>
        </w:rPr>
      </w:pPr>
      <w:r w:rsidRPr="00054588">
        <w:rPr>
          <w:rFonts w:asciiTheme="minorEastAsia" w:eastAsiaTheme="minorEastAsia" w:hAnsiTheme="minorEastAsia" w:hint="eastAsia"/>
          <w:bCs/>
          <w:color w:val="000000" w:themeColor="text1"/>
          <w:szCs w:val="21"/>
        </w:rPr>
        <w:t>终止侧袋机制后，基金管理人及时聘请符合《证券法》规定的会计师事务所进行审计并披露专项审计意见。</w:t>
      </w:r>
    </w:p>
    <w:p w:rsidR="00401C0B" w:rsidRPr="00054588" w:rsidP="00401C0B">
      <w:pPr>
        <w:spacing w:line="360" w:lineRule="auto"/>
        <w:ind w:firstLine="420" w:firstLineChars="200"/>
        <w:rPr>
          <w:rFonts w:asciiTheme="minorEastAsia" w:eastAsiaTheme="minorEastAsia" w:hAnsiTheme="minorEastAsia"/>
          <w:bCs/>
          <w:color w:val="000000" w:themeColor="text1"/>
          <w:szCs w:val="21"/>
        </w:rPr>
      </w:pPr>
      <w:r w:rsidRPr="00054588">
        <w:rPr>
          <w:rFonts w:asciiTheme="minorEastAsia" w:eastAsiaTheme="minorEastAsia" w:hAnsiTheme="minorEastAsia" w:hint="eastAsia"/>
          <w:bCs/>
          <w:color w:val="000000" w:themeColor="text1"/>
          <w:szCs w:val="21"/>
        </w:rPr>
        <w:t>（五）侧袋机制的信息披露</w:t>
      </w:r>
    </w:p>
    <w:p w:rsidR="00401C0B" w:rsidRPr="00054588" w:rsidP="00401C0B">
      <w:pPr>
        <w:spacing w:line="360" w:lineRule="auto"/>
        <w:ind w:firstLine="420" w:firstLineChars="200"/>
        <w:rPr>
          <w:rFonts w:asciiTheme="minorEastAsia" w:eastAsiaTheme="minorEastAsia" w:hAnsiTheme="minorEastAsia"/>
          <w:bCs/>
          <w:color w:val="000000" w:themeColor="text1"/>
          <w:szCs w:val="21"/>
        </w:rPr>
      </w:pPr>
      <w:r w:rsidRPr="00054588">
        <w:rPr>
          <w:rFonts w:asciiTheme="minorEastAsia" w:eastAsiaTheme="minorEastAsia" w:hAnsiTheme="minorEastAsia"/>
          <w:bCs/>
          <w:color w:val="000000" w:themeColor="text1"/>
          <w:szCs w:val="21"/>
        </w:rPr>
        <w:t>1</w:t>
      </w:r>
      <w:r w:rsidRPr="00054588">
        <w:rPr>
          <w:rFonts w:asciiTheme="minorEastAsia" w:eastAsiaTheme="minorEastAsia" w:hAnsiTheme="minorEastAsia" w:hint="eastAsia"/>
          <w:bCs/>
          <w:color w:val="000000" w:themeColor="text1"/>
          <w:szCs w:val="21"/>
        </w:rPr>
        <w:t>、临时公告</w:t>
      </w:r>
    </w:p>
    <w:p w:rsidR="00401C0B" w:rsidRPr="00054588" w:rsidP="00401C0B">
      <w:pPr>
        <w:spacing w:line="360" w:lineRule="auto"/>
        <w:ind w:firstLine="420" w:firstLineChars="200"/>
        <w:rPr>
          <w:rFonts w:asciiTheme="minorEastAsia" w:eastAsiaTheme="minorEastAsia" w:hAnsiTheme="minorEastAsia"/>
          <w:bCs/>
          <w:color w:val="000000" w:themeColor="text1"/>
          <w:szCs w:val="21"/>
        </w:rPr>
      </w:pPr>
      <w:r w:rsidRPr="00054588">
        <w:rPr>
          <w:rFonts w:asciiTheme="minorEastAsia" w:eastAsiaTheme="minorEastAsia" w:hAnsiTheme="minorEastAsia" w:hint="eastAsia"/>
          <w:bCs/>
          <w:color w:val="000000" w:themeColor="text1"/>
          <w:szCs w:val="21"/>
        </w:rPr>
        <w:t>在启用侧袋机制、处置特定资产、终止侧袋机制以及发生其他可能对投资者利益产生重大影响的事项后，基金管理人应及时发布临时公告。</w:t>
      </w:r>
    </w:p>
    <w:p w:rsidR="00401C0B" w:rsidRPr="00054588" w:rsidP="00401C0B">
      <w:pPr>
        <w:spacing w:line="360" w:lineRule="auto"/>
        <w:ind w:firstLine="420" w:firstLineChars="200"/>
        <w:rPr>
          <w:rFonts w:asciiTheme="minorEastAsia" w:eastAsiaTheme="minorEastAsia" w:hAnsiTheme="minorEastAsia"/>
          <w:bCs/>
          <w:color w:val="000000" w:themeColor="text1"/>
          <w:szCs w:val="21"/>
        </w:rPr>
      </w:pPr>
      <w:r w:rsidRPr="00054588">
        <w:rPr>
          <w:rFonts w:asciiTheme="minorEastAsia" w:eastAsiaTheme="minorEastAsia" w:hAnsiTheme="minorEastAsia"/>
          <w:bCs/>
          <w:color w:val="000000" w:themeColor="text1"/>
          <w:szCs w:val="21"/>
        </w:rPr>
        <w:t>2</w:t>
      </w:r>
      <w:r w:rsidRPr="00054588">
        <w:rPr>
          <w:rFonts w:asciiTheme="minorEastAsia" w:eastAsiaTheme="minorEastAsia" w:hAnsiTheme="minorEastAsia" w:hint="eastAsia"/>
          <w:bCs/>
          <w:color w:val="000000" w:themeColor="text1"/>
          <w:szCs w:val="21"/>
        </w:rPr>
        <w:t>、基金净值信息</w:t>
      </w:r>
    </w:p>
    <w:p w:rsidR="00401C0B" w:rsidRPr="00054588" w:rsidP="00401C0B">
      <w:pPr>
        <w:spacing w:line="360" w:lineRule="auto"/>
        <w:ind w:firstLine="420" w:firstLineChars="200"/>
        <w:rPr>
          <w:rFonts w:asciiTheme="minorEastAsia" w:eastAsiaTheme="minorEastAsia" w:hAnsiTheme="minorEastAsia"/>
          <w:bCs/>
          <w:color w:val="000000" w:themeColor="text1"/>
          <w:szCs w:val="21"/>
        </w:rPr>
      </w:pPr>
      <w:r w:rsidRPr="00054588">
        <w:rPr>
          <w:rFonts w:asciiTheme="minorEastAsia" w:eastAsiaTheme="minorEastAsia" w:hAnsiTheme="minorEastAsia" w:hint="eastAsia"/>
          <w:bCs/>
          <w:color w:val="000000" w:themeColor="text1"/>
          <w:szCs w:val="21"/>
        </w:rPr>
        <w:t>基金管理人应按照招募说明书“基金的信息披露”部分规定的基金净值信息披露方式和频率披露主袋账户份额的基金份额净值和基金份额累计净值。实施侧袋机制期间本基金暂停披露侧袋账户份额净值。</w:t>
      </w:r>
    </w:p>
    <w:p w:rsidR="00401C0B" w:rsidRPr="00054588" w:rsidP="00401C0B">
      <w:pPr>
        <w:spacing w:line="360" w:lineRule="auto"/>
        <w:ind w:firstLine="420" w:firstLineChars="200"/>
        <w:rPr>
          <w:rFonts w:asciiTheme="minorEastAsia" w:eastAsiaTheme="minorEastAsia" w:hAnsiTheme="minorEastAsia"/>
          <w:bCs/>
          <w:color w:val="000000" w:themeColor="text1"/>
          <w:szCs w:val="21"/>
        </w:rPr>
      </w:pPr>
      <w:r w:rsidRPr="00054588">
        <w:rPr>
          <w:rFonts w:asciiTheme="minorEastAsia" w:eastAsiaTheme="minorEastAsia" w:hAnsiTheme="minorEastAsia"/>
          <w:bCs/>
          <w:color w:val="000000" w:themeColor="text1"/>
          <w:szCs w:val="21"/>
        </w:rPr>
        <w:t>3</w:t>
      </w:r>
      <w:r w:rsidRPr="00054588">
        <w:rPr>
          <w:rFonts w:asciiTheme="minorEastAsia" w:eastAsiaTheme="minorEastAsia" w:hAnsiTheme="minorEastAsia" w:hint="eastAsia"/>
          <w:bCs/>
          <w:color w:val="000000" w:themeColor="text1"/>
          <w:szCs w:val="21"/>
        </w:rPr>
        <w:t>、定期报告</w:t>
      </w:r>
    </w:p>
    <w:p w:rsidR="00401C0B" w:rsidRPr="00054588" w:rsidP="00401C0B">
      <w:pPr>
        <w:spacing w:line="360" w:lineRule="auto"/>
        <w:ind w:firstLine="420" w:firstLineChars="200"/>
        <w:rPr>
          <w:rFonts w:asciiTheme="minorEastAsia" w:eastAsiaTheme="minorEastAsia" w:hAnsiTheme="minorEastAsia"/>
          <w:color w:val="000000" w:themeColor="text1"/>
          <w:kern w:val="0"/>
          <w:szCs w:val="21"/>
        </w:rPr>
      </w:pPr>
      <w:r w:rsidRPr="00054588">
        <w:rPr>
          <w:rFonts w:asciiTheme="minorEastAsia" w:eastAsiaTheme="minorEastAsia" w:hAnsiTheme="minorEastAsia" w:hint="eastAsia"/>
          <w:bCs/>
          <w:color w:val="000000" w:themeColor="text1"/>
          <w:szCs w:val="21"/>
        </w:rPr>
        <w:t>侧袋机制实施期间，基金管理人应当在基金定期报告中披露报告期内特定资产处置进展情况，披露报告期末特定资产可变现净值或净值区间的，需同时注明不作为特定资产最终变现价格的承诺。</w:t>
      </w:r>
    </w:p>
    <w:p w:rsidR="007228CC" w:rsidRPr="00054588" w:rsidP="00DB3139">
      <w:pPr>
        <w:snapToGrid w:val="0"/>
        <w:spacing w:line="360" w:lineRule="auto"/>
        <w:ind w:firstLine="420" w:firstLineChars="200"/>
        <w:rPr>
          <w:rFonts w:asciiTheme="minorEastAsia" w:eastAsiaTheme="minorEastAsia" w:hAnsiTheme="minorEastAsia"/>
          <w:color w:val="000000" w:themeColor="text1"/>
          <w:szCs w:val="21"/>
        </w:rPr>
      </w:pPr>
    </w:p>
    <w:p w:rsidR="007228CC" w:rsidRPr="00054588" w:rsidP="0071223F">
      <w:pPr>
        <w:snapToGrid w:val="0"/>
        <w:spacing w:line="360" w:lineRule="auto"/>
        <w:rPr>
          <w:rFonts w:asciiTheme="minorEastAsia" w:eastAsiaTheme="minorEastAsia" w:hAnsiTheme="minorEastAsia"/>
          <w:color w:val="000000" w:themeColor="text1"/>
        </w:rPr>
      </w:pPr>
    </w:p>
    <w:p w:rsidR="007228CC" w:rsidRPr="00054588" w:rsidP="00941EC8">
      <w:pPr>
        <w:pStyle w:val="Heading1"/>
        <w:numPr>
          <w:ilvl w:val="0"/>
          <w:numId w:val="7"/>
        </w:numPr>
        <w:tabs>
          <w:tab w:val="num" w:pos="0"/>
          <w:tab w:val="clear" w:pos="2798"/>
        </w:tabs>
        <w:snapToGrid w:val="0"/>
        <w:spacing w:beforeLines="0" w:afterLines="0" w:line="360" w:lineRule="auto"/>
        <w:ind w:left="0" w:firstLine="0" w:firstLineChars="0"/>
        <w:rPr>
          <w:rFonts w:asciiTheme="minorEastAsia" w:eastAsiaTheme="minorEastAsia" w:hAnsiTheme="minorEastAsia"/>
          <w:color w:val="000000" w:themeColor="text1"/>
        </w:rPr>
        <w:sectPr w:rsidSect="00DE4B5E">
          <w:pgSz w:w="11906" w:h="16838" w:code="9"/>
          <w:pgMar w:top="1440" w:right="1800" w:bottom="1440" w:left="1800" w:header="851" w:footer="992" w:gutter="0"/>
          <w:cols w:space="425"/>
          <w:docGrid w:type="lines" w:linePitch="312"/>
        </w:sectPr>
      </w:pPr>
      <w:bookmarkStart w:id="477" w:name="_Toc182018805"/>
      <w:bookmarkStart w:id="478" w:name="_Toc211920209"/>
      <w:bookmarkStart w:id="479" w:name="_Toc211927738"/>
    </w:p>
    <w:p w:rsidR="007228CC" w:rsidRPr="00054588" w:rsidP="00941EC8">
      <w:pPr>
        <w:pStyle w:val="111"/>
        <w:numPr>
          <w:ilvl w:val="0"/>
          <w:numId w:val="7"/>
        </w:numPr>
        <w:tabs>
          <w:tab w:val="num" w:pos="0"/>
          <w:tab w:val="clear" w:pos="2798"/>
        </w:tabs>
        <w:snapToGrid w:val="0"/>
        <w:spacing w:beforeLines="0" w:afterLines="0" w:line="360" w:lineRule="auto"/>
        <w:ind w:left="0" w:firstLine="0" w:firstLineChars="0"/>
        <w:rPr>
          <w:rFonts w:asciiTheme="minorEastAsia" w:eastAsiaTheme="minorEastAsia" w:hAnsiTheme="minorEastAsia"/>
          <w:b/>
          <w:color w:val="000000" w:themeColor="text1"/>
        </w:rPr>
      </w:pPr>
      <w:bookmarkStart w:id="480" w:name="_Toc123296504"/>
      <w:r w:rsidRPr="00054588">
        <w:rPr>
          <w:rFonts w:asciiTheme="minorEastAsia" w:eastAsiaTheme="minorEastAsia" w:hAnsiTheme="minorEastAsia" w:hint="eastAsia"/>
          <w:b/>
          <w:color w:val="000000" w:themeColor="text1"/>
        </w:rPr>
        <w:t>风险揭示</w:t>
      </w:r>
      <w:bookmarkEnd w:id="480"/>
    </w:p>
    <w:p w:rsidR="007228CC" w:rsidRPr="00054588" w:rsidP="009A1EA6">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481" w:name="_Toc123296505"/>
      <w:r w:rsidRPr="00054588">
        <w:rPr>
          <w:rFonts w:asciiTheme="minorEastAsia" w:eastAsiaTheme="minorEastAsia" w:hAnsiTheme="minorEastAsia" w:hint="eastAsia"/>
          <w:color w:val="000000" w:themeColor="text1"/>
        </w:rPr>
        <w:t>（一）市场风险</w:t>
      </w:r>
      <w:bookmarkEnd w:id="477"/>
      <w:bookmarkEnd w:id="478"/>
      <w:bookmarkEnd w:id="479"/>
      <w:bookmarkEnd w:id="481"/>
    </w:p>
    <w:p w:rsidR="007228CC" w:rsidRPr="00054588" w:rsidP="0071223F">
      <w:pPr>
        <w:snapToGrid w:val="0"/>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本基金主要投资于证券市场，而证券市场价格因受到经济因素、政治因素、投资者心理和交易制度等各种因素的影响而产生波动，从而导致基金收益水平发生变化，产生风险。主要的风险因素包括：</w:t>
      </w:r>
    </w:p>
    <w:p w:rsidR="007228CC" w:rsidRPr="00054588" w:rsidP="0071223F">
      <w:pPr>
        <w:autoSpaceDE w:val="0"/>
        <w:autoSpaceDN w:val="0"/>
        <w:adjustRightInd w:val="0"/>
        <w:snapToGrid w:val="0"/>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1</w:t>
      </w:r>
      <w:r w:rsidRPr="00054588" w:rsidR="0021144C">
        <w:rPr>
          <w:rFonts w:asciiTheme="minorEastAsia" w:eastAsiaTheme="minorEastAsia" w:hAnsiTheme="minorEastAsia" w:hint="eastAsia"/>
          <w:color w:val="000000" w:themeColor="text1"/>
        </w:rPr>
        <w:t>、</w:t>
      </w:r>
      <w:r w:rsidRPr="00054588">
        <w:rPr>
          <w:rFonts w:asciiTheme="minorEastAsia" w:eastAsiaTheme="minorEastAsia" w:hAnsiTheme="minorEastAsia" w:hint="eastAsia"/>
          <w:color w:val="000000" w:themeColor="text1"/>
        </w:rPr>
        <w:t>政策风险</w:t>
      </w:r>
    </w:p>
    <w:p w:rsidR="007228CC" w:rsidRPr="00054588" w:rsidP="0071223F">
      <w:pPr>
        <w:snapToGrid w:val="0"/>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因国家宏观政策（如货币政策、财政政策、行业政策、地区发展政策等）发生变化，导致市场价格波动而产生风险。</w:t>
      </w:r>
    </w:p>
    <w:p w:rsidR="007228CC" w:rsidRPr="00054588" w:rsidP="0071223F">
      <w:pPr>
        <w:snapToGrid w:val="0"/>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2</w:t>
      </w:r>
      <w:r w:rsidRPr="00054588" w:rsidR="0021144C">
        <w:rPr>
          <w:rFonts w:asciiTheme="minorEastAsia" w:eastAsiaTheme="minorEastAsia" w:hAnsiTheme="minorEastAsia" w:hint="eastAsia"/>
          <w:color w:val="000000" w:themeColor="text1"/>
        </w:rPr>
        <w:t>、</w:t>
      </w:r>
      <w:r w:rsidRPr="00054588">
        <w:rPr>
          <w:rFonts w:asciiTheme="minorEastAsia" w:eastAsiaTheme="minorEastAsia" w:hAnsiTheme="minorEastAsia" w:hint="eastAsia"/>
          <w:color w:val="000000" w:themeColor="text1"/>
        </w:rPr>
        <w:t>利率风险</w:t>
      </w:r>
    </w:p>
    <w:p w:rsidR="007228CC" w:rsidRPr="00054588" w:rsidP="0071223F">
      <w:pPr>
        <w:snapToGrid w:val="0"/>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利率风险主要是指因金融市场利率的波动而导致证券市场价格和收益率变动的风险。利率直接影响着债券的价格和收益率，影响着企业的融资成本和利润。</w:t>
      </w:r>
      <w:r w:rsidRPr="00054588">
        <w:rPr>
          <w:rFonts w:asciiTheme="minorEastAsia" w:eastAsiaTheme="minorEastAsia" w:hAnsiTheme="minorEastAsia" w:hint="eastAsia"/>
          <w:color w:val="000000" w:themeColor="text1"/>
        </w:rPr>
        <w:t>本</w:t>
      </w:r>
      <w:r w:rsidRPr="00054588">
        <w:rPr>
          <w:rFonts w:asciiTheme="minorEastAsia" w:eastAsiaTheme="minorEastAsia" w:hAnsiTheme="minorEastAsia"/>
          <w:color w:val="000000" w:themeColor="text1"/>
        </w:rPr>
        <w:t>基金</w:t>
      </w:r>
      <w:r w:rsidRPr="00054588">
        <w:rPr>
          <w:rFonts w:asciiTheme="minorEastAsia" w:eastAsiaTheme="minorEastAsia" w:hAnsiTheme="minorEastAsia" w:hint="eastAsia"/>
          <w:color w:val="000000" w:themeColor="text1"/>
        </w:rPr>
        <w:t>主要</w:t>
      </w:r>
      <w:r w:rsidRPr="00054588">
        <w:rPr>
          <w:rFonts w:asciiTheme="minorEastAsia" w:eastAsiaTheme="minorEastAsia" w:hAnsiTheme="minorEastAsia"/>
          <w:color w:val="000000" w:themeColor="text1"/>
        </w:rPr>
        <w:t>投资</w:t>
      </w:r>
      <w:r w:rsidRPr="00054588">
        <w:rPr>
          <w:rFonts w:asciiTheme="minorEastAsia" w:eastAsiaTheme="minorEastAsia" w:hAnsiTheme="minorEastAsia" w:hint="eastAsia"/>
          <w:color w:val="000000" w:themeColor="text1"/>
        </w:rPr>
        <w:t>方向包括</w:t>
      </w:r>
      <w:r w:rsidRPr="00054588">
        <w:rPr>
          <w:rFonts w:asciiTheme="minorEastAsia" w:eastAsiaTheme="minorEastAsia" w:hAnsiTheme="minorEastAsia"/>
          <w:color w:val="000000" w:themeColor="text1"/>
        </w:rPr>
        <w:t>债券</w:t>
      </w:r>
      <w:r w:rsidRPr="00054588">
        <w:rPr>
          <w:rFonts w:asciiTheme="minorEastAsia" w:eastAsiaTheme="minorEastAsia" w:hAnsiTheme="minorEastAsia" w:hint="eastAsia"/>
          <w:color w:val="000000" w:themeColor="text1"/>
        </w:rPr>
        <w:t>、</w:t>
      </w:r>
      <w:r w:rsidRPr="00054588">
        <w:rPr>
          <w:rFonts w:asciiTheme="minorEastAsia" w:eastAsiaTheme="minorEastAsia" w:hAnsiTheme="minorEastAsia"/>
          <w:color w:val="000000" w:themeColor="text1"/>
        </w:rPr>
        <w:t>票据</w:t>
      </w:r>
      <w:r w:rsidRPr="00054588">
        <w:rPr>
          <w:rFonts w:asciiTheme="minorEastAsia" w:eastAsiaTheme="minorEastAsia" w:hAnsiTheme="minorEastAsia" w:hint="eastAsia"/>
          <w:color w:val="000000" w:themeColor="text1"/>
        </w:rPr>
        <w:t>和银行存款，</w:t>
      </w:r>
      <w:r w:rsidRPr="00054588">
        <w:rPr>
          <w:rFonts w:asciiTheme="minorEastAsia" w:eastAsiaTheme="minorEastAsia" w:hAnsiTheme="minorEastAsia"/>
          <w:color w:val="000000" w:themeColor="text1"/>
        </w:rPr>
        <w:t>其收益水平直接受到利率变化的影响。</w:t>
      </w:r>
    </w:p>
    <w:p w:rsidR="007228CC" w:rsidRPr="00054588" w:rsidP="0071223F">
      <w:pPr>
        <w:snapToGrid w:val="0"/>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3</w:t>
      </w:r>
      <w:r w:rsidRPr="00054588" w:rsidR="0021144C">
        <w:rPr>
          <w:rFonts w:asciiTheme="minorEastAsia" w:eastAsiaTheme="minorEastAsia" w:hAnsiTheme="minorEastAsia" w:hint="eastAsia"/>
          <w:color w:val="000000" w:themeColor="text1"/>
        </w:rPr>
        <w:t>、</w:t>
      </w:r>
      <w:r w:rsidRPr="00054588">
        <w:rPr>
          <w:rFonts w:asciiTheme="minorEastAsia" w:eastAsiaTheme="minorEastAsia" w:hAnsiTheme="minorEastAsia" w:hint="eastAsia"/>
          <w:color w:val="000000" w:themeColor="text1"/>
        </w:rPr>
        <w:t>再投资风险</w:t>
      </w:r>
    </w:p>
    <w:p w:rsidR="007228CC" w:rsidRPr="00054588" w:rsidP="0071223F">
      <w:pPr>
        <w:autoSpaceDE w:val="0"/>
        <w:autoSpaceDN w:val="0"/>
        <w:adjustRightInd w:val="0"/>
        <w:snapToGrid w:val="0"/>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债券</w:t>
      </w:r>
      <w:r w:rsidRPr="00054588">
        <w:rPr>
          <w:rFonts w:asciiTheme="minorEastAsia" w:eastAsiaTheme="minorEastAsia" w:hAnsiTheme="minorEastAsia" w:hint="eastAsia"/>
          <w:color w:val="000000" w:themeColor="text1"/>
        </w:rPr>
        <w:t>、票据</w:t>
      </w:r>
      <w:r w:rsidRPr="00054588">
        <w:rPr>
          <w:rFonts w:asciiTheme="minorEastAsia" w:eastAsiaTheme="minorEastAsia" w:hAnsiTheme="minorEastAsia"/>
          <w:color w:val="000000" w:themeColor="text1"/>
        </w:rPr>
        <w:t>偿付本息后以及回购到期后可能由于市场利率的下降面临资金再投资的收益率低于原来利率，由此本基金面临再投资风险。</w:t>
      </w:r>
    </w:p>
    <w:p w:rsidR="007228CC" w:rsidRPr="00054588" w:rsidP="0071223F">
      <w:pPr>
        <w:snapToGrid w:val="0"/>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4</w:t>
      </w:r>
      <w:r w:rsidRPr="00054588" w:rsidR="0021144C">
        <w:rPr>
          <w:rFonts w:asciiTheme="minorEastAsia" w:eastAsiaTheme="minorEastAsia" w:hAnsiTheme="minorEastAsia" w:hint="eastAsia"/>
          <w:color w:val="000000" w:themeColor="text1"/>
        </w:rPr>
        <w:t>、</w:t>
      </w:r>
      <w:r w:rsidRPr="00054588">
        <w:rPr>
          <w:rFonts w:asciiTheme="minorEastAsia" w:eastAsiaTheme="minorEastAsia" w:hAnsiTheme="minorEastAsia" w:hint="eastAsia"/>
          <w:color w:val="000000" w:themeColor="text1"/>
        </w:rPr>
        <w:t>信用风险</w:t>
      </w:r>
    </w:p>
    <w:p w:rsidR="007228CC" w:rsidRPr="00054588" w:rsidP="0071223F">
      <w:pPr>
        <w:snapToGrid w:val="0"/>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债券发行人不能按期还本付息或回购交易中交易对手在回购到期履行交割责任时，不能偿还全部或部分证券或价款，都可能使本基金面临信用风险。</w:t>
      </w:r>
    </w:p>
    <w:p w:rsidR="007228CC" w:rsidRPr="00054588" w:rsidP="0071223F">
      <w:pPr>
        <w:snapToGrid w:val="0"/>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5、</w:t>
      </w:r>
      <w:r w:rsidRPr="00054588" w:rsidR="00D15755">
        <w:rPr>
          <w:rFonts w:asciiTheme="minorEastAsia" w:eastAsiaTheme="minorEastAsia" w:hAnsiTheme="minorEastAsia" w:hint="eastAsia"/>
          <w:color w:val="000000" w:themeColor="text1"/>
        </w:rPr>
        <w:t>经济周期风险</w:t>
      </w:r>
    </w:p>
    <w:p w:rsidR="007228CC" w:rsidRPr="00054588" w:rsidP="0071223F">
      <w:pPr>
        <w:snapToGrid w:val="0"/>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随着经济运行的周期性变化，证券市场的收益水平也呈周期性变化，基金投资的收益水平也会随之变化，从而产生风险。</w:t>
      </w:r>
    </w:p>
    <w:p w:rsidR="007228CC" w:rsidRPr="00054588" w:rsidP="0071223F">
      <w:pPr>
        <w:snapToGrid w:val="0"/>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6、</w:t>
      </w:r>
      <w:r w:rsidRPr="00054588" w:rsidR="00683564">
        <w:rPr>
          <w:rFonts w:asciiTheme="minorEastAsia" w:eastAsiaTheme="minorEastAsia" w:hAnsiTheme="minorEastAsia" w:hint="eastAsia"/>
          <w:color w:val="000000" w:themeColor="text1"/>
        </w:rPr>
        <w:t>公司</w:t>
      </w:r>
      <w:r w:rsidRPr="00054588">
        <w:rPr>
          <w:rFonts w:asciiTheme="minorEastAsia" w:eastAsiaTheme="minorEastAsia" w:hAnsiTheme="minorEastAsia" w:hint="eastAsia"/>
          <w:color w:val="000000" w:themeColor="text1"/>
        </w:rPr>
        <w:t>经营风险</w:t>
      </w:r>
    </w:p>
    <w:p w:rsidR="007228CC" w:rsidRPr="00054588" w:rsidP="0071223F">
      <w:pPr>
        <w:snapToGrid w:val="0"/>
        <w:spacing w:line="360" w:lineRule="auto"/>
        <w:ind w:firstLine="420"/>
        <w:rPr>
          <w:rFonts w:asciiTheme="minorEastAsia" w:eastAsiaTheme="minorEastAsia" w:hAnsiTheme="minorEastAsia" w:cs="宋体"/>
          <w:color w:val="000000" w:themeColor="text1"/>
          <w:kern w:val="0"/>
          <w:szCs w:val="21"/>
        </w:rPr>
      </w:pPr>
      <w:r w:rsidRPr="00054588">
        <w:rPr>
          <w:rFonts w:asciiTheme="minorEastAsia" w:eastAsiaTheme="minorEastAsia" w:hAnsiTheme="minorEastAsia" w:cs="宋体" w:hint="eastAsia"/>
          <w:color w:val="000000" w:themeColor="text1"/>
          <w:kern w:val="0"/>
          <w:szCs w:val="21"/>
        </w:rPr>
        <w:t>上市</w:t>
      </w:r>
      <w:r w:rsidRPr="00054588" w:rsidR="002A11D4">
        <w:rPr>
          <w:rFonts w:asciiTheme="minorEastAsia" w:eastAsiaTheme="minorEastAsia" w:hAnsiTheme="minorEastAsia" w:cs="宋体" w:hint="eastAsia"/>
          <w:color w:val="000000" w:themeColor="text1"/>
          <w:kern w:val="0"/>
          <w:szCs w:val="21"/>
        </w:rPr>
        <w:t>公司的经营状况受多种因素的影响，如管理能力、行业竞争、市场前景、技术更新、新产品研究开发等都会导致公司盈利发生变化。如果基金所投资的上市公司经营不善，其股票价格或债券价格可能下跌，能够用于分配的利润减少</w:t>
      </w:r>
      <w:r w:rsidRPr="00054588" w:rsidR="000C2537">
        <w:rPr>
          <w:rFonts w:asciiTheme="minorEastAsia" w:eastAsiaTheme="minorEastAsia" w:hAnsiTheme="minorEastAsia" w:cs="宋体" w:hint="eastAsia"/>
          <w:color w:val="000000" w:themeColor="text1"/>
          <w:kern w:val="0"/>
          <w:szCs w:val="21"/>
        </w:rPr>
        <w:t>；</w:t>
      </w:r>
      <w:r w:rsidRPr="00054588" w:rsidR="000C2537">
        <w:rPr>
          <w:rFonts w:asciiTheme="minorEastAsia" w:eastAsiaTheme="minorEastAsia" w:hAnsiTheme="minorEastAsia" w:hint="eastAsia"/>
          <w:color w:val="000000" w:themeColor="text1"/>
          <w:kern w:val="0"/>
          <w:szCs w:val="21"/>
        </w:rPr>
        <w:t>同时，其偿债能力也会受到影响，基金投资收益将受到不良影响</w:t>
      </w:r>
      <w:r w:rsidRPr="00054588" w:rsidR="002A11D4">
        <w:rPr>
          <w:rFonts w:asciiTheme="minorEastAsia" w:eastAsiaTheme="minorEastAsia" w:hAnsiTheme="minorEastAsia" w:cs="宋体" w:hint="eastAsia"/>
          <w:color w:val="000000" w:themeColor="text1"/>
          <w:kern w:val="0"/>
          <w:szCs w:val="21"/>
        </w:rPr>
        <w:t>。虽然基金可以通过投资多样化来分散这种非系统风险，但不能完全避免。</w:t>
      </w:r>
    </w:p>
    <w:p w:rsidR="00683564" w:rsidRPr="00054588" w:rsidP="0071223F">
      <w:pPr>
        <w:snapToGrid w:val="0"/>
        <w:spacing w:line="360" w:lineRule="auto"/>
        <w:ind w:firstLine="420"/>
        <w:rPr>
          <w:rFonts w:asciiTheme="minorEastAsia" w:eastAsiaTheme="minorEastAsia" w:hAnsiTheme="minorEastAsia"/>
          <w:color w:val="000000" w:themeColor="text1"/>
          <w:kern w:val="0"/>
          <w:szCs w:val="21"/>
        </w:rPr>
      </w:pPr>
      <w:r w:rsidRPr="00054588">
        <w:rPr>
          <w:rFonts w:asciiTheme="minorEastAsia" w:eastAsiaTheme="minorEastAsia" w:hAnsiTheme="minorEastAsia" w:cs="宋体"/>
          <w:color w:val="000000" w:themeColor="text1"/>
          <w:kern w:val="0"/>
          <w:szCs w:val="21"/>
        </w:rPr>
        <w:t>7</w:t>
      </w:r>
      <w:r w:rsidRPr="00054588">
        <w:rPr>
          <w:rFonts w:asciiTheme="minorEastAsia" w:eastAsiaTheme="minorEastAsia" w:hAnsiTheme="minorEastAsia" w:cs="宋体" w:hint="eastAsia"/>
          <w:color w:val="000000" w:themeColor="text1"/>
          <w:kern w:val="0"/>
          <w:szCs w:val="21"/>
        </w:rPr>
        <w:t>、</w:t>
      </w:r>
      <w:r w:rsidRPr="00054588">
        <w:rPr>
          <w:rFonts w:asciiTheme="minorEastAsia" w:eastAsiaTheme="minorEastAsia" w:hAnsiTheme="minorEastAsia" w:hint="eastAsia"/>
          <w:color w:val="000000" w:themeColor="text1"/>
          <w:kern w:val="0"/>
          <w:szCs w:val="21"/>
        </w:rPr>
        <w:t>购买力风险</w:t>
      </w:r>
    </w:p>
    <w:p w:rsidR="00683564" w:rsidRPr="00054588" w:rsidP="0071223F">
      <w:pPr>
        <w:snapToGrid w:val="0"/>
        <w:spacing w:line="360" w:lineRule="auto"/>
        <w:ind w:firstLine="420"/>
        <w:rPr>
          <w:rFonts w:asciiTheme="minorEastAsia" w:eastAsiaTheme="minorEastAsia" w:hAnsiTheme="minorEastAsia"/>
          <w:color w:val="000000" w:themeColor="text1"/>
          <w:kern w:val="0"/>
          <w:szCs w:val="21"/>
        </w:rPr>
      </w:pPr>
      <w:r w:rsidRPr="00054588">
        <w:rPr>
          <w:rFonts w:asciiTheme="minorEastAsia" w:eastAsiaTheme="minorEastAsia" w:hAnsiTheme="minorEastAsia" w:hint="eastAsia"/>
          <w:color w:val="000000" w:themeColor="text1"/>
          <w:kern w:val="0"/>
          <w:szCs w:val="21"/>
        </w:rPr>
        <w:t>如果发生通货膨胀，基金投资于证券所获得的收益可能会被通货膨胀抵消，从而影响基金资产的实际收益率。</w:t>
      </w:r>
    </w:p>
    <w:p w:rsidR="00683564" w:rsidRPr="00054588" w:rsidP="0071223F">
      <w:pPr>
        <w:snapToGrid w:val="0"/>
        <w:spacing w:line="360" w:lineRule="auto"/>
        <w:ind w:firstLine="420"/>
        <w:rPr>
          <w:rFonts w:asciiTheme="minorEastAsia" w:eastAsiaTheme="minorEastAsia" w:hAnsiTheme="minorEastAsia"/>
          <w:color w:val="000000" w:themeColor="text1"/>
          <w:kern w:val="0"/>
          <w:szCs w:val="21"/>
        </w:rPr>
      </w:pPr>
      <w:r w:rsidRPr="00054588">
        <w:rPr>
          <w:rFonts w:asciiTheme="minorEastAsia" w:eastAsiaTheme="minorEastAsia" w:hAnsiTheme="minorEastAsia" w:hint="eastAsia"/>
          <w:color w:val="000000" w:themeColor="text1"/>
          <w:kern w:val="0"/>
          <w:szCs w:val="21"/>
        </w:rPr>
        <w:t>8</w:t>
      </w:r>
      <w:r w:rsidRPr="00054588">
        <w:rPr>
          <w:rFonts w:asciiTheme="minorEastAsia" w:eastAsiaTheme="minorEastAsia" w:hAnsiTheme="minorEastAsia"/>
          <w:color w:val="000000" w:themeColor="text1"/>
          <w:kern w:val="0"/>
          <w:szCs w:val="21"/>
        </w:rPr>
        <w:t>、</w:t>
      </w:r>
      <w:r w:rsidRPr="00054588">
        <w:rPr>
          <w:rFonts w:asciiTheme="minorEastAsia" w:eastAsiaTheme="minorEastAsia" w:hAnsiTheme="minorEastAsia" w:hint="eastAsia"/>
          <w:color w:val="000000" w:themeColor="text1"/>
          <w:kern w:val="0"/>
          <w:szCs w:val="21"/>
        </w:rPr>
        <w:t>股票市场风险</w:t>
      </w:r>
    </w:p>
    <w:p w:rsidR="00683564" w:rsidRPr="00054588" w:rsidP="0071223F">
      <w:pPr>
        <w:snapToGrid w:val="0"/>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kern w:val="0"/>
          <w:szCs w:val="21"/>
        </w:rPr>
        <w:t>如果股票市场下跌，本基金持有股票部分将面临下跌风险。</w:t>
      </w:r>
    </w:p>
    <w:p w:rsidR="007228CC" w:rsidRPr="00054588" w:rsidP="009A1EA6">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482" w:name="_Toc182018806"/>
      <w:bookmarkStart w:id="483" w:name="_Toc211920210"/>
      <w:bookmarkStart w:id="484" w:name="_Toc211927739"/>
      <w:bookmarkStart w:id="485" w:name="_Toc123296506"/>
      <w:r w:rsidRPr="00054588">
        <w:rPr>
          <w:rFonts w:asciiTheme="minorEastAsia" w:eastAsiaTheme="minorEastAsia" w:hAnsiTheme="minorEastAsia" w:hint="eastAsia"/>
          <w:color w:val="000000" w:themeColor="text1"/>
        </w:rPr>
        <w:t>（二）管理风险</w:t>
      </w:r>
      <w:bookmarkEnd w:id="482"/>
      <w:bookmarkEnd w:id="483"/>
      <w:bookmarkEnd w:id="484"/>
      <w:bookmarkEnd w:id="485"/>
    </w:p>
    <w:p w:rsidR="007228CC" w:rsidRPr="00054588" w:rsidP="0071223F">
      <w:pPr>
        <w:snapToGrid w:val="0"/>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1</w:t>
      </w:r>
      <w:r w:rsidRPr="00054588" w:rsidR="0021144C">
        <w:rPr>
          <w:rFonts w:asciiTheme="minorEastAsia" w:eastAsiaTheme="minorEastAsia" w:hAnsiTheme="minorEastAsia" w:hint="eastAsia"/>
          <w:color w:val="000000" w:themeColor="text1"/>
        </w:rPr>
        <w:t>、</w:t>
      </w:r>
      <w:r w:rsidRPr="00054588">
        <w:rPr>
          <w:rFonts w:asciiTheme="minorEastAsia" w:eastAsiaTheme="minorEastAsia" w:hAnsiTheme="minorEastAsia" w:hint="eastAsia"/>
          <w:color w:val="000000" w:themeColor="text1"/>
        </w:rPr>
        <w:t>在基金管理运作过程中，基金管理人的知识、经验、判断、决策、技能等，会影响其对信息的占有以及对经济形势、证券价格走势的判断，从而影响基金收益水平；</w:t>
      </w:r>
    </w:p>
    <w:p w:rsidR="007228CC" w:rsidRPr="00054588" w:rsidP="0071223F">
      <w:pPr>
        <w:snapToGrid w:val="0"/>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2</w:t>
      </w:r>
      <w:r w:rsidRPr="00054588" w:rsidR="0021144C">
        <w:rPr>
          <w:rFonts w:asciiTheme="minorEastAsia" w:eastAsiaTheme="minorEastAsia" w:hAnsiTheme="minorEastAsia" w:hint="eastAsia"/>
          <w:color w:val="000000" w:themeColor="text1"/>
        </w:rPr>
        <w:t>、</w:t>
      </w:r>
      <w:r w:rsidRPr="00054588">
        <w:rPr>
          <w:rFonts w:asciiTheme="minorEastAsia" w:eastAsiaTheme="minorEastAsia" w:hAnsiTheme="minorEastAsia" w:hint="eastAsia"/>
          <w:color w:val="000000" w:themeColor="text1"/>
        </w:rPr>
        <w:t>基金管理人</w:t>
      </w:r>
      <w:r w:rsidRPr="00054588" w:rsidR="002A11D4">
        <w:rPr>
          <w:rFonts w:asciiTheme="minorEastAsia" w:eastAsiaTheme="minorEastAsia" w:hAnsiTheme="minorEastAsia" w:hint="eastAsia"/>
          <w:color w:val="000000" w:themeColor="text1"/>
        </w:rPr>
        <w:t>和基金托管人</w:t>
      </w:r>
      <w:r w:rsidRPr="00054588">
        <w:rPr>
          <w:rFonts w:asciiTheme="minorEastAsia" w:eastAsiaTheme="minorEastAsia" w:hAnsiTheme="minorEastAsia" w:hint="eastAsia"/>
          <w:color w:val="000000" w:themeColor="text1"/>
        </w:rPr>
        <w:t>的管理手段和管理技术等因素的变化也会影响基金收益水平。</w:t>
      </w:r>
    </w:p>
    <w:p w:rsidR="007228CC" w:rsidRPr="00054588" w:rsidP="009A1EA6">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486" w:name="_Toc182018807"/>
      <w:bookmarkStart w:id="487" w:name="_Toc211920211"/>
      <w:bookmarkStart w:id="488" w:name="_Toc211927740"/>
      <w:bookmarkStart w:id="489" w:name="_Toc123296507"/>
      <w:r w:rsidRPr="00054588">
        <w:rPr>
          <w:rFonts w:asciiTheme="minorEastAsia" w:eastAsiaTheme="minorEastAsia" w:hAnsiTheme="minorEastAsia" w:hint="eastAsia"/>
          <w:color w:val="000000" w:themeColor="text1"/>
        </w:rPr>
        <w:t>（三）流动性风险</w:t>
      </w:r>
      <w:bookmarkEnd w:id="486"/>
      <w:bookmarkEnd w:id="487"/>
      <w:bookmarkEnd w:id="488"/>
      <w:bookmarkEnd w:id="489"/>
    </w:p>
    <w:p w:rsidR="00F55E0F" w:rsidRPr="00054588" w:rsidP="00F55E0F">
      <w:pPr>
        <w:snapToGrid w:val="0"/>
        <w:spacing w:line="360" w:lineRule="auto"/>
        <w:ind w:firstLine="420" w:firstLineChars="20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1、流动性风险评估</w:t>
      </w:r>
    </w:p>
    <w:p w:rsidR="00F55E0F" w:rsidRPr="00054588" w:rsidP="00F55E0F">
      <w:pPr>
        <w:snapToGrid w:val="0"/>
        <w:spacing w:line="360" w:lineRule="auto"/>
        <w:ind w:firstLine="420" w:firstLineChars="20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本基金为债券型基金，可投资于</w:t>
      </w:r>
      <w:r w:rsidRPr="00054588">
        <w:rPr>
          <w:rFonts w:asciiTheme="minorEastAsia" w:eastAsiaTheme="minorEastAsia" w:hAnsiTheme="minorEastAsia" w:hint="eastAsia"/>
          <w:color w:val="000000" w:themeColor="text1"/>
          <w:szCs w:val="21"/>
        </w:rPr>
        <w:t>国内依法发行、上市的股票、债券、资产支持证券、货币市场工具等</w:t>
      </w:r>
      <w:r w:rsidRPr="00054588">
        <w:rPr>
          <w:rFonts w:asciiTheme="minorEastAsia" w:eastAsiaTheme="minorEastAsia" w:hAnsiTheme="minorEastAsia" w:hint="eastAsia"/>
          <w:color w:val="000000" w:themeColor="text1"/>
        </w:rPr>
        <w:t>，一般情况下，这些资产市场流动性较好，但不排除在特定阶段、特定市场环境下特定投资标的出现流动性较差的情况。因此，本基金投资于上述资产时，可能存在以下流动性风险：一是基金管理人建仓或进行组合调整时，可能由于特定投资标的流动性相对不足而无法按预期的价格买进或卖出；二是为应付投资者的赎回，基金被迫以不适当的价格卖出股票、债券或其他资产。两者均可能使基金净值受到不利影响。</w:t>
      </w:r>
    </w:p>
    <w:p w:rsidR="00F55E0F" w:rsidRPr="00054588" w:rsidP="00F55E0F">
      <w:pPr>
        <w:snapToGrid w:val="0"/>
        <w:spacing w:line="360" w:lineRule="auto"/>
        <w:ind w:firstLine="420" w:firstLineChars="20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2、巨额赎回情形下的流动性风险管理措施</w:t>
      </w:r>
    </w:p>
    <w:p w:rsidR="00F55E0F" w:rsidRPr="00054588" w:rsidP="00F55E0F">
      <w:pPr>
        <w:snapToGrid w:val="0"/>
        <w:spacing w:line="360" w:lineRule="auto"/>
        <w:ind w:firstLine="420" w:firstLineChars="20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当本基金出现巨额赎回时，基金管理人可以根据基金当时的资产组合状况决定接受全额赎回或部分延期赎回；此外，如本基金连续2日以上(含本数)发生巨额赎回，基金管理人认为有必要，可暂停接受基金的赎回申请；已经接受的赎回申请可以延缓支付赎回款项，但不得超过20个工作日。当本基金发生巨额赎回且单个基金份额持有人的赎回申请超过上一开放日基金总份额10%的，基金管理人有权对该单个基金份额持有人超出该比例的赎回申请实施延期办理。具体情形、程序见招募说明书“八、基金份额的申购、赎回”</w:t>
      </w:r>
      <w:r w:rsidRPr="00054588" w:rsidR="00350BF0">
        <w:rPr>
          <w:rFonts w:asciiTheme="minorEastAsia" w:eastAsiaTheme="minorEastAsia" w:hAnsiTheme="minorEastAsia" w:hint="eastAsia"/>
          <w:color w:val="000000" w:themeColor="text1"/>
        </w:rPr>
        <w:t>之</w:t>
      </w:r>
      <w:r w:rsidRPr="00054588">
        <w:rPr>
          <w:rFonts w:asciiTheme="minorEastAsia" w:eastAsiaTheme="minorEastAsia" w:hAnsiTheme="minorEastAsia" w:hint="eastAsia"/>
          <w:color w:val="000000" w:themeColor="text1"/>
        </w:rPr>
        <w:t>“（十）巨额赎回的认定及处理方式”</w:t>
      </w:r>
    </w:p>
    <w:p w:rsidR="00F55E0F" w:rsidRPr="00054588" w:rsidP="00F55E0F">
      <w:pPr>
        <w:snapToGrid w:val="0"/>
        <w:spacing w:line="360" w:lineRule="auto"/>
        <w:ind w:firstLine="420" w:firstLineChars="20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发生上述情形时，投资人面临无法全部赎回或无法及时获得赎回资金的风险。在本基金暂停或延期办理投资者赎回申请的情况下，投资者未能赎回的基金份额还将面临净值波动的风险。</w:t>
      </w:r>
    </w:p>
    <w:p w:rsidR="00F55E0F" w:rsidRPr="00054588" w:rsidP="00F55E0F">
      <w:pPr>
        <w:snapToGrid w:val="0"/>
        <w:spacing w:line="360" w:lineRule="auto"/>
        <w:ind w:firstLine="420" w:firstLineChars="20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3、除巨额赎回情形外实施备用的流动性风险管理工具的情形、程序及对投资者的潜在影响</w:t>
      </w:r>
    </w:p>
    <w:p w:rsidR="00F55E0F" w:rsidRPr="00054588" w:rsidP="00F55E0F">
      <w:pPr>
        <w:snapToGrid w:val="0"/>
        <w:spacing w:line="360" w:lineRule="auto"/>
        <w:ind w:firstLine="420" w:firstLineChars="20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除巨额赎回情形外，本基金备用流动性风险管理工具包括但不限于暂停接受赎回申请、延缓支付赎回款项、收取短期赎回费、暂停基金估值以及证监会认定的其他措施。</w:t>
      </w:r>
    </w:p>
    <w:p w:rsidR="00F55E0F" w:rsidRPr="00054588" w:rsidP="00F55E0F">
      <w:pPr>
        <w:snapToGrid w:val="0"/>
        <w:spacing w:line="360" w:lineRule="auto"/>
        <w:ind w:firstLine="420" w:firstLineChars="20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暂停接受赎回申请、延缓支付赎回款项等工具的情形、程序见招募说明书“八、基金份额的申购、赎回”之“（十一）拒绝或暂停申购、赎回的情形及处理方式”的相关规定。若本基金暂停赎回申请，投资者在暂停赎回期间将无法赎回其持有的基金份额。若本基金延缓支付赎回款项，赎回款支付时间将后延，可能对投资者的资金安排带来不利影响。</w:t>
      </w:r>
    </w:p>
    <w:p w:rsidR="00F55E0F" w:rsidRPr="00054588" w:rsidP="00F55E0F">
      <w:pPr>
        <w:snapToGrid w:val="0"/>
        <w:spacing w:line="360" w:lineRule="auto"/>
        <w:ind w:firstLine="420" w:firstLineChars="20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短期赎回费适用于持续持有期少于7日的投资者，费率为1.5%。短期赎回费由赎回基金份额的基金份额持有人承担，在基金份额持有人赎回基金份额时收取，并全额计入基金财产。短期赎回费的收取将使得投资者在持续持有期限少于7日时会承担较高的赎回费。</w:t>
      </w:r>
    </w:p>
    <w:p w:rsidR="007228CC" w:rsidRPr="00054588" w:rsidP="00F55E0F">
      <w:pPr>
        <w:snapToGrid w:val="0"/>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暂停基金估值的情形、程序见招募说明书“十五、基金资产估值”之“（六）暂停公告净值的情形”的相关规定。若本基金暂停基金估值，一方面投资者将无法知晓本基金的基金份额净值，另一方面基金将暂停接受申购赎回申请或延缓支付赎回款项，将导致投资者无法申购或赎回本基金，或赎回款支付时间将后延，可能对投资者的资金安排带来不利影响。</w:t>
      </w:r>
    </w:p>
    <w:p w:rsidR="00401C0B" w:rsidRPr="00054588" w:rsidP="00401C0B">
      <w:pPr>
        <w:spacing w:line="360" w:lineRule="auto"/>
        <w:ind w:firstLine="420" w:firstLineChars="20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4、实施侧袋机制对投资者的影响</w:t>
      </w:r>
    </w:p>
    <w:p w:rsidR="00401C0B" w:rsidRPr="00054588" w:rsidP="00401C0B">
      <w:pPr>
        <w:spacing w:line="360" w:lineRule="auto"/>
        <w:ind w:firstLine="420" w:firstLineChars="20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拥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rsidR="00401C0B" w:rsidRPr="00054588" w:rsidP="00401C0B">
      <w:pPr>
        <w:spacing w:line="360" w:lineRule="auto"/>
        <w:ind w:firstLine="420" w:firstLineChars="20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实施侧袋机制期间，基金管理人计算各项投资运作指标和基金业绩指标时以主袋账户资产为基准，不反映侧袋账户特定资产的真实价值及变化情况。本基金不披露侧袋账户份额的净值，即便基金管理人在基金定期报告中披露报告期末特定资产可变现净值或净值区间的，也不作为特定资产最终变现价格的承诺，对于特定资产的公允价值和最终变现价格，基金管理人不承担任何保证和承诺的责任。</w:t>
      </w:r>
    </w:p>
    <w:p w:rsidR="00401C0B" w:rsidRPr="00054588" w:rsidP="00401C0B">
      <w:pPr>
        <w:snapToGrid w:val="0"/>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基金管理人将根据主袋账户运作情况合理确定申购政策，因此实施侧袋机制后主袋账户份额存在暂停申购的可能。</w:t>
      </w:r>
    </w:p>
    <w:p w:rsidR="00575E02" w:rsidRPr="00054588" w:rsidP="00DB3139">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490" w:name="_Toc123296508"/>
      <w:r w:rsidRPr="00054588">
        <w:rPr>
          <w:rFonts w:asciiTheme="minorEastAsia" w:eastAsiaTheme="minorEastAsia" w:hAnsiTheme="minorEastAsia" w:hint="eastAsia"/>
          <w:color w:val="000000" w:themeColor="text1"/>
        </w:rPr>
        <w:t>（四）本基金法律文件中涉及基金风险特征的表述与销售机构对基金的风险评级可能不一致的风险</w:t>
      </w:r>
      <w:bookmarkEnd w:id="490"/>
    </w:p>
    <w:p w:rsidR="00575E02" w:rsidRPr="00054588" w:rsidP="00575E02">
      <w:pPr>
        <w:snapToGrid w:val="0"/>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rsidR="00D15755" w:rsidRPr="00054588" w:rsidP="009A1EA6">
      <w:pPr>
        <w:pStyle w:val="Heading2"/>
        <w:snapToGrid w:val="0"/>
        <w:spacing w:beforeLines="0" w:afterLines="0" w:line="360" w:lineRule="auto"/>
        <w:ind w:firstLine="0" w:firstLineChars="0"/>
        <w:rPr>
          <w:rFonts w:asciiTheme="minorEastAsia" w:eastAsiaTheme="minorEastAsia" w:hAnsiTheme="minorEastAsia"/>
          <w:color w:val="000000" w:themeColor="text1"/>
          <w:kern w:val="0"/>
          <w:szCs w:val="21"/>
        </w:rPr>
      </w:pPr>
      <w:bookmarkStart w:id="491" w:name="_Toc123296509"/>
      <w:bookmarkStart w:id="492" w:name="_Toc182018808"/>
      <w:bookmarkStart w:id="493" w:name="_Toc211920212"/>
      <w:bookmarkStart w:id="494" w:name="_Toc211927741"/>
      <w:r w:rsidRPr="00054588">
        <w:rPr>
          <w:rFonts w:asciiTheme="minorEastAsia" w:eastAsiaTheme="minorEastAsia" w:hAnsiTheme="minorEastAsia" w:hint="eastAsia"/>
          <w:color w:val="000000" w:themeColor="text1"/>
        </w:rPr>
        <w:t>（</w:t>
      </w:r>
      <w:r w:rsidRPr="00054588" w:rsidR="00575E02">
        <w:rPr>
          <w:rFonts w:asciiTheme="minorEastAsia" w:eastAsiaTheme="minorEastAsia" w:hAnsiTheme="minorEastAsia" w:hint="eastAsia"/>
          <w:color w:val="000000" w:themeColor="text1"/>
        </w:rPr>
        <w:t>五</w:t>
      </w:r>
      <w:r w:rsidRPr="00054588">
        <w:rPr>
          <w:rFonts w:asciiTheme="minorEastAsia" w:eastAsiaTheme="minorEastAsia" w:hAnsiTheme="minorEastAsia" w:hint="eastAsia"/>
          <w:color w:val="000000" w:themeColor="text1"/>
        </w:rPr>
        <w:t>）</w:t>
      </w:r>
      <w:r w:rsidRPr="00054588">
        <w:rPr>
          <w:rFonts w:asciiTheme="minorEastAsia" w:eastAsiaTheme="minorEastAsia" w:hAnsiTheme="minorEastAsia" w:hint="eastAsia"/>
          <w:color w:val="000000" w:themeColor="text1"/>
          <w:kern w:val="0"/>
          <w:szCs w:val="21"/>
        </w:rPr>
        <w:t>本基金的特有风险</w:t>
      </w:r>
      <w:bookmarkEnd w:id="491"/>
    </w:p>
    <w:p w:rsidR="00B43765" w:rsidRPr="00054588" w:rsidP="004E41A1">
      <w:pPr>
        <w:snapToGrid w:val="0"/>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1</w:t>
      </w:r>
      <w:r w:rsidRPr="00054588">
        <w:rPr>
          <w:rFonts w:asciiTheme="minorEastAsia" w:eastAsiaTheme="minorEastAsia" w:hAnsiTheme="minorEastAsia" w:hint="eastAsia"/>
          <w:color w:val="000000" w:themeColor="text1"/>
        </w:rPr>
        <w:t>、本基金投资于</w:t>
      </w:r>
      <w:r w:rsidRPr="00054588" w:rsidR="00D15755">
        <w:rPr>
          <w:rFonts w:asciiTheme="minorEastAsia" w:eastAsiaTheme="minorEastAsia" w:hAnsiTheme="minorEastAsia" w:hint="eastAsia"/>
          <w:color w:val="000000" w:themeColor="text1"/>
        </w:rPr>
        <w:t>债券等固定收益资产的比例不低于基金资产的80%</w:t>
      </w:r>
      <w:r w:rsidRPr="00054588">
        <w:rPr>
          <w:rFonts w:asciiTheme="minorEastAsia" w:eastAsiaTheme="minorEastAsia" w:hAnsiTheme="minorEastAsia" w:hint="eastAsia"/>
          <w:color w:val="000000" w:themeColor="text1"/>
        </w:rPr>
        <w:t>。因此，本基金需要承担由于市场利率波动造成的利率风险以及如企业债、公司债等信用品种的发债主体信用恶化造成的信用风险；如果债券市场出现整体下跌，将无法完全避免债券市场系统性风险；</w:t>
      </w:r>
    </w:p>
    <w:p w:rsidR="00B43765" w:rsidRPr="00054588" w:rsidP="004E41A1">
      <w:pPr>
        <w:snapToGrid w:val="0"/>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w:t>
      </w:r>
      <w:r w:rsidRPr="00054588">
        <w:rPr>
          <w:rFonts w:asciiTheme="minorEastAsia" w:eastAsiaTheme="minorEastAsia" w:hAnsiTheme="minorEastAsia" w:hint="eastAsia"/>
          <w:color w:val="000000" w:themeColor="text1"/>
        </w:rPr>
        <w:t>本基金投资于</w:t>
      </w:r>
      <w:r w:rsidRPr="00054588" w:rsidR="00D15755">
        <w:rPr>
          <w:rFonts w:asciiTheme="minorEastAsia" w:eastAsiaTheme="minorEastAsia" w:hAnsiTheme="minorEastAsia" w:hint="eastAsia"/>
          <w:color w:val="000000" w:themeColor="text1"/>
        </w:rPr>
        <w:t>债券等固定收益资产的比例不低于基金资产的80%</w:t>
      </w:r>
      <w:r w:rsidRPr="00054588">
        <w:rPr>
          <w:rFonts w:asciiTheme="minorEastAsia" w:eastAsiaTheme="minorEastAsia" w:hAnsiTheme="minorEastAsia" w:hint="eastAsia"/>
          <w:color w:val="000000" w:themeColor="text1"/>
        </w:rPr>
        <w:t>；投资于</w:t>
      </w:r>
      <w:r w:rsidRPr="00054588" w:rsidR="00D15755">
        <w:rPr>
          <w:rFonts w:asciiTheme="minorEastAsia" w:eastAsiaTheme="minorEastAsia" w:hAnsiTheme="minorEastAsia" w:hint="eastAsia"/>
          <w:color w:val="000000" w:themeColor="text1"/>
        </w:rPr>
        <w:t>股票等权益类品种不高于基金资产的20%</w:t>
      </w:r>
      <w:r w:rsidRPr="00054588">
        <w:rPr>
          <w:rFonts w:asciiTheme="minorEastAsia" w:eastAsiaTheme="minorEastAsia" w:hAnsiTheme="minorEastAsia" w:hint="eastAsia"/>
          <w:color w:val="000000" w:themeColor="text1"/>
        </w:rPr>
        <w:t>。因此，本基金除承担利率风险、信用风险和债券市场系统性风险外，还将面临股票市场下跌的风险；</w:t>
      </w:r>
    </w:p>
    <w:p w:rsidR="00A939EB" w:rsidRPr="00054588" w:rsidP="00A939EB">
      <w:pPr>
        <w:snapToGrid w:val="0"/>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3</w:t>
      </w:r>
      <w:r w:rsidRPr="00054588">
        <w:rPr>
          <w:rFonts w:asciiTheme="minorEastAsia" w:eastAsiaTheme="minorEastAsia" w:hAnsiTheme="minorEastAsia" w:hint="eastAsia"/>
          <w:color w:val="000000" w:themeColor="text1"/>
        </w:rPr>
        <w:t>、本基金的投资范围包括资产支持证券，资产支持证券可能面临的信用风险、利率风险、流动性风险、提前偿付风险等风险、操作风险和法律风险，由此可能增加本基金净值的波动性。</w:t>
      </w:r>
    </w:p>
    <w:p w:rsidR="00A939EB" w:rsidRPr="00054588" w:rsidP="00A939EB">
      <w:pPr>
        <w:snapToGrid w:val="0"/>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4、投资于存托凭证的风险</w:t>
      </w:r>
    </w:p>
    <w:p w:rsidR="00A939EB" w:rsidRPr="00054588" w:rsidP="00A939EB">
      <w:pPr>
        <w:snapToGrid w:val="0"/>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本基金的投资范围包括存托凭证，除与其他仅投资于沪深市场股票的基金所面临的共同风险外，本基金还将面临存托凭证价格大幅波动甚至出现较大亏损的风险，以及与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7228CC" w:rsidRPr="00054588" w:rsidP="009A1EA6">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495" w:name="_Toc123296510"/>
      <w:r w:rsidRPr="00054588">
        <w:rPr>
          <w:rFonts w:asciiTheme="minorEastAsia" w:eastAsiaTheme="minorEastAsia" w:hAnsiTheme="minorEastAsia" w:hint="eastAsia"/>
          <w:color w:val="000000" w:themeColor="text1"/>
        </w:rPr>
        <w:t>（</w:t>
      </w:r>
      <w:r w:rsidRPr="00054588" w:rsidR="00575E02">
        <w:rPr>
          <w:rFonts w:asciiTheme="minorEastAsia" w:eastAsiaTheme="minorEastAsia" w:hAnsiTheme="minorEastAsia" w:hint="eastAsia"/>
          <w:color w:val="000000" w:themeColor="text1"/>
        </w:rPr>
        <w:t>六</w:t>
      </w:r>
      <w:r w:rsidRPr="00054588">
        <w:rPr>
          <w:rFonts w:asciiTheme="minorEastAsia" w:eastAsiaTheme="minorEastAsia" w:hAnsiTheme="minorEastAsia" w:hint="eastAsia"/>
          <w:color w:val="000000" w:themeColor="text1"/>
        </w:rPr>
        <w:t>）其他风险</w:t>
      </w:r>
      <w:bookmarkEnd w:id="492"/>
      <w:bookmarkEnd w:id="493"/>
      <w:bookmarkEnd w:id="494"/>
      <w:bookmarkEnd w:id="495"/>
    </w:p>
    <w:p w:rsidR="007228CC" w:rsidRPr="00054588" w:rsidP="0071223F">
      <w:pPr>
        <w:snapToGrid w:val="0"/>
        <w:spacing w:line="360" w:lineRule="auto"/>
        <w:ind w:firstLine="420"/>
        <w:rPr>
          <w:rFonts w:asciiTheme="minorEastAsia" w:eastAsiaTheme="minorEastAsia" w:hAnsiTheme="minorEastAsia"/>
          <w:color w:val="000000" w:themeColor="text1"/>
          <w:kern w:val="0"/>
          <w:szCs w:val="21"/>
        </w:rPr>
      </w:pPr>
      <w:r w:rsidRPr="00054588">
        <w:rPr>
          <w:rFonts w:asciiTheme="minorEastAsia" w:eastAsiaTheme="minorEastAsia" w:hAnsiTheme="minorEastAsia" w:hint="eastAsia"/>
          <w:color w:val="000000" w:themeColor="text1"/>
        </w:rPr>
        <w:t>1</w:t>
      </w:r>
      <w:r w:rsidRPr="00054588" w:rsidR="0021144C">
        <w:rPr>
          <w:rFonts w:asciiTheme="minorEastAsia" w:eastAsiaTheme="minorEastAsia" w:hAnsiTheme="minorEastAsia" w:hint="eastAsia"/>
          <w:color w:val="000000" w:themeColor="text1"/>
        </w:rPr>
        <w:t>、</w:t>
      </w:r>
      <w:r w:rsidRPr="00054588">
        <w:rPr>
          <w:rFonts w:asciiTheme="minorEastAsia" w:eastAsiaTheme="minorEastAsia" w:hAnsiTheme="minorEastAsia" w:hint="eastAsia"/>
          <w:color w:val="000000" w:themeColor="text1"/>
          <w:kern w:val="0"/>
          <w:szCs w:val="21"/>
        </w:rPr>
        <w:t>本基金力争战胜业绩比较基准，但本基金的收益水平有可能不能达到或超过业绩比较基准，基金份额持有人面临无法获得目标收益率甚至本金亏损的风险；</w:t>
      </w:r>
    </w:p>
    <w:p w:rsidR="007228CC" w:rsidRPr="00054588" w:rsidP="0071223F">
      <w:pPr>
        <w:snapToGrid w:val="0"/>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2</w:t>
      </w:r>
      <w:r w:rsidRPr="00054588" w:rsidR="0021144C">
        <w:rPr>
          <w:rFonts w:asciiTheme="minorEastAsia" w:eastAsiaTheme="minorEastAsia" w:hAnsiTheme="minorEastAsia" w:hint="eastAsia"/>
          <w:color w:val="000000" w:themeColor="text1"/>
        </w:rPr>
        <w:t>、</w:t>
      </w:r>
      <w:r w:rsidRPr="00054588">
        <w:rPr>
          <w:rFonts w:asciiTheme="minorEastAsia" w:eastAsiaTheme="minorEastAsia" w:hAnsiTheme="minorEastAsia" w:hint="eastAsia"/>
          <w:color w:val="000000" w:themeColor="text1"/>
        </w:rPr>
        <w:t>因技术因素而产生的风险，如电脑系统不可靠产生的风险；</w:t>
      </w:r>
    </w:p>
    <w:p w:rsidR="007228CC" w:rsidRPr="00054588" w:rsidP="0071223F">
      <w:pPr>
        <w:snapToGrid w:val="0"/>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3</w:t>
      </w:r>
      <w:r w:rsidRPr="00054588" w:rsidR="0021144C">
        <w:rPr>
          <w:rFonts w:asciiTheme="minorEastAsia" w:eastAsiaTheme="minorEastAsia" w:hAnsiTheme="minorEastAsia" w:hint="eastAsia"/>
          <w:color w:val="000000" w:themeColor="text1"/>
        </w:rPr>
        <w:t>、</w:t>
      </w:r>
      <w:r w:rsidRPr="00054588">
        <w:rPr>
          <w:rFonts w:asciiTheme="minorEastAsia" w:eastAsiaTheme="minorEastAsia" w:hAnsiTheme="minorEastAsia" w:hint="eastAsia"/>
          <w:color w:val="000000" w:themeColor="text1"/>
        </w:rPr>
        <w:t>因战争、自然灾害等不可抗力导致的基金管理人、基金</w:t>
      </w:r>
      <w:r w:rsidRPr="00054588" w:rsidR="00236E5B">
        <w:rPr>
          <w:rFonts w:asciiTheme="minorEastAsia" w:eastAsiaTheme="minorEastAsia" w:hAnsiTheme="minorEastAsia" w:hint="eastAsia"/>
          <w:color w:val="000000" w:themeColor="text1"/>
        </w:rPr>
        <w:t>销售</w:t>
      </w:r>
      <w:r w:rsidRPr="00054588">
        <w:rPr>
          <w:rFonts w:asciiTheme="minorEastAsia" w:eastAsiaTheme="minorEastAsia" w:hAnsiTheme="minorEastAsia" w:hint="eastAsia"/>
          <w:color w:val="000000" w:themeColor="text1"/>
        </w:rPr>
        <w:t>机构等机构无法正常工作，从而影响基金运作的风险；</w:t>
      </w:r>
    </w:p>
    <w:p w:rsidR="00E4614D" w:rsidRPr="00054588" w:rsidP="0071223F">
      <w:pPr>
        <w:autoSpaceDE w:val="0"/>
        <w:autoSpaceDN w:val="0"/>
        <w:snapToGrid w:val="0"/>
        <w:spacing w:line="360" w:lineRule="auto"/>
        <w:ind w:firstLine="458" w:firstLineChars="218"/>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4</w:t>
      </w:r>
      <w:r w:rsidRPr="00054588" w:rsidR="0021144C">
        <w:rPr>
          <w:rFonts w:asciiTheme="minorEastAsia" w:eastAsiaTheme="minorEastAsia" w:hAnsiTheme="minorEastAsia" w:hint="eastAsia"/>
          <w:color w:val="000000" w:themeColor="text1"/>
        </w:rPr>
        <w:t>、</w:t>
      </w:r>
      <w:r w:rsidRPr="00054588">
        <w:rPr>
          <w:rFonts w:asciiTheme="minorEastAsia" w:eastAsiaTheme="minorEastAsia" w:hAnsiTheme="minorEastAsia" w:hint="eastAsia"/>
          <w:color w:val="000000" w:themeColor="text1"/>
          <w:kern w:val="0"/>
          <w:szCs w:val="21"/>
        </w:rPr>
        <w:t>因金融市场危机、代理商违约、基金托管人违约等超出基金管理人自身控制能力的因素出现，可能导致基金或者基金份额持有人利益受损的风险</w:t>
      </w:r>
      <w:r w:rsidRPr="00054588">
        <w:rPr>
          <w:rFonts w:asciiTheme="minorEastAsia" w:eastAsiaTheme="minorEastAsia" w:hAnsiTheme="minorEastAsia" w:hint="eastAsia"/>
          <w:color w:val="000000" w:themeColor="text1"/>
        </w:rPr>
        <w:t>；</w:t>
      </w:r>
    </w:p>
    <w:p w:rsidR="007228CC" w:rsidRPr="00054588" w:rsidP="0071223F">
      <w:pPr>
        <w:autoSpaceDE w:val="0"/>
        <w:autoSpaceDN w:val="0"/>
        <w:snapToGrid w:val="0"/>
        <w:spacing w:line="360" w:lineRule="auto"/>
        <w:ind w:firstLine="458" w:firstLineChars="218"/>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5、</w:t>
      </w:r>
      <w:r w:rsidRPr="00054588">
        <w:rPr>
          <w:rFonts w:asciiTheme="minorEastAsia" w:eastAsiaTheme="minorEastAsia" w:hAnsiTheme="minorEastAsia" w:hint="eastAsia"/>
          <w:color w:val="000000" w:themeColor="text1"/>
          <w:kern w:val="0"/>
          <w:szCs w:val="21"/>
        </w:rPr>
        <w:t>因固定收益类金融工具主要在场外市场进行交易，场外市场交易现阶段自动化程度较场内市场低，本基金在投资运作过程中可能面临操作风险。</w:t>
      </w:r>
    </w:p>
    <w:p w:rsidR="0021144C" w:rsidRPr="00054588" w:rsidP="0071223F">
      <w:pPr>
        <w:autoSpaceDE w:val="0"/>
        <w:autoSpaceDN w:val="0"/>
        <w:snapToGrid w:val="0"/>
        <w:spacing w:line="360" w:lineRule="auto"/>
        <w:ind w:firstLine="458" w:firstLineChars="218"/>
        <w:rPr>
          <w:rFonts w:asciiTheme="minorEastAsia" w:eastAsiaTheme="minorEastAsia" w:hAnsiTheme="minorEastAsia"/>
          <w:color w:val="000000" w:themeColor="text1"/>
        </w:rPr>
      </w:pPr>
    </w:p>
    <w:p w:rsidR="006472BD" w:rsidRPr="00054588" w:rsidP="0071223F">
      <w:pPr>
        <w:autoSpaceDE w:val="0"/>
        <w:autoSpaceDN w:val="0"/>
        <w:snapToGrid w:val="0"/>
        <w:spacing w:line="360" w:lineRule="auto"/>
        <w:ind w:firstLine="458" w:firstLineChars="218"/>
        <w:rPr>
          <w:rFonts w:asciiTheme="minorEastAsia" w:eastAsiaTheme="minorEastAsia" w:hAnsiTheme="minorEastAsia"/>
          <w:color w:val="000000" w:themeColor="text1"/>
        </w:rPr>
        <w:sectPr w:rsidSect="00DE4B5E">
          <w:pgSz w:w="11906" w:h="16838" w:code="9"/>
          <w:pgMar w:top="1440" w:right="1800" w:bottom="1440" w:left="1800" w:header="851" w:footer="992" w:gutter="0"/>
          <w:cols w:space="425"/>
          <w:docGrid w:type="lines" w:linePitch="312"/>
        </w:sectPr>
      </w:pPr>
    </w:p>
    <w:p w:rsidR="007228CC" w:rsidRPr="00054588" w:rsidP="00941EC8">
      <w:pPr>
        <w:pStyle w:val="111"/>
        <w:numPr>
          <w:ilvl w:val="0"/>
          <w:numId w:val="7"/>
        </w:numPr>
        <w:tabs>
          <w:tab w:val="num" w:pos="0"/>
          <w:tab w:val="clear" w:pos="2798"/>
        </w:tabs>
        <w:snapToGrid w:val="0"/>
        <w:spacing w:beforeLines="0" w:afterLines="0" w:line="360" w:lineRule="auto"/>
        <w:ind w:left="0" w:firstLine="0" w:firstLineChars="0"/>
        <w:rPr>
          <w:rFonts w:asciiTheme="minorEastAsia" w:eastAsiaTheme="minorEastAsia" w:hAnsiTheme="minorEastAsia"/>
          <w:b/>
          <w:color w:val="000000" w:themeColor="text1"/>
        </w:rPr>
      </w:pPr>
      <w:bookmarkStart w:id="496" w:name="_Toc211920213"/>
      <w:bookmarkStart w:id="497" w:name="_Toc211927742"/>
      <w:bookmarkStart w:id="498" w:name="_Toc123296511"/>
      <w:r w:rsidRPr="00054588">
        <w:rPr>
          <w:rFonts w:asciiTheme="minorEastAsia" w:eastAsiaTheme="minorEastAsia" w:hAnsiTheme="minorEastAsia" w:hint="eastAsia"/>
          <w:b/>
          <w:color w:val="000000" w:themeColor="text1"/>
        </w:rPr>
        <w:t>基金合同的变更、终止与基金财产的清算</w:t>
      </w:r>
      <w:bookmarkEnd w:id="496"/>
      <w:bookmarkEnd w:id="497"/>
      <w:bookmarkEnd w:id="498"/>
    </w:p>
    <w:p w:rsidR="007228CC" w:rsidRPr="00054588"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499" w:name="_Toc211920214"/>
      <w:bookmarkStart w:id="500" w:name="_Toc211927743"/>
      <w:bookmarkStart w:id="501" w:name="_Toc123296512"/>
      <w:r w:rsidRPr="00054588">
        <w:rPr>
          <w:rFonts w:asciiTheme="minorEastAsia" w:eastAsiaTheme="minorEastAsia" w:hAnsiTheme="minorEastAsia" w:hint="eastAsia"/>
          <w:color w:val="000000" w:themeColor="text1"/>
        </w:rPr>
        <w:t>（一）</w:t>
      </w:r>
      <w:r w:rsidRPr="00054588">
        <w:rPr>
          <w:rFonts w:asciiTheme="minorEastAsia" w:eastAsiaTheme="minorEastAsia" w:hAnsiTheme="minorEastAsia"/>
          <w:color w:val="000000" w:themeColor="text1"/>
        </w:rPr>
        <w:t>基金合同的变更</w:t>
      </w:r>
      <w:bookmarkEnd w:id="499"/>
      <w:bookmarkEnd w:id="500"/>
      <w:bookmarkEnd w:id="501"/>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w:t>
      </w:r>
      <w:r w:rsidRPr="00054588">
        <w:rPr>
          <w:rFonts w:asciiTheme="minorEastAsia" w:eastAsiaTheme="minorEastAsia" w:hAnsiTheme="minorEastAsia"/>
          <w:color w:val="000000" w:themeColor="text1"/>
          <w:szCs w:val="21"/>
        </w:rPr>
        <w:t>基金合同</w:t>
      </w:r>
      <w:r w:rsidRPr="00054588">
        <w:rPr>
          <w:rFonts w:asciiTheme="minorEastAsia" w:eastAsiaTheme="minorEastAsia" w:hAnsiTheme="minorEastAsia" w:hint="eastAsia"/>
          <w:color w:val="000000" w:themeColor="text1"/>
          <w:szCs w:val="21"/>
        </w:rPr>
        <w:t>变更内容对基金合同当事人权利、义务产生重大影响的，</w:t>
      </w:r>
      <w:r w:rsidRPr="00054588">
        <w:rPr>
          <w:rFonts w:asciiTheme="minorEastAsia" w:eastAsiaTheme="minorEastAsia" w:hAnsiTheme="minorEastAsia"/>
          <w:color w:val="000000" w:themeColor="text1"/>
          <w:szCs w:val="21"/>
        </w:rPr>
        <w:t>应召开基金份额持有人大会，基金合同变更的内容应经基金份额持有人大会决议同意。</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w:t>
      </w:r>
      <w:r w:rsidRPr="00054588">
        <w:rPr>
          <w:rFonts w:asciiTheme="minorEastAsia" w:eastAsiaTheme="minorEastAsia" w:hAnsiTheme="minorEastAsia"/>
          <w:color w:val="000000" w:themeColor="text1"/>
          <w:szCs w:val="21"/>
        </w:rPr>
        <w:t>转换基金运作方式；</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w:t>
      </w:r>
      <w:r w:rsidRPr="00054588">
        <w:rPr>
          <w:rFonts w:asciiTheme="minorEastAsia" w:eastAsiaTheme="minorEastAsia" w:hAnsiTheme="minorEastAsia"/>
          <w:color w:val="000000" w:themeColor="text1"/>
          <w:szCs w:val="21"/>
        </w:rPr>
        <w:t>变更基金类别；</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(3)</w:t>
      </w:r>
      <w:r w:rsidRPr="00054588">
        <w:rPr>
          <w:rFonts w:asciiTheme="minorEastAsia" w:eastAsiaTheme="minorEastAsia" w:hAnsiTheme="minorEastAsia"/>
          <w:color w:val="000000" w:themeColor="text1"/>
          <w:szCs w:val="21"/>
        </w:rPr>
        <w:t>变更基金投资目标、</w:t>
      </w:r>
      <w:r w:rsidRPr="00054588">
        <w:rPr>
          <w:rFonts w:asciiTheme="minorEastAsia" w:eastAsiaTheme="minorEastAsia" w:hAnsiTheme="minorEastAsia" w:hint="eastAsia"/>
          <w:color w:val="000000" w:themeColor="text1"/>
          <w:szCs w:val="21"/>
        </w:rPr>
        <w:t>投资</w:t>
      </w:r>
      <w:r w:rsidRPr="00054588">
        <w:rPr>
          <w:rFonts w:asciiTheme="minorEastAsia" w:eastAsiaTheme="minorEastAsia" w:hAnsiTheme="minorEastAsia"/>
          <w:color w:val="000000" w:themeColor="text1"/>
          <w:szCs w:val="21"/>
        </w:rPr>
        <w:t>范围或</w:t>
      </w:r>
      <w:r w:rsidRPr="00054588">
        <w:rPr>
          <w:rFonts w:asciiTheme="minorEastAsia" w:eastAsiaTheme="minorEastAsia" w:hAnsiTheme="minorEastAsia" w:hint="eastAsia"/>
          <w:color w:val="000000" w:themeColor="text1"/>
          <w:szCs w:val="21"/>
        </w:rPr>
        <w:t>投资</w:t>
      </w:r>
      <w:r w:rsidRPr="00054588">
        <w:rPr>
          <w:rFonts w:asciiTheme="minorEastAsia" w:eastAsiaTheme="minorEastAsia" w:hAnsiTheme="minorEastAsia"/>
          <w:color w:val="000000" w:themeColor="text1"/>
          <w:szCs w:val="21"/>
        </w:rPr>
        <w:t>策略</w:t>
      </w:r>
      <w:r w:rsidRPr="00054588">
        <w:rPr>
          <w:rFonts w:asciiTheme="minorEastAsia" w:eastAsiaTheme="minorEastAsia" w:hAnsiTheme="minorEastAsia" w:hint="eastAsia"/>
          <w:color w:val="000000" w:themeColor="text1"/>
          <w:szCs w:val="21"/>
        </w:rPr>
        <w:t>；</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(4)</w:t>
      </w:r>
      <w:r w:rsidRPr="00054588">
        <w:rPr>
          <w:rFonts w:asciiTheme="minorEastAsia" w:eastAsiaTheme="minorEastAsia" w:hAnsiTheme="minorEastAsia"/>
          <w:color w:val="000000" w:themeColor="text1"/>
          <w:szCs w:val="21"/>
        </w:rPr>
        <w:t>变更基金份额持有人大会程序；</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(5)</w:t>
      </w:r>
      <w:r w:rsidRPr="00054588">
        <w:rPr>
          <w:rFonts w:asciiTheme="minorEastAsia" w:eastAsiaTheme="minorEastAsia" w:hAnsiTheme="minorEastAsia"/>
          <w:color w:val="000000" w:themeColor="text1"/>
          <w:szCs w:val="21"/>
        </w:rPr>
        <w:t>更换基金管理人</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基金托管人；</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(6)</w:t>
      </w:r>
      <w:r w:rsidRPr="00054588">
        <w:rPr>
          <w:rFonts w:asciiTheme="minorEastAsia" w:eastAsiaTheme="minorEastAsia" w:hAnsiTheme="minorEastAsia"/>
          <w:color w:val="000000" w:themeColor="text1"/>
          <w:szCs w:val="21"/>
        </w:rPr>
        <w:t>提高基金管理人、基金托管人的报酬标准。但根据</w:t>
      </w:r>
      <w:r w:rsidRPr="00054588">
        <w:rPr>
          <w:rFonts w:asciiTheme="minorEastAsia" w:eastAsiaTheme="minorEastAsia" w:hAnsiTheme="minorEastAsia" w:hint="eastAsia"/>
          <w:color w:val="000000" w:themeColor="text1"/>
          <w:szCs w:val="21"/>
        </w:rPr>
        <w:t>适用</w:t>
      </w:r>
      <w:r w:rsidRPr="00054588">
        <w:rPr>
          <w:rFonts w:asciiTheme="minorEastAsia" w:eastAsiaTheme="minorEastAsia" w:hAnsiTheme="minorEastAsia"/>
          <w:color w:val="000000" w:themeColor="text1"/>
          <w:szCs w:val="21"/>
        </w:rPr>
        <w:t>的</w:t>
      </w:r>
      <w:r w:rsidRPr="00054588">
        <w:rPr>
          <w:rFonts w:asciiTheme="minorEastAsia" w:eastAsiaTheme="minorEastAsia" w:hAnsiTheme="minorEastAsia" w:hint="eastAsia"/>
          <w:color w:val="000000" w:themeColor="text1"/>
          <w:szCs w:val="21"/>
        </w:rPr>
        <w:t>相关规定</w:t>
      </w:r>
      <w:r w:rsidRPr="00054588">
        <w:rPr>
          <w:rFonts w:asciiTheme="minorEastAsia" w:eastAsiaTheme="minorEastAsia" w:hAnsiTheme="minorEastAsia"/>
          <w:color w:val="000000" w:themeColor="text1"/>
          <w:szCs w:val="21"/>
        </w:rPr>
        <w:t>提高该等报酬标准的除外</w:t>
      </w:r>
      <w:r w:rsidRPr="00054588">
        <w:rPr>
          <w:rFonts w:asciiTheme="minorEastAsia" w:eastAsiaTheme="minorEastAsia" w:hAnsiTheme="minorEastAsia" w:hint="eastAsia"/>
          <w:color w:val="000000" w:themeColor="text1"/>
          <w:szCs w:val="21"/>
        </w:rPr>
        <w:t>；</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(7)</w:t>
      </w:r>
      <w:r w:rsidRPr="00054588">
        <w:rPr>
          <w:rFonts w:asciiTheme="minorEastAsia" w:eastAsiaTheme="minorEastAsia" w:hAnsiTheme="minorEastAsia"/>
          <w:color w:val="000000" w:themeColor="text1"/>
          <w:szCs w:val="21"/>
        </w:rPr>
        <w:t>本基金与其他基金的合并</w:t>
      </w:r>
      <w:r w:rsidRPr="00054588">
        <w:rPr>
          <w:rFonts w:asciiTheme="minorEastAsia" w:eastAsiaTheme="minorEastAsia" w:hAnsiTheme="minorEastAsia" w:hint="eastAsia"/>
          <w:color w:val="000000" w:themeColor="text1"/>
          <w:szCs w:val="21"/>
        </w:rPr>
        <w:t>；</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(8)对基金合同当事人权利、义务产生重大影响的其他事项；</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(9)</w:t>
      </w:r>
      <w:r w:rsidRPr="00054588">
        <w:rPr>
          <w:rFonts w:asciiTheme="minorEastAsia" w:eastAsiaTheme="minorEastAsia" w:hAnsiTheme="minorEastAsia"/>
          <w:color w:val="000000" w:themeColor="text1"/>
          <w:szCs w:val="21"/>
        </w:rPr>
        <w:t>法律法规</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基金合同或中国证监会规定的其他情形。</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但出现下列情况时，可不经基金份额持有人大会决议，由基金管理人和基金托管人同意变更后公布，并报中国证监会备案：</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(1)调低基金管理费、基金托管费和其他应由基金承担的费用；</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(2)在</w:t>
      </w:r>
      <w:r w:rsidRPr="00054588">
        <w:rPr>
          <w:rFonts w:asciiTheme="minorEastAsia" w:eastAsiaTheme="minorEastAsia" w:hAnsiTheme="minorEastAsia"/>
          <w:color w:val="000000" w:themeColor="text1"/>
          <w:szCs w:val="21"/>
        </w:rPr>
        <w:t>法律法规和</w:t>
      </w:r>
      <w:r w:rsidRPr="00054588">
        <w:rPr>
          <w:rFonts w:asciiTheme="minorEastAsia" w:eastAsiaTheme="minorEastAsia" w:hAnsiTheme="minorEastAsia" w:hint="eastAsia"/>
          <w:color w:val="000000" w:themeColor="text1"/>
          <w:szCs w:val="21"/>
        </w:rPr>
        <w:t>本基金合同规定的范围内变更基金的申购费率、赎回费率或收费方式；</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(3)法律法规要求增加的基金费用的收取；</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w:t>
      </w:r>
      <w:r w:rsidRPr="00054588">
        <w:rPr>
          <w:rFonts w:asciiTheme="minorEastAsia" w:eastAsiaTheme="minorEastAsia" w:hAnsiTheme="minorEastAsia" w:hint="eastAsia"/>
          <w:color w:val="000000" w:themeColor="text1"/>
          <w:szCs w:val="21"/>
        </w:rPr>
        <w:t>4</w:t>
      </w:r>
      <w:r w:rsidRPr="00054588">
        <w:rPr>
          <w:rFonts w:asciiTheme="minorEastAsia" w:eastAsiaTheme="minorEastAsia" w:hAnsiTheme="minorEastAsia"/>
          <w:color w:val="000000" w:themeColor="text1"/>
          <w:szCs w:val="21"/>
        </w:rPr>
        <w:t>)因相应的法律法规发生变动</w:t>
      </w:r>
      <w:r w:rsidRPr="00054588">
        <w:rPr>
          <w:rFonts w:asciiTheme="minorEastAsia" w:eastAsiaTheme="minorEastAsia" w:hAnsiTheme="minorEastAsia" w:hint="eastAsia"/>
          <w:color w:val="000000" w:themeColor="text1"/>
          <w:szCs w:val="21"/>
        </w:rPr>
        <w:t>必须对</w:t>
      </w:r>
      <w:r w:rsidRPr="00054588">
        <w:rPr>
          <w:rFonts w:asciiTheme="minorEastAsia" w:eastAsiaTheme="minorEastAsia" w:hAnsiTheme="minorEastAsia"/>
          <w:color w:val="000000" w:themeColor="text1"/>
          <w:szCs w:val="21"/>
        </w:rPr>
        <w:t>基金合同进行</w:t>
      </w:r>
      <w:r w:rsidRPr="00054588">
        <w:rPr>
          <w:rFonts w:asciiTheme="minorEastAsia" w:eastAsiaTheme="minorEastAsia" w:hAnsiTheme="minorEastAsia" w:hint="eastAsia"/>
          <w:color w:val="000000" w:themeColor="text1"/>
          <w:szCs w:val="21"/>
        </w:rPr>
        <w:t>修改</w:t>
      </w:r>
      <w:r w:rsidRPr="00054588">
        <w:rPr>
          <w:rFonts w:asciiTheme="minorEastAsia" w:eastAsiaTheme="minorEastAsia" w:hAnsiTheme="minorEastAsia"/>
          <w:color w:val="000000" w:themeColor="text1"/>
          <w:szCs w:val="21"/>
        </w:rPr>
        <w:t>；</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w:t>
      </w:r>
      <w:r w:rsidRPr="00054588">
        <w:rPr>
          <w:rFonts w:asciiTheme="minorEastAsia" w:eastAsiaTheme="minorEastAsia" w:hAnsiTheme="minorEastAsia" w:hint="eastAsia"/>
          <w:color w:val="000000" w:themeColor="text1"/>
          <w:szCs w:val="21"/>
        </w:rPr>
        <w:t>5</w:t>
      </w:r>
      <w:r w:rsidRPr="00054588">
        <w:rPr>
          <w:rFonts w:asciiTheme="minorEastAsia" w:eastAsiaTheme="minorEastAsia" w:hAnsiTheme="minorEastAsia"/>
          <w:color w:val="000000" w:themeColor="text1"/>
          <w:szCs w:val="21"/>
        </w:rPr>
        <w:t>)</w:t>
      </w:r>
      <w:r w:rsidRPr="00054588">
        <w:rPr>
          <w:rFonts w:asciiTheme="minorEastAsia" w:eastAsiaTheme="minorEastAsia" w:hAnsiTheme="minorEastAsia" w:hint="eastAsia"/>
          <w:color w:val="000000" w:themeColor="text1"/>
          <w:szCs w:val="21"/>
        </w:rPr>
        <w:t>对</w:t>
      </w:r>
      <w:r w:rsidRPr="00054588">
        <w:rPr>
          <w:rFonts w:asciiTheme="minorEastAsia" w:eastAsiaTheme="minorEastAsia" w:hAnsiTheme="minorEastAsia"/>
          <w:color w:val="000000" w:themeColor="text1"/>
          <w:szCs w:val="21"/>
        </w:rPr>
        <w:t>基金合同的</w:t>
      </w:r>
      <w:r w:rsidRPr="00054588">
        <w:rPr>
          <w:rFonts w:asciiTheme="minorEastAsia" w:eastAsiaTheme="minorEastAsia" w:hAnsiTheme="minorEastAsia" w:hint="eastAsia"/>
          <w:color w:val="000000" w:themeColor="text1"/>
          <w:szCs w:val="21"/>
        </w:rPr>
        <w:t>修改</w:t>
      </w:r>
      <w:r w:rsidRPr="00054588">
        <w:rPr>
          <w:rFonts w:asciiTheme="minorEastAsia" w:eastAsiaTheme="minorEastAsia" w:hAnsiTheme="minorEastAsia"/>
          <w:color w:val="000000" w:themeColor="text1"/>
          <w:szCs w:val="21"/>
        </w:rPr>
        <w:t>不涉及本基金合同当事人权利义务关系发生变化；</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(6)基金合同的修改对基金份额持有人利益无实质性不利影响；</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(7)按照法律法规或本基金合同规定不需召开基金份额持有人大会的其他情形。</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2</w:t>
      </w:r>
      <w:r w:rsidRPr="00054588" w:rsidR="0021144C">
        <w:rPr>
          <w:rFonts w:asciiTheme="minorEastAsia" w:eastAsiaTheme="minorEastAsia" w:hAnsiTheme="minorEastAsia" w:hint="eastAsia"/>
          <w:color w:val="000000" w:themeColor="text1"/>
          <w:szCs w:val="21"/>
        </w:rPr>
        <w:t>、</w:t>
      </w:r>
      <w:r w:rsidRPr="00054588">
        <w:rPr>
          <w:rFonts w:asciiTheme="minorEastAsia" w:eastAsiaTheme="minorEastAsia" w:hAnsiTheme="minorEastAsia" w:hint="eastAsia"/>
          <w:color w:val="000000" w:themeColor="text1"/>
          <w:szCs w:val="21"/>
        </w:rPr>
        <w:t>关于变更</w:t>
      </w:r>
      <w:r w:rsidRPr="00054588">
        <w:rPr>
          <w:rFonts w:asciiTheme="minorEastAsia" w:eastAsiaTheme="minorEastAsia" w:hAnsiTheme="minorEastAsia"/>
          <w:color w:val="000000" w:themeColor="text1"/>
          <w:szCs w:val="21"/>
        </w:rPr>
        <w:t>基金合同</w:t>
      </w:r>
      <w:r w:rsidRPr="00054588">
        <w:rPr>
          <w:rFonts w:asciiTheme="minorEastAsia" w:eastAsiaTheme="minorEastAsia" w:hAnsiTheme="minorEastAsia" w:hint="eastAsia"/>
          <w:color w:val="000000" w:themeColor="text1"/>
          <w:szCs w:val="21"/>
        </w:rPr>
        <w:t>的基金份额持有人大会决议应报</w:t>
      </w:r>
      <w:r w:rsidRPr="00054588">
        <w:rPr>
          <w:rFonts w:asciiTheme="minorEastAsia" w:eastAsiaTheme="minorEastAsia" w:hAnsiTheme="minorEastAsia"/>
          <w:color w:val="000000" w:themeColor="text1"/>
          <w:szCs w:val="21"/>
        </w:rPr>
        <w:t>中国证监会</w:t>
      </w:r>
      <w:r w:rsidRPr="00054588">
        <w:rPr>
          <w:rFonts w:asciiTheme="minorEastAsia" w:eastAsiaTheme="minorEastAsia" w:hAnsiTheme="minorEastAsia" w:hint="eastAsia"/>
          <w:color w:val="000000" w:themeColor="text1"/>
          <w:szCs w:val="21"/>
        </w:rPr>
        <w:t>核准或备案，并于中国证监会核准或出具无异议意见后生效执行，</w:t>
      </w:r>
      <w:r w:rsidRPr="00054588">
        <w:rPr>
          <w:rFonts w:asciiTheme="minorEastAsia" w:eastAsiaTheme="minorEastAsia" w:hAnsiTheme="minorEastAsia"/>
          <w:color w:val="000000" w:themeColor="text1"/>
          <w:szCs w:val="21"/>
        </w:rPr>
        <w:t>并</w:t>
      </w:r>
      <w:r w:rsidRPr="00054588">
        <w:rPr>
          <w:rFonts w:asciiTheme="minorEastAsia" w:eastAsiaTheme="minorEastAsia" w:hAnsiTheme="minorEastAsia" w:hint="eastAsia"/>
          <w:color w:val="000000" w:themeColor="text1"/>
          <w:szCs w:val="21"/>
        </w:rPr>
        <w:t>自生效之日起2日</w:t>
      </w:r>
      <w:r w:rsidRPr="00054588">
        <w:rPr>
          <w:rFonts w:asciiTheme="minorEastAsia" w:eastAsiaTheme="minorEastAsia" w:hAnsiTheme="minorEastAsia"/>
          <w:color w:val="000000" w:themeColor="text1"/>
          <w:szCs w:val="21"/>
        </w:rPr>
        <w:t>内</w:t>
      </w:r>
      <w:r w:rsidRPr="00054588">
        <w:rPr>
          <w:rFonts w:asciiTheme="minorEastAsia" w:eastAsiaTheme="minorEastAsia" w:hAnsiTheme="minorEastAsia" w:hint="eastAsia"/>
          <w:color w:val="000000" w:themeColor="text1"/>
          <w:szCs w:val="21"/>
        </w:rPr>
        <w:t>在至少一种</w:t>
      </w:r>
      <w:r w:rsidRPr="00054588" w:rsidR="00575E02">
        <w:rPr>
          <w:rFonts w:asciiTheme="minorEastAsia" w:eastAsiaTheme="minorEastAsia" w:hAnsiTheme="minorEastAsia" w:hint="eastAsia"/>
          <w:color w:val="000000" w:themeColor="text1"/>
          <w:szCs w:val="21"/>
        </w:rPr>
        <w:t>指定媒介</w:t>
      </w:r>
      <w:r w:rsidRPr="00054588">
        <w:rPr>
          <w:rFonts w:asciiTheme="minorEastAsia" w:eastAsiaTheme="minorEastAsia" w:hAnsiTheme="minorEastAsia"/>
          <w:color w:val="000000" w:themeColor="text1"/>
          <w:szCs w:val="21"/>
        </w:rPr>
        <w:t>公告。</w:t>
      </w:r>
    </w:p>
    <w:p w:rsidR="007228CC" w:rsidRPr="00054588"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502" w:name="_Toc211920215"/>
      <w:bookmarkStart w:id="503" w:name="_Toc211927744"/>
      <w:bookmarkStart w:id="504" w:name="_Toc123296513"/>
      <w:r w:rsidRPr="00054588">
        <w:rPr>
          <w:rFonts w:asciiTheme="minorEastAsia" w:eastAsiaTheme="minorEastAsia" w:hAnsiTheme="minorEastAsia" w:hint="eastAsia"/>
          <w:color w:val="000000" w:themeColor="text1"/>
        </w:rPr>
        <w:t>（二）基金合同的终止</w:t>
      </w:r>
      <w:bookmarkEnd w:id="502"/>
      <w:bookmarkEnd w:id="503"/>
      <w:bookmarkEnd w:id="504"/>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有下列情形之一的，本基金合同经中国证监会核准后将终止：</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1、基金份额持有人大会决定终止的；</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w:t>
      </w:r>
      <w:r w:rsidRPr="00054588">
        <w:rPr>
          <w:rFonts w:asciiTheme="minorEastAsia" w:eastAsiaTheme="minorEastAsia" w:hAnsiTheme="minorEastAsia"/>
          <w:color w:val="000000" w:themeColor="text1"/>
          <w:szCs w:val="21"/>
        </w:rPr>
        <w:t>基金管理人因解散、破产、撤销等事由，不能继续担任基金管理人的职务，而</w:t>
      </w:r>
      <w:r w:rsidRPr="00054588">
        <w:rPr>
          <w:rFonts w:asciiTheme="minorEastAsia" w:eastAsiaTheme="minorEastAsia" w:hAnsiTheme="minorEastAsia" w:hint="eastAsia"/>
          <w:color w:val="000000" w:themeColor="text1"/>
          <w:szCs w:val="21"/>
        </w:rPr>
        <w:t>在6个月内</w:t>
      </w:r>
      <w:r w:rsidRPr="00054588">
        <w:rPr>
          <w:rFonts w:asciiTheme="minorEastAsia" w:eastAsiaTheme="minorEastAsia" w:hAnsiTheme="minorEastAsia"/>
          <w:color w:val="000000" w:themeColor="text1"/>
          <w:szCs w:val="21"/>
        </w:rPr>
        <w:t>无其他适当的基金管理公司承</w:t>
      </w:r>
      <w:r w:rsidRPr="00054588">
        <w:rPr>
          <w:rFonts w:asciiTheme="minorEastAsia" w:eastAsiaTheme="minorEastAsia" w:hAnsiTheme="minorEastAsia" w:hint="eastAsia"/>
          <w:color w:val="000000" w:themeColor="text1"/>
          <w:szCs w:val="21"/>
        </w:rPr>
        <w:t>接</w:t>
      </w:r>
      <w:r w:rsidRPr="00054588">
        <w:rPr>
          <w:rFonts w:asciiTheme="minorEastAsia" w:eastAsiaTheme="minorEastAsia" w:hAnsiTheme="minorEastAsia"/>
          <w:color w:val="000000" w:themeColor="text1"/>
          <w:szCs w:val="21"/>
        </w:rPr>
        <w:t>其原有权利义务；</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3、基金托管人因解散、破产、撤销等事由，不能继续担任基金托管人的职务，而在6个月内无其他适当的托管机构承接其原有权利义务；</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4、中国证监会规定的其他情况。</w:t>
      </w:r>
    </w:p>
    <w:p w:rsidR="007228CC" w:rsidRPr="00054588" w:rsidP="00941EC8">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505" w:name="_Toc211920216"/>
      <w:bookmarkStart w:id="506" w:name="_Toc211927745"/>
      <w:bookmarkStart w:id="507" w:name="_Toc123296514"/>
      <w:r w:rsidRPr="00054588">
        <w:rPr>
          <w:rFonts w:asciiTheme="minorEastAsia" w:eastAsiaTheme="minorEastAsia" w:hAnsiTheme="minorEastAsia" w:hint="eastAsia"/>
          <w:color w:val="000000" w:themeColor="text1"/>
        </w:rPr>
        <w:t>（三）基金财产的清算</w:t>
      </w:r>
      <w:bookmarkEnd w:id="505"/>
      <w:bookmarkEnd w:id="506"/>
      <w:bookmarkEnd w:id="507"/>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1、基金财产清算组</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(1)自出现基金合同终止事由之日起30个工作日内成立清算小组，基金管理人组织基金财产清算小组并在中国证监会的监督下进行基金清算。</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(2)基金财产清算组成员由基金管理人、基金托管人、具有从事证券相关业务资格的注册会计师、律师以及中国证监会指定的人员组成。基金财产清算组可以聘用必要的工作人员。</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(3)基金财产清算组负责基金财产的保管、清理、估价、变现和分配。基金财产清算组可以依法进行必要的民事活动。</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2、基金财产清算程序</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基金合同终止，应当按法律法规和本基金合同的有关规定对基金财产进行清算。基金财产清算程序主要包括：</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w:t>
      </w:r>
      <w:r w:rsidRPr="00054588">
        <w:rPr>
          <w:rFonts w:asciiTheme="minorEastAsia" w:eastAsiaTheme="minorEastAsia" w:hAnsiTheme="minorEastAsia"/>
          <w:color w:val="000000" w:themeColor="text1"/>
          <w:szCs w:val="21"/>
        </w:rPr>
        <w:t>基金合同终止后，发布基金</w:t>
      </w:r>
      <w:r w:rsidRPr="00054588">
        <w:rPr>
          <w:rFonts w:asciiTheme="minorEastAsia" w:eastAsiaTheme="minorEastAsia" w:hAnsiTheme="minorEastAsia" w:hint="eastAsia"/>
          <w:color w:val="000000" w:themeColor="text1"/>
          <w:szCs w:val="21"/>
        </w:rPr>
        <w:t>财产</w:t>
      </w:r>
      <w:r w:rsidRPr="00054588">
        <w:rPr>
          <w:rFonts w:asciiTheme="minorEastAsia" w:eastAsiaTheme="minorEastAsia" w:hAnsiTheme="minorEastAsia"/>
          <w:color w:val="000000" w:themeColor="text1"/>
          <w:szCs w:val="21"/>
        </w:rPr>
        <w:t>清算公告；</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(2)基金合同终止时，由基金财产清算组统一接管基金财产；</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(3)对基金财产进行清理和确认；</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(4)对基金财产进行估价和变现；</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(5)</w:t>
      </w:r>
      <w:r w:rsidRPr="00054588">
        <w:rPr>
          <w:rFonts w:asciiTheme="minorEastAsia" w:eastAsiaTheme="minorEastAsia" w:hAnsiTheme="minorEastAsia"/>
          <w:color w:val="000000" w:themeColor="text1"/>
          <w:szCs w:val="21"/>
        </w:rPr>
        <w:t>聘请会计师事务所对清算报告进行审计；</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(6)</w:t>
      </w:r>
      <w:r w:rsidRPr="00054588">
        <w:rPr>
          <w:rFonts w:asciiTheme="minorEastAsia" w:eastAsiaTheme="minorEastAsia" w:hAnsiTheme="minorEastAsia"/>
          <w:color w:val="000000" w:themeColor="text1"/>
          <w:szCs w:val="21"/>
        </w:rPr>
        <w:t>聘请律师事务所出具法律意见书；</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(7)将基金财产清算结果报告中国证监会；</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(8)</w:t>
      </w:r>
      <w:r w:rsidRPr="00054588">
        <w:rPr>
          <w:rFonts w:asciiTheme="minorEastAsia" w:eastAsiaTheme="minorEastAsia" w:hAnsiTheme="minorEastAsia"/>
          <w:color w:val="000000" w:themeColor="text1"/>
          <w:szCs w:val="21"/>
        </w:rPr>
        <w:t>参加与基金</w:t>
      </w:r>
      <w:r w:rsidRPr="00054588">
        <w:rPr>
          <w:rFonts w:asciiTheme="minorEastAsia" w:eastAsiaTheme="minorEastAsia" w:hAnsiTheme="minorEastAsia" w:hint="eastAsia"/>
          <w:color w:val="000000" w:themeColor="text1"/>
          <w:szCs w:val="21"/>
        </w:rPr>
        <w:t>财产</w:t>
      </w:r>
      <w:r w:rsidRPr="00054588">
        <w:rPr>
          <w:rFonts w:asciiTheme="minorEastAsia" w:eastAsiaTheme="minorEastAsia" w:hAnsiTheme="minorEastAsia"/>
          <w:color w:val="000000" w:themeColor="text1"/>
          <w:szCs w:val="21"/>
        </w:rPr>
        <w:t>有关的民事诉讼</w:t>
      </w:r>
      <w:r w:rsidRPr="00054588">
        <w:rPr>
          <w:rFonts w:asciiTheme="minorEastAsia" w:eastAsiaTheme="minorEastAsia" w:hAnsiTheme="minorEastAsia" w:hint="eastAsia"/>
          <w:color w:val="000000" w:themeColor="text1"/>
          <w:szCs w:val="21"/>
        </w:rPr>
        <w:t>；</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(9)公布基金财产清算结果；</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(10)对基金剩余财产进行分配。</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3、清算费用</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清算费用是指基金财产清算组在进行基金财产清算过程中发生的所有合理费用，清算费用由基金财产清算组优先从基金财产中支付。</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4、基金财产按下列顺序清偿：</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(1)支付清算费用；</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(2)交纳所欠税款；</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(3)清偿基金债务；</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(4)按基金份额持有人持有的基金份额比例进行分配。</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基金财产未按前款(1)－(</w:t>
      </w:r>
      <w:r w:rsidRPr="00054588">
        <w:rPr>
          <w:rFonts w:asciiTheme="minorEastAsia" w:eastAsiaTheme="minorEastAsia" w:hAnsiTheme="minorEastAsia"/>
          <w:color w:val="000000" w:themeColor="text1"/>
          <w:szCs w:val="21"/>
        </w:rPr>
        <w:t>3</w:t>
      </w:r>
      <w:r w:rsidRPr="00054588">
        <w:rPr>
          <w:rFonts w:asciiTheme="minorEastAsia" w:eastAsiaTheme="minorEastAsia" w:hAnsiTheme="minorEastAsia" w:hint="eastAsia"/>
          <w:color w:val="000000" w:themeColor="text1"/>
          <w:szCs w:val="21"/>
        </w:rPr>
        <w:t>)项规定清偿前，不分配给基金份额持有人。</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5、基金财产清算的公告</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基金财产清算公告于</w:t>
      </w:r>
      <w:r w:rsidRPr="00054588">
        <w:rPr>
          <w:rFonts w:asciiTheme="minorEastAsia" w:eastAsiaTheme="minorEastAsia" w:hAnsiTheme="minorEastAsia" w:hint="eastAsia"/>
          <w:color w:val="000000" w:themeColor="text1"/>
          <w:szCs w:val="21"/>
        </w:rPr>
        <w:t>基金合同终止并报中国证监会备案后</w:t>
      </w:r>
      <w:r w:rsidRPr="00054588">
        <w:rPr>
          <w:rFonts w:asciiTheme="minorEastAsia" w:eastAsiaTheme="minorEastAsia" w:hAnsiTheme="minorEastAsia"/>
          <w:color w:val="000000" w:themeColor="text1"/>
          <w:szCs w:val="21"/>
        </w:rPr>
        <w:t>5</w:t>
      </w:r>
      <w:r w:rsidRPr="00054588">
        <w:rPr>
          <w:rFonts w:asciiTheme="minorEastAsia" w:eastAsiaTheme="minorEastAsia" w:hAnsiTheme="minorEastAsia" w:hint="eastAsia"/>
          <w:color w:val="000000" w:themeColor="text1"/>
          <w:szCs w:val="21"/>
        </w:rPr>
        <w:t>个工作日内由基金财产清算组公告；清算过程中的有关重大事项须及时公告；基金财产清算结果经会计师事务所审计，律师事务所出具法律意见书后，由基金财产清算组报中国证监会备案并公告。</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6、基金财产清算账册及文件的保存</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基金财产清算账册及有关文件由基金托管人保存</w:t>
      </w:r>
      <w:r w:rsidRPr="00054588">
        <w:rPr>
          <w:rFonts w:asciiTheme="minorEastAsia" w:eastAsiaTheme="minorEastAsia" w:hAnsiTheme="minorEastAsia"/>
          <w:color w:val="000000" w:themeColor="text1"/>
          <w:szCs w:val="21"/>
        </w:rPr>
        <w:t>15</w:t>
      </w:r>
      <w:r w:rsidRPr="00054588">
        <w:rPr>
          <w:rFonts w:asciiTheme="minorEastAsia" w:eastAsiaTheme="minorEastAsia" w:hAnsiTheme="minorEastAsia" w:hint="eastAsia"/>
          <w:color w:val="000000" w:themeColor="text1"/>
          <w:szCs w:val="21"/>
        </w:rPr>
        <w:t>年以上。</w:t>
      </w:r>
    </w:p>
    <w:p w:rsidR="007228CC" w:rsidRPr="00054588" w:rsidP="0071223F">
      <w:pPr>
        <w:snapToGrid w:val="0"/>
        <w:spacing w:line="360" w:lineRule="auto"/>
        <w:ind w:firstLine="640"/>
        <w:rPr>
          <w:rFonts w:asciiTheme="minorEastAsia" w:eastAsiaTheme="minorEastAsia" w:hAnsiTheme="minorEastAsia"/>
          <w:color w:val="000000" w:themeColor="text1"/>
        </w:rPr>
      </w:pPr>
      <w:bookmarkStart w:id="508" w:name="_Toc86584659"/>
    </w:p>
    <w:p w:rsidR="007228CC" w:rsidRPr="00054588" w:rsidP="00941EC8">
      <w:pPr>
        <w:pStyle w:val="Heading1"/>
        <w:numPr>
          <w:ilvl w:val="0"/>
          <w:numId w:val="7"/>
        </w:numPr>
        <w:tabs>
          <w:tab w:val="num" w:pos="0"/>
          <w:tab w:val="clear" w:pos="2798"/>
        </w:tabs>
        <w:snapToGrid w:val="0"/>
        <w:spacing w:beforeLines="0" w:afterLines="0" w:line="360" w:lineRule="auto"/>
        <w:ind w:left="0" w:firstLine="0" w:firstLineChars="0"/>
        <w:rPr>
          <w:rFonts w:asciiTheme="minorEastAsia" w:eastAsiaTheme="minorEastAsia" w:hAnsiTheme="minorEastAsia"/>
          <w:b/>
          <w:color w:val="000000" w:themeColor="text1"/>
        </w:rPr>
        <w:sectPr w:rsidSect="00DE4B5E">
          <w:pgSz w:w="11906" w:h="16838" w:code="9"/>
          <w:pgMar w:top="1440" w:right="1800" w:bottom="1440" w:left="1800" w:header="851" w:footer="992" w:gutter="0"/>
          <w:cols w:space="425"/>
          <w:docGrid w:type="lines" w:linePitch="312"/>
        </w:sectPr>
      </w:pPr>
      <w:bookmarkStart w:id="509" w:name="_Toc211920217"/>
      <w:bookmarkStart w:id="510" w:name="_Toc211927746"/>
      <w:bookmarkEnd w:id="508"/>
    </w:p>
    <w:p w:rsidR="007228CC" w:rsidRPr="00054588" w:rsidP="00DB15B5">
      <w:pPr>
        <w:pStyle w:val="111"/>
        <w:numPr>
          <w:ilvl w:val="0"/>
          <w:numId w:val="7"/>
        </w:numPr>
        <w:tabs>
          <w:tab w:val="num" w:pos="0"/>
          <w:tab w:val="clear" w:pos="2798"/>
        </w:tabs>
        <w:snapToGrid w:val="0"/>
        <w:spacing w:beforeLines="0" w:afterLines="0" w:line="360" w:lineRule="auto"/>
        <w:ind w:left="0" w:firstLine="0" w:firstLineChars="0"/>
        <w:rPr>
          <w:rFonts w:asciiTheme="minorEastAsia" w:eastAsiaTheme="minorEastAsia" w:hAnsiTheme="minorEastAsia"/>
          <w:b/>
          <w:color w:val="000000" w:themeColor="text1"/>
        </w:rPr>
      </w:pPr>
      <w:bookmarkStart w:id="511" w:name="_Toc123296515"/>
      <w:r w:rsidRPr="00054588">
        <w:rPr>
          <w:rFonts w:asciiTheme="minorEastAsia" w:eastAsiaTheme="minorEastAsia" w:hAnsiTheme="minorEastAsia" w:hint="eastAsia"/>
          <w:b/>
          <w:color w:val="000000" w:themeColor="text1"/>
        </w:rPr>
        <w:t>基金合同内容摘要</w:t>
      </w:r>
      <w:bookmarkEnd w:id="509"/>
      <w:bookmarkEnd w:id="510"/>
      <w:bookmarkEnd w:id="511"/>
    </w:p>
    <w:p w:rsidR="007228CC" w:rsidRPr="00054588" w:rsidP="00941EC8">
      <w:pPr>
        <w:pStyle w:val="Heading2"/>
        <w:adjustRightInd w:val="0"/>
        <w:snapToGrid w:val="0"/>
        <w:spacing w:beforeLines="0" w:afterLines="0" w:line="360" w:lineRule="auto"/>
        <w:ind w:firstLine="0" w:firstLineChars="0"/>
        <w:rPr>
          <w:rFonts w:asciiTheme="minorEastAsia" w:eastAsiaTheme="minorEastAsia" w:hAnsiTheme="minorEastAsia"/>
          <w:bCs/>
          <w:color w:val="000000" w:themeColor="text1"/>
        </w:rPr>
      </w:pPr>
      <w:bookmarkStart w:id="512" w:name="_Toc169345019"/>
      <w:bookmarkStart w:id="513" w:name="_Toc211920219"/>
      <w:bookmarkStart w:id="514" w:name="_Toc211927748"/>
      <w:bookmarkStart w:id="515" w:name="_Toc123296516"/>
      <w:r w:rsidRPr="00054588">
        <w:rPr>
          <w:rFonts w:asciiTheme="minorEastAsia" w:eastAsiaTheme="minorEastAsia" w:hAnsiTheme="minorEastAsia" w:hint="eastAsia"/>
          <w:bCs/>
          <w:color w:val="000000" w:themeColor="text1"/>
        </w:rPr>
        <w:t>（一）基金管理人的权利与义务</w:t>
      </w:r>
      <w:bookmarkEnd w:id="512"/>
      <w:bookmarkEnd w:id="513"/>
      <w:bookmarkEnd w:id="514"/>
      <w:bookmarkEnd w:id="515"/>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bookmarkStart w:id="516" w:name="_Toc169345020"/>
      <w:r w:rsidRPr="00054588">
        <w:rPr>
          <w:rFonts w:asciiTheme="minorEastAsia" w:eastAsiaTheme="minorEastAsia" w:hAnsiTheme="minorEastAsia" w:hint="eastAsia"/>
          <w:color w:val="000000" w:themeColor="text1"/>
          <w:szCs w:val="21"/>
        </w:rPr>
        <w:t>1、根据《基金法》及其他有关法律法规，基金管理人的权利为：</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（1）自本基金合同生效之日起，依照有关法律法规和本基金合同的规定独立运用</w:t>
      </w:r>
      <w:r w:rsidRPr="00054588">
        <w:rPr>
          <w:rFonts w:asciiTheme="minorEastAsia" w:eastAsiaTheme="minorEastAsia" w:hAnsiTheme="minorEastAsia"/>
          <w:color w:val="000000" w:themeColor="text1"/>
          <w:szCs w:val="21"/>
        </w:rPr>
        <w:t>基金</w:t>
      </w:r>
      <w:r w:rsidRPr="00054588">
        <w:rPr>
          <w:rFonts w:asciiTheme="minorEastAsia" w:eastAsiaTheme="minorEastAsia" w:hAnsiTheme="minorEastAsia" w:hint="eastAsia"/>
          <w:color w:val="000000" w:themeColor="text1"/>
          <w:szCs w:val="21"/>
        </w:rPr>
        <w:t>财产</w:t>
      </w:r>
      <w:r w:rsidRPr="00054588">
        <w:rPr>
          <w:rFonts w:asciiTheme="minorEastAsia" w:eastAsiaTheme="minorEastAsia" w:hAnsiTheme="minorEastAsia"/>
          <w:color w:val="000000" w:themeColor="text1"/>
          <w:szCs w:val="21"/>
        </w:rPr>
        <w:t>；</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（2）依照基金合同获得基金管理费以及法律法规规定或监管部门批准的其他收入；</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（3）发售基金份额；</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（4）依照有关规定行使因基金财产投资于证券所产生的权利；</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5）在符合有关法律法规的前提下，制订和调整有关基金认购、申购、赎回、转换、非交易过户、转托管等业务的规则，在法律法规和本基金合同规定的范围内决定和调整基金的除调高托管费率和管理费率之外的相关费率结构和收费方式；</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（6）根据本基金合同及有关规定监督基金托管人</w:t>
      </w:r>
      <w:r w:rsidRPr="00054588">
        <w:rPr>
          <w:rFonts w:asciiTheme="minorEastAsia" w:eastAsiaTheme="minorEastAsia" w:hAnsiTheme="minorEastAsia"/>
          <w:color w:val="000000" w:themeColor="text1"/>
          <w:szCs w:val="21"/>
        </w:rPr>
        <w:t>，</w:t>
      </w:r>
      <w:r w:rsidRPr="00054588">
        <w:rPr>
          <w:rFonts w:asciiTheme="minorEastAsia" w:eastAsiaTheme="minorEastAsia" w:hAnsiTheme="minorEastAsia" w:hint="eastAsia"/>
          <w:color w:val="000000" w:themeColor="text1"/>
          <w:szCs w:val="21"/>
        </w:rPr>
        <w:t>对于基金托管人违反了本基金合同或有关法律法规规定的行为，对基金财产、其他当事人的利益造成重大损失的情形</w:t>
      </w:r>
      <w:r w:rsidRPr="00054588">
        <w:rPr>
          <w:rFonts w:asciiTheme="minorEastAsia" w:eastAsiaTheme="minorEastAsia" w:hAnsiTheme="minorEastAsia"/>
          <w:color w:val="000000" w:themeColor="text1"/>
          <w:szCs w:val="21"/>
        </w:rPr>
        <w:t>，</w:t>
      </w:r>
      <w:r w:rsidRPr="00054588">
        <w:rPr>
          <w:rFonts w:asciiTheme="minorEastAsia" w:eastAsiaTheme="minorEastAsia" w:hAnsiTheme="minorEastAsia" w:hint="eastAsia"/>
          <w:color w:val="000000" w:themeColor="text1"/>
          <w:szCs w:val="21"/>
        </w:rPr>
        <w:t>应及时呈报中国证监会</w:t>
      </w:r>
      <w:r w:rsidRPr="00054588">
        <w:rPr>
          <w:rFonts w:asciiTheme="minorEastAsia" w:eastAsiaTheme="minorEastAsia" w:hAnsiTheme="minorEastAsia"/>
          <w:color w:val="000000" w:themeColor="text1"/>
          <w:szCs w:val="21"/>
        </w:rPr>
        <w:t>，</w:t>
      </w:r>
      <w:r w:rsidRPr="00054588">
        <w:rPr>
          <w:rFonts w:asciiTheme="minorEastAsia" w:eastAsiaTheme="minorEastAsia" w:hAnsiTheme="minorEastAsia" w:hint="eastAsia"/>
          <w:color w:val="000000" w:themeColor="text1"/>
          <w:szCs w:val="21"/>
        </w:rPr>
        <w:t>并采取必要措施保护基金及相关当事人的利益；</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（7）在基金合同约定的范围内，拒绝或暂停受理申购和赎回申请；</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（8）在法律法规允许的前提下，为基金的利益依法为基金进行融资、融券；</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（9）自行担任或选择、更换注册登记机构，获取基金份额持有人名册，并对注册登记机构的代理行为进行必要的监督和检查；</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（10）选择、更换代销机构，并依据基金销售服务代理协议和有关法律法规，对其行为进行必要的监督和检查；</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（11）选择、更换律师、审计师、证券经纪商或其他为基金提供服务的外部机构；</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（12）在基金托管人更换时，</w:t>
      </w:r>
      <w:r w:rsidRPr="00054588">
        <w:rPr>
          <w:rFonts w:asciiTheme="minorEastAsia" w:eastAsiaTheme="minorEastAsia" w:hAnsiTheme="minorEastAsia"/>
          <w:color w:val="000000" w:themeColor="text1"/>
          <w:szCs w:val="21"/>
        </w:rPr>
        <w:t>提名新的基金托管人；</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（13）依法召集基金份额持有人大会；</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（14）</w:t>
      </w:r>
      <w:r w:rsidRPr="00054588">
        <w:rPr>
          <w:rFonts w:asciiTheme="minorEastAsia" w:eastAsiaTheme="minorEastAsia" w:hAnsiTheme="minorEastAsia"/>
          <w:color w:val="000000" w:themeColor="text1"/>
          <w:szCs w:val="21"/>
        </w:rPr>
        <w:t>法律法规</w:t>
      </w:r>
      <w:r w:rsidRPr="00054588">
        <w:rPr>
          <w:rFonts w:asciiTheme="minorEastAsia" w:eastAsiaTheme="minorEastAsia" w:hAnsiTheme="minorEastAsia" w:hint="eastAsia"/>
          <w:color w:val="000000" w:themeColor="text1"/>
          <w:szCs w:val="21"/>
        </w:rPr>
        <w:t>和基金合同</w:t>
      </w:r>
      <w:r w:rsidRPr="00054588">
        <w:rPr>
          <w:rFonts w:asciiTheme="minorEastAsia" w:eastAsiaTheme="minorEastAsia" w:hAnsiTheme="minorEastAsia"/>
          <w:color w:val="000000" w:themeColor="text1"/>
          <w:szCs w:val="21"/>
        </w:rPr>
        <w:t>规定的其他权利</w:t>
      </w:r>
      <w:r w:rsidRPr="00054588">
        <w:rPr>
          <w:rFonts w:asciiTheme="minorEastAsia" w:eastAsiaTheme="minorEastAsia" w:hAnsiTheme="minorEastAsia" w:hint="eastAsia"/>
          <w:color w:val="000000" w:themeColor="text1"/>
          <w:szCs w:val="21"/>
        </w:rPr>
        <w:t>。</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2、根据《基金法》及其他有关法律法规，基金管理人的义务为：</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（1）依法募集基金，办理或者委托经中国证监会认定的其他机构代为办理基金份额的发售、申购、赎回和登记事宜；</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（2）办理基金备案手续；</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（3）</w:t>
      </w:r>
      <w:r w:rsidRPr="00054588">
        <w:rPr>
          <w:rFonts w:asciiTheme="minorEastAsia" w:eastAsiaTheme="minorEastAsia" w:hAnsiTheme="minorEastAsia"/>
          <w:color w:val="000000" w:themeColor="text1"/>
          <w:szCs w:val="21"/>
        </w:rPr>
        <w:t>自基金合同生效之日起，以诚实信用、勤勉尽责的原则管理和运用基金财产；</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（4）</w:t>
      </w:r>
      <w:r w:rsidRPr="00054588">
        <w:rPr>
          <w:rFonts w:asciiTheme="minorEastAsia" w:eastAsiaTheme="minorEastAsia" w:hAnsiTheme="minorEastAsia"/>
          <w:color w:val="000000" w:themeColor="text1"/>
          <w:szCs w:val="21"/>
        </w:rPr>
        <w:t>配备足够的具有专业资格的人员进行基金投资分析、决策，以专业化的经营方式管理和运作基金财产；</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（5）</w:t>
      </w:r>
      <w:r w:rsidRPr="00054588">
        <w:rPr>
          <w:rFonts w:asciiTheme="minorEastAsia" w:eastAsiaTheme="minorEastAsia" w:hAnsiTheme="minorEastAsia"/>
          <w:color w:val="000000" w:themeColor="text1"/>
          <w:szCs w:val="21"/>
        </w:rPr>
        <w:t>建立健全内部风险控制、监察与稽核、财务管理及人事管理等制度，保证所管理的基金财产和管理人的财产相互独立，对所管理的不同基金分别管理，分别记账，进行证券投资；</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（6）</w:t>
      </w:r>
      <w:r w:rsidRPr="00054588">
        <w:rPr>
          <w:rFonts w:asciiTheme="minorEastAsia" w:eastAsiaTheme="minorEastAsia" w:hAnsiTheme="minorEastAsia"/>
          <w:color w:val="000000" w:themeColor="text1"/>
          <w:szCs w:val="21"/>
        </w:rPr>
        <w:t>除依据《基金法》、基金合同及其他有关规定外，不得为自己及任何第三人谋取利益，不得委托第三人运作基金财产；</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（7）</w:t>
      </w:r>
      <w:r w:rsidRPr="00054588">
        <w:rPr>
          <w:rFonts w:asciiTheme="minorEastAsia" w:eastAsiaTheme="minorEastAsia" w:hAnsiTheme="minorEastAsia"/>
          <w:color w:val="000000" w:themeColor="text1"/>
          <w:szCs w:val="21"/>
        </w:rPr>
        <w:t>依法接受基金托管人的监督；</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（8）计算并公告基金净值</w:t>
      </w:r>
      <w:r w:rsidRPr="00054588" w:rsidR="001D16B5">
        <w:rPr>
          <w:rFonts w:asciiTheme="minorEastAsia" w:eastAsiaTheme="minorEastAsia" w:hAnsiTheme="minorEastAsia" w:hint="eastAsia"/>
          <w:color w:val="000000" w:themeColor="text1"/>
          <w:szCs w:val="21"/>
        </w:rPr>
        <w:t>信息</w:t>
      </w:r>
      <w:r w:rsidRPr="00054588">
        <w:rPr>
          <w:rFonts w:asciiTheme="minorEastAsia" w:eastAsiaTheme="minorEastAsia" w:hAnsiTheme="minorEastAsia" w:hint="eastAsia"/>
          <w:color w:val="000000" w:themeColor="text1"/>
          <w:szCs w:val="21"/>
        </w:rPr>
        <w:t>，确定基金份额申购、赎回价格；</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（9）</w:t>
      </w:r>
      <w:r w:rsidRPr="00054588">
        <w:rPr>
          <w:rFonts w:asciiTheme="minorEastAsia" w:eastAsiaTheme="minorEastAsia" w:hAnsiTheme="minorEastAsia"/>
          <w:color w:val="000000" w:themeColor="text1"/>
          <w:szCs w:val="21"/>
        </w:rPr>
        <w:t>采取适当合理的措施使计算基金份额认购、申购、赎回和注销</w:t>
      </w:r>
      <w:r w:rsidRPr="00054588">
        <w:rPr>
          <w:rFonts w:asciiTheme="minorEastAsia" w:eastAsiaTheme="minorEastAsia" w:hAnsiTheme="minorEastAsia" w:hint="eastAsia"/>
          <w:color w:val="000000" w:themeColor="text1"/>
          <w:szCs w:val="21"/>
        </w:rPr>
        <w:t>价格</w:t>
      </w:r>
      <w:r w:rsidRPr="00054588">
        <w:rPr>
          <w:rFonts w:asciiTheme="minorEastAsia" w:eastAsiaTheme="minorEastAsia" w:hAnsiTheme="minorEastAsia"/>
          <w:color w:val="000000" w:themeColor="text1"/>
          <w:szCs w:val="21"/>
        </w:rPr>
        <w:t>的方法符合基金合同等法律文件的规定；</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（10）</w:t>
      </w:r>
      <w:r w:rsidRPr="00054588">
        <w:rPr>
          <w:rFonts w:asciiTheme="minorEastAsia" w:eastAsiaTheme="minorEastAsia" w:hAnsiTheme="minorEastAsia"/>
          <w:color w:val="000000" w:themeColor="text1"/>
          <w:szCs w:val="21"/>
        </w:rPr>
        <w:t>按规定受理申购和赎回申请，及时、足额支付</w:t>
      </w:r>
      <w:r w:rsidRPr="00054588">
        <w:rPr>
          <w:rFonts w:asciiTheme="minorEastAsia" w:eastAsiaTheme="minorEastAsia" w:hAnsiTheme="minorEastAsia" w:hint="eastAsia"/>
          <w:color w:val="000000" w:themeColor="text1"/>
          <w:szCs w:val="21"/>
        </w:rPr>
        <w:t>赎回款项</w:t>
      </w:r>
      <w:r w:rsidRPr="00054588">
        <w:rPr>
          <w:rFonts w:asciiTheme="minorEastAsia" w:eastAsiaTheme="minorEastAsia" w:hAnsiTheme="minorEastAsia"/>
          <w:color w:val="000000" w:themeColor="text1"/>
          <w:szCs w:val="21"/>
        </w:rPr>
        <w:t>；</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（11）进行基金会计核算并编制基金财务会计报告；</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（12）编制中期</w:t>
      </w:r>
      <w:r w:rsidRPr="00054588" w:rsidR="001D16B5">
        <w:rPr>
          <w:rFonts w:asciiTheme="minorEastAsia" w:eastAsiaTheme="minorEastAsia" w:hAnsiTheme="minorEastAsia" w:hint="eastAsia"/>
          <w:color w:val="000000" w:themeColor="text1"/>
          <w:szCs w:val="21"/>
        </w:rPr>
        <w:t>报告</w:t>
      </w:r>
      <w:r w:rsidRPr="00054588">
        <w:rPr>
          <w:rFonts w:asciiTheme="minorEastAsia" w:eastAsiaTheme="minorEastAsia" w:hAnsiTheme="minorEastAsia" w:hint="eastAsia"/>
          <w:color w:val="000000" w:themeColor="text1"/>
          <w:szCs w:val="21"/>
        </w:rPr>
        <w:t>和年度报告；</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（13）</w:t>
      </w:r>
      <w:r w:rsidRPr="00054588">
        <w:rPr>
          <w:rFonts w:asciiTheme="minorEastAsia" w:eastAsiaTheme="minorEastAsia" w:hAnsiTheme="minorEastAsia"/>
          <w:color w:val="000000" w:themeColor="text1"/>
          <w:szCs w:val="21"/>
        </w:rPr>
        <w:t>严格按照《基金法》、基金合同及其他有关规定，履行信息披露及报告义务；</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（14）</w:t>
      </w:r>
      <w:r w:rsidRPr="00054588">
        <w:rPr>
          <w:rFonts w:asciiTheme="minorEastAsia" w:eastAsiaTheme="minorEastAsia" w:hAnsiTheme="minorEastAsia"/>
          <w:color w:val="000000" w:themeColor="text1"/>
          <w:szCs w:val="21"/>
        </w:rPr>
        <w:t>保守基金商业秘密，不得泄露基金投资计划、投资意向等</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除《基金法》、基金合同及其他有关规定另有规定外，在基金信息公开披露前应予保密，不得向他人泄露；</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（15）按照基金合同的约定确定基金收益分配方案，及时向基金份额持有人分配收益；</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（16）</w:t>
      </w:r>
      <w:r w:rsidRPr="00054588">
        <w:rPr>
          <w:rFonts w:asciiTheme="minorEastAsia" w:eastAsiaTheme="minorEastAsia" w:hAnsiTheme="minorEastAsia"/>
          <w:color w:val="000000" w:themeColor="text1"/>
          <w:szCs w:val="21"/>
        </w:rPr>
        <w:t>依据《基金法》、基金合同及其他有关规定召集基金份额持有人大会或配合基金托管人、基金份额持有人依法召集基金份额持有人大会；</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（17）保存基金财产管理业务活动的记录、账册、报表和其他相关资料；</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（18）以基金管理人名义，代表基金份额持有人利益行使诉讼权利或者实施其他法律行为；</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（19）</w:t>
      </w:r>
      <w:r w:rsidRPr="00054588">
        <w:rPr>
          <w:rFonts w:asciiTheme="minorEastAsia" w:eastAsiaTheme="minorEastAsia" w:hAnsiTheme="minorEastAsia"/>
          <w:color w:val="000000" w:themeColor="text1"/>
          <w:szCs w:val="21"/>
        </w:rPr>
        <w:t>组织并参加基金财产清算小组，参与基金财产的保管、清理、估价、变现和分配；</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（20）</w:t>
      </w:r>
      <w:r w:rsidRPr="00054588">
        <w:rPr>
          <w:rFonts w:asciiTheme="minorEastAsia" w:eastAsiaTheme="minorEastAsia" w:hAnsiTheme="minorEastAsia"/>
          <w:color w:val="000000" w:themeColor="text1"/>
          <w:szCs w:val="21"/>
        </w:rPr>
        <w:t>因违反基金合同导致基金财产的损失或损害基金份额持有人合法权益，应当承担赔偿责任，其赔偿责任不因其退任而免除；</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（21）</w:t>
      </w:r>
      <w:r w:rsidRPr="00054588">
        <w:rPr>
          <w:rFonts w:asciiTheme="minorEastAsia" w:eastAsiaTheme="minorEastAsia" w:hAnsiTheme="minorEastAsia"/>
          <w:color w:val="000000" w:themeColor="text1"/>
          <w:szCs w:val="21"/>
        </w:rPr>
        <w:t>基金托管人违反基金合同造成基金财产损失时，应为基金份额持有人利益向基金托管人追偿；</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（22）按规定向基金托管人提供基金份额持有人名册资料；</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（23）面临解散、依法被撤销或者被依法宣告破产时，及时报告中国证监会并通知基金托管人；</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（24）执行生效的基金份额持有人大会决议；</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（25）不从事任何有损基金及其他基金当事人利益的活动；</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（26）依照法律法规为基金的利益对被投资公司行使股东权利，为基金的利益行使因基金财产投资于证券所产生的权利，不谋求对上市公司的控股和直接管理；</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（27）法律法规、中国证监会和基金合同规定的其他义务。</w:t>
      </w:r>
    </w:p>
    <w:p w:rsidR="007228CC" w:rsidRPr="00054588" w:rsidP="00941EC8">
      <w:pPr>
        <w:pStyle w:val="Heading2"/>
        <w:adjustRightInd w:val="0"/>
        <w:snapToGrid w:val="0"/>
        <w:spacing w:beforeLines="0" w:afterLines="0" w:line="360" w:lineRule="auto"/>
        <w:ind w:firstLine="0" w:firstLineChars="0"/>
        <w:rPr>
          <w:rFonts w:asciiTheme="minorEastAsia" w:eastAsiaTheme="minorEastAsia" w:hAnsiTheme="minorEastAsia"/>
          <w:bCs/>
          <w:color w:val="000000" w:themeColor="text1"/>
          <w:szCs w:val="21"/>
        </w:rPr>
      </w:pPr>
      <w:bookmarkStart w:id="517" w:name="_Toc211920220"/>
      <w:bookmarkStart w:id="518" w:name="_Toc211927749"/>
      <w:bookmarkStart w:id="519" w:name="_Toc123296517"/>
      <w:r w:rsidRPr="00054588">
        <w:rPr>
          <w:rFonts w:asciiTheme="minorEastAsia" w:eastAsiaTheme="minorEastAsia" w:hAnsiTheme="minorEastAsia" w:hint="eastAsia"/>
          <w:bCs/>
          <w:color w:val="000000" w:themeColor="text1"/>
        </w:rPr>
        <w:t>（二）基金托管人的权利与义务</w:t>
      </w:r>
      <w:bookmarkEnd w:id="516"/>
      <w:bookmarkEnd w:id="517"/>
      <w:bookmarkEnd w:id="518"/>
      <w:bookmarkEnd w:id="519"/>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bookmarkStart w:id="520" w:name="_Toc169345021"/>
      <w:r w:rsidRPr="00054588">
        <w:rPr>
          <w:rFonts w:asciiTheme="minorEastAsia" w:eastAsiaTheme="minorEastAsia" w:hAnsiTheme="minorEastAsia" w:hint="eastAsia"/>
          <w:color w:val="000000" w:themeColor="text1"/>
          <w:szCs w:val="21"/>
        </w:rPr>
        <w:t>1、根据《基金法》及其他有关法律法规，基金托管人的权利为：</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（1）依基金合同约定</w:t>
      </w:r>
      <w:r w:rsidRPr="00054588">
        <w:rPr>
          <w:rFonts w:asciiTheme="minorEastAsia" w:eastAsiaTheme="minorEastAsia" w:hAnsiTheme="minorEastAsia"/>
          <w:color w:val="000000" w:themeColor="text1"/>
          <w:szCs w:val="21"/>
        </w:rPr>
        <w:t>获得基金托管费</w:t>
      </w:r>
      <w:r w:rsidRPr="00054588">
        <w:rPr>
          <w:rFonts w:asciiTheme="minorEastAsia" w:eastAsiaTheme="minorEastAsia" w:hAnsiTheme="minorEastAsia" w:hint="eastAsia"/>
          <w:color w:val="000000" w:themeColor="text1"/>
          <w:szCs w:val="21"/>
        </w:rPr>
        <w:t>以及法律法规规定或监管部门批准的其他收入</w:t>
      </w:r>
      <w:r w:rsidRPr="00054588">
        <w:rPr>
          <w:rFonts w:asciiTheme="minorEastAsia" w:eastAsiaTheme="minorEastAsia" w:hAnsiTheme="minorEastAsia"/>
          <w:color w:val="000000" w:themeColor="text1"/>
          <w:szCs w:val="21"/>
        </w:rPr>
        <w:t>；</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w:t>
      </w:r>
      <w:r w:rsidRPr="00054588">
        <w:rPr>
          <w:rFonts w:asciiTheme="minorEastAsia" w:eastAsiaTheme="minorEastAsia" w:hAnsiTheme="minorEastAsia"/>
          <w:color w:val="000000" w:themeColor="text1"/>
          <w:szCs w:val="21"/>
        </w:rPr>
        <w:t>监督基金管理人对本基金的投资运作；</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（3）自本基金合同生效之日起，</w:t>
      </w:r>
      <w:r w:rsidRPr="00054588">
        <w:rPr>
          <w:rFonts w:asciiTheme="minorEastAsia" w:eastAsiaTheme="minorEastAsia" w:hAnsiTheme="minorEastAsia"/>
          <w:color w:val="000000" w:themeColor="text1"/>
          <w:szCs w:val="21"/>
        </w:rPr>
        <w:t>依法保管基金资产；</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（4）</w:t>
      </w:r>
      <w:r w:rsidRPr="00054588">
        <w:rPr>
          <w:rFonts w:asciiTheme="minorEastAsia" w:eastAsiaTheme="minorEastAsia" w:hAnsiTheme="minorEastAsia"/>
          <w:color w:val="000000" w:themeColor="text1"/>
          <w:szCs w:val="21"/>
        </w:rPr>
        <w:t>在基金管理人更换时，提名</w:t>
      </w:r>
      <w:r w:rsidRPr="00054588">
        <w:rPr>
          <w:rFonts w:asciiTheme="minorEastAsia" w:eastAsiaTheme="minorEastAsia" w:hAnsiTheme="minorEastAsia" w:hint="eastAsia"/>
          <w:color w:val="000000" w:themeColor="text1"/>
          <w:szCs w:val="21"/>
        </w:rPr>
        <w:t>新任</w:t>
      </w:r>
      <w:r w:rsidRPr="00054588">
        <w:rPr>
          <w:rFonts w:asciiTheme="minorEastAsia" w:eastAsiaTheme="minorEastAsia" w:hAnsiTheme="minorEastAsia"/>
          <w:color w:val="000000" w:themeColor="text1"/>
          <w:szCs w:val="21"/>
        </w:rPr>
        <w:t>基金管理人；</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（5）根</w:t>
      </w:r>
      <w:r w:rsidRPr="00054588">
        <w:rPr>
          <w:rFonts w:asciiTheme="minorEastAsia" w:eastAsiaTheme="minorEastAsia" w:hAnsiTheme="minorEastAsia"/>
          <w:color w:val="000000" w:themeColor="text1"/>
          <w:szCs w:val="21"/>
        </w:rPr>
        <w:t>据本基金合同及有关规定监督基金</w:t>
      </w:r>
      <w:r w:rsidRPr="00054588">
        <w:rPr>
          <w:rFonts w:asciiTheme="minorEastAsia" w:eastAsiaTheme="minorEastAsia" w:hAnsiTheme="minorEastAsia" w:hint="eastAsia"/>
          <w:color w:val="000000" w:themeColor="text1"/>
          <w:szCs w:val="21"/>
        </w:rPr>
        <w:t>管理人</w:t>
      </w:r>
      <w:r w:rsidRPr="00054588">
        <w:rPr>
          <w:rFonts w:asciiTheme="minorEastAsia" w:eastAsiaTheme="minorEastAsia" w:hAnsiTheme="minorEastAsia"/>
          <w:color w:val="000000" w:themeColor="text1"/>
          <w:szCs w:val="21"/>
        </w:rPr>
        <w:t>，</w:t>
      </w:r>
      <w:r w:rsidRPr="00054588">
        <w:rPr>
          <w:rFonts w:asciiTheme="minorEastAsia" w:eastAsiaTheme="minorEastAsia" w:hAnsiTheme="minorEastAsia" w:hint="eastAsia"/>
          <w:color w:val="000000" w:themeColor="text1"/>
          <w:szCs w:val="21"/>
        </w:rPr>
        <w:t>对于</w:t>
      </w:r>
      <w:r w:rsidRPr="00054588">
        <w:rPr>
          <w:rFonts w:asciiTheme="minorEastAsia" w:eastAsiaTheme="minorEastAsia" w:hAnsiTheme="minorEastAsia"/>
          <w:color w:val="000000" w:themeColor="text1"/>
          <w:szCs w:val="21"/>
        </w:rPr>
        <w:t>基金</w:t>
      </w:r>
      <w:r w:rsidRPr="00054588">
        <w:rPr>
          <w:rFonts w:asciiTheme="minorEastAsia" w:eastAsiaTheme="minorEastAsia" w:hAnsiTheme="minorEastAsia" w:hint="eastAsia"/>
          <w:color w:val="000000" w:themeColor="text1"/>
          <w:szCs w:val="21"/>
        </w:rPr>
        <w:t>管理</w:t>
      </w:r>
      <w:r w:rsidRPr="00054588">
        <w:rPr>
          <w:rFonts w:asciiTheme="minorEastAsia" w:eastAsiaTheme="minorEastAsia" w:hAnsiTheme="minorEastAsia"/>
          <w:color w:val="000000" w:themeColor="text1"/>
          <w:szCs w:val="21"/>
        </w:rPr>
        <w:t>人违反本基金合同或有关</w:t>
      </w:r>
      <w:r w:rsidRPr="00054588">
        <w:rPr>
          <w:rFonts w:asciiTheme="minorEastAsia" w:eastAsiaTheme="minorEastAsia" w:hAnsiTheme="minorEastAsia" w:hint="eastAsia"/>
          <w:color w:val="000000" w:themeColor="text1"/>
          <w:szCs w:val="21"/>
        </w:rPr>
        <w:t>法律法规</w:t>
      </w:r>
      <w:r w:rsidRPr="00054588">
        <w:rPr>
          <w:rFonts w:asciiTheme="minorEastAsia" w:eastAsiaTheme="minorEastAsia" w:hAnsiTheme="minorEastAsia"/>
          <w:color w:val="000000" w:themeColor="text1"/>
          <w:szCs w:val="21"/>
        </w:rPr>
        <w:t>规定</w:t>
      </w:r>
      <w:r w:rsidRPr="00054588">
        <w:rPr>
          <w:rFonts w:asciiTheme="minorEastAsia" w:eastAsiaTheme="minorEastAsia" w:hAnsiTheme="minorEastAsia" w:hint="eastAsia"/>
          <w:color w:val="000000" w:themeColor="text1"/>
          <w:szCs w:val="21"/>
        </w:rPr>
        <w:t>的行为，</w:t>
      </w:r>
      <w:r w:rsidRPr="00054588">
        <w:rPr>
          <w:rFonts w:asciiTheme="minorEastAsia" w:eastAsiaTheme="minorEastAsia" w:hAnsiTheme="minorEastAsia"/>
          <w:color w:val="000000" w:themeColor="text1"/>
          <w:szCs w:val="21"/>
        </w:rPr>
        <w:t>对基金资产、其他当事人的利益造成重大损失的</w:t>
      </w:r>
      <w:r w:rsidRPr="00054588">
        <w:rPr>
          <w:rFonts w:asciiTheme="minorEastAsia" w:eastAsiaTheme="minorEastAsia" w:hAnsiTheme="minorEastAsia" w:hint="eastAsia"/>
          <w:color w:val="000000" w:themeColor="text1"/>
          <w:szCs w:val="21"/>
        </w:rPr>
        <w:t>情形</w:t>
      </w:r>
      <w:r w:rsidRPr="00054588">
        <w:rPr>
          <w:rFonts w:asciiTheme="minorEastAsia" w:eastAsiaTheme="minorEastAsia" w:hAnsiTheme="minorEastAsia"/>
          <w:color w:val="000000" w:themeColor="text1"/>
          <w:szCs w:val="21"/>
        </w:rPr>
        <w:t>，应及时呈报中国证监会，并采取必要措施保护基金及相关当事人的利益；</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（6）依法召集基金份额持有人大会；</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（7）按规定取得基金份额持有人名册资料；</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（8）</w:t>
      </w:r>
      <w:r w:rsidRPr="00054588">
        <w:rPr>
          <w:rFonts w:asciiTheme="minorEastAsia" w:eastAsiaTheme="minorEastAsia" w:hAnsiTheme="minorEastAsia"/>
          <w:color w:val="000000" w:themeColor="text1"/>
          <w:szCs w:val="21"/>
        </w:rPr>
        <w:t>法律法规</w:t>
      </w:r>
      <w:r w:rsidRPr="00054588">
        <w:rPr>
          <w:rFonts w:asciiTheme="minorEastAsia" w:eastAsiaTheme="minorEastAsia" w:hAnsiTheme="minorEastAsia" w:hint="eastAsia"/>
          <w:color w:val="000000" w:themeColor="text1"/>
          <w:szCs w:val="21"/>
        </w:rPr>
        <w:t>和基金合同</w:t>
      </w:r>
      <w:r w:rsidRPr="00054588">
        <w:rPr>
          <w:rFonts w:asciiTheme="minorEastAsia" w:eastAsiaTheme="minorEastAsia" w:hAnsiTheme="minorEastAsia"/>
          <w:color w:val="000000" w:themeColor="text1"/>
          <w:szCs w:val="21"/>
        </w:rPr>
        <w:t>规定的其他权利。</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2、根据《基金法》及其他有关法律法规，基金托管人的义务为：</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（1）安全保管基金财产；</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w:t>
      </w:r>
      <w:r w:rsidRPr="00054588">
        <w:rPr>
          <w:rFonts w:asciiTheme="minorEastAsia" w:eastAsiaTheme="minorEastAsia" w:hAnsiTheme="minorEastAsia"/>
          <w:color w:val="000000" w:themeColor="text1"/>
          <w:szCs w:val="21"/>
        </w:rPr>
        <w:t>设立专门的基金托管部，具有符合要求的营业场所，配备足够的、合格的熟悉基金托管业务的专职人员，负责基金财产托管事宜；</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（3）对所托管的不同基金财产分别设置账户，确保基金财产的完整与独立；</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（4）</w:t>
      </w:r>
      <w:r w:rsidRPr="00054588">
        <w:rPr>
          <w:rFonts w:asciiTheme="minorEastAsia" w:eastAsiaTheme="minorEastAsia" w:hAnsiTheme="minorEastAsia"/>
          <w:color w:val="000000" w:themeColor="text1"/>
          <w:szCs w:val="21"/>
        </w:rPr>
        <w:t>除依据《基金法》、基金合同及其他有关规定外，不得为自己及任何第三人谋取利益，不得委托第三人托管基金财产；</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（5）</w:t>
      </w:r>
      <w:r w:rsidRPr="00054588">
        <w:rPr>
          <w:rFonts w:asciiTheme="minorEastAsia" w:eastAsiaTheme="minorEastAsia" w:hAnsiTheme="minorEastAsia"/>
          <w:color w:val="000000" w:themeColor="text1"/>
          <w:szCs w:val="21"/>
        </w:rPr>
        <w:t>保管由基金管理人代表基金签订的与基金有关的重大合同及有关凭证；</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（6）</w:t>
      </w:r>
      <w:r w:rsidRPr="00054588">
        <w:rPr>
          <w:rFonts w:asciiTheme="minorEastAsia" w:eastAsiaTheme="minorEastAsia" w:hAnsiTheme="minorEastAsia"/>
          <w:color w:val="000000" w:themeColor="text1"/>
          <w:szCs w:val="21"/>
        </w:rPr>
        <w:t>按规定开设基金财产的资金账户和证券账户；</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（7）</w:t>
      </w:r>
      <w:r w:rsidRPr="00054588">
        <w:rPr>
          <w:rFonts w:asciiTheme="minorEastAsia" w:eastAsiaTheme="minorEastAsia" w:hAnsiTheme="minorEastAsia"/>
          <w:color w:val="000000" w:themeColor="text1"/>
          <w:szCs w:val="21"/>
        </w:rPr>
        <w:t>保守基金商业秘密</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除《基金法》、基金合同及其他有关规定另有规定外，在基金信息公开披露前应予保密，不得向他人泄露；</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（8）</w:t>
      </w:r>
      <w:r w:rsidRPr="00054588">
        <w:rPr>
          <w:rFonts w:asciiTheme="minorEastAsia" w:eastAsiaTheme="minorEastAsia" w:hAnsiTheme="minorEastAsia"/>
          <w:color w:val="000000" w:themeColor="text1"/>
          <w:szCs w:val="21"/>
        </w:rPr>
        <w:t>对基金财务会计报告</w:t>
      </w:r>
      <w:r w:rsidRPr="00054588">
        <w:rPr>
          <w:rFonts w:asciiTheme="minorEastAsia" w:eastAsiaTheme="minorEastAsia" w:hAnsiTheme="minorEastAsia" w:hint="eastAsia"/>
          <w:color w:val="000000" w:themeColor="text1"/>
          <w:szCs w:val="21"/>
        </w:rPr>
        <w:t>、中期</w:t>
      </w:r>
      <w:r w:rsidRPr="00054588" w:rsidR="001D16B5">
        <w:rPr>
          <w:rFonts w:asciiTheme="minorEastAsia" w:eastAsiaTheme="minorEastAsia" w:hAnsiTheme="minorEastAsia" w:hint="eastAsia"/>
          <w:color w:val="000000" w:themeColor="text1"/>
          <w:szCs w:val="21"/>
        </w:rPr>
        <w:t>报告</w:t>
      </w:r>
      <w:r w:rsidRPr="00054588">
        <w:rPr>
          <w:rFonts w:asciiTheme="minorEastAsia" w:eastAsiaTheme="minorEastAsia" w:hAnsiTheme="minorEastAsia"/>
          <w:color w:val="000000" w:themeColor="text1"/>
          <w:szCs w:val="21"/>
        </w:rPr>
        <w:t>和年度报告出具意见，说明基金管理人在各重要方面的运作是否严格按照基金合同的规定进行；如果基金管理人有未执行基金合同规定的行为，还应当说明基金托管人是否采取了适当的措施；</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（9）保存基金托管业务活动的记录、账册、报表和其他相关资料；</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（10）按照基金合同的约定，根据基金管理人的投资指令，及时办理清算、交割事宜；</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（11）办理与基金托管业务活动有关的信息披露事项；</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（12）复核、审查基金管理人计算的基金资产净值</w:t>
      </w:r>
      <w:r w:rsidRPr="00054588" w:rsidR="001D16B5">
        <w:rPr>
          <w:rFonts w:asciiTheme="minorEastAsia" w:eastAsiaTheme="minorEastAsia" w:hAnsiTheme="minorEastAsia" w:hint="eastAsia"/>
          <w:color w:val="000000" w:themeColor="text1"/>
          <w:szCs w:val="21"/>
        </w:rPr>
        <w:t>、基金份额净值</w:t>
      </w:r>
      <w:r w:rsidRPr="00054588">
        <w:rPr>
          <w:rFonts w:asciiTheme="minorEastAsia" w:eastAsiaTheme="minorEastAsia" w:hAnsiTheme="minorEastAsia" w:hint="eastAsia"/>
          <w:color w:val="000000" w:themeColor="text1"/>
          <w:szCs w:val="21"/>
        </w:rPr>
        <w:t>和基金份额申购、赎回价格；</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（13）按照规定监督基金管理人的投资运作；</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（14）</w:t>
      </w:r>
      <w:r w:rsidRPr="00054588">
        <w:rPr>
          <w:rFonts w:asciiTheme="minorEastAsia" w:eastAsiaTheme="minorEastAsia" w:hAnsiTheme="minorEastAsia"/>
          <w:color w:val="000000" w:themeColor="text1"/>
          <w:szCs w:val="21"/>
        </w:rPr>
        <w:t>按规定制作相关账册并与基金管理人核对；</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（15）</w:t>
      </w:r>
      <w:r w:rsidRPr="00054588">
        <w:rPr>
          <w:rFonts w:asciiTheme="minorEastAsia" w:eastAsiaTheme="minorEastAsia" w:hAnsiTheme="minorEastAsia"/>
          <w:color w:val="000000" w:themeColor="text1"/>
          <w:szCs w:val="21"/>
        </w:rPr>
        <w:t>依据基金管理人的指令或有关规定向基金份额持有人支付基金收益和赎回</w:t>
      </w:r>
      <w:r w:rsidRPr="00054588">
        <w:rPr>
          <w:rFonts w:asciiTheme="minorEastAsia" w:eastAsiaTheme="minorEastAsia" w:hAnsiTheme="minorEastAsia" w:hint="eastAsia"/>
          <w:color w:val="000000" w:themeColor="text1"/>
          <w:szCs w:val="21"/>
        </w:rPr>
        <w:t>款项</w:t>
      </w:r>
      <w:r w:rsidRPr="00054588">
        <w:rPr>
          <w:rFonts w:asciiTheme="minorEastAsia" w:eastAsiaTheme="minorEastAsia" w:hAnsiTheme="minorEastAsia"/>
          <w:color w:val="000000" w:themeColor="text1"/>
          <w:szCs w:val="21"/>
        </w:rPr>
        <w:t>；</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（16）</w:t>
      </w:r>
      <w:r w:rsidRPr="00054588">
        <w:rPr>
          <w:rFonts w:asciiTheme="minorEastAsia" w:eastAsiaTheme="minorEastAsia" w:hAnsiTheme="minorEastAsia"/>
          <w:color w:val="000000" w:themeColor="text1"/>
          <w:szCs w:val="21"/>
        </w:rPr>
        <w:t>按照规定召集基金份额持有人大会或配合基金份额持有人依法自行召集基金份额持有人大会；</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（17）</w:t>
      </w:r>
      <w:r w:rsidRPr="00054588">
        <w:rPr>
          <w:rFonts w:asciiTheme="minorEastAsia" w:eastAsiaTheme="minorEastAsia" w:hAnsiTheme="minorEastAsia"/>
          <w:color w:val="000000" w:themeColor="text1"/>
          <w:szCs w:val="21"/>
        </w:rPr>
        <w:t>因违反基金合同导致基金财产损失，应承担赔偿责任，其赔偿责任不因其退任而免除；</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（18）</w:t>
      </w:r>
      <w:r w:rsidRPr="00054588">
        <w:rPr>
          <w:rFonts w:asciiTheme="minorEastAsia" w:eastAsiaTheme="minorEastAsia" w:hAnsiTheme="minorEastAsia"/>
          <w:color w:val="000000" w:themeColor="text1"/>
          <w:szCs w:val="21"/>
        </w:rPr>
        <w:t>基金管理人因违反基金合同造成基金财产损失时，应为基金向基金管理人追偿；</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（19）参加基金财产清算小组，参与基金财产的保管、清理、估价、变现和分配；</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（20）面临解散、依法被撤销或者被依法宣告破产时，及时报告中国证监会和银行业监督管理机构，并通知基金管理人；</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（21）执行生效的基金份额持有人大会决议；</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（22）不从事任何有损基金及其他基金当事人利益的活动；</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（23）建立并保存基金份额持有人名册；</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（24）法律法规、中国证监会和基金合同规定的</w:t>
      </w:r>
      <w:r w:rsidRPr="00054588">
        <w:rPr>
          <w:rFonts w:asciiTheme="minorEastAsia" w:eastAsiaTheme="minorEastAsia" w:hAnsiTheme="minorEastAsia"/>
          <w:color w:val="000000" w:themeColor="text1"/>
          <w:szCs w:val="21"/>
        </w:rPr>
        <w:t>其他义务。</w:t>
      </w:r>
    </w:p>
    <w:p w:rsidR="007228CC" w:rsidRPr="00054588" w:rsidP="00941EC8">
      <w:pPr>
        <w:pStyle w:val="Heading2"/>
        <w:adjustRightInd w:val="0"/>
        <w:snapToGrid w:val="0"/>
        <w:spacing w:beforeLines="0" w:afterLines="0" w:line="360" w:lineRule="auto"/>
        <w:ind w:firstLine="0" w:firstLineChars="0"/>
        <w:rPr>
          <w:rFonts w:asciiTheme="minorEastAsia" w:eastAsiaTheme="minorEastAsia" w:hAnsiTheme="minorEastAsia"/>
          <w:color w:val="000000" w:themeColor="text1"/>
          <w:szCs w:val="21"/>
        </w:rPr>
      </w:pPr>
      <w:bookmarkStart w:id="521" w:name="_Toc211920221"/>
      <w:bookmarkStart w:id="522" w:name="_Toc211927750"/>
      <w:bookmarkStart w:id="523" w:name="_Toc123296518"/>
      <w:r w:rsidRPr="00054588">
        <w:rPr>
          <w:rFonts w:asciiTheme="minorEastAsia" w:eastAsiaTheme="minorEastAsia" w:hAnsiTheme="minorEastAsia" w:hint="eastAsia"/>
          <w:bCs/>
          <w:color w:val="000000" w:themeColor="text1"/>
        </w:rPr>
        <w:t>（三）基金份额持有人的权利与义务</w:t>
      </w:r>
      <w:bookmarkEnd w:id="520"/>
      <w:bookmarkEnd w:id="521"/>
      <w:bookmarkEnd w:id="522"/>
      <w:bookmarkEnd w:id="523"/>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1、根据《基金法》及其他有关法律法规，基金份额持有人的权利为：</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w:t>
      </w:r>
      <w:r w:rsidRPr="00054588">
        <w:rPr>
          <w:rFonts w:asciiTheme="minorEastAsia" w:eastAsiaTheme="minorEastAsia" w:hAnsiTheme="minorEastAsia"/>
          <w:color w:val="000000" w:themeColor="text1"/>
          <w:szCs w:val="21"/>
        </w:rPr>
        <w:t>分享基金财产收益；</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w:t>
      </w:r>
      <w:r w:rsidRPr="00054588">
        <w:rPr>
          <w:rFonts w:asciiTheme="minorEastAsia" w:eastAsiaTheme="minorEastAsia" w:hAnsiTheme="minorEastAsia"/>
          <w:color w:val="000000" w:themeColor="text1"/>
          <w:szCs w:val="21"/>
        </w:rPr>
        <w:t>参与分配清算后的剩余基金财产；</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（3）</w:t>
      </w:r>
      <w:r w:rsidRPr="00054588">
        <w:rPr>
          <w:rFonts w:asciiTheme="minorEastAsia" w:eastAsiaTheme="minorEastAsia" w:hAnsiTheme="minorEastAsia"/>
          <w:color w:val="000000" w:themeColor="text1"/>
          <w:szCs w:val="21"/>
        </w:rPr>
        <w:t>依法申请赎回其持有的基金份额；</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（4）</w:t>
      </w:r>
      <w:r w:rsidRPr="00054588">
        <w:rPr>
          <w:rFonts w:asciiTheme="minorEastAsia" w:eastAsiaTheme="minorEastAsia" w:hAnsiTheme="minorEastAsia"/>
          <w:color w:val="000000" w:themeColor="text1"/>
          <w:szCs w:val="21"/>
        </w:rPr>
        <w:t>按照规定要求召开基金份额持有人大会；</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（5）</w:t>
      </w:r>
      <w:r w:rsidRPr="00054588">
        <w:rPr>
          <w:rFonts w:asciiTheme="minorEastAsia" w:eastAsiaTheme="minorEastAsia" w:hAnsiTheme="minorEastAsia"/>
          <w:color w:val="000000" w:themeColor="text1"/>
          <w:szCs w:val="21"/>
        </w:rPr>
        <w:t>出席或者委派代表出席基金份额持有人大会，对基金份额持有人大会审议事项行使表决权；</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（6）</w:t>
      </w:r>
      <w:r w:rsidRPr="00054588">
        <w:rPr>
          <w:rFonts w:asciiTheme="minorEastAsia" w:eastAsiaTheme="minorEastAsia" w:hAnsiTheme="minorEastAsia"/>
          <w:color w:val="000000" w:themeColor="text1"/>
          <w:szCs w:val="21"/>
        </w:rPr>
        <w:t>查阅或者复制公开披露的基金信息资料；</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（7）</w:t>
      </w:r>
      <w:r w:rsidRPr="00054588">
        <w:rPr>
          <w:rFonts w:asciiTheme="minorEastAsia" w:eastAsiaTheme="minorEastAsia" w:hAnsiTheme="minorEastAsia"/>
          <w:color w:val="000000" w:themeColor="text1"/>
          <w:szCs w:val="21"/>
        </w:rPr>
        <w:t>监督基金管理人的投资运作；</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（8）</w:t>
      </w:r>
      <w:r w:rsidRPr="00054588">
        <w:rPr>
          <w:rFonts w:asciiTheme="minorEastAsia" w:eastAsiaTheme="minorEastAsia" w:hAnsiTheme="minorEastAsia"/>
          <w:color w:val="000000" w:themeColor="text1"/>
          <w:szCs w:val="21"/>
        </w:rPr>
        <w:t>对基金管理人、基金托管人、基金</w:t>
      </w:r>
      <w:r w:rsidRPr="00054588">
        <w:rPr>
          <w:rFonts w:asciiTheme="minorEastAsia" w:eastAsiaTheme="minorEastAsia" w:hAnsiTheme="minorEastAsia" w:hint="eastAsia"/>
          <w:color w:val="000000" w:themeColor="text1"/>
          <w:szCs w:val="21"/>
        </w:rPr>
        <w:t>销售</w:t>
      </w:r>
      <w:r w:rsidRPr="00054588">
        <w:rPr>
          <w:rFonts w:asciiTheme="minorEastAsia" w:eastAsiaTheme="minorEastAsia" w:hAnsiTheme="minorEastAsia"/>
          <w:color w:val="000000" w:themeColor="text1"/>
          <w:szCs w:val="21"/>
        </w:rPr>
        <w:t>机构损害其合法权益的行为依法提起诉讼；</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（9）法律法规和基金合同规定的</w:t>
      </w:r>
      <w:r w:rsidRPr="00054588">
        <w:rPr>
          <w:rFonts w:asciiTheme="minorEastAsia" w:eastAsiaTheme="minorEastAsia" w:hAnsiTheme="minorEastAsia"/>
          <w:color w:val="000000" w:themeColor="text1"/>
          <w:szCs w:val="21"/>
        </w:rPr>
        <w:t>其他权利。</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每份基金份额具有同等的合法权益。</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2、根据《基金法》及其他有关法律法规，基金份额持有人的义务为：</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w:t>
      </w:r>
      <w:r w:rsidRPr="00054588">
        <w:rPr>
          <w:rFonts w:asciiTheme="minorEastAsia" w:eastAsiaTheme="minorEastAsia" w:hAnsiTheme="minorEastAsia"/>
          <w:color w:val="000000" w:themeColor="text1"/>
          <w:szCs w:val="21"/>
        </w:rPr>
        <w:t>遵守</w:t>
      </w:r>
      <w:r w:rsidRPr="00054588">
        <w:rPr>
          <w:rFonts w:asciiTheme="minorEastAsia" w:eastAsiaTheme="minorEastAsia" w:hAnsiTheme="minorEastAsia" w:hint="eastAsia"/>
          <w:color w:val="000000" w:themeColor="text1"/>
          <w:szCs w:val="21"/>
        </w:rPr>
        <w:t>法律法规、</w:t>
      </w:r>
      <w:r w:rsidRPr="00054588">
        <w:rPr>
          <w:rFonts w:asciiTheme="minorEastAsia" w:eastAsiaTheme="minorEastAsia" w:hAnsiTheme="minorEastAsia"/>
          <w:color w:val="000000" w:themeColor="text1"/>
          <w:szCs w:val="21"/>
        </w:rPr>
        <w:t>基金合同</w:t>
      </w:r>
      <w:r w:rsidRPr="00054588">
        <w:rPr>
          <w:rFonts w:asciiTheme="minorEastAsia" w:eastAsiaTheme="minorEastAsia" w:hAnsiTheme="minorEastAsia" w:hint="eastAsia"/>
          <w:color w:val="000000" w:themeColor="text1"/>
          <w:szCs w:val="21"/>
        </w:rPr>
        <w:t>及其他有关规定</w:t>
      </w:r>
      <w:r w:rsidRPr="00054588">
        <w:rPr>
          <w:rFonts w:asciiTheme="minorEastAsia" w:eastAsiaTheme="minorEastAsia" w:hAnsiTheme="minorEastAsia"/>
          <w:color w:val="000000" w:themeColor="text1"/>
          <w:szCs w:val="21"/>
        </w:rPr>
        <w:t>；</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w:t>
      </w:r>
      <w:r w:rsidRPr="00054588">
        <w:rPr>
          <w:rFonts w:asciiTheme="minorEastAsia" w:eastAsiaTheme="minorEastAsia" w:hAnsiTheme="minorEastAsia"/>
          <w:color w:val="000000" w:themeColor="text1"/>
          <w:szCs w:val="21"/>
        </w:rPr>
        <w:t>交纳基金认购、申购款项及</w:t>
      </w:r>
      <w:r w:rsidRPr="00054588">
        <w:rPr>
          <w:rFonts w:asciiTheme="minorEastAsia" w:eastAsiaTheme="minorEastAsia" w:hAnsiTheme="minorEastAsia" w:hint="eastAsia"/>
          <w:color w:val="000000" w:themeColor="text1"/>
          <w:szCs w:val="21"/>
        </w:rPr>
        <w:t>法律法规和基金合同所</w:t>
      </w:r>
      <w:r w:rsidRPr="00054588">
        <w:rPr>
          <w:rFonts w:asciiTheme="minorEastAsia" w:eastAsiaTheme="minorEastAsia" w:hAnsiTheme="minorEastAsia"/>
          <w:color w:val="000000" w:themeColor="text1"/>
          <w:szCs w:val="21"/>
        </w:rPr>
        <w:t>规定的费用；</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（3）</w:t>
      </w:r>
      <w:r w:rsidRPr="00054588">
        <w:rPr>
          <w:rFonts w:asciiTheme="minorEastAsia" w:eastAsiaTheme="minorEastAsia" w:hAnsiTheme="minorEastAsia"/>
          <w:color w:val="000000" w:themeColor="text1"/>
          <w:szCs w:val="21"/>
        </w:rPr>
        <w:t>在持有的基金份额范围内，承担基金亏损或者基金合同终止的有限责任；</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（4）</w:t>
      </w:r>
      <w:r w:rsidRPr="00054588">
        <w:rPr>
          <w:rFonts w:asciiTheme="minorEastAsia" w:eastAsiaTheme="minorEastAsia" w:hAnsiTheme="minorEastAsia"/>
          <w:color w:val="000000" w:themeColor="text1"/>
          <w:szCs w:val="21"/>
        </w:rPr>
        <w:t>不从事任何有损基金及</w:t>
      </w:r>
      <w:r w:rsidRPr="00054588">
        <w:rPr>
          <w:rFonts w:asciiTheme="minorEastAsia" w:eastAsiaTheme="minorEastAsia" w:hAnsiTheme="minorEastAsia" w:hint="eastAsia"/>
          <w:color w:val="000000" w:themeColor="text1"/>
          <w:szCs w:val="21"/>
        </w:rPr>
        <w:t>其他</w:t>
      </w:r>
      <w:r w:rsidRPr="00054588">
        <w:rPr>
          <w:rFonts w:asciiTheme="minorEastAsia" w:eastAsiaTheme="minorEastAsia" w:hAnsiTheme="minorEastAsia"/>
          <w:color w:val="000000" w:themeColor="text1"/>
          <w:szCs w:val="21"/>
        </w:rPr>
        <w:t>基金份额持有人合法权益的活动；</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（5）</w:t>
      </w:r>
      <w:r w:rsidRPr="00054588">
        <w:rPr>
          <w:rFonts w:asciiTheme="minorEastAsia" w:eastAsiaTheme="minorEastAsia" w:hAnsiTheme="minorEastAsia"/>
          <w:color w:val="000000" w:themeColor="text1"/>
          <w:szCs w:val="21"/>
        </w:rPr>
        <w:t>执行生效的基金份额持有人大会</w:t>
      </w:r>
      <w:r w:rsidRPr="00054588">
        <w:rPr>
          <w:rFonts w:asciiTheme="minorEastAsia" w:eastAsiaTheme="minorEastAsia" w:hAnsiTheme="minorEastAsia" w:hint="eastAsia"/>
          <w:color w:val="000000" w:themeColor="text1"/>
          <w:szCs w:val="21"/>
        </w:rPr>
        <w:t>决议</w:t>
      </w:r>
      <w:r w:rsidRPr="00054588">
        <w:rPr>
          <w:rFonts w:asciiTheme="minorEastAsia" w:eastAsiaTheme="minorEastAsia" w:hAnsiTheme="minorEastAsia"/>
          <w:color w:val="000000" w:themeColor="text1"/>
          <w:szCs w:val="21"/>
        </w:rPr>
        <w:t>；</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（6）返还在基金交易过程中因任何原因，自基金管理人及基金管理人的代理人、基金托管人、代销机构、其他基金份额持有人处获得的不当得利；</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（7）</w:t>
      </w:r>
      <w:r w:rsidRPr="00054588">
        <w:rPr>
          <w:rFonts w:asciiTheme="minorEastAsia" w:eastAsiaTheme="minorEastAsia" w:hAnsiTheme="minorEastAsia"/>
          <w:color w:val="000000" w:themeColor="text1"/>
          <w:szCs w:val="21"/>
        </w:rPr>
        <w:t>法律法规和基金合同规定的其他义务。</w:t>
      </w:r>
    </w:p>
    <w:p w:rsidR="007228CC" w:rsidRPr="00054588" w:rsidP="00941EC8">
      <w:pPr>
        <w:pStyle w:val="Heading2"/>
        <w:adjustRightInd w:val="0"/>
        <w:snapToGrid w:val="0"/>
        <w:spacing w:beforeLines="0" w:afterLines="0" w:line="360" w:lineRule="auto"/>
        <w:ind w:firstLine="0" w:firstLineChars="0"/>
        <w:rPr>
          <w:rFonts w:asciiTheme="minorEastAsia" w:eastAsiaTheme="minorEastAsia" w:hAnsiTheme="minorEastAsia"/>
          <w:color w:val="000000" w:themeColor="text1"/>
        </w:rPr>
      </w:pPr>
      <w:bookmarkStart w:id="524" w:name="_Toc169345022"/>
      <w:bookmarkStart w:id="525" w:name="_Toc211920222"/>
      <w:bookmarkStart w:id="526" w:name="_Toc211927751"/>
      <w:bookmarkStart w:id="527" w:name="_Toc123296519"/>
      <w:r w:rsidRPr="00054588">
        <w:rPr>
          <w:rFonts w:asciiTheme="minorEastAsia" w:eastAsiaTheme="minorEastAsia" w:hAnsiTheme="minorEastAsia" w:hint="eastAsia"/>
          <w:bCs/>
          <w:color w:val="000000" w:themeColor="text1"/>
        </w:rPr>
        <w:t>（四）基金份额持有人大会</w:t>
      </w:r>
      <w:bookmarkEnd w:id="524"/>
      <w:bookmarkEnd w:id="525"/>
      <w:bookmarkEnd w:id="526"/>
      <w:bookmarkEnd w:id="527"/>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w:t>
      </w:r>
      <w:r w:rsidRPr="00054588">
        <w:rPr>
          <w:rFonts w:asciiTheme="minorEastAsia" w:eastAsiaTheme="minorEastAsia" w:hAnsiTheme="minorEastAsia"/>
          <w:color w:val="000000" w:themeColor="text1"/>
          <w:szCs w:val="21"/>
        </w:rPr>
        <w:t>基金份额持有人大会由基金份额持有人</w:t>
      </w:r>
      <w:r w:rsidRPr="00054588">
        <w:rPr>
          <w:rFonts w:asciiTheme="minorEastAsia" w:eastAsiaTheme="minorEastAsia" w:hAnsiTheme="minorEastAsia" w:hint="eastAsia"/>
          <w:color w:val="000000" w:themeColor="text1"/>
          <w:szCs w:val="21"/>
        </w:rPr>
        <w:t>或基金</w:t>
      </w:r>
      <w:r w:rsidRPr="00054588">
        <w:rPr>
          <w:rFonts w:asciiTheme="minorEastAsia" w:eastAsiaTheme="minorEastAsia" w:hAnsiTheme="minorEastAsia"/>
          <w:color w:val="000000" w:themeColor="text1"/>
          <w:szCs w:val="21"/>
        </w:rPr>
        <w:t>份额持有人</w:t>
      </w:r>
      <w:r w:rsidRPr="00054588">
        <w:rPr>
          <w:rFonts w:asciiTheme="minorEastAsia" w:eastAsiaTheme="minorEastAsia" w:hAnsiTheme="minorEastAsia" w:hint="eastAsia"/>
          <w:color w:val="000000" w:themeColor="text1"/>
          <w:szCs w:val="21"/>
        </w:rPr>
        <w:t>的合法授权代表</w:t>
      </w:r>
      <w:r w:rsidRPr="00054588">
        <w:rPr>
          <w:rFonts w:asciiTheme="minorEastAsia" w:eastAsiaTheme="minorEastAsia" w:hAnsiTheme="minorEastAsia"/>
          <w:color w:val="000000" w:themeColor="text1"/>
          <w:szCs w:val="21"/>
        </w:rPr>
        <w:t>共同组成。</w:t>
      </w:r>
      <w:r w:rsidRPr="00054588">
        <w:rPr>
          <w:rFonts w:asciiTheme="minorEastAsia" w:eastAsiaTheme="minorEastAsia" w:hAnsiTheme="minorEastAsia" w:hint="eastAsia"/>
          <w:color w:val="000000" w:themeColor="text1"/>
          <w:szCs w:val="21"/>
        </w:rPr>
        <w:t>基金份额持有人持有的每一基金份额具有同等的投票权。</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2、召开事由</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当出现或需要决定下列事由之一的，经基金管理人</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基金托管人或持有基金份额10%以上</w:t>
      </w:r>
      <w:r w:rsidRPr="00054588">
        <w:rPr>
          <w:rFonts w:asciiTheme="minorEastAsia" w:eastAsiaTheme="minorEastAsia" w:hAnsiTheme="minorEastAsia" w:hint="eastAsia"/>
          <w:color w:val="000000" w:themeColor="text1"/>
          <w:szCs w:val="21"/>
        </w:rPr>
        <w:t>(含10%，下同)</w:t>
      </w:r>
      <w:r w:rsidRPr="00054588">
        <w:rPr>
          <w:rFonts w:asciiTheme="minorEastAsia" w:eastAsiaTheme="minorEastAsia" w:hAnsiTheme="minorEastAsia"/>
          <w:color w:val="000000" w:themeColor="text1"/>
          <w:szCs w:val="21"/>
        </w:rPr>
        <w:t>的基金份额持有人(以基金管理人收到提议当日的基金份额计算，下同)提议时，应当召开基金份额持有人大会：</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(1)终止</w:t>
      </w:r>
      <w:r w:rsidRPr="00054588">
        <w:rPr>
          <w:rFonts w:asciiTheme="minorEastAsia" w:eastAsiaTheme="minorEastAsia" w:hAnsiTheme="minorEastAsia"/>
          <w:color w:val="000000" w:themeColor="text1"/>
          <w:szCs w:val="21"/>
        </w:rPr>
        <w:t>基金合同；</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w:t>
      </w:r>
      <w:r w:rsidRPr="00054588">
        <w:rPr>
          <w:rFonts w:asciiTheme="minorEastAsia" w:eastAsiaTheme="minorEastAsia" w:hAnsiTheme="minorEastAsia"/>
          <w:color w:val="000000" w:themeColor="text1"/>
          <w:szCs w:val="21"/>
        </w:rPr>
        <w:t>转换基金运作方式；</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(3)</w:t>
      </w:r>
      <w:r w:rsidRPr="00054588">
        <w:rPr>
          <w:rFonts w:asciiTheme="minorEastAsia" w:eastAsiaTheme="minorEastAsia" w:hAnsiTheme="minorEastAsia"/>
          <w:color w:val="000000" w:themeColor="text1"/>
          <w:szCs w:val="21"/>
        </w:rPr>
        <w:t>变更基金类别；</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(4)</w:t>
      </w:r>
      <w:r w:rsidRPr="00054588">
        <w:rPr>
          <w:rFonts w:asciiTheme="minorEastAsia" w:eastAsiaTheme="minorEastAsia" w:hAnsiTheme="minorEastAsia"/>
          <w:color w:val="000000" w:themeColor="text1"/>
          <w:szCs w:val="21"/>
        </w:rPr>
        <w:t>变更基金投资目标、</w:t>
      </w:r>
      <w:r w:rsidRPr="00054588">
        <w:rPr>
          <w:rFonts w:asciiTheme="minorEastAsia" w:eastAsiaTheme="minorEastAsia" w:hAnsiTheme="minorEastAsia" w:hint="eastAsia"/>
          <w:color w:val="000000" w:themeColor="text1"/>
          <w:szCs w:val="21"/>
        </w:rPr>
        <w:t>投资</w:t>
      </w:r>
      <w:r w:rsidRPr="00054588">
        <w:rPr>
          <w:rFonts w:asciiTheme="minorEastAsia" w:eastAsiaTheme="minorEastAsia" w:hAnsiTheme="minorEastAsia"/>
          <w:color w:val="000000" w:themeColor="text1"/>
          <w:szCs w:val="21"/>
        </w:rPr>
        <w:t>范围或</w:t>
      </w:r>
      <w:r w:rsidRPr="00054588">
        <w:rPr>
          <w:rFonts w:asciiTheme="minorEastAsia" w:eastAsiaTheme="minorEastAsia" w:hAnsiTheme="minorEastAsia" w:hint="eastAsia"/>
          <w:color w:val="000000" w:themeColor="text1"/>
          <w:szCs w:val="21"/>
        </w:rPr>
        <w:t>投资</w:t>
      </w:r>
      <w:r w:rsidRPr="00054588">
        <w:rPr>
          <w:rFonts w:asciiTheme="minorEastAsia" w:eastAsiaTheme="minorEastAsia" w:hAnsiTheme="minorEastAsia"/>
          <w:color w:val="000000" w:themeColor="text1"/>
          <w:szCs w:val="21"/>
        </w:rPr>
        <w:t>策略</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(5)</w:t>
      </w:r>
      <w:r w:rsidRPr="00054588">
        <w:rPr>
          <w:rFonts w:asciiTheme="minorEastAsia" w:eastAsiaTheme="minorEastAsia" w:hAnsiTheme="minorEastAsia"/>
          <w:color w:val="000000" w:themeColor="text1"/>
          <w:szCs w:val="21"/>
        </w:rPr>
        <w:t>变更基金份额持有人大会程序；</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(6)</w:t>
      </w:r>
      <w:r w:rsidRPr="00054588">
        <w:rPr>
          <w:rFonts w:asciiTheme="minorEastAsia" w:eastAsiaTheme="minorEastAsia" w:hAnsiTheme="minorEastAsia"/>
          <w:color w:val="000000" w:themeColor="text1"/>
          <w:szCs w:val="21"/>
        </w:rPr>
        <w:t>更换基金管理人</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基金托管人；</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(7)</w:t>
      </w:r>
      <w:r w:rsidRPr="00054588">
        <w:rPr>
          <w:rFonts w:asciiTheme="minorEastAsia" w:eastAsiaTheme="minorEastAsia" w:hAnsiTheme="minorEastAsia"/>
          <w:color w:val="000000" w:themeColor="text1"/>
          <w:szCs w:val="21"/>
        </w:rPr>
        <w:t>提高基金管理人、基金托管人的报酬标准</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但法律法规要求提高该等报酬标准的除外</w:t>
      </w:r>
      <w:r w:rsidRPr="00054588">
        <w:rPr>
          <w:rFonts w:asciiTheme="minorEastAsia" w:eastAsiaTheme="minorEastAsia" w:hAnsiTheme="minorEastAsia" w:hint="eastAsia"/>
          <w:color w:val="000000" w:themeColor="text1"/>
          <w:szCs w:val="21"/>
        </w:rPr>
        <w:t>；</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(8)</w:t>
      </w:r>
      <w:r w:rsidRPr="00054588">
        <w:rPr>
          <w:rFonts w:asciiTheme="minorEastAsia" w:eastAsiaTheme="minorEastAsia" w:hAnsiTheme="minorEastAsia"/>
          <w:color w:val="000000" w:themeColor="text1"/>
          <w:szCs w:val="21"/>
        </w:rPr>
        <w:t>本基金与其他基金的合并</w:t>
      </w:r>
      <w:r w:rsidRPr="00054588">
        <w:rPr>
          <w:rFonts w:asciiTheme="minorEastAsia" w:eastAsiaTheme="minorEastAsia" w:hAnsiTheme="minorEastAsia" w:hint="eastAsia"/>
          <w:color w:val="000000" w:themeColor="text1"/>
          <w:szCs w:val="21"/>
        </w:rPr>
        <w:t>；</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(9)对基金合同当事人权利、义务产生重大影响的其他事项；</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(10)</w:t>
      </w:r>
      <w:r w:rsidRPr="00054588">
        <w:rPr>
          <w:rFonts w:asciiTheme="minorEastAsia" w:eastAsiaTheme="minorEastAsia" w:hAnsiTheme="minorEastAsia"/>
          <w:color w:val="000000" w:themeColor="text1"/>
          <w:szCs w:val="21"/>
        </w:rPr>
        <w:t>法律法规</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基金合同或中国证监会规定的其他情形。</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3、</w:t>
      </w:r>
      <w:r w:rsidRPr="00054588">
        <w:rPr>
          <w:rFonts w:asciiTheme="minorEastAsia" w:eastAsiaTheme="minorEastAsia" w:hAnsiTheme="minorEastAsia"/>
          <w:color w:val="000000" w:themeColor="text1"/>
          <w:szCs w:val="21"/>
        </w:rPr>
        <w:t>出现以下情形之一的，可由基金管理人和基金托管人协商后修改</w:t>
      </w:r>
      <w:r w:rsidRPr="00054588">
        <w:rPr>
          <w:rFonts w:asciiTheme="minorEastAsia" w:eastAsiaTheme="minorEastAsia" w:hAnsiTheme="minorEastAsia" w:hint="eastAsia"/>
          <w:color w:val="000000" w:themeColor="text1"/>
          <w:szCs w:val="21"/>
        </w:rPr>
        <w:t>基金合同</w:t>
      </w:r>
      <w:r w:rsidRPr="00054588">
        <w:rPr>
          <w:rFonts w:asciiTheme="minorEastAsia" w:eastAsiaTheme="minorEastAsia" w:hAnsiTheme="minorEastAsia"/>
          <w:color w:val="000000" w:themeColor="text1"/>
          <w:szCs w:val="21"/>
        </w:rPr>
        <w:t>，不需召开基金份额持有人大会：</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(1)调低基金管理费、基金托管费和其他应由基金承担的费用；</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(2)在</w:t>
      </w:r>
      <w:r w:rsidRPr="00054588">
        <w:rPr>
          <w:rFonts w:asciiTheme="minorEastAsia" w:eastAsiaTheme="minorEastAsia" w:hAnsiTheme="minorEastAsia"/>
          <w:color w:val="000000" w:themeColor="text1"/>
          <w:szCs w:val="21"/>
        </w:rPr>
        <w:t>法律法规和</w:t>
      </w:r>
      <w:r w:rsidRPr="00054588">
        <w:rPr>
          <w:rFonts w:asciiTheme="minorEastAsia" w:eastAsiaTheme="minorEastAsia" w:hAnsiTheme="minorEastAsia" w:hint="eastAsia"/>
          <w:color w:val="000000" w:themeColor="text1"/>
          <w:szCs w:val="21"/>
        </w:rPr>
        <w:t>本基金合同规定的范围内变更基金的申购费率、赎回费率或收费方式；</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(3)法律法规要求增加的基金费用的收取；</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(4)因相应的法律法规发生变动必须对基金合同进行修改；</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(5)对基金合同的修改不涉及本基金合同当事人权利义务关系发生变化；</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(6)基金合同的修改对基金份额持有人利益无实质性不利影响；</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(7)按照法律法规或本基金合同规定不需召开基金份额持有人大会的其他情形。</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4、</w:t>
      </w:r>
      <w:r w:rsidRPr="00054588">
        <w:rPr>
          <w:rFonts w:asciiTheme="minorEastAsia" w:eastAsiaTheme="minorEastAsia" w:hAnsiTheme="minorEastAsia"/>
          <w:color w:val="000000" w:themeColor="text1"/>
          <w:szCs w:val="21"/>
        </w:rPr>
        <w:t>召集人和召集方式</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（1）除法律法规或本基金合同另有约定外，基金份额持有人大会由基金管理人召集。基金管理人未按规定召集或者不能召集时，由基金托管人召集。</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w:t>
      </w:r>
      <w:r w:rsidRPr="00054588">
        <w:rPr>
          <w:rFonts w:asciiTheme="minorEastAsia" w:eastAsiaTheme="minorEastAsia" w:hAnsiTheme="minorEastAsia"/>
          <w:color w:val="000000" w:themeColor="text1"/>
          <w:szCs w:val="21"/>
        </w:rPr>
        <w:t>基金托管人认为有必要召开基金份额持有人大会的，应当向基金管理人提出书面提议。基金管理人应当自收到书面提议之日起</w:t>
      </w:r>
      <w:r w:rsidRPr="00054588">
        <w:rPr>
          <w:rFonts w:asciiTheme="minorEastAsia" w:eastAsiaTheme="minorEastAsia" w:hAnsiTheme="minorEastAsia" w:hint="eastAsia"/>
          <w:color w:val="000000" w:themeColor="text1"/>
          <w:szCs w:val="21"/>
        </w:rPr>
        <w:t>10</w:t>
      </w:r>
      <w:r w:rsidRPr="00054588">
        <w:rPr>
          <w:rFonts w:asciiTheme="minorEastAsia" w:eastAsiaTheme="minorEastAsia" w:hAnsiTheme="minorEastAsia"/>
          <w:color w:val="000000" w:themeColor="text1"/>
          <w:szCs w:val="21"/>
        </w:rPr>
        <w:t>日内决定是否召集，并书面告知基金托管人。基金管理人决定召集的，应当自出具书面决定之日起</w:t>
      </w:r>
      <w:r w:rsidRPr="00054588">
        <w:rPr>
          <w:rFonts w:asciiTheme="minorEastAsia" w:eastAsiaTheme="minorEastAsia" w:hAnsiTheme="minorEastAsia" w:hint="eastAsia"/>
          <w:color w:val="000000" w:themeColor="text1"/>
          <w:szCs w:val="21"/>
        </w:rPr>
        <w:t>60</w:t>
      </w:r>
      <w:r w:rsidRPr="00054588">
        <w:rPr>
          <w:rFonts w:asciiTheme="minorEastAsia" w:eastAsiaTheme="minorEastAsia" w:hAnsiTheme="minorEastAsia"/>
          <w:color w:val="000000" w:themeColor="text1"/>
          <w:szCs w:val="21"/>
        </w:rPr>
        <w:t>日内召开；基金管理人决定不召集，基金托管人仍认为有必要召开的，应当自行召集</w:t>
      </w:r>
      <w:r w:rsidRPr="00054588">
        <w:rPr>
          <w:rFonts w:asciiTheme="minorEastAsia" w:eastAsiaTheme="minorEastAsia" w:hAnsiTheme="minorEastAsia" w:hint="eastAsia"/>
          <w:color w:val="000000" w:themeColor="text1"/>
          <w:szCs w:val="21"/>
        </w:rPr>
        <w:t>。</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（3）</w:t>
      </w:r>
      <w:r w:rsidRPr="00054588">
        <w:rPr>
          <w:rFonts w:asciiTheme="minorEastAsia" w:eastAsiaTheme="minorEastAsia" w:hAnsiTheme="minorEastAsia"/>
          <w:color w:val="000000" w:themeColor="text1"/>
          <w:szCs w:val="21"/>
        </w:rPr>
        <w:t>代表基金份额10%以上的基金份额持有人认为有必要召开基金份额持有人大会的，应当向基金管理人提出书面提议。基金管理人应当自收到书面提议之日起</w:t>
      </w:r>
      <w:r w:rsidRPr="00054588">
        <w:rPr>
          <w:rFonts w:asciiTheme="minorEastAsia" w:eastAsiaTheme="minorEastAsia" w:hAnsiTheme="minorEastAsia" w:hint="eastAsia"/>
          <w:color w:val="000000" w:themeColor="text1"/>
          <w:szCs w:val="21"/>
        </w:rPr>
        <w:t>10</w:t>
      </w:r>
      <w:r w:rsidRPr="00054588">
        <w:rPr>
          <w:rFonts w:asciiTheme="minorEastAsia" w:eastAsiaTheme="minorEastAsia" w:hAnsiTheme="minorEastAsia"/>
          <w:color w:val="000000" w:themeColor="text1"/>
          <w:szCs w:val="21"/>
        </w:rPr>
        <w:t>日内决定是否召集，并书面告知提出提议的基金份额持有人代表和基金托管人。基金管理人决定召集的，应当自出具书面决定之日起</w:t>
      </w:r>
      <w:r w:rsidRPr="00054588">
        <w:rPr>
          <w:rFonts w:asciiTheme="minorEastAsia" w:eastAsiaTheme="minorEastAsia" w:hAnsiTheme="minorEastAsia" w:hint="eastAsia"/>
          <w:color w:val="000000" w:themeColor="text1"/>
          <w:szCs w:val="21"/>
        </w:rPr>
        <w:t>60</w:t>
      </w:r>
      <w:r w:rsidRPr="00054588">
        <w:rPr>
          <w:rFonts w:asciiTheme="minorEastAsia" w:eastAsiaTheme="minorEastAsia" w:hAnsiTheme="minorEastAsia"/>
          <w:color w:val="000000" w:themeColor="text1"/>
          <w:szCs w:val="21"/>
        </w:rPr>
        <w:t>日内召开；基金管理人决定不召集，代表基金份额10%以上的基金份额持有人仍认为有必要召开的，应当向基金托管人提出书面提议。基金托管人应当自收到书面提议之日起</w:t>
      </w:r>
      <w:r w:rsidRPr="00054588">
        <w:rPr>
          <w:rFonts w:asciiTheme="minorEastAsia" w:eastAsiaTheme="minorEastAsia" w:hAnsiTheme="minorEastAsia" w:hint="eastAsia"/>
          <w:color w:val="000000" w:themeColor="text1"/>
          <w:szCs w:val="21"/>
        </w:rPr>
        <w:t>10</w:t>
      </w:r>
      <w:r w:rsidRPr="00054588">
        <w:rPr>
          <w:rFonts w:asciiTheme="minorEastAsia" w:eastAsiaTheme="minorEastAsia" w:hAnsiTheme="minorEastAsia"/>
          <w:color w:val="000000" w:themeColor="text1"/>
          <w:szCs w:val="21"/>
        </w:rPr>
        <w:t>日内决定是否召集，并书面告知提出提议的基金份额持有人代表和基金管理人；基金托管人决定召集的，应当自出具书面决定之日起</w:t>
      </w:r>
      <w:r w:rsidRPr="00054588">
        <w:rPr>
          <w:rFonts w:asciiTheme="minorEastAsia" w:eastAsiaTheme="minorEastAsia" w:hAnsiTheme="minorEastAsia" w:hint="eastAsia"/>
          <w:color w:val="000000" w:themeColor="text1"/>
          <w:szCs w:val="21"/>
        </w:rPr>
        <w:t>60</w:t>
      </w:r>
      <w:r w:rsidRPr="00054588">
        <w:rPr>
          <w:rFonts w:asciiTheme="minorEastAsia" w:eastAsiaTheme="minorEastAsia" w:hAnsiTheme="minorEastAsia"/>
          <w:color w:val="000000" w:themeColor="text1"/>
          <w:szCs w:val="21"/>
        </w:rPr>
        <w:t>日内召开</w:t>
      </w:r>
      <w:r w:rsidRPr="00054588">
        <w:rPr>
          <w:rFonts w:asciiTheme="minorEastAsia" w:eastAsiaTheme="minorEastAsia" w:hAnsiTheme="minorEastAsia" w:hint="eastAsia"/>
          <w:color w:val="000000" w:themeColor="text1"/>
          <w:szCs w:val="21"/>
        </w:rPr>
        <w:t>。</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（4）</w:t>
      </w:r>
      <w:r w:rsidRPr="00054588">
        <w:rPr>
          <w:rFonts w:asciiTheme="minorEastAsia" w:eastAsiaTheme="minorEastAsia" w:hAnsiTheme="minorEastAsia"/>
          <w:color w:val="000000" w:themeColor="text1"/>
          <w:szCs w:val="21"/>
        </w:rPr>
        <w:t>代表基金份额10%以上的基金份额持有人就同一事项要求召开基金份额持有人大会，而基金管理人、基金托管人都不召集的，代表基金份额10%以上的基金份额持有人有权自行召集基金份额持有人大会，但应当至少提前</w:t>
      </w:r>
      <w:r w:rsidRPr="00054588">
        <w:rPr>
          <w:rFonts w:asciiTheme="minorEastAsia" w:eastAsiaTheme="minorEastAsia" w:hAnsiTheme="minorEastAsia" w:hint="eastAsia"/>
          <w:color w:val="000000" w:themeColor="text1"/>
          <w:szCs w:val="21"/>
        </w:rPr>
        <w:t>30</w:t>
      </w:r>
      <w:r w:rsidRPr="00054588">
        <w:rPr>
          <w:rFonts w:asciiTheme="minorEastAsia" w:eastAsiaTheme="minorEastAsia" w:hAnsiTheme="minorEastAsia"/>
          <w:color w:val="000000" w:themeColor="text1"/>
          <w:szCs w:val="21"/>
        </w:rPr>
        <w:t>日向中国证监会备案。</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（5）</w:t>
      </w:r>
      <w:r w:rsidRPr="00054588">
        <w:rPr>
          <w:rFonts w:asciiTheme="minorEastAsia" w:eastAsiaTheme="minorEastAsia" w:hAnsiTheme="minorEastAsia"/>
          <w:color w:val="000000" w:themeColor="text1"/>
          <w:szCs w:val="21"/>
        </w:rPr>
        <w:t>基金份额持有人依法自行召集基金份额持有人大会的，基金管理人、基金托管人应当配合，不得阻碍、干扰。</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5、</w:t>
      </w:r>
      <w:r w:rsidRPr="00054588">
        <w:rPr>
          <w:rFonts w:asciiTheme="minorEastAsia" w:eastAsiaTheme="minorEastAsia" w:hAnsiTheme="minorEastAsia"/>
          <w:color w:val="000000" w:themeColor="text1"/>
          <w:szCs w:val="21"/>
        </w:rPr>
        <w:t>召开基金份额持有人大会的通知时间、通知内容、通知方式</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（1）基金份额持有人大会的召集人(以下简称“召集人”)负责</w:t>
      </w:r>
      <w:r w:rsidRPr="00054588">
        <w:rPr>
          <w:rStyle w:val="read"/>
          <w:rFonts w:asciiTheme="minorEastAsia" w:eastAsiaTheme="minorEastAsia" w:hAnsiTheme="minorEastAsia" w:hint="eastAsia"/>
          <w:color w:val="000000" w:themeColor="text1"/>
          <w:szCs w:val="21"/>
        </w:rPr>
        <w:t>选择确定开会时间、地点、方式和权益登记日。</w:t>
      </w:r>
      <w:r w:rsidRPr="00054588">
        <w:rPr>
          <w:rFonts w:asciiTheme="minorEastAsia" w:eastAsiaTheme="minorEastAsia" w:hAnsiTheme="minorEastAsia" w:hint="eastAsia"/>
          <w:color w:val="000000" w:themeColor="text1"/>
          <w:szCs w:val="21"/>
        </w:rPr>
        <w:t>召开基金份额持有人大会，召集人必须于会议召开日前30日在</w:t>
      </w:r>
      <w:r w:rsidRPr="00054588" w:rsidR="00575E02">
        <w:rPr>
          <w:rFonts w:asciiTheme="minorEastAsia" w:eastAsiaTheme="minorEastAsia" w:hAnsiTheme="minorEastAsia" w:hint="eastAsia"/>
          <w:color w:val="000000" w:themeColor="text1"/>
          <w:szCs w:val="21"/>
        </w:rPr>
        <w:t>指定媒介</w:t>
      </w:r>
      <w:r w:rsidRPr="00054588">
        <w:rPr>
          <w:rFonts w:asciiTheme="minorEastAsia" w:eastAsiaTheme="minorEastAsia" w:hAnsiTheme="minorEastAsia" w:hint="eastAsia"/>
          <w:color w:val="000000" w:themeColor="text1"/>
          <w:szCs w:val="21"/>
        </w:rPr>
        <w:t>公告。基金份额持有人大会通知须至少载明以下内容：</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1)会议召开的时间、地点和出席方式；</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2)会议拟审议的主要事项；</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3)</w:t>
      </w:r>
      <w:r w:rsidRPr="00054588">
        <w:rPr>
          <w:rFonts w:asciiTheme="minorEastAsia" w:eastAsiaTheme="minorEastAsia" w:hAnsiTheme="minorEastAsia"/>
          <w:color w:val="000000" w:themeColor="text1"/>
          <w:szCs w:val="21"/>
        </w:rPr>
        <w:t>会议形式；</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4)</w:t>
      </w:r>
      <w:r w:rsidRPr="00054588">
        <w:rPr>
          <w:rFonts w:asciiTheme="minorEastAsia" w:eastAsiaTheme="minorEastAsia" w:hAnsiTheme="minorEastAsia"/>
          <w:color w:val="000000" w:themeColor="text1"/>
          <w:szCs w:val="21"/>
        </w:rPr>
        <w:t>议事程序；</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5)有权出席基金份额持有人大会的基金份额持有人权益登记日；</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6)代理投票的授权委托书的内容要求</w:t>
      </w:r>
      <w:r w:rsidRPr="00054588">
        <w:rPr>
          <w:rFonts w:asciiTheme="minorEastAsia" w:eastAsiaTheme="minorEastAsia" w:hAnsiTheme="minorEastAsia"/>
          <w:color w:val="000000" w:themeColor="text1"/>
          <w:szCs w:val="21"/>
        </w:rPr>
        <w:t>(包括但不限于代理人身份、代理权限和代理有效期限等)、</w:t>
      </w:r>
      <w:r w:rsidRPr="00054588">
        <w:rPr>
          <w:rFonts w:asciiTheme="minorEastAsia" w:eastAsiaTheme="minorEastAsia" w:hAnsiTheme="minorEastAsia" w:hint="eastAsia"/>
          <w:color w:val="000000" w:themeColor="text1"/>
          <w:szCs w:val="21"/>
        </w:rPr>
        <w:t>送达时间和地点；</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7)</w:t>
      </w:r>
      <w:r w:rsidRPr="00054588">
        <w:rPr>
          <w:rFonts w:asciiTheme="minorEastAsia" w:eastAsiaTheme="minorEastAsia" w:hAnsiTheme="minorEastAsia"/>
          <w:color w:val="000000" w:themeColor="text1"/>
          <w:szCs w:val="21"/>
        </w:rPr>
        <w:t>表决方式；</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8)会务常设联系人姓名、电话；</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9)</w:t>
      </w:r>
      <w:r w:rsidRPr="00054588">
        <w:rPr>
          <w:rFonts w:asciiTheme="minorEastAsia" w:eastAsiaTheme="minorEastAsia" w:hAnsiTheme="minorEastAsia"/>
          <w:color w:val="000000" w:themeColor="text1"/>
          <w:szCs w:val="21"/>
        </w:rPr>
        <w:t>出席会议者必须准备的文件和必须履行的手续；</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10)</w:t>
      </w:r>
      <w:r w:rsidRPr="00054588">
        <w:rPr>
          <w:rFonts w:asciiTheme="minorEastAsia" w:eastAsiaTheme="minorEastAsia" w:hAnsiTheme="minorEastAsia"/>
          <w:color w:val="000000" w:themeColor="text1"/>
          <w:szCs w:val="21"/>
        </w:rPr>
        <w:t>召集人需要通知的其他事项。</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采用通讯方式开会并进行表决的情况下，由召集人决定通讯方式和书面表决方式，并在会议通知中说明本次基金份额持有人大会所采取的具体通讯方式、委托的公证机关及其联系方式和联系人、书面表决意见寄交的截止时间和收取方式。</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（3）</w:t>
      </w:r>
      <w:r w:rsidRPr="00054588">
        <w:rPr>
          <w:rFonts w:asciiTheme="minorEastAsia" w:eastAsiaTheme="minorEastAsia" w:hAnsiTheme="minorEastAsia"/>
          <w:color w:val="000000" w:themeColor="text1"/>
          <w:szCs w:val="21"/>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w:t>
      </w:r>
      <w:r w:rsidRPr="00054588">
        <w:rPr>
          <w:rFonts w:asciiTheme="minorEastAsia" w:eastAsiaTheme="minorEastAsia" w:hAnsiTheme="minorEastAsia" w:hint="eastAsia"/>
          <w:color w:val="000000" w:themeColor="text1"/>
          <w:szCs w:val="21"/>
        </w:rPr>
        <w:t>。基金管理人或基金托管人拒不派代表对书面表决意见的计票进行监督的，不影响计票和表决结果</w:t>
      </w:r>
      <w:r w:rsidRPr="00054588">
        <w:rPr>
          <w:rFonts w:asciiTheme="minorEastAsia" w:eastAsiaTheme="minorEastAsia" w:hAnsiTheme="minorEastAsia"/>
          <w:color w:val="000000" w:themeColor="text1"/>
          <w:szCs w:val="21"/>
        </w:rPr>
        <w:t>。</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6、</w:t>
      </w:r>
      <w:r w:rsidRPr="00054588">
        <w:rPr>
          <w:rFonts w:asciiTheme="minorEastAsia" w:eastAsiaTheme="minorEastAsia" w:hAnsiTheme="minorEastAsia"/>
          <w:color w:val="000000" w:themeColor="text1"/>
          <w:szCs w:val="21"/>
        </w:rPr>
        <w:t>基金份额持有人出席会议的方式</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（1）会议方式</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w:t>
      </w:r>
      <w:r w:rsidRPr="00054588">
        <w:rPr>
          <w:rFonts w:asciiTheme="minorEastAsia" w:eastAsiaTheme="minorEastAsia" w:hAnsiTheme="minorEastAsia"/>
          <w:color w:val="000000" w:themeColor="text1"/>
          <w:szCs w:val="21"/>
        </w:rPr>
        <w:t>基金份额持有人大会的召开方式包括现场开会和通讯方式开会</w:t>
      </w:r>
      <w:r w:rsidRPr="00054588">
        <w:rPr>
          <w:rFonts w:asciiTheme="minorEastAsia" w:eastAsiaTheme="minorEastAsia" w:hAnsiTheme="minorEastAsia" w:hint="eastAsia"/>
          <w:color w:val="000000" w:themeColor="text1"/>
          <w:szCs w:val="21"/>
        </w:rPr>
        <w:t>。</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w:t>
      </w:r>
      <w:r w:rsidRPr="00054588">
        <w:rPr>
          <w:rFonts w:asciiTheme="minorEastAsia" w:eastAsiaTheme="minorEastAsia" w:hAnsiTheme="minorEastAsia"/>
          <w:color w:val="000000" w:themeColor="text1"/>
          <w:szCs w:val="21"/>
        </w:rPr>
        <w:t>现场开会由基金份额持有人本人出席或通过授权委托书委派其代理人出席，现场开会时基金管理人和基金托管人的授权代表应当出席</w:t>
      </w:r>
      <w:r w:rsidRPr="00054588">
        <w:rPr>
          <w:rFonts w:asciiTheme="minorEastAsia" w:eastAsiaTheme="minorEastAsia" w:hAnsiTheme="minorEastAsia" w:hint="eastAsia"/>
          <w:color w:val="000000" w:themeColor="text1"/>
          <w:szCs w:val="21"/>
        </w:rPr>
        <w:t>，如基金</w:t>
      </w:r>
      <w:r w:rsidRPr="00054588">
        <w:rPr>
          <w:rFonts w:asciiTheme="minorEastAsia" w:eastAsiaTheme="minorEastAsia" w:hAnsiTheme="minorEastAsia"/>
          <w:color w:val="000000" w:themeColor="text1"/>
          <w:szCs w:val="21"/>
        </w:rPr>
        <w:t>管理人</w:t>
      </w:r>
      <w:r w:rsidRPr="00054588">
        <w:rPr>
          <w:rFonts w:asciiTheme="minorEastAsia" w:eastAsiaTheme="minorEastAsia" w:hAnsiTheme="minorEastAsia" w:hint="eastAsia"/>
          <w:color w:val="000000" w:themeColor="text1"/>
          <w:szCs w:val="21"/>
        </w:rPr>
        <w:t>或</w:t>
      </w:r>
      <w:r w:rsidRPr="00054588">
        <w:rPr>
          <w:rFonts w:asciiTheme="minorEastAsia" w:eastAsiaTheme="minorEastAsia" w:hAnsiTheme="minorEastAsia"/>
          <w:color w:val="000000" w:themeColor="text1"/>
          <w:szCs w:val="21"/>
        </w:rPr>
        <w:t>基金托管人</w:t>
      </w:r>
      <w:r w:rsidRPr="00054588">
        <w:rPr>
          <w:rFonts w:asciiTheme="minorEastAsia" w:eastAsiaTheme="minorEastAsia" w:hAnsiTheme="minorEastAsia" w:hint="eastAsia"/>
          <w:color w:val="000000" w:themeColor="text1"/>
          <w:szCs w:val="21"/>
        </w:rPr>
        <w:t>拒不派代表</w:t>
      </w:r>
      <w:r w:rsidRPr="00054588">
        <w:rPr>
          <w:rFonts w:asciiTheme="minorEastAsia" w:eastAsiaTheme="minorEastAsia" w:hAnsiTheme="minorEastAsia"/>
          <w:color w:val="000000" w:themeColor="text1"/>
          <w:szCs w:val="21"/>
        </w:rPr>
        <w:t>出席</w:t>
      </w:r>
      <w:r w:rsidRPr="00054588">
        <w:rPr>
          <w:rFonts w:asciiTheme="minorEastAsia" w:eastAsiaTheme="minorEastAsia" w:hAnsiTheme="minorEastAsia" w:hint="eastAsia"/>
          <w:color w:val="000000" w:themeColor="text1"/>
          <w:szCs w:val="21"/>
        </w:rPr>
        <w:t>的，不影响表决效力。</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3)</w:t>
      </w:r>
      <w:r w:rsidRPr="00054588">
        <w:rPr>
          <w:rFonts w:asciiTheme="minorEastAsia" w:eastAsiaTheme="minorEastAsia" w:hAnsiTheme="minorEastAsia"/>
          <w:color w:val="000000" w:themeColor="text1"/>
          <w:szCs w:val="21"/>
        </w:rPr>
        <w:t>通讯方式开会指按照本基金合同的</w:t>
      </w:r>
      <w:r w:rsidRPr="00054588">
        <w:rPr>
          <w:rFonts w:asciiTheme="minorEastAsia" w:eastAsiaTheme="minorEastAsia" w:hAnsiTheme="minorEastAsia" w:hint="eastAsia"/>
          <w:color w:val="000000" w:themeColor="text1"/>
          <w:szCs w:val="21"/>
        </w:rPr>
        <w:t>相关规定以通讯的书面方式进行表决。</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4)</w:t>
      </w:r>
      <w:r w:rsidRPr="00054588">
        <w:rPr>
          <w:rFonts w:asciiTheme="minorEastAsia" w:eastAsiaTheme="minorEastAsia" w:hAnsiTheme="minorEastAsia"/>
          <w:color w:val="000000" w:themeColor="text1"/>
          <w:szCs w:val="21"/>
        </w:rPr>
        <w:t>会议的召开方式由召集人确定</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但决定转换基金运作方式</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基金管理人更换或基金托管人更换</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终止基金合同的事宜必须以现场开会方式召开基金份额持有人大会。</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（2）召开基金份额持有人大会的条件</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1)现场开会方式</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在同时符合以下条件时，现场</w:t>
      </w:r>
      <w:r w:rsidRPr="00054588">
        <w:rPr>
          <w:rFonts w:asciiTheme="minorEastAsia" w:eastAsiaTheme="minorEastAsia" w:hAnsiTheme="minorEastAsia"/>
          <w:color w:val="000000" w:themeColor="text1"/>
          <w:szCs w:val="21"/>
        </w:rPr>
        <w:t>会议方可举行</w:t>
      </w:r>
      <w:r w:rsidRPr="00054588">
        <w:rPr>
          <w:rFonts w:asciiTheme="minorEastAsia" w:eastAsiaTheme="minorEastAsia" w:hAnsiTheme="minorEastAsia" w:hint="eastAsia"/>
          <w:color w:val="000000" w:themeColor="text1"/>
          <w:szCs w:val="21"/>
        </w:rPr>
        <w:t>：</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①</w:t>
      </w:r>
      <w:r w:rsidRPr="00054588">
        <w:rPr>
          <w:rFonts w:asciiTheme="minorEastAsia" w:eastAsiaTheme="minorEastAsia" w:hAnsiTheme="minorEastAsia"/>
          <w:color w:val="000000" w:themeColor="text1"/>
          <w:szCs w:val="21"/>
        </w:rPr>
        <w:t>对到会者在权益登记日持有基金份额的统计显示，</w:t>
      </w:r>
      <w:r w:rsidRPr="00054588">
        <w:rPr>
          <w:rFonts w:asciiTheme="minorEastAsia" w:eastAsiaTheme="minorEastAsia" w:hAnsiTheme="minorEastAsia" w:hint="eastAsia"/>
          <w:color w:val="000000" w:themeColor="text1"/>
          <w:szCs w:val="21"/>
        </w:rPr>
        <w:t>全部</w:t>
      </w:r>
      <w:r w:rsidRPr="00054588">
        <w:rPr>
          <w:rFonts w:asciiTheme="minorEastAsia" w:eastAsiaTheme="minorEastAsia" w:hAnsiTheme="minorEastAsia"/>
          <w:color w:val="000000" w:themeColor="text1"/>
          <w:szCs w:val="21"/>
        </w:rPr>
        <w:t>有效</w:t>
      </w:r>
      <w:r w:rsidRPr="00054588">
        <w:rPr>
          <w:rFonts w:asciiTheme="minorEastAsia" w:eastAsiaTheme="minorEastAsia" w:hAnsiTheme="minorEastAsia" w:hint="eastAsia"/>
          <w:color w:val="000000" w:themeColor="text1"/>
          <w:szCs w:val="21"/>
        </w:rPr>
        <w:t>凭证所对应</w:t>
      </w:r>
      <w:r w:rsidRPr="00054588">
        <w:rPr>
          <w:rFonts w:asciiTheme="minorEastAsia" w:eastAsiaTheme="minorEastAsia" w:hAnsiTheme="minorEastAsia"/>
          <w:color w:val="000000" w:themeColor="text1"/>
          <w:szCs w:val="21"/>
        </w:rPr>
        <w:t>的基金份额应占权益登记日基金总份额的50%以上</w:t>
      </w:r>
      <w:r w:rsidRPr="00054588">
        <w:rPr>
          <w:rFonts w:asciiTheme="minorEastAsia" w:eastAsiaTheme="minorEastAsia" w:hAnsiTheme="minorEastAsia" w:hint="eastAsia"/>
          <w:color w:val="000000" w:themeColor="text1"/>
          <w:szCs w:val="21"/>
        </w:rPr>
        <w:t>(含</w:t>
      </w:r>
      <w:r w:rsidRPr="00054588">
        <w:rPr>
          <w:rFonts w:asciiTheme="minorEastAsia" w:eastAsiaTheme="minorEastAsia" w:hAnsiTheme="minorEastAsia"/>
          <w:color w:val="000000" w:themeColor="text1"/>
          <w:szCs w:val="21"/>
        </w:rPr>
        <w:t>50%</w:t>
      </w:r>
      <w:r w:rsidRPr="00054588">
        <w:rPr>
          <w:rFonts w:asciiTheme="minorEastAsia" w:eastAsiaTheme="minorEastAsia" w:hAnsiTheme="minorEastAsia" w:hint="eastAsia"/>
          <w:color w:val="000000" w:themeColor="text1"/>
          <w:szCs w:val="21"/>
        </w:rPr>
        <w:t>，下同)</w:t>
      </w:r>
      <w:r w:rsidRPr="00054588">
        <w:rPr>
          <w:rFonts w:asciiTheme="minorEastAsia" w:eastAsiaTheme="minorEastAsia" w:hAnsiTheme="minorEastAsia"/>
          <w:color w:val="000000" w:themeColor="text1"/>
          <w:szCs w:val="21"/>
        </w:rPr>
        <w:t>；</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②</w:t>
      </w:r>
      <w:r w:rsidRPr="00054588">
        <w:rPr>
          <w:rFonts w:asciiTheme="minorEastAsia" w:eastAsiaTheme="minorEastAsia" w:hAnsiTheme="minorEastAsia"/>
          <w:color w:val="000000" w:themeColor="text1"/>
          <w:szCs w:val="21"/>
        </w:rPr>
        <w:t>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w:t>
      </w:r>
      <w:r w:rsidRPr="00054588">
        <w:rPr>
          <w:rFonts w:asciiTheme="minorEastAsia" w:eastAsiaTheme="minorEastAsia" w:hAnsiTheme="minorEastAsia" w:hint="eastAsia"/>
          <w:color w:val="000000" w:themeColor="text1"/>
          <w:szCs w:val="21"/>
        </w:rPr>
        <w:t>注册</w:t>
      </w:r>
      <w:r w:rsidRPr="00054588">
        <w:rPr>
          <w:rFonts w:asciiTheme="minorEastAsia" w:eastAsiaTheme="minorEastAsia" w:hAnsiTheme="minorEastAsia"/>
          <w:color w:val="000000" w:themeColor="text1"/>
          <w:szCs w:val="21"/>
        </w:rPr>
        <w:t>登记资料相符。</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2)通讯开会方式</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在同时符合以下条件时，</w:t>
      </w:r>
      <w:r w:rsidRPr="00054588">
        <w:rPr>
          <w:rFonts w:asciiTheme="minorEastAsia" w:eastAsiaTheme="minorEastAsia" w:hAnsiTheme="minorEastAsia"/>
          <w:color w:val="000000" w:themeColor="text1"/>
          <w:szCs w:val="21"/>
        </w:rPr>
        <w:t>通讯会议方可举行</w:t>
      </w:r>
      <w:r w:rsidRPr="00054588">
        <w:rPr>
          <w:rFonts w:asciiTheme="minorEastAsia" w:eastAsiaTheme="minorEastAsia" w:hAnsiTheme="minorEastAsia" w:hint="eastAsia"/>
          <w:color w:val="000000" w:themeColor="text1"/>
          <w:szCs w:val="21"/>
        </w:rPr>
        <w:t>：</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①召集人按本基金合同规定公布会议通知后，在2个工作日内连续公布相关提示性公告；</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②召集人按基金合同规定通知基金托管人或/和基金管理人(分别或共同称为“监督人”)到指定地点对书面表决意见的计票进行监督；</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③召集人在监督人和公证机关的监督下按照会议通知规定的方式收取和统计基金份额持有人的书面表决意见，如基金</w:t>
      </w:r>
      <w:r w:rsidRPr="00054588">
        <w:rPr>
          <w:rFonts w:asciiTheme="minorEastAsia" w:eastAsiaTheme="minorEastAsia" w:hAnsiTheme="minorEastAsia"/>
          <w:color w:val="000000" w:themeColor="text1"/>
          <w:szCs w:val="21"/>
        </w:rPr>
        <w:t>管理人</w:t>
      </w:r>
      <w:r w:rsidRPr="00054588">
        <w:rPr>
          <w:rFonts w:asciiTheme="minorEastAsia" w:eastAsiaTheme="minorEastAsia" w:hAnsiTheme="minorEastAsia" w:hint="eastAsia"/>
          <w:color w:val="000000" w:themeColor="text1"/>
          <w:szCs w:val="21"/>
        </w:rPr>
        <w:t>或</w:t>
      </w:r>
      <w:r w:rsidRPr="00054588">
        <w:rPr>
          <w:rFonts w:asciiTheme="minorEastAsia" w:eastAsiaTheme="minorEastAsia" w:hAnsiTheme="minorEastAsia"/>
          <w:color w:val="000000" w:themeColor="text1"/>
          <w:szCs w:val="21"/>
        </w:rPr>
        <w:t>基金托管人</w:t>
      </w:r>
      <w:r w:rsidRPr="00054588">
        <w:rPr>
          <w:rFonts w:asciiTheme="minorEastAsia" w:eastAsiaTheme="minorEastAsia" w:hAnsiTheme="minorEastAsia" w:hint="eastAsia"/>
          <w:color w:val="000000" w:themeColor="text1"/>
          <w:szCs w:val="21"/>
        </w:rPr>
        <w:t>经通知拒不到场监督的，不影响表决效力；</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④本人直接出具书面意见和授权他人代表出具书面意见的基金份额持有人</w:t>
      </w:r>
      <w:r w:rsidRPr="00054588">
        <w:rPr>
          <w:rFonts w:asciiTheme="minorEastAsia" w:eastAsiaTheme="minorEastAsia" w:hAnsiTheme="minorEastAsia"/>
          <w:color w:val="000000" w:themeColor="text1"/>
          <w:szCs w:val="21"/>
        </w:rPr>
        <w:t>所代表的基金份额占权益登记日基金总份额的50%以上</w:t>
      </w:r>
      <w:r w:rsidRPr="00054588">
        <w:rPr>
          <w:rFonts w:asciiTheme="minorEastAsia" w:eastAsiaTheme="minorEastAsia" w:hAnsiTheme="minorEastAsia" w:hint="eastAsia"/>
          <w:color w:val="000000" w:themeColor="text1"/>
          <w:szCs w:val="21"/>
        </w:rPr>
        <w:t>；</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⑤直接出具书面意见的基金份额持有人或受托代表他人出具书面意见的代理人提交的持有基金份额的凭证、授权委托书等文件符合法律法规、基金合同和会议通知的规定，并与注册登记机构记录相符。</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7、</w:t>
      </w:r>
      <w:r w:rsidRPr="00054588">
        <w:rPr>
          <w:rFonts w:asciiTheme="minorEastAsia" w:eastAsiaTheme="minorEastAsia" w:hAnsiTheme="minorEastAsia"/>
          <w:color w:val="000000" w:themeColor="text1"/>
          <w:szCs w:val="21"/>
        </w:rPr>
        <w:t>议事内容与程序</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（1）议事内容及提案权</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1)议事内容为本基金合同规定的召开基金份额持有人大会事由所涉及的内容。</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2)基金管理人、基金托管人、单独或合并持有权益登记日本基金总份额</w:t>
      </w:r>
      <w:r w:rsidRPr="00054588">
        <w:rPr>
          <w:rFonts w:asciiTheme="minorEastAsia" w:eastAsiaTheme="minorEastAsia" w:hAnsiTheme="minorEastAsia"/>
          <w:color w:val="000000" w:themeColor="text1"/>
          <w:szCs w:val="21"/>
        </w:rPr>
        <w:t>10%</w:t>
      </w:r>
      <w:r w:rsidRPr="00054588">
        <w:rPr>
          <w:rFonts w:asciiTheme="minorEastAsia" w:eastAsiaTheme="minorEastAsia" w:hAnsiTheme="minorEastAsia" w:hint="eastAsia"/>
          <w:color w:val="000000" w:themeColor="text1"/>
          <w:szCs w:val="21"/>
        </w:rPr>
        <w:t>以上的基金份额持有人可以在大会召集人发出会议通知前就召开事由向大会召集人提交需由基金份额持有人大会审议表决的提案。</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3)对于基金份额持有人提交的提案，大会召集人应当按照以下原则对提案进行审核：</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4)单独或合并持有权益登记日基金总份额10％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5)</w:t>
      </w:r>
      <w:r w:rsidRPr="00054588">
        <w:rPr>
          <w:rFonts w:asciiTheme="minorEastAsia" w:eastAsiaTheme="minorEastAsia" w:hAnsiTheme="minorEastAsia"/>
          <w:color w:val="000000" w:themeColor="text1"/>
          <w:szCs w:val="21"/>
        </w:rPr>
        <w:t>基金份额持有人大会的召集人发出召</w:t>
      </w:r>
      <w:r w:rsidRPr="00054588">
        <w:rPr>
          <w:rFonts w:asciiTheme="minorEastAsia" w:eastAsiaTheme="minorEastAsia" w:hAnsiTheme="minorEastAsia" w:hint="eastAsia"/>
          <w:color w:val="000000" w:themeColor="text1"/>
          <w:szCs w:val="21"/>
        </w:rPr>
        <w:t>开</w:t>
      </w:r>
      <w:r w:rsidRPr="00054588">
        <w:rPr>
          <w:rFonts w:asciiTheme="minorEastAsia" w:eastAsiaTheme="minorEastAsia" w:hAnsiTheme="minorEastAsia"/>
          <w:color w:val="000000" w:themeColor="text1"/>
          <w:szCs w:val="21"/>
        </w:rPr>
        <w:t>会议的通知后，如果需要对原有提案进行修改，应当在基金份额持有人大会召开前</w:t>
      </w:r>
      <w:r w:rsidRPr="00054588">
        <w:rPr>
          <w:rFonts w:asciiTheme="minorEastAsia" w:eastAsiaTheme="minorEastAsia" w:hAnsiTheme="minorEastAsia" w:hint="eastAsia"/>
          <w:color w:val="000000" w:themeColor="text1"/>
          <w:szCs w:val="21"/>
        </w:rPr>
        <w:t>30日及时</w:t>
      </w:r>
      <w:r w:rsidRPr="00054588">
        <w:rPr>
          <w:rFonts w:asciiTheme="minorEastAsia" w:eastAsiaTheme="minorEastAsia" w:hAnsiTheme="minorEastAsia"/>
          <w:color w:val="000000" w:themeColor="text1"/>
          <w:szCs w:val="21"/>
        </w:rPr>
        <w:t>公告。否则，会议的召开日期应当顺延并保证至少与公告日期有30日的间隔期。</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（2）议事程序</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w:t>
      </w:r>
      <w:r w:rsidRPr="00054588">
        <w:rPr>
          <w:rFonts w:asciiTheme="minorEastAsia" w:eastAsiaTheme="minorEastAsia" w:hAnsiTheme="minorEastAsia"/>
          <w:color w:val="000000" w:themeColor="text1"/>
          <w:szCs w:val="21"/>
        </w:rPr>
        <w:t>现场开会</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在现场开会的方式下，首先由大会主持人按照规定程序宣布会议议事程序及注意事项，确定和公布监票人，然后由大会主持人宣读提案，经讨论后进行表决，经合法执业的律师见证后形成大会决议。</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大会由</w:t>
      </w:r>
      <w:r w:rsidRPr="00054588">
        <w:rPr>
          <w:rFonts w:asciiTheme="minorEastAsia" w:eastAsiaTheme="minorEastAsia" w:hAnsiTheme="minorEastAsia" w:hint="eastAsia"/>
          <w:color w:val="000000" w:themeColor="text1"/>
          <w:szCs w:val="21"/>
        </w:rPr>
        <w:t>召集</w:t>
      </w:r>
      <w:r w:rsidRPr="00054588">
        <w:rPr>
          <w:rFonts w:asciiTheme="minorEastAsia" w:eastAsiaTheme="minorEastAsia" w:hAnsiTheme="minorEastAsia"/>
          <w:color w:val="000000" w:themeColor="text1"/>
          <w:szCs w:val="21"/>
        </w:rPr>
        <w:t>人授权代表主持。基金管理人</w:t>
      </w:r>
      <w:r w:rsidRPr="00054588">
        <w:rPr>
          <w:rFonts w:asciiTheme="minorEastAsia" w:eastAsiaTheme="minorEastAsia" w:hAnsiTheme="minorEastAsia" w:hint="eastAsia"/>
          <w:color w:val="000000" w:themeColor="text1"/>
          <w:szCs w:val="21"/>
        </w:rPr>
        <w:t>为召集人的，其</w:t>
      </w:r>
      <w:r w:rsidRPr="00054588">
        <w:rPr>
          <w:rFonts w:asciiTheme="minorEastAsia" w:eastAsiaTheme="minorEastAsia" w:hAnsiTheme="minorEastAsia"/>
          <w:color w:val="000000" w:themeColor="text1"/>
          <w:szCs w:val="21"/>
        </w:rPr>
        <w:t>授权代表未能主持大会的情况下，由基金托管人授权代表主持；如果基金管理人和基金托管人授权代表均未能主持大会，则由出席大会的基金份额持有人和代理人以所代表的基金份额50%以上多数选举产生一名代表作为该次基金份额持有人大会的主持人。</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召集人应当制作出席会议人员的签名册。签名册载明参加会议人员姓名(或单位名称)、身份证号码、持有或代表有表决权的基金份额</w:t>
      </w:r>
      <w:r w:rsidRPr="00054588">
        <w:rPr>
          <w:rFonts w:asciiTheme="minorEastAsia" w:eastAsiaTheme="minorEastAsia" w:hAnsiTheme="minorEastAsia" w:hint="eastAsia"/>
          <w:color w:val="000000" w:themeColor="text1"/>
          <w:szCs w:val="21"/>
        </w:rPr>
        <w:t>数量</w:t>
      </w:r>
      <w:r w:rsidRPr="00054588">
        <w:rPr>
          <w:rFonts w:asciiTheme="minorEastAsia" w:eastAsiaTheme="minorEastAsia" w:hAnsiTheme="minorEastAsia"/>
          <w:color w:val="000000" w:themeColor="text1"/>
          <w:szCs w:val="21"/>
        </w:rPr>
        <w:t>、委托人姓名(或单位名称)等事项。</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w:t>
      </w:r>
      <w:r w:rsidRPr="00054588">
        <w:rPr>
          <w:rFonts w:asciiTheme="minorEastAsia" w:eastAsiaTheme="minorEastAsia" w:hAnsiTheme="minorEastAsia"/>
          <w:color w:val="000000" w:themeColor="text1"/>
          <w:szCs w:val="21"/>
        </w:rPr>
        <w:t>通讯方式开会</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在通讯表决开会的方式下，首先由召集人提前3</w:t>
      </w:r>
      <w:r w:rsidRPr="00054588">
        <w:rPr>
          <w:rFonts w:asciiTheme="minorEastAsia" w:eastAsiaTheme="minorEastAsia" w:hAnsiTheme="minorEastAsia"/>
          <w:color w:val="000000" w:themeColor="text1"/>
          <w:szCs w:val="21"/>
        </w:rPr>
        <w:t>0</w:t>
      </w:r>
      <w:r w:rsidRPr="00054588">
        <w:rPr>
          <w:rFonts w:asciiTheme="minorEastAsia" w:eastAsiaTheme="minorEastAsia" w:hAnsiTheme="minorEastAsia" w:hint="eastAsia"/>
          <w:color w:val="000000" w:themeColor="text1"/>
          <w:szCs w:val="21"/>
        </w:rPr>
        <w:t>日公布提案，在所通知的表决截止日期后第2个工作日在公证机关及监督人的监督下由召集人统计全部有效表决并形成决议。如监督人经通知但拒绝到场监督，则在公证机关监督下形成的决议有效。</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（3）基金份额持有人大会不得对未事先公告的议事内容进行表决。</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8、</w:t>
      </w:r>
      <w:r w:rsidRPr="00054588">
        <w:rPr>
          <w:rFonts w:asciiTheme="minorEastAsia" w:eastAsiaTheme="minorEastAsia" w:hAnsiTheme="minorEastAsia"/>
          <w:color w:val="000000" w:themeColor="text1"/>
          <w:szCs w:val="21"/>
        </w:rPr>
        <w:t>决议形成的条件</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表决方式、程序</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（1）基金份额持有人所持每一基金份额享有平等的表决权。</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（2）基金份额持有人大会决议分为一般决议和特别决议：</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1)一般决议</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一般决议须经出席会议的基金份额持有人(或其代理人)所持表决权的</w:t>
      </w:r>
      <w:r w:rsidRPr="00054588">
        <w:rPr>
          <w:rFonts w:asciiTheme="minorEastAsia" w:eastAsiaTheme="minorEastAsia" w:hAnsiTheme="minorEastAsia"/>
          <w:color w:val="000000" w:themeColor="text1"/>
          <w:szCs w:val="21"/>
        </w:rPr>
        <w:t>50%以上</w:t>
      </w:r>
      <w:r w:rsidRPr="00054588">
        <w:rPr>
          <w:rFonts w:asciiTheme="minorEastAsia" w:eastAsiaTheme="minorEastAsia" w:hAnsiTheme="minorEastAsia" w:hint="eastAsia"/>
          <w:color w:val="000000" w:themeColor="text1"/>
          <w:szCs w:val="21"/>
        </w:rPr>
        <w:t>通过方为有效，除下列2)所规定的须以特别决议通过事项以外的其他事项均以一般决议的方式通过；</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2)特别决议</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特别决议须经出席会议的基金份额持有人</w:t>
      </w:r>
      <w:r w:rsidRPr="00054588">
        <w:rPr>
          <w:rFonts w:asciiTheme="minorEastAsia" w:eastAsiaTheme="minorEastAsia" w:hAnsiTheme="minorEastAsia" w:hint="eastAsia"/>
          <w:color w:val="000000" w:themeColor="text1"/>
          <w:szCs w:val="21"/>
        </w:rPr>
        <w:t>(或其</w:t>
      </w:r>
      <w:r w:rsidRPr="00054588">
        <w:rPr>
          <w:rFonts w:asciiTheme="minorEastAsia" w:eastAsiaTheme="minorEastAsia" w:hAnsiTheme="minorEastAsia"/>
          <w:color w:val="000000" w:themeColor="text1"/>
          <w:szCs w:val="21"/>
        </w:rPr>
        <w:t>代理人</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所持表决权的三分之二以上</w:t>
      </w:r>
      <w:r w:rsidRPr="00054588">
        <w:rPr>
          <w:rFonts w:asciiTheme="minorEastAsia" w:eastAsiaTheme="minorEastAsia" w:hAnsiTheme="minorEastAsia" w:hint="eastAsia"/>
          <w:color w:val="000000" w:themeColor="text1"/>
          <w:szCs w:val="21"/>
        </w:rPr>
        <w:t>(含三分之二)</w:t>
      </w:r>
      <w:r w:rsidRPr="00054588">
        <w:rPr>
          <w:rFonts w:asciiTheme="minorEastAsia" w:eastAsiaTheme="minorEastAsia" w:hAnsiTheme="minorEastAsia"/>
          <w:color w:val="000000" w:themeColor="text1"/>
          <w:szCs w:val="21"/>
        </w:rPr>
        <w:t>通过方</w:t>
      </w:r>
      <w:r w:rsidRPr="00054588">
        <w:rPr>
          <w:rFonts w:asciiTheme="minorEastAsia" w:eastAsiaTheme="minorEastAsia" w:hAnsiTheme="minorEastAsia" w:hint="eastAsia"/>
          <w:color w:val="000000" w:themeColor="text1"/>
          <w:szCs w:val="21"/>
        </w:rPr>
        <w:t>为有效；涉及更换基金管理人、更换基金托管人、</w:t>
      </w:r>
      <w:r w:rsidRPr="00054588">
        <w:rPr>
          <w:rFonts w:asciiTheme="minorEastAsia" w:eastAsiaTheme="minorEastAsia" w:hAnsiTheme="minorEastAsia"/>
          <w:color w:val="000000" w:themeColor="text1"/>
          <w:szCs w:val="21"/>
        </w:rPr>
        <w:t>转换基金运作方式</w:t>
      </w:r>
      <w:r w:rsidRPr="00054588">
        <w:rPr>
          <w:rFonts w:asciiTheme="minorEastAsia" w:eastAsiaTheme="minorEastAsia" w:hAnsiTheme="minorEastAsia" w:hint="eastAsia"/>
          <w:color w:val="000000" w:themeColor="text1"/>
          <w:szCs w:val="21"/>
        </w:rPr>
        <w:t>、终止基金合同必须以特别决议通过方为有效。</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（3）</w:t>
      </w:r>
      <w:r w:rsidRPr="00054588">
        <w:rPr>
          <w:rFonts w:asciiTheme="minorEastAsia" w:eastAsiaTheme="minorEastAsia" w:hAnsiTheme="minorEastAsia"/>
          <w:color w:val="000000" w:themeColor="text1"/>
          <w:szCs w:val="21"/>
        </w:rPr>
        <w:t>基金份额持有人大会决定的事项，应当依法报中国证监会核准或者备案，并予以公告。</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（4）采取通讯方式进行表决时，除非在计票时有充分的相反证据证明，否则表面符合法律法规和会议通知规定的书面表决意见即视为有效的表决，表决意见模糊不清或相互矛盾的视为弃权表决，</w:t>
      </w:r>
      <w:r w:rsidRPr="00054588">
        <w:rPr>
          <w:rStyle w:val="read"/>
          <w:rFonts w:asciiTheme="minorEastAsia" w:eastAsiaTheme="minorEastAsia" w:hAnsiTheme="minorEastAsia" w:hint="eastAsia"/>
          <w:color w:val="000000" w:themeColor="text1"/>
          <w:szCs w:val="21"/>
        </w:rPr>
        <w:t>但应当计入出具书面意见的基金份额持有人所代表的基金份额总数</w:t>
      </w:r>
      <w:r w:rsidRPr="00054588">
        <w:rPr>
          <w:rFonts w:asciiTheme="minorEastAsia" w:eastAsiaTheme="minorEastAsia" w:hAnsiTheme="minorEastAsia" w:hint="eastAsia"/>
          <w:color w:val="000000" w:themeColor="text1"/>
          <w:szCs w:val="21"/>
        </w:rPr>
        <w:t>。</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（5）基金份额持有人大会采取记名方式进行投票表决。</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（6）基金份额持有人大会的各项提案或同一项提案内并列的各项议题应当分开审议、逐项表决。</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9、计票</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（1）现场开会</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金份额持有人代表担任监票人。</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2)监票人应当在基金份额持有人表决后立即进行清点，由大会主持人当场公布计票结果。</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3)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（2）通讯方式开会</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在通讯方式开会的情况下，计票方式为：由大会召集人授权的两名监票人在监督人派出的授权代表的监督下进行计票，并由公证机关对其计票过程予以公证；如监督人经通知但拒绝到场监督，则大会召集人可自行授权3名监票人进行计票，并由公证机关对其计票过程予以公证。</w:t>
      </w:r>
    </w:p>
    <w:p w:rsidR="007228CC" w:rsidRPr="00054588" w:rsidP="0071223F">
      <w:pPr>
        <w:pStyle w:val="BodyTextIndent3"/>
        <w:snapToGrid w:val="0"/>
        <w:spacing w:after="0" w:line="360" w:lineRule="auto"/>
        <w:rPr>
          <w:rFonts w:asciiTheme="minorEastAsia" w:eastAsiaTheme="minorEastAsia" w:hAnsiTheme="minorEastAsia"/>
          <w:color w:val="000000" w:themeColor="text1"/>
          <w:sz w:val="21"/>
          <w:szCs w:val="21"/>
        </w:rPr>
      </w:pPr>
      <w:r w:rsidRPr="00054588">
        <w:rPr>
          <w:rFonts w:asciiTheme="minorEastAsia" w:eastAsiaTheme="minorEastAsia" w:hAnsiTheme="minorEastAsia" w:hint="eastAsia"/>
          <w:color w:val="000000" w:themeColor="text1"/>
          <w:sz w:val="21"/>
          <w:szCs w:val="21"/>
        </w:rPr>
        <w:t>10、</w:t>
      </w:r>
      <w:r w:rsidRPr="00054588">
        <w:rPr>
          <w:rFonts w:asciiTheme="minorEastAsia" w:eastAsiaTheme="minorEastAsia" w:hAnsiTheme="minorEastAsia"/>
          <w:color w:val="000000" w:themeColor="text1"/>
          <w:sz w:val="21"/>
          <w:szCs w:val="21"/>
        </w:rPr>
        <w:t>基金份额持有人大会决议报中国证监会核准或备案后的公告时间、方式</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w:t>
      </w:r>
      <w:r w:rsidRPr="00054588">
        <w:rPr>
          <w:rFonts w:asciiTheme="minorEastAsia" w:eastAsiaTheme="minorEastAsia" w:hAnsiTheme="minorEastAsia"/>
          <w:color w:val="000000" w:themeColor="text1"/>
          <w:szCs w:val="21"/>
        </w:rPr>
        <w:t>基金份额持有人大会通过的一般决议和特别决议，召集人应当自通过之日起</w:t>
      </w:r>
      <w:r w:rsidRPr="00054588">
        <w:rPr>
          <w:rFonts w:asciiTheme="minorEastAsia" w:eastAsiaTheme="minorEastAsia" w:hAnsiTheme="minorEastAsia" w:hint="eastAsia"/>
          <w:color w:val="000000" w:themeColor="text1"/>
          <w:szCs w:val="21"/>
        </w:rPr>
        <w:t>5</w:t>
      </w:r>
      <w:r w:rsidRPr="00054588">
        <w:rPr>
          <w:rFonts w:asciiTheme="minorEastAsia" w:eastAsiaTheme="minorEastAsia" w:hAnsiTheme="minorEastAsia"/>
          <w:color w:val="000000" w:themeColor="text1"/>
          <w:szCs w:val="21"/>
        </w:rPr>
        <w:t>日内报中国证监会核准或者备案。基金份额持有人大会</w:t>
      </w:r>
      <w:r w:rsidRPr="00054588">
        <w:rPr>
          <w:rFonts w:asciiTheme="minorEastAsia" w:eastAsiaTheme="minorEastAsia" w:hAnsiTheme="minorEastAsia" w:hint="eastAsia"/>
          <w:color w:val="000000" w:themeColor="text1"/>
          <w:szCs w:val="21"/>
        </w:rPr>
        <w:t>决定的事项</w:t>
      </w:r>
      <w:r w:rsidRPr="00054588">
        <w:rPr>
          <w:rFonts w:asciiTheme="minorEastAsia" w:eastAsiaTheme="minorEastAsia" w:hAnsiTheme="minorEastAsia"/>
          <w:color w:val="000000" w:themeColor="text1"/>
          <w:szCs w:val="21"/>
        </w:rPr>
        <w:t>自中国证监会依法核准或者</w:t>
      </w:r>
      <w:r w:rsidRPr="00054588">
        <w:rPr>
          <w:rFonts w:asciiTheme="minorEastAsia" w:eastAsiaTheme="minorEastAsia" w:hAnsiTheme="minorEastAsia" w:hint="eastAsia"/>
          <w:color w:val="000000" w:themeColor="text1"/>
          <w:szCs w:val="21"/>
        </w:rPr>
        <w:t>出具无异议意见</w:t>
      </w:r>
      <w:r w:rsidRPr="00054588">
        <w:rPr>
          <w:rFonts w:asciiTheme="minorEastAsia" w:eastAsiaTheme="minorEastAsia" w:hAnsiTheme="minorEastAsia"/>
          <w:color w:val="000000" w:themeColor="text1"/>
          <w:szCs w:val="21"/>
        </w:rPr>
        <w:t>之日起生效。</w:t>
      </w:r>
      <w:r w:rsidRPr="00054588">
        <w:rPr>
          <w:rFonts w:asciiTheme="minorEastAsia" w:eastAsiaTheme="minorEastAsia" w:hAnsiTheme="minorEastAsia" w:hint="eastAsia"/>
          <w:color w:val="000000" w:themeColor="text1"/>
          <w:szCs w:val="21"/>
        </w:rPr>
        <w:t>关于本章第2条所规定的第(1)-(8)项召开事由的基金份额</w:t>
      </w:r>
      <w:r w:rsidRPr="00054588">
        <w:rPr>
          <w:rFonts w:asciiTheme="minorEastAsia" w:eastAsiaTheme="minorEastAsia" w:hAnsiTheme="minorEastAsia"/>
          <w:color w:val="000000" w:themeColor="text1"/>
          <w:szCs w:val="21"/>
        </w:rPr>
        <w:t>持有人大会决议</w:t>
      </w:r>
      <w:r w:rsidRPr="00054588">
        <w:rPr>
          <w:rFonts w:asciiTheme="minorEastAsia" w:eastAsiaTheme="minorEastAsia" w:hAnsiTheme="minorEastAsia" w:hint="eastAsia"/>
          <w:color w:val="000000" w:themeColor="text1"/>
          <w:szCs w:val="21"/>
        </w:rPr>
        <w:t>经</w:t>
      </w:r>
      <w:r w:rsidRPr="00054588">
        <w:rPr>
          <w:rFonts w:asciiTheme="minorEastAsia" w:eastAsiaTheme="minorEastAsia" w:hAnsiTheme="minorEastAsia"/>
          <w:color w:val="000000" w:themeColor="text1"/>
          <w:szCs w:val="21"/>
        </w:rPr>
        <w:t>中国证监会核准</w:t>
      </w:r>
      <w:r w:rsidRPr="00054588">
        <w:rPr>
          <w:rFonts w:asciiTheme="minorEastAsia" w:eastAsiaTheme="minorEastAsia" w:hAnsiTheme="minorEastAsia" w:hint="eastAsia"/>
          <w:color w:val="000000" w:themeColor="text1"/>
          <w:szCs w:val="21"/>
        </w:rPr>
        <w:t>生效后方可执行，关于本章第2条所规定的第(9)、(10)项召开事由的基金份额</w:t>
      </w:r>
      <w:r w:rsidRPr="00054588">
        <w:rPr>
          <w:rFonts w:asciiTheme="minorEastAsia" w:eastAsiaTheme="minorEastAsia" w:hAnsiTheme="minorEastAsia"/>
          <w:color w:val="000000" w:themeColor="text1"/>
          <w:szCs w:val="21"/>
        </w:rPr>
        <w:t>持有人大会决议</w:t>
      </w:r>
      <w:r w:rsidRPr="00054588">
        <w:rPr>
          <w:rFonts w:asciiTheme="minorEastAsia" w:eastAsiaTheme="minorEastAsia" w:hAnsiTheme="minorEastAsia" w:hint="eastAsia"/>
          <w:color w:val="000000" w:themeColor="text1"/>
          <w:szCs w:val="21"/>
        </w:rPr>
        <w:t>经</w:t>
      </w:r>
      <w:r w:rsidRPr="00054588">
        <w:rPr>
          <w:rFonts w:asciiTheme="minorEastAsia" w:eastAsiaTheme="minorEastAsia" w:hAnsiTheme="minorEastAsia"/>
          <w:color w:val="000000" w:themeColor="text1"/>
          <w:szCs w:val="21"/>
        </w:rPr>
        <w:t>中国证监会核准</w:t>
      </w:r>
      <w:r w:rsidRPr="00054588">
        <w:rPr>
          <w:rFonts w:asciiTheme="minorEastAsia" w:eastAsiaTheme="minorEastAsia" w:hAnsiTheme="minorEastAsia" w:hint="eastAsia"/>
          <w:color w:val="000000" w:themeColor="text1"/>
          <w:szCs w:val="21"/>
        </w:rPr>
        <w:t>或出具无异议意见后方可执行。</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（2）生效的基金份额持有人大会决议对全体基金份额持有人、基金管理人、基金托管人均有约束力。</w:t>
      </w:r>
      <w:r w:rsidRPr="00054588">
        <w:rPr>
          <w:rFonts w:asciiTheme="minorEastAsia" w:eastAsiaTheme="minorEastAsia" w:hAnsiTheme="minorEastAsia"/>
          <w:color w:val="000000" w:themeColor="text1"/>
          <w:szCs w:val="21"/>
        </w:rPr>
        <w:t>基金管理人、基金托管人和基金份额持有人应当执行生效的基金份额持有人大会决</w:t>
      </w:r>
      <w:r w:rsidRPr="00054588">
        <w:rPr>
          <w:rFonts w:asciiTheme="minorEastAsia" w:eastAsiaTheme="minorEastAsia" w:hAnsiTheme="minorEastAsia" w:hint="eastAsia"/>
          <w:color w:val="000000" w:themeColor="text1"/>
          <w:szCs w:val="21"/>
        </w:rPr>
        <w:t>议</w:t>
      </w:r>
      <w:r w:rsidRPr="00054588">
        <w:rPr>
          <w:rFonts w:asciiTheme="minorEastAsia" w:eastAsiaTheme="minorEastAsia" w:hAnsiTheme="minorEastAsia"/>
          <w:color w:val="000000" w:themeColor="text1"/>
          <w:szCs w:val="21"/>
        </w:rPr>
        <w:t>。</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（3）基金份额持有人大会决议应自生效之日起2日内在</w:t>
      </w:r>
      <w:r w:rsidRPr="00054588" w:rsidR="00575E02">
        <w:rPr>
          <w:rFonts w:asciiTheme="minorEastAsia" w:eastAsiaTheme="minorEastAsia" w:hAnsiTheme="minorEastAsia" w:hint="eastAsia"/>
          <w:color w:val="000000" w:themeColor="text1"/>
          <w:szCs w:val="21"/>
        </w:rPr>
        <w:t>指定媒介</w:t>
      </w:r>
      <w:r w:rsidRPr="00054588">
        <w:rPr>
          <w:rFonts w:asciiTheme="minorEastAsia" w:eastAsiaTheme="minorEastAsia" w:hAnsiTheme="minorEastAsia" w:hint="eastAsia"/>
          <w:color w:val="000000" w:themeColor="text1"/>
          <w:szCs w:val="21"/>
        </w:rPr>
        <w:t>公告。如果采用通讯方式进行表决，在公告基金份额持有人大会决议时，必须将公证书全文、公证机构、公证员姓名等一同公告。</w:t>
      </w:r>
    </w:p>
    <w:p w:rsidR="00401C0B" w:rsidRPr="00054588" w:rsidP="00401C0B">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w:t>
      </w:r>
      <w:r w:rsidRPr="00054588">
        <w:rPr>
          <w:rFonts w:asciiTheme="minorEastAsia" w:eastAsiaTheme="minorEastAsia" w:hAnsiTheme="minorEastAsia"/>
          <w:color w:val="000000" w:themeColor="text1"/>
          <w:szCs w:val="21"/>
        </w:rPr>
        <w:t>1</w:t>
      </w:r>
      <w:r w:rsidRPr="00054588">
        <w:rPr>
          <w:rFonts w:asciiTheme="minorEastAsia" w:eastAsiaTheme="minorEastAsia" w:hAnsiTheme="minorEastAsia" w:hint="eastAsia"/>
          <w:color w:val="000000" w:themeColor="text1"/>
          <w:szCs w:val="21"/>
        </w:rPr>
        <w:t>、实施侧袋机制期间基金份额持有人大会的特殊约定</w:t>
      </w:r>
    </w:p>
    <w:p w:rsidR="00401C0B" w:rsidRPr="00054588" w:rsidP="00401C0B">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401C0B" w:rsidRPr="00054588" w:rsidP="00401C0B">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（1）基金份额持有人行使提议权、召集权、提名权所需单独或合计代表相关基金份额10%以上（含10%）；</w:t>
      </w:r>
    </w:p>
    <w:p w:rsidR="00401C0B" w:rsidRPr="00054588" w:rsidP="00401C0B">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（2）现场开会的到会者在权益登记日代表的基金份额不少于本基金在权益登记日相关基金份额的二分之一（含二分之一）；</w:t>
      </w:r>
    </w:p>
    <w:p w:rsidR="00401C0B" w:rsidRPr="00054588" w:rsidP="00401C0B">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（3）通讯开会的直接出具书面意见或授权他人代表出具书面意见的基金份额持有人所持有的基金份额不小于在权益登记日相关基金份额的二分之一（含二分之一）；</w:t>
      </w:r>
    </w:p>
    <w:p w:rsidR="00401C0B" w:rsidRPr="00054588" w:rsidP="00401C0B">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401C0B" w:rsidRPr="00054588" w:rsidP="00401C0B">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（5）现场开会由出席大会的基金份额持有人和代理人所持表决权的50%以上（含50%）选举产生一名基金份额持有人作为该次基金份额持有人大会的主持人；</w:t>
      </w:r>
    </w:p>
    <w:p w:rsidR="00401C0B" w:rsidRPr="00054588" w:rsidP="00401C0B">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（6）一般决议须经参加大会的基金份额持有人或其代理人所持表决权的二分之一以上（含二分之一）通过；</w:t>
      </w:r>
    </w:p>
    <w:p w:rsidR="00401C0B" w:rsidRPr="00054588" w:rsidP="00401C0B">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（7）特别决议应当经参加大会的基金份额持有人或其代理人所持表决权的三分之二以上（含三分之二）通过。</w:t>
      </w:r>
    </w:p>
    <w:p w:rsidR="00401C0B" w:rsidRPr="00054588" w:rsidP="00401C0B">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同一主侧袋账户内的每份基金份额具有平等的表决权。</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11、法律法规或监管部门对基金份额持有人大会另有规定的，从其规定。</w:t>
      </w:r>
    </w:p>
    <w:p w:rsidR="007228CC" w:rsidRPr="00054588" w:rsidP="00941EC8">
      <w:pPr>
        <w:pStyle w:val="Heading2"/>
        <w:adjustRightInd w:val="0"/>
        <w:snapToGrid w:val="0"/>
        <w:spacing w:beforeLines="0" w:afterLines="0" w:line="360" w:lineRule="auto"/>
        <w:ind w:firstLine="0" w:firstLineChars="0"/>
        <w:rPr>
          <w:rFonts w:asciiTheme="minorEastAsia" w:eastAsiaTheme="minorEastAsia" w:hAnsiTheme="minorEastAsia"/>
          <w:bCs/>
          <w:color w:val="000000" w:themeColor="text1"/>
        </w:rPr>
      </w:pPr>
      <w:bookmarkStart w:id="528" w:name="_Toc169345023"/>
      <w:bookmarkStart w:id="529" w:name="_Toc211920223"/>
      <w:bookmarkStart w:id="530" w:name="_Toc211927752"/>
      <w:bookmarkStart w:id="531" w:name="_Toc123296520"/>
      <w:r w:rsidRPr="00054588">
        <w:rPr>
          <w:rFonts w:asciiTheme="minorEastAsia" w:eastAsiaTheme="minorEastAsia" w:hAnsiTheme="minorEastAsia" w:hint="eastAsia"/>
          <w:bCs/>
          <w:color w:val="000000" w:themeColor="text1"/>
        </w:rPr>
        <w:t>（五）</w:t>
      </w:r>
      <w:bookmarkEnd w:id="528"/>
      <w:bookmarkEnd w:id="529"/>
      <w:bookmarkEnd w:id="530"/>
      <w:r w:rsidRPr="00054588">
        <w:rPr>
          <w:rFonts w:asciiTheme="minorEastAsia" w:eastAsiaTheme="minorEastAsia" w:hAnsiTheme="minorEastAsia" w:hint="eastAsia"/>
          <w:bCs/>
          <w:color w:val="000000" w:themeColor="text1"/>
        </w:rPr>
        <w:t>基金合同解除和终止的事由、程序</w:t>
      </w:r>
      <w:bookmarkEnd w:id="531"/>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bookmarkStart w:id="532" w:name="_Toc79392639"/>
      <w:bookmarkStart w:id="533" w:name="_Toc169345024"/>
      <w:r w:rsidRPr="00054588">
        <w:rPr>
          <w:rFonts w:asciiTheme="minorEastAsia" w:eastAsiaTheme="minorEastAsia" w:hAnsiTheme="minorEastAsia" w:hint="eastAsia"/>
          <w:color w:val="000000" w:themeColor="text1"/>
          <w:szCs w:val="21"/>
        </w:rPr>
        <w:t>1、</w:t>
      </w:r>
      <w:r w:rsidRPr="00054588">
        <w:rPr>
          <w:rFonts w:asciiTheme="minorEastAsia" w:eastAsiaTheme="minorEastAsia" w:hAnsiTheme="minorEastAsia"/>
          <w:color w:val="000000" w:themeColor="text1"/>
          <w:szCs w:val="21"/>
        </w:rPr>
        <w:t>基金合同的变更</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w:t>
      </w:r>
      <w:r w:rsidRPr="00054588">
        <w:rPr>
          <w:rFonts w:asciiTheme="minorEastAsia" w:eastAsiaTheme="minorEastAsia" w:hAnsiTheme="minorEastAsia"/>
          <w:color w:val="000000" w:themeColor="text1"/>
          <w:szCs w:val="21"/>
        </w:rPr>
        <w:t>基金合同</w:t>
      </w:r>
      <w:r w:rsidRPr="00054588">
        <w:rPr>
          <w:rFonts w:asciiTheme="minorEastAsia" w:eastAsiaTheme="minorEastAsia" w:hAnsiTheme="minorEastAsia" w:hint="eastAsia"/>
          <w:color w:val="000000" w:themeColor="text1"/>
          <w:szCs w:val="21"/>
        </w:rPr>
        <w:t>变更内容对基金合同当事人权利、义务产生重大影响的，</w:t>
      </w:r>
      <w:r w:rsidRPr="00054588">
        <w:rPr>
          <w:rFonts w:asciiTheme="minorEastAsia" w:eastAsiaTheme="minorEastAsia" w:hAnsiTheme="minorEastAsia"/>
          <w:color w:val="000000" w:themeColor="text1"/>
          <w:szCs w:val="21"/>
        </w:rPr>
        <w:t>应召开基金份额持有人大会，基金合同变更的内容应经基金份额持有人大会决议同意。</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w:t>
      </w:r>
      <w:r w:rsidRPr="00054588">
        <w:rPr>
          <w:rFonts w:asciiTheme="minorEastAsia" w:eastAsiaTheme="minorEastAsia" w:hAnsiTheme="minorEastAsia"/>
          <w:color w:val="000000" w:themeColor="text1"/>
          <w:szCs w:val="21"/>
        </w:rPr>
        <w:t>转换基金运作方式；</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w:t>
      </w:r>
      <w:r w:rsidRPr="00054588">
        <w:rPr>
          <w:rFonts w:asciiTheme="minorEastAsia" w:eastAsiaTheme="minorEastAsia" w:hAnsiTheme="minorEastAsia"/>
          <w:color w:val="000000" w:themeColor="text1"/>
          <w:szCs w:val="21"/>
        </w:rPr>
        <w:t>变更基金类别；</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3)</w:t>
      </w:r>
      <w:r w:rsidRPr="00054588">
        <w:rPr>
          <w:rFonts w:asciiTheme="minorEastAsia" w:eastAsiaTheme="minorEastAsia" w:hAnsiTheme="minorEastAsia"/>
          <w:color w:val="000000" w:themeColor="text1"/>
          <w:szCs w:val="21"/>
        </w:rPr>
        <w:t>变更基金投资目标、</w:t>
      </w:r>
      <w:r w:rsidRPr="00054588">
        <w:rPr>
          <w:rFonts w:asciiTheme="minorEastAsia" w:eastAsiaTheme="minorEastAsia" w:hAnsiTheme="minorEastAsia" w:hint="eastAsia"/>
          <w:color w:val="000000" w:themeColor="text1"/>
          <w:szCs w:val="21"/>
        </w:rPr>
        <w:t>投资</w:t>
      </w:r>
      <w:r w:rsidRPr="00054588">
        <w:rPr>
          <w:rFonts w:asciiTheme="minorEastAsia" w:eastAsiaTheme="minorEastAsia" w:hAnsiTheme="minorEastAsia"/>
          <w:color w:val="000000" w:themeColor="text1"/>
          <w:szCs w:val="21"/>
        </w:rPr>
        <w:t>范围或</w:t>
      </w:r>
      <w:r w:rsidRPr="00054588">
        <w:rPr>
          <w:rFonts w:asciiTheme="minorEastAsia" w:eastAsiaTheme="minorEastAsia" w:hAnsiTheme="minorEastAsia" w:hint="eastAsia"/>
          <w:color w:val="000000" w:themeColor="text1"/>
          <w:szCs w:val="21"/>
        </w:rPr>
        <w:t>投资</w:t>
      </w:r>
      <w:r w:rsidRPr="00054588">
        <w:rPr>
          <w:rFonts w:asciiTheme="minorEastAsia" w:eastAsiaTheme="minorEastAsia" w:hAnsiTheme="minorEastAsia"/>
          <w:color w:val="000000" w:themeColor="text1"/>
          <w:szCs w:val="21"/>
        </w:rPr>
        <w:t>策略</w:t>
      </w:r>
      <w:r w:rsidRPr="00054588">
        <w:rPr>
          <w:rFonts w:asciiTheme="minorEastAsia" w:eastAsiaTheme="minorEastAsia" w:hAnsiTheme="minorEastAsia" w:hint="eastAsia"/>
          <w:color w:val="000000" w:themeColor="text1"/>
          <w:szCs w:val="21"/>
        </w:rPr>
        <w:t>；</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4)</w:t>
      </w:r>
      <w:r w:rsidRPr="00054588">
        <w:rPr>
          <w:rFonts w:asciiTheme="minorEastAsia" w:eastAsiaTheme="minorEastAsia" w:hAnsiTheme="minorEastAsia"/>
          <w:color w:val="000000" w:themeColor="text1"/>
          <w:szCs w:val="21"/>
        </w:rPr>
        <w:t>变更基金份额持有人大会程序；</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5)</w:t>
      </w:r>
      <w:r w:rsidRPr="00054588">
        <w:rPr>
          <w:rFonts w:asciiTheme="minorEastAsia" w:eastAsiaTheme="minorEastAsia" w:hAnsiTheme="minorEastAsia"/>
          <w:color w:val="000000" w:themeColor="text1"/>
          <w:szCs w:val="21"/>
        </w:rPr>
        <w:t>更换基金管理人</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基金托管人；</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6)</w:t>
      </w:r>
      <w:r w:rsidRPr="00054588">
        <w:rPr>
          <w:rFonts w:asciiTheme="minorEastAsia" w:eastAsiaTheme="minorEastAsia" w:hAnsiTheme="minorEastAsia"/>
          <w:color w:val="000000" w:themeColor="text1"/>
          <w:szCs w:val="21"/>
        </w:rPr>
        <w:t>提高基金管理人、基金托管人的报酬标准。但根据</w:t>
      </w:r>
      <w:r w:rsidRPr="00054588">
        <w:rPr>
          <w:rFonts w:asciiTheme="minorEastAsia" w:eastAsiaTheme="minorEastAsia" w:hAnsiTheme="minorEastAsia" w:hint="eastAsia"/>
          <w:color w:val="000000" w:themeColor="text1"/>
          <w:szCs w:val="21"/>
        </w:rPr>
        <w:t>适用</w:t>
      </w:r>
      <w:r w:rsidRPr="00054588">
        <w:rPr>
          <w:rFonts w:asciiTheme="minorEastAsia" w:eastAsiaTheme="minorEastAsia" w:hAnsiTheme="minorEastAsia"/>
          <w:color w:val="000000" w:themeColor="text1"/>
          <w:szCs w:val="21"/>
        </w:rPr>
        <w:t>的</w:t>
      </w:r>
      <w:r w:rsidRPr="00054588">
        <w:rPr>
          <w:rFonts w:asciiTheme="minorEastAsia" w:eastAsiaTheme="minorEastAsia" w:hAnsiTheme="minorEastAsia" w:hint="eastAsia"/>
          <w:color w:val="000000" w:themeColor="text1"/>
          <w:szCs w:val="21"/>
        </w:rPr>
        <w:t>相关规定</w:t>
      </w:r>
      <w:r w:rsidRPr="00054588">
        <w:rPr>
          <w:rFonts w:asciiTheme="minorEastAsia" w:eastAsiaTheme="minorEastAsia" w:hAnsiTheme="minorEastAsia"/>
          <w:color w:val="000000" w:themeColor="text1"/>
          <w:szCs w:val="21"/>
        </w:rPr>
        <w:t>提高该等报酬标准的除外</w:t>
      </w:r>
      <w:r w:rsidRPr="00054588">
        <w:rPr>
          <w:rFonts w:asciiTheme="minorEastAsia" w:eastAsiaTheme="minorEastAsia" w:hAnsiTheme="minorEastAsia" w:hint="eastAsia"/>
          <w:color w:val="000000" w:themeColor="text1"/>
          <w:szCs w:val="21"/>
        </w:rPr>
        <w:t>；</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7)</w:t>
      </w:r>
      <w:r w:rsidRPr="00054588">
        <w:rPr>
          <w:rFonts w:asciiTheme="minorEastAsia" w:eastAsiaTheme="minorEastAsia" w:hAnsiTheme="minorEastAsia"/>
          <w:color w:val="000000" w:themeColor="text1"/>
          <w:szCs w:val="21"/>
        </w:rPr>
        <w:t>本基金与其他基金的合并</w:t>
      </w:r>
      <w:r w:rsidRPr="00054588">
        <w:rPr>
          <w:rFonts w:asciiTheme="minorEastAsia" w:eastAsiaTheme="minorEastAsia" w:hAnsiTheme="minorEastAsia" w:hint="eastAsia"/>
          <w:color w:val="000000" w:themeColor="text1"/>
          <w:szCs w:val="21"/>
        </w:rPr>
        <w:t>；</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8)对基金合同当事人权利、义务产生重大影响的其他事项；</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9)</w:t>
      </w:r>
      <w:r w:rsidRPr="00054588">
        <w:rPr>
          <w:rFonts w:asciiTheme="minorEastAsia" w:eastAsiaTheme="minorEastAsia" w:hAnsiTheme="minorEastAsia"/>
          <w:color w:val="000000" w:themeColor="text1"/>
          <w:szCs w:val="21"/>
        </w:rPr>
        <w:t>法律法规</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基金合同或中国证监会规定的其他情形。</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但出现下列情况时，可不经基金份额持有人大会决议，由基金管理人和基金托管人同意变更后公布，并报中国证监会备案：</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1)调低基金管理费、基金托管费和其他应由基金承担的费用；</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2)在</w:t>
      </w:r>
      <w:r w:rsidRPr="00054588">
        <w:rPr>
          <w:rFonts w:asciiTheme="minorEastAsia" w:eastAsiaTheme="minorEastAsia" w:hAnsiTheme="minorEastAsia"/>
          <w:color w:val="000000" w:themeColor="text1"/>
          <w:szCs w:val="21"/>
        </w:rPr>
        <w:t>法律法规和</w:t>
      </w:r>
      <w:r w:rsidRPr="00054588">
        <w:rPr>
          <w:rFonts w:asciiTheme="minorEastAsia" w:eastAsiaTheme="minorEastAsia" w:hAnsiTheme="minorEastAsia" w:hint="eastAsia"/>
          <w:color w:val="000000" w:themeColor="text1"/>
          <w:szCs w:val="21"/>
        </w:rPr>
        <w:t>本基金合同规定的范围内变更基金的申购费率、赎回费率或收费方式；</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3)法律法规要求增加的基金费用的收取；</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4</w:t>
      </w:r>
      <w:r w:rsidRPr="00054588">
        <w:rPr>
          <w:rFonts w:asciiTheme="minorEastAsia" w:eastAsiaTheme="minorEastAsia" w:hAnsiTheme="minorEastAsia"/>
          <w:color w:val="000000" w:themeColor="text1"/>
          <w:szCs w:val="21"/>
        </w:rPr>
        <w:t>)因相应的法律法规发生变动</w:t>
      </w:r>
      <w:r w:rsidRPr="00054588">
        <w:rPr>
          <w:rFonts w:asciiTheme="minorEastAsia" w:eastAsiaTheme="minorEastAsia" w:hAnsiTheme="minorEastAsia" w:hint="eastAsia"/>
          <w:color w:val="000000" w:themeColor="text1"/>
          <w:szCs w:val="21"/>
        </w:rPr>
        <w:t>必须对</w:t>
      </w:r>
      <w:r w:rsidRPr="00054588">
        <w:rPr>
          <w:rFonts w:asciiTheme="minorEastAsia" w:eastAsiaTheme="minorEastAsia" w:hAnsiTheme="minorEastAsia"/>
          <w:color w:val="000000" w:themeColor="text1"/>
          <w:szCs w:val="21"/>
        </w:rPr>
        <w:t>基金合同进行</w:t>
      </w:r>
      <w:r w:rsidRPr="00054588">
        <w:rPr>
          <w:rFonts w:asciiTheme="minorEastAsia" w:eastAsiaTheme="minorEastAsia" w:hAnsiTheme="minorEastAsia" w:hint="eastAsia"/>
          <w:color w:val="000000" w:themeColor="text1"/>
          <w:szCs w:val="21"/>
        </w:rPr>
        <w:t>修改</w:t>
      </w:r>
      <w:r w:rsidRPr="00054588">
        <w:rPr>
          <w:rFonts w:asciiTheme="minorEastAsia" w:eastAsiaTheme="minorEastAsia" w:hAnsiTheme="minorEastAsia"/>
          <w:color w:val="000000" w:themeColor="text1"/>
          <w:szCs w:val="21"/>
        </w:rPr>
        <w:t>；</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5</w:t>
      </w:r>
      <w:r w:rsidRPr="00054588">
        <w:rPr>
          <w:rFonts w:asciiTheme="minorEastAsia" w:eastAsiaTheme="minorEastAsia" w:hAnsiTheme="minorEastAsia"/>
          <w:color w:val="000000" w:themeColor="text1"/>
          <w:szCs w:val="21"/>
        </w:rPr>
        <w:t>)</w:t>
      </w:r>
      <w:r w:rsidRPr="00054588">
        <w:rPr>
          <w:rFonts w:asciiTheme="minorEastAsia" w:eastAsiaTheme="minorEastAsia" w:hAnsiTheme="minorEastAsia" w:hint="eastAsia"/>
          <w:color w:val="000000" w:themeColor="text1"/>
          <w:szCs w:val="21"/>
        </w:rPr>
        <w:t>对</w:t>
      </w:r>
      <w:r w:rsidRPr="00054588">
        <w:rPr>
          <w:rFonts w:asciiTheme="minorEastAsia" w:eastAsiaTheme="minorEastAsia" w:hAnsiTheme="minorEastAsia"/>
          <w:color w:val="000000" w:themeColor="text1"/>
          <w:szCs w:val="21"/>
        </w:rPr>
        <w:t>基金合同的</w:t>
      </w:r>
      <w:r w:rsidRPr="00054588">
        <w:rPr>
          <w:rFonts w:asciiTheme="minorEastAsia" w:eastAsiaTheme="minorEastAsia" w:hAnsiTheme="minorEastAsia" w:hint="eastAsia"/>
          <w:color w:val="000000" w:themeColor="text1"/>
          <w:szCs w:val="21"/>
        </w:rPr>
        <w:t>修改</w:t>
      </w:r>
      <w:r w:rsidRPr="00054588">
        <w:rPr>
          <w:rFonts w:asciiTheme="minorEastAsia" w:eastAsiaTheme="minorEastAsia" w:hAnsiTheme="minorEastAsia"/>
          <w:color w:val="000000" w:themeColor="text1"/>
          <w:szCs w:val="21"/>
        </w:rPr>
        <w:t>不涉及本基金合同当事人权利义务关系发生变化；</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6)基金合同的修改对基金份额持有人利益无实质性不利影响；</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7)按照法律法规或本基金合同规定不需召开基金份额持有人大会的其他情形。</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2</w:t>
      </w:r>
      <w:r w:rsidRPr="00054588">
        <w:rPr>
          <w:rFonts w:asciiTheme="minorEastAsia" w:eastAsiaTheme="minorEastAsia" w:hAnsiTheme="minorEastAsia" w:hint="eastAsia"/>
          <w:color w:val="000000" w:themeColor="text1"/>
          <w:szCs w:val="21"/>
        </w:rPr>
        <w:t>）关于变更</w:t>
      </w:r>
      <w:r w:rsidRPr="00054588">
        <w:rPr>
          <w:rFonts w:asciiTheme="minorEastAsia" w:eastAsiaTheme="minorEastAsia" w:hAnsiTheme="minorEastAsia"/>
          <w:color w:val="000000" w:themeColor="text1"/>
          <w:szCs w:val="21"/>
        </w:rPr>
        <w:t>基金合同</w:t>
      </w:r>
      <w:r w:rsidRPr="00054588">
        <w:rPr>
          <w:rFonts w:asciiTheme="minorEastAsia" w:eastAsiaTheme="minorEastAsia" w:hAnsiTheme="minorEastAsia" w:hint="eastAsia"/>
          <w:color w:val="000000" w:themeColor="text1"/>
          <w:szCs w:val="21"/>
        </w:rPr>
        <w:t>的基金份额持有人大会决议应报</w:t>
      </w:r>
      <w:r w:rsidRPr="00054588">
        <w:rPr>
          <w:rFonts w:asciiTheme="minorEastAsia" w:eastAsiaTheme="minorEastAsia" w:hAnsiTheme="minorEastAsia"/>
          <w:color w:val="000000" w:themeColor="text1"/>
          <w:szCs w:val="21"/>
        </w:rPr>
        <w:t>中国证监会</w:t>
      </w:r>
      <w:r w:rsidRPr="00054588">
        <w:rPr>
          <w:rFonts w:asciiTheme="minorEastAsia" w:eastAsiaTheme="minorEastAsia" w:hAnsiTheme="minorEastAsia" w:hint="eastAsia"/>
          <w:color w:val="000000" w:themeColor="text1"/>
          <w:szCs w:val="21"/>
        </w:rPr>
        <w:t>核准或备案，并于中国证监会核准或出具无异议意见后生效执行，</w:t>
      </w:r>
      <w:r w:rsidRPr="00054588">
        <w:rPr>
          <w:rFonts w:asciiTheme="minorEastAsia" w:eastAsiaTheme="minorEastAsia" w:hAnsiTheme="minorEastAsia"/>
          <w:color w:val="000000" w:themeColor="text1"/>
          <w:szCs w:val="21"/>
        </w:rPr>
        <w:t>并</w:t>
      </w:r>
      <w:r w:rsidRPr="00054588">
        <w:rPr>
          <w:rFonts w:asciiTheme="minorEastAsia" w:eastAsiaTheme="minorEastAsia" w:hAnsiTheme="minorEastAsia" w:hint="eastAsia"/>
          <w:color w:val="000000" w:themeColor="text1"/>
          <w:szCs w:val="21"/>
        </w:rPr>
        <w:t>自生效之日起2日</w:t>
      </w:r>
      <w:r w:rsidRPr="00054588">
        <w:rPr>
          <w:rFonts w:asciiTheme="minorEastAsia" w:eastAsiaTheme="minorEastAsia" w:hAnsiTheme="minorEastAsia"/>
          <w:color w:val="000000" w:themeColor="text1"/>
          <w:szCs w:val="21"/>
        </w:rPr>
        <w:t>内</w:t>
      </w:r>
      <w:r w:rsidRPr="00054588">
        <w:rPr>
          <w:rFonts w:asciiTheme="minorEastAsia" w:eastAsiaTheme="minorEastAsia" w:hAnsiTheme="minorEastAsia" w:hint="eastAsia"/>
          <w:color w:val="000000" w:themeColor="text1"/>
          <w:szCs w:val="21"/>
        </w:rPr>
        <w:t>在至少一种</w:t>
      </w:r>
      <w:r w:rsidRPr="00054588" w:rsidR="00575E02">
        <w:rPr>
          <w:rFonts w:asciiTheme="minorEastAsia" w:eastAsiaTheme="minorEastAsia" w:hAnsiTheme="minorEastAsia" w:hint="eastAsia"/>
          <w:color w:val="000000" w:themeColor="text1"/>
          <w:szCs w:val="21"/>
        </w:rPr>
        <w:t>指定媒介</w:t>
      </w:r>
      <w:r w:rsidRPr="00054588">
        <w:rPr>
          <w:rFonts w:asciiTheme="minorEastAsia" w:eastAsiaTheme="minorEastAsia" w:hAnsiTheme="minorEastAsia"/>
          <w:color w:val="000000" w:themeColor="text1"/>
          <w:szCs w:val="21"/>
        </w:rPr>
        <w:t>公告。</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2、本基金合同的终止</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有下列情形之一的，本基金合同经中国证监会核准后将终止：</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（1）基金份额持有人大会决定终止的；</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w:t>
      </w:r>
      <w:r w:rsidRPr="00054588">
        <w:rPr>
          <w:rFonts w:asciiTheme="minorEastAsia" w:eastAsiaTheme="minorEastAsia" w:hAnsiTheme="minorEastAsia"/>
          <w:color w:val="000000" w:themeColor="text1"/>
          <w:szCs w:val="21"/>
        </w:rPr>
        <w:t>基金管理人因解散、破产、撤销等事由，不能继续担任基金管理人的职务，而</w:t>
      </w:r>
      <w:r w:rsidRPr="00054588">
        <w:rPr>
          <w:rFonts w:asciiTheme="minorEastAsia" w:eastAsiaTheme="minorEastAsia" w:hAnsiTheme="minorEastAsia" w:hint="eastAsia"/>
          <w:color w:val="000000" w:themeColor="text1"/>
          <w:szCs w:val="21"/>
        </w:rPr>
        <w:t>在6个月内</w:t>
      </w:r>
      <w:r w:rsidRPr="00054588">
        <w:rPr>
          <w:rFonts w:asciiTheme="minorEastAsia" w:eastAsiaTheme="minorEastAsia" w:hAnsiTheme="minorEastAsia"/>
          <w:color w:val="000000" w:themeColor="text1"/>
          <w:szCs w:val="21"/>
        </w:rPr>
        <w:t>无其他适当的基金管理公司承</w:t>
      </w:r>
      <w:r w:rsidRPr="00054588">
        <w:rPr>
          <w:rFonts w:asciiTheme="minorEastAsia" w:eastAsiaTheme="minorEastAsia" w:hAnsiTheme="minorEastAsia" w:hint="eastAsia"/>
          <w:color w:val="000000" w:themeColor="text1"/>
          <w:szCs w:val="21"/>
        </w:rPr>
        <w:t>接</w:t>
      </w:r>
      <w:r w:rsidRPr="00054588">
        <w:rPr>
          <w:rFonts w:asciiTheme="minorEastAsia" w:eastAsiaTheme="minorEastAsia" w:hAnsiTheme="minorEastAsia"/>
          <w:color w:val="000000" w:themeColor="text1"/>
          <w:szCs w:val="21"/>
        </w:rPr>
        <w:t>其原有权利义务；</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（3）基金托管人因解散、破产、撤销等事由，不能继续担任基金托管人的职务，而在6个月内无其他适当的托管机构承接其原有权利义务；</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（4）中国证监会规定的其他情况。</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3、基金财产的清算</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（1）基金财产清算组</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1)自出现基金合同终止事由之日起30个工作日内成立清算小组，基金管理人组织基金财产清算小组并在中国证监会的监督下进行基金清算。</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2)基金财产清算组成员由基金管理人、基金托管人、具有从事证券相关业务资格的注册会计师、律师以及中国证监会指定的人员组成。基金财产清算组可以聘用必要的工作人员。</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3)基金财产清算组负责基金财产的保管、清理、估价、变现和分配。基金财产清算组可以依法进行必要的民事活动。</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（2）基金财产清算程序</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基金合同终止，应当按法律法规和本基金合同的有关规定对基金财产进行清算。基金财产清算程序主要包括：</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w:t>
      </w:r>
      <w:r w:rsidRPr="00054588">
        <w:rPr>
          <w:rFonts w:asciiTheme="minorEastAsia" w:eastAsiaTheme="minorEastAsia" w:hAnsiTheme="minorEastAsia"/>
          <w:color w:val="000000" w:themeColor="text1"/>
          <w:szCs w:val="21"/>
        </w:rPr>
        <w:t>基金合同终止后，发布基金</w:t>
      </w:r>
      <w:r w:rsidRPr="00054588">
        <w:rPr>
          <w:rFonts w:asciiTheme="minorEastAsia" w:eastAsiaTheme="minorEastAsia" w:hAnsiTheme="minorEastAsia" w:hint="eastAsia"/>
          <w:color w:val="000000" w:themeColor="text1"/>
          <w:szCs w:val="21"/>
        </w:rPr>
        <w:t>财产</w:t>
      </w:r>
      <w:r w:rsidRPr="00054588">
        <w:rPr>
          <w:rFonts w:asciiTheme="minorEastAsia" w:eastAsiaTheme="minorEastAsia" w:hAnsiTheme="minorEastAsia"/>
          <w:color w:val="000000" w:themeColor="text1"/>
          <w:szCs w:val="21"/>
        </w:rPr>
        <w:t>清算公告；</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2)基金合同终止时，由基金财产清算组统一接管基金财产；</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3)对基金财产进行清理和确认；</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4)对基金财产进行估价和变现；</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5)</w:t>
      </w:r>
      <w:r w:rsidRPr="00054588">
        <w:rPr>
          <w:rFonts w:asciiTheme="minorEastAsia" w:eastAsiaTheme="minorEastAsia" w:hAnsiTheme="minorEastAsia"/>
          <w:color w:val="000000" w:themeColor="text1"/>
          <w:szCs w:val="21"/>
        </w:rPr>
        <w:t>聘请会计师事务所对清算报告进行审计；</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6)</w:t>
      </w:r>
      <w:r w:rsidRPr="00054588">
        <w:rPr>
          <w:rFonts w:asciiTheme="minorEastAsia" w:eastAsiaTheme="minorEastAsia" w:hAnsiTheme="minorEastAsia"/>
          <w:color w:val="000000" w:themeColor="text1"/>
          <w:szCs w:val="21"/>
        </w:rPr>
        <w:t>聘请律师事务所出具法律意见书；</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7)将基金财产清算结果报告中国证监会；</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8)</w:t>
      </w:r>
      <w:r w:rsidRPr="00054588">
        <w:rPr>
          <w:rFonts w:asciiTheme="minorEastAsia" w:eastAsiaTheme="minorEastAsia" w:hAnsiTheme="minorEastAsia"/>
          <w:color w:val="000000" w:themeColor="text1"/>
          <w:szCs w:val="21"/>
        </w:rPr>
        <w:t>参加与基金</w:t>
      </w:r>
      <w:r w:rsidRPr="00054588">
        <w:rPr>
          <w:rFonts w:asciiTheme="minorEastAsia" w:eastAsiaTheme="minorEastAsia" w:hAnsiTheme="minorEastAsia" w:hint="eastAsia"/>
          <w:color w:val="000000" w:themeColor="text1"/>
          <w:szCs w:val="21"/>
        </w:rPr>
        <w:t>财产</w:t>
      </w:r>
      <w:r w:rsidRPr="00054588">
        <w:rPr>
          <w:rFonts w:asciiTheme="minorEastAsia" w:eastAsiaTheme="minorEastAsia" w:hAnsiTheme="minorEastAsia"/>
          <w:color w:val="000000" w:themeColor="text1"/>
          <w:szCs w:val="21"/>
        </w:rPr>
        <w:t>有关的民事诉讼</w:t>
      </w:r>
      <w:r w:rsidRPr="00054588">
        <w:rPr>
          <w:rFonts w:asciiTheme="minorEastAsia" w:eastAsiaTheme="minorEastAsia" w:hAnsiTheme="minorEastAsia" w:hint="eastAsia"/>
          <w:color w:val="000000" w:themeColor="text1"/>
          <w:szCs w:val="21"/>
        </w:rPr>
        <w:t>；</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9)公布基金财产清算结果；</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10)对基金剩余财产进行分配。</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（3）清算费用</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清算费用是指基金财产清算组在进行基金财产清算过程中发生的所有合理费用，清算费用由基金财产清算组优先从基金财产中支付。</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（4）基金财产按下列顺序清偿：</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1)支付清算费用；</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2)交纳所欠税款；</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3)清偿基金债务；</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4)按基金份额持有人持有的基金份额比例进行分配。</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基金财产未按前款1)－</w:t>
      </w:r>
      <w:r w:rsidRPr="00054588">
        <w:rPr>
          <w:rFonts w:asciiTheme="minorEastAsia" w:eastAsiaTheme="minorEastAsia" w:hAnsiTheme="minorEastAsia"/>
          <w:color w:val="000000" w:themeColor="text1"/>
          <w:szCs w:val="21"/>
        </w:rPr>
        <w:t>3</w:t>
      </w:r>
      <w:r w:rsidRPr="00054588">
        <w:rPr>
          <w:rFonts w:asciiTheme="minorEastAsia" w:eastAsiaTheme="minorEastAsia" w:hAnsiTheme="minorEastAsia" w:hint="eastAsia"/>
          <w:color w:val="000000" w:themeColor="text1"/>
          <w:szCs w:val="21"/>
        </w:rPr>
        <w:t>)项规定清偿前，不分配给基金份额持有人。</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（5）基金财产清算的公告</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基金财产清算公告于</w:t>
      </w:r>
      <w:r w:rsidRPr="00054588">
        <w:rPr>
          <w:rFonts w:asciiTheme="minorEastAsia" w:eastAsiaTheme="minorEastAsia" w:hAnsiTheme="minorEastAsia" w:hint="eastAsia"/>
          <w:color w:val="000000" w:themeColor="text1"/>
          <w:szCs w:val="21"/>
        </w:rPr>
        <w:t>基金合同终止并报中国证监会备案后</w:t>
      </w:r>
      <w:r w:rsidRPr="00054588">
        <w:rPr>
          <w:rFonts w:asciiTheme="minorEastAsia" w:eastAsiaTheme="minorEastAsia" w:hAnsiTheme="minorEastAsia"/>
          <w:color w:val="000000" w:themeColor="text1"/>
          <w:szCs w:val="21"/>
        </w:rPr>
        <w:t>5</w:t>
      </w:r>
      <w:r w:rsidRPr="00054588">
        <w:rPr>
          <w:rFonts w:asciiTheme="minorEastAsia" w:eastAsiaTheme="minorEastAsia" w:hAnsiTheme="minorEastAsia" w:hint="eastAsia"/>
          <w:color w:val="000000" w:themeColor="text1"/>
          <w:szCs w:val="21"/>
        </w:rPr>
        <w:t>个工作日内由基金财产清算组公告；清算过程中的有关重大事项须及时公告；基金财产清算结果经会计师事务所审计，律师事务所出具法律意见书后，由基金财产清算组报中国证监会备案并公告。</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（6）基金财产清算账册及文件的保存</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基金财产清算账册及有关文件由基金托管人保存</w:t>
      </w:r>
      <w:r w:rsidRPr="00054588">
        <w:rPr>
          <w:rFonts w:asciiTheme="minorEastAsia" w:eastAsiaTheme="minorEastAsia" w:hAnsiTheme="minorEastAsia"/>
          <w:color w:val="000000" w:themeColor="text1"/>
          <w:szCs w:val="21"/>
        </w:rPr>
        <w:t>15</w:t>
      </w:r>
      <w:r w:rsidRPr="00054588">
        <w:rPr>
          <w:rFonts w:asciiTheme="minorEastAsia" w:eastAsiaTheme="minorEastAsia" w:hAnsiTheme="minorEastAsia" w:hint="eastAsia"/>
          <w:color w:val="000000" w:themeColor="text1"/>
          <w:szCs w:val="21"/>
        </w:rPr>
        <w:t>年以上。</w:t>
      </w:r>
    </w:p>
    <w:p w:rsidR="007228CC" w:rsidRPr="00054588" w:rsidP="00941EC8">
      <w:pPr>
        <w:pStyle w:val="Heading2"/>
        <w:adjustRightInd w:val="0"/>
        <w:snapToGrid w:val="0"/>
        <w:spacing w:beforeLines="0" w:afterLines="0" w:line="360" w:lineRule="auto"/>
        <w:ind w:firstLine="0" w:firstLineChars="0"/>
        <w:rPr>
          <w:rFonts w:asciiTheme="minorEastAsia" w:eastAsiaTheme="minorEastAsia" w:hAnsiTheme="minorEastAsia"/>
          <w:bCs/>
          <w:color w:val="000000" w:themeColor="text1"/>
        </w:rPr>
      </w:pPr>
      <w:bookmarkStart w:id="534" w:name="_Toc211920224"/>
      <w:bookmarkStart w:id="535" w:name="_Toc211927753"/>
      <w:bookmarkStart w:id="536" w:name="_Toc123296521"/>
      <w:bookmarkEnd w:id="532"/>
      <w:r w:rsidRPr="00054588">
        <w:rPr>
          <w:rFonts w:asciiTheme="minorEastAsia" w:eastAsiaTheme="minorEastAsia" w:hAnsiTheme="minorEastAsia" w:hint="eastAsia"/>
          <w:bCs/>
          <w:color w:val="000000" w:themeColor="text1"/>
        </w:rPr>
        <w:t>（六）</w:t>
      </w:r>
      <w:bookmarkEnd w:id="533"/>
      <w:bookmarkEnd w:id="534"/>
      <w:bookmarkEnd w:id="535"/>
      <w:r w:rsidRPr="00054588">
        <w:rPr>
          <w:rFonts w:asciiTheme="minorEastAsia" w:eastAsiaTheme="minorEastAsia" w:hAnsiTheme="minorEastAsia" w:hint="eastAsia"/>
          <w:bCs/>
          <w:color w:val="000000" w:themeColor="text1"/>
        </w:rPr>
        <w:t>争议解决方式</w:t>
      </w:r>
      <w:bookmarkEnd w:id="536"/>
    </w:p>
    <w:p w:rsidR="007228CC" w:rsidRPr="00E37272" w:rsidP="0071223F">
      <w:pPr>
        <w:snapToGrid w:val="0"/>
        <w:spacing w:line="360" w:lineRule="auto"/>
        <w:ind w:firstLine="420" w:firstLineChars="200"/>
        <w:rPr>
          <w:rFonts w:asciiTheme="minorEastAsia" w:eastAsiaTheme="minorEastAsia" w:hAnsiTheme="minorEastAsia"/>
          <w:b/>
          <w:color w:val="000000" w:themeColor="text1"/>
          <w:szCs w:val="21"/>
        </w:rPr>
      </w:pPr>
      <w:r w:rsidRPr="00E37272">
        <w:rPr>
          <w:rFonts w:asciiTheme="minorEastAsia" w:eastAsiaTheme="minorEastAsia" w:hAnsiTheme="minorEastAsia"/>
          <w:b/>
          <w:color w:val="000000" w:themeColor="text1"/>
          <w:szCs w:val="21"/>
        </w:rPr>
        <w:t>对于因基金合同的订立、内容、履行和解释或与基金合同有关的争议，基金合同当事人应尽量通过协商、调解途径解决。不愿或者不能通过协商、调解解决的</w:t>
      </w:r>
      <w:r w:rsidRPr="00E37272">
        <w:rPr>
          <w:rFonts w:asciiTheme="minorEastAsia" w:eastAsiaTheme="minorEastAsia" w:hAnsiTheme="minorEastAsia" w:hint="eastAsia"/>
          <w:b/>
          <w:color w:val="000000" w:themeColor="text1"/>
          <w:szCs w:val="21"/>
        </w:rPr>
        <w:t>，任何一方均有权将争议提交中国国际经济贸易仲裁委员会，按照中国国际经济贸易仲裁委员会届时有效的仲裁规则进行仲裁。</w:t>
      </w:r>
      <w:r w:rsidRPr="00E37272">
        <w:rPr>
          <w:rFonts w:asciiTheme="minorEastAsia" w:eastAsiaTheme="minorEastAsia" w:hAnsiTheme="minorEastAsia"/>
          <w:b/>
          <w:color w:val="000000" w:themeColor="text1"/>
          <w:szCs w:val="21"/>
        </w:rPr>
        <w:t>仲裁地点为</w:t>
      </w:r>
      <w:r w:rsidRPr="00E37272">
        <w:rPr>
          <w:rFonts w:asciiTheme="minorEastAsia" w:eastAsiaTheme="minorEastAsia" w:hAnsiTheme="minorEastAsia" w:hint="eastAsia"/>
          <w:b/>
          <w:color w:val="000000" w:themeColor="text1"/>
          <w:szCs w:val="21"/>
        </w:rPr>
        <w:t>北京</w:t>
      </w:r>
      <w:r w:rsidRPr="00E37272">
        <w:rPr>
          <w:rFonts w:asciiTheme="minorEastAsia" w:eastAsiaTheme="minorEastAsia" w:hAnsiTheme="minorEastAsia"/>
          <w:b/>
          <w:color w:val="000000" w:themeColor="text1"/>
          <w:szCs w:val="21"/>
        </w:rPr>
        <w:t>市</w:t>
      </w:r>
      <w:r w:rsidRPr="00E37272">
        <w:rPr>
          <w:rFonts w:asciiTheme="minorEastAsia" w:eastAsiaTheme="minorEastAsia" w:hAnsiTheme="minorEastAsia" w:hint="eastAsia"/>
          <w:b/>
          <w:color w:val="000000" w:themeColor="text1"/>
          <w:szCs w:val="21"/>
        </w:rPr>
        <w:t>。仲裁裁决是终局的，对各方当事人均有约束力，仲裁费用由败诉方承担。</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争议处理期间，基金合同当事人应恪守各自的职责，继续忠实、勤勉、尽责地履行基金合同规定的义务，维护基金份额持有人的合法权益。</w:t>
      </w:r>
    </w:p>
    <w:p w:rsidR="007228CC" w:rsidRPr="00054588" w:rsidP="0071223F">
      <w:pPr>
        <w:snapToGrid w:val="0"/>
        <w:spacing w:line="360" w:lineRule="auto"/>
        <w:ind w:firstLine="420" w:firstLineChars="20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本基金合同受中国法律管辖。</w:t>
      </w:r>
    </w:p>
    <w:p w:rsidR="007228CC" w:rsidRPr="00054588" w:rsidP="00941EC8">
      <w:pPr>
        <w:pStyle w:val="Heading2"/>
        <w:snapToGrid w:val="0"/>
        <w:spacing w:beforeLines="0" w:afterLines="0" w:line="360" w:lineRule="auto"/>
        <w:ind w:firstLine="199" w:firstLineChars="71"/>
        <w:rPr>
          <w:rFonts w:asciiTheme="minorEastAsia" w:eastAsiaTheme="minorEastAsia" w:hAnsiTheme="minorEastAsia"/>
          <w:color w:val="000000" w:themeColor="text1"/>
          <w:sz w:val="21"/>
          <w:szCs w:val="21"/>
        </w:rPr>
      </w:pPr>
      <w:bookmarkStart w:id="537" w:name="_Toc211920225"/>
      <w:bookmarkStart w:id="538" w:name="_Toc211927754"/>
      <w:bookmarkStart w:id="539" w:name="_Toc123296522"/>
      <w:r w:rsidRPr="00054588">
        <w:rPr>
          <w:rFonts w:asciiTheme="minorEastAsia" w:eastAsiaTheme="minorEastAsia" w:hAnsiTheme="minorEastAsia" w:hint="eastAsia"/>
          <w:color w:val="000000" w:themeColor="text1"/>
        </w:rPr>
        <w:t>（七）基</w:t>
      </w:r>
      <w:r w:rsidRPr="00054588">
        <w:rPr>
          <w:rFonts w:asciiTheme="minorEastAsia" w:eastAsiaTheme="minorEastAsia" w:hAnsiTheme="minorEastAsia"/>
          <w:color w:val="000000" w:themeColor="text1"/>
        </w:rPr>
        <w:t>金合同</w:t>
      </w:r>
      <w:r w:rsidRPr="00054588">
        <w:rPr>
          <w:rFonts w:asciiTheme="minorEastAsia" w:eastAsiaTheme="minorEastAsia" w:hAnsiTheme="minorEastAsia" w:hint="eastAsia"/>
          <w:color w:val="000000" w:themeColor="text1"/>
        </w:rPr>
        <w:t>存放地和投资者取得基金合同的方式</w:t>
      </w:r>
      <w:bookmarkEnd w:id="537"/>
      <w:bookmarkEnd w:id="538"/>
      <w:bookmarkEnd w:id="539"/>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基金合同是约定基金当事人之间、基金与基金当事人之间权利义务关系的法律文件。</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1、本基金合同经基金管理人和基金托管人加盖公章以及双方法定代表人或法定代表人授权的代理人签字，</w:t>
      </w:r>
      <w:r w:rsidRPr="00054588">
        <w:rPr>
          <w:rFonts w:asciiTheme="minorEastAsia" w:eastAsiaTheme="minorEastAsia" w:hAnsiTheme="minorEastAsia"/>
          <w:color w:val="000000" w:themeColor="text1"/>
          <w:szCs w:val="21"/>
        </w:rPr>
        <w:t>在基金募集结束，基金备案手续办理完毕，并获中国证监会书面确认后生效。基金合同的有效期自其生效之日起至该基金财产清算结果报中国证监会</w:t>
      </w:r>
      <w:r w:rsidRPr="00054588">
        <w:rPr>
          <w:rFonts w:asciiTheme="minorEastAsia" w:eastAsiaTheme="minorEastAsia" w:hAnsiTheme="minorEastAsia" w:hint="eastAsia"/>
          <w:color w:val="000000" w:themeColor="text1"/>
          <w:szCs w:val="21"/>
        </w:rPr>
        <w:t>备案</w:t>
      </w:r>
      <w:r w:rsidRPr="00054588">
        <w:rPr>
          <w:rFonts w:asciiTheme="minorEastAsia" w:eastAsiaTheme="minorEastAsia" w:hAnsiTheme="minorEastAsia"/>
          <w:color w:val="000000" w:themeColor="text1"/>
          <w:szCs w:val="21"/>
        </w:rPr>
        <w:t>并公告之日止。</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2、本基金合同自生效之日起对包括基金管理人、基金托管人和基金份额持有人在内的基金合同各方当事人具有同等的法律约束力。</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3、本基金合同正本一式八份，除中国证监会和银行业监督管理机构各持两份外，基金管理人和基金托管人各持有两份。每份均具有同等的法律效力。</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4、本基金合同可印制成册，供投资人在基金管理人、基金托管人、代销机构和登记结算机构办公场所查阅，但其效力应以基金合同正本为准。</w:t>
      </w:r>
    </w:p>
    <w:p w:rsidR="007228CC" w:rsidRPr="00054588" w:rsidP="0071223F">
      <w:pPr>
        <w:snapToGrid w:val="0"/>
        <w:spacing w:line="360" w:lineRule="auto"/>
        <w:rPr>
          <w:rFonts w:asciiTheme="minorEastAsia" w:eastAsiaTheme="minorEastAsia" w:hAnsiTheme="minorEastAsia"/>
          <w:color w:val="000000" w:themeColor="text1"/>
        </w:rPr>
      </w:pPr>
      <w:bookmarkStart w:id="540" w:name="_Toc38437218"/>
      <w:bookmarkStart w:id="541" w:name="_Toc38437354"/>
      <w:bookmarkStart w:id="542" w:name="_Toc38437490"/>
      <w:bookmarkStart w:id="543" w:name="_Toc38437626"/>
      <w:bookmarkStart w:id="544" w:name="_Toc38437772"/>
      <w:bookmarkStart w:id="545" w:name="_Toc38437918"/>
      <w:bookmarkStart w:id="546" w:name="_Toc38438064"/>
      <w:bookmarkStart w:id="547" w:name="_Toc38438210"/>
      <w:bookmarkStart w:id="548" w:name="_Toc38438547"/>
      <w:bookmarkStart w:id="549" w:name="_Toc38438884"/>
      <w:bookmarkStart w:id="550" w:name="_Toc38439221"/>
      <w:bookmarkStart w:id="551" w:name="_Toc38439558"/>
      <w:bookmarkStart w:id="552" w:name="_Toc38439895"/>
      <w:bookmarkStart w:id="553" w:name="_Toc38440232"/>
      <w:bookmarkStart w:id="554" w:name="_Toc38440569"/>
      <w:bookmarkStart w:id="555" w:name="_Toc38440768"/>
      <w:bookmarkStart w:id="556" w:name="_Toc38441101"/>
      <w:bookmarkStart w:id="557" w:name="_Toc38441433"/>
      <w:bookmarkStart w:id="558" w:name="_Toc38441765"/>
      <w:bookmarkStart w:id="559" w:name="_Toc38442093"/>
      <w:bookmarkStart w:id="560" w:name="_Toc38442425"/>
      <w:bookmarkStart w:id="561" w:name="_Toc38442757"/>
      <w:bookmarkStart w:id="562" w:name="_Toc38443088"/>
      <w:bookmarkStart w:id="563" w:name="_Toc38443419"/>
      <w:bookmarkStart w:id="564" w:name="_Toc38443750"/>
      <w:bookmarkStart w:id="565" w:name="_Toc38433500"/>
      <w:bookmarkStart w:id="566" w:name="_Toc38433635"/>
      <w:bookmarkStart w:id="567" w:name="_Toc38433769"/>
      <w:bookmarkStart w:id="568" w:name="_Toc38433919"/>
      <w:bookmarkStart w:id="569" w:name="_Toc38434067"/>
      <w:bookmarkStart w:id="570" w:name="_Toc38434215"/>
      <w:bookmarkStart w:id="571" w:name="_Toc38434361"/>
      <w:bookmarkStart w:id="572" w:name="_Toc38434504"/>
      <w:bookmarkStart w:id="573" w:name="_Toc38434647"/>
      <w:bookmarkStart w:id="574" w:name="_Toc38434790"/>
      <w:bookmarkStart w:id="575" w:name="_Toc38434934"/>
      <w:bookmarkStart w:id="576" w:name="_Toc38437630"/>
      <w:bookmarkStart w:id="577" w:name="_Toc38437776"/>
      <w:bookmarkStart w:id="578" w:name="_Toc38437922"/>
      <w:bookmarkStart w:id="579" w:name="_Toc38438068"/>
      <w:bookmarkStart w:id="580" w:name="_Toc38438214"/>
      <w:bookmarkStart w:id="581" w:name="_Toc38438551"/>
      <w:bookmarkStart w:id="582" w:name="_Toc38438888"/>
      <w:bookmarkStart w:id="583" w:name="_Toc38439225"/>
      <w:bookmarkStart w:id="584" w:name="_Toc38439562"/>
      <w:bookmarkStart w:id="585" w:name="_Toc38439899"/>
      <w:bookmarkStart w:id="586" w:name="_Toc38440236"/>
      <w:bookmarkStart w:id="587" w:name="_Toc38440573"/>
      <w:bookmarkStart w:id="588" w:name="_Toc38440772"/>
      <w:bookmarkStart w:id="589" w:name="_Toc38441105"/>
      <w:bookmarkStart w:id="590" w:name="_Toc38441437"/>
      <w:bookmarkStart w:id="591" w:name="_Toc38441769"/>
      <w:bookmarkStart w:id="592" w:name="_Toc38442097"/>
      <w:bookmarkStart w:id="593" w:name="_Toc38442429"/>
      <w:bookmarkStart w:id="594" w:name="_Toc38442761"/>
      <w:bookmarkStart w:id="595" w:name="_Toc38443092"/>
      <w:bookmarkStart w:id="596" w:name="_Toc38443423"/>
      <w:bookmarkStart w:id="597" w:name="_Toc38443754"/>
      <w:bookmarkStart w:id="598" w:name="_Toc38433501"/>
      <w:bookmarkStart w:id="599" w:name="_Toc38433636"/>
      <w:bookmarkStart w:id="600" w:name="_Toc38433770"/>
      <w:bookmarkStart w:id="601" w:name="_Toc38433920"/>
      <w:bookmarkStart w:id="602" w:name="_Toc38434068"/>
      <w:bookmarkStart w:id="603" w:name="_Toc38434216"/>
      <w:bookmarkStart w:id="604" w:name="_Toc38434362"/>
      <w:bookmarkStart w:id="605" w:name="_Toc38434505"/>
      <w:bookmarkStart w:id="606" w:name="_Toc38434648"/>
      <w:bookmarkStart w:id="607" w:name="_Toc38434791"/>
      <w:bookmarkStart w:id="608" w:name="_Toc38434935"/>
      <w:bookmarkStart w:id="609" w:name="_Toc38437631"/>
      <w:bookmarkStart w:id="610" w:name="_Toc38437777"/>
      <w:bookmarkStart w:id="611" w:name="_Toc38437923"/>
      <w:bookmarkStart w:id="612" w:name="_Toc38438069"/>
      <w:bookmarkStart w:id="613" w:name="_Toc38438215"/>
      <w:bookmarkStart w:id="614" w:name="_Toc38438552"/>
      <w:bookmarkStart w:id="615" w:name="_Toc38438889"/>
      <w:bookmarkStart w:id="616" w:name="_Toc38439226"/>
      <w:bookmarkStart w:id="617" w:name="_Toc38439563"/>
      <w:bookmarkStart w:id="618" w:name="_Toc38439900"/>
      <w:bookmarkStart w:id="619" w:name="_Toc38440237"/>
      <w:bookmarkStart w:id="620" w:name="_Toc38440574"/>
      <w:bookmarkStart w:id="621" w:name="_Toc38440773"/>
      <w:bookmarkStart w:id="622" w:name="_Toc38441106"/>
      <w:bookmarkStart w:id="623" w:name="_Toc38441438"/>
      <w:bookmarkStart w:id="624" w:name="_Toc38441770"/>
      <w:bookmarkStart w:id="625" w:name="_Toc38442098"/>
      <w:bookmarkStart w:id="626" w:name="_Toc38442430"/>
      <w:bookmarkStart w:id="627" w:name="_Toc38442762"/>
      <w:bookmarkStart w:id="628" w:name="_Toc38443093"/>
      <w:bookmarkStart w:id="629" w:name="_Toc38443424"/>
      <w:bookmarkStart w:id="630" w:name="_Toc38443755"/>
      <w:bookmarkStart w:id="631" w:name="_Toc38433502"/>
      <w:bookmarkStart w:id="632" w:name="_Toc38433637"/>
      <w:bookmarkStart w:id="633" w:name="_Toc38433771"/>
      <w:bookmarkStart w:id="634" w:name="_Toc38433921"/>
      <w:bookmarkStart w:id="635" w:name="_Toc38434069"/>
      <w:bookmarkStart w:id="636" w:name="_Toc38434217"/>
      <w:bookmarkStart w:id="637" w:name="_Toc38434363"/>
      <w:bookmarkStart w:id="638" w:name="_Toc38434506"/>
      <w:bookmarkStart w:id="639" w:name="_Toc38434649"/>
      <w:bookmarkStart w:id="640" w:name="_Toc38434792"/>
      <w:bookmarkStart w:id="641" w:name="_Toc38434936"/>
      <w:bookmarkStart w:id="642" w:name="_Toc38437632"/>
      <w:bookmarkStart w:id="643" w:name="_Toc38437778"/>
      <w:bookmarkStart w:id="644" w:name="_Toc38437924"/>
      <w:bookmarkStart w:id="645" w:name="_Toc38438070"/>
      <w:bookmarkStart w:id="646" w:name="_Toc38438216"/>
      <w:bookmarkStart w:id="647" w:name="_Toc38438553"/>
      <w:bookmarkStart w:id="648" w:name="_Toc38438890"/>
      <w:bookmarkStart w:id="649" w:name="_Toc38439227"/>
      <w:bookmarkStart w:id="650" w:name="_Toc38439564"/>
      <w:bookmarkStart w:id="651" w:name="_Toc38439901"/>
      <w:bookmarkStart w:id="652" w:name="_Toc38440238"/>
      <w:bookmarkStart w:id="653" w:name="_Toc38440575"/>
      <w:bookmarkStart w:id="654" w:name="_Toc38440774"/>
      <w:bookmarkStart w:id="655" w:name="_Toc38441107"/>
      <w:bookmarkStart w:id="656" w:name="_Toc38441439"/>
      <w:bookmarkStart w:id="657" w:name="_Toc38441771"/>
      <w:bookmarkStart w:id="658" w:name="_Toc38442099"/>
      <w:bookmarkStart w:id="659" w:name="_Toc38442431"/>
      <w:bookmarkStart w:id="660" w:name="_Toc38442763"/>
      <w:bookmarkStart w:id="661" w:name="_Toc38443094"/>
      <w:bookmarkStart w:id="662" w:name="_Toc38443425"/>
      <w:bookmarkStart w:id="663" w:name="_Toc38443756"/>
      <w:bookmarkStart w:id="664" w:name="_Toc38433503"/>
      <w:bookmarkStart w:id="665" w:name="_Toc38433638"/>
      <w:bookmarkStart w:id="666" w:name="_Toc38433772"/>
      <w:bookmarkStart w:id="667" w:name="_Toc38433922"/>
      <w:bookmarkStart w:id="668" w:name="_Toc38434070"/>
      <w:bookmarkStart w:id="669" w:name="_Toc38434218"/>
      <w:bookmarkStart w:id="670" w:name="_Toc38434364"/>
      <w:bookmarkStart w:id="671" w:name="_Toc38434507"/>
      <w:bookmarkStart w:id="672" w:name="_Toc38434650"/>
      <w:bookmarkStart w:id="673" w:name="_Toc38434793"/>
      <w:bookmarkStart w:id="674" w:name="_Toc38434937"/>
      <w:bookmarkStart w:id="675" w:name="_Toc38437633"/>
      <w:bookmarkStart w:id="676" w:name="_Toc38437779"/>
      <w:bookmarkStart w:id="677" w:name="_Toc38437925"/>
      <w:bookmarkStart w:id="678" w:name="_Toc38438071"/>
      <w:bookmarkStart w:id="679" w:name="_Toc38438217"/>
      <w:bookmarkStart w:id="680" w:name="_Toc38438554"/>
      <w:bookmarkStart w:id="681" w:name="_Toc38438891"/>
      <w:bookmarkStart w:id="682" w:name="_Toc38439228"/>
      <w:bookmarkStart w:id="683" w:name="_Toc38439565"/>
      <w:bookmarkStart w:id="684" w:name="_Toc38439902"/>
      <w:bookmarkStart w:id="685" w:name="_Toc38440239"/>
      <w:bookmarkStart w:id="686" w:name="_Toc38440576"/>
      <w:bookmarkStart w:id="687" w:name="_Toc38440775"/>
      <w:bookmarkStart w:id="688" w:name="_Toc38441108"/>
      <w:bookmarkStart w:id="689" w:name="_Toc38441440"/>
      <w:bookmarkStart w:id="690" w:name="_Toc38441772"/>
      <w:bookmarkStart w:id="691" w:name="_Toc38442100"/>
      <w:bookmarkStart w:id="692" w:name="_Toc38442432"/>
      <w:bookmarkStart w:id="693" w:name="_Toc38442764"/>
      <w:bookmarkStart w:id="694" w:name="_Toc38443095"/>
      <w:bookmarkStart w:id="695" w:name="_Toc38443426"/>
      <w:bookmarkStart w:id="696" w:name="_Toc38443757"/>
      <w:bookmarkStart w:id="697" w:name="_Toc38433504"/>
      <w:bookmarkStart w:id="698" w:name="_Toc38433639"/>
      <w:bookmarkStart w:id="699" w:name="_Toc38433773"/>
      <w:bookmarkStart w:id="700" w:name="_Toc38433923"/>
      <w:bookmarkStart w:id="701" w:name="_Toc38434071"/>
      <w:bookmarkStart w:id="702" w:name="_Toc38434219"/>
      <w:bookmarkStart w:id="703" w:name="_Toc38434365"/>
      <w:bookmarkStart w:id="704" w:name="_Toc38434508"/>
      <w:bookmarkStart w:id="705" w:name="_Toc38434651"/>
      <w:bookmarkStart w:id="706" w:name="_Toc38434794"/>
      <w:bookmarkStart w:id="707" w:name="_Toc38434938"/>
      <w:bookmarkStart w:id="708" w:name="_Toc38437634"/>
      <w:bookmarkStart w:id="709" w:name="_Toc38437780"/>
      <w:bookmarkStart w:id="710" w:name="_Toc38437926"/>
      <w:bookmarkStart w:id="711" w:name="_Toc38438072"/>
      <w:bookmarkStart w:id="712" w:name="_Toc38438218"/>
      <w:bookmarkStart w:id="713" w:name="_Toc38438555"/>
      <w:bookmarkStart w:id="714" w:name="_Toc38438892"/>
      <w:bookmarkStart w:id="715" w:name="_Toc38439229"/>
      <w:bookmarkStart w:id="716" w:name="_Toc38439566"/>
      <w:bookmarkStart w:id="717" w:name="_Toc38439903"/>
      <w:bookmarkStart w:id="718" w:name="_Toc38440240"/>
      <w:bookmarkStart w:id="719" w:name="_Toc38440577"/>
      <w:bookmarkStart w:id="720" w:name="_Toc38440776"/>
      <w:bookmarkStart w:id="721" w:name="_Toc38441109"/>
      <w:bookmarkStart w:id="722" w:name="_Toc38441441"/>
      <w:bookmarkStart w:id="723" w:name="_Toc38441773"/>
      <w:bookmarkStart w:id="724" w:name="_Toc38442101"/>
      <w:bookmarkStart w:id="725" w:name="_Toc38442433"/>
      <w:bookmarkStart w:id="726" w:name="_Toc38442765"/>
      <w:bookmarkStart w:id="727" w:name="_Toc38443096"/>
      <w:bookmarkStart w:id="728" w:name="_Toc38443427"/>
      <w:bookmarkStart w:id="729" w:name="_Toc38443758"/>
      <w:bookmarkStart w:id="730" w:name="_Toc38433505"/>
      <w:bookmarkStart w:id="731" w:name="_Toc38433640"/>
      <w:bookmarkStart w:id="732" w:name="_Toc38433774"/>
      <w:bookmarkStart w:id="733" w:name="_Toc38433924"/>
      <w:bookmarkStart w:id="734" w:name="_Toc38434072"/>
      <w:bookmarkStart w:id="735" w:name="_Toc38434220"/>
      <w:bookmarkStart w:id="736" w:name="_Toc38434366"/>
      <w:bookmarkStart w:id="737" w:name="_Toc38434509"/>
      <w:bookmarkStart w:id="738" w:name="_Toc38434652"/>
      <w:bookmarkStart w:id="739" w:name="_Toc38434795"/>
      <w:bookmarkStart w:id="740" w:name="_Toc38434939"/>
      <w:bookmarkStart w:id="741" w:name="_Toc38437635"/>
      <w:bookmarkStart w:id="742" w:name="_Toc38437781"/>
      <w:bookmarkStart w:id="743" w:name="_Toc38437927"/>
      <w:bookmarkStart w:id="744" w:name="_Toc38438073"/>
      <w:bookmarkStart w:id="745" w:name="_Toc38438219"/>
      <w:bookmarkStart w:id="746" w:name="_Toc38438556"/>
      <w:bookmarkStart w:id="747" w:name="_Toc38438893"/>
      <w:bookmarkStart w:id="748" w:name="_Toc38439230"/>
      <w:bookmarkStart w:id="749" w:name="_Toc38439567"/>
      <w:bookmarkStart w:id="750" w:name="_Toc38439904"/>
      <w:bookmarkStart w:id="751" w:name="_Toc38440241"/>
      <w:bookmarkStart w:id="752" w:name="_Toc38440578"/>
      <w:bookmarkStart w:id="753" w:name="_Toc38440777"/>
      <w:bookmarkStart w:id="754" w:name="_Toc38441110"/>
      <w:bookmarkStart w:id="755" w:name="_Toc38441442"/>
      <w:bookmarkStart w:id="756" w:name="_Toc38441774"/>
      <w:bookmarkStart w:id="757" w:name="_Toc38442102"/>
      <w:bookmarkStart w:id="758" w:name="_Toc38442434"/>
      <w:bookmarkStart w:id="759" w:name="_Toc38442766"/>
      <w:bookmarkStart w:id="760" w:name="_Toc38443097"/>
      <w:bookmarkStart w:id="761" w:name="_Toc38443428"/>
      <w:bookmarkStart w:id="762" w:name="_Toc38443759"/>
      <w:bookmarkStart w:id="763" w:name="_Toc38433506"/>
      <w:bookmarkStart w:id="764" w:name="_Toc38433641"/>
      <w:bookmarkStart w:id="765" w:name="_Toc38433775"/>
      <w:bookmarkStart w:id="766" w:name="_Toc38433925"/>
      <w:bookmarkStart w:id="767" w:name="_Toc38434073"/>
      <w:bookmarkStart w:id="768" w:name="_Toc38434221"/>
      <w:bookmarkStart w:id="769" w:name="_Toc38434367"/>
      <w:bookmarkStart w:id="770" w:name="_Toc38434510"/>
      <w:bookmarkStart w:id="771" w:name="_Toc38434653"/>
      <w:bookmarkStart w:id="772" w:name="_Toc38434796"/>
      <w:bookmarkStart w:id="773" w:name="_Toc38434940"/>
      <w:bookmarkStart w:id="774" w:name="_Toc38437636"/>
      <w:bookmarkStart w:id="775" w:name="_Toc38437782"/>
      <w:bookmarkStart w:id="776" w:name="_Toc38437928"/>
      <w:bookmarkStart w:id="777" w:name="_Toc38438074"/>
      <w:bookmarkStart w:id="778" w:name="_Toc38438220"/>
      <w:bookmarkStart w:id="779" w:name="_Toc38438557"/>
      <w:bookmarkStart w:id="780" w:name="_Toc38438894"/>
      <w:bookmarkStart w:id="781" w:name="_Toc38439231"/>
      <w:bookmarkStart w:id="782" w:name="_Toc38439568"/>
      <w:bookmarkStart w:id="783" w:name="_Toc38439905"/>
      <w:bookmarkStart w:id="784" w:name="_Toc38440242"/>
      <w:bookmarkStart w:id="785" w:name="_Toc38440579"/>
      <w:bookmarkStart w:id="786" w:name="_Toc38440778"/>
      <w:bookmarkStart w:id="787" w:name="_Toc38441111"/>
      <w:bookmarkStart w:id="788" w:name="_Toc38441443"/>
      <w:bookmarkStart w:id="789" w:name="_Toc38441775"/>
      <w:bookmarkStart w:id="790" w:name="_Toc38442103"/>
      <w:bookmarkStart w:id="791" w:name="_Toc38442435"/>
      <w:bookmarkStart w:id="792" w:name="_Toc38442767"/>
      <w:bookmarkStart w:id="793" w:name="_Toc38443098"/>
      <w:bookmarkStart w:id="794" w:name="_Toc38443429"/>
      <w:bookmarkStart w:id="795" w:name="_Toc38443760"/>
      <w:bookmarkStart w:id="796" w:name="_Toc38433507"/>
      <w:bookmarkStart w:id="797" w:name="_Toc38433642"/>
      <w:bookmarkStart w:id="798" w:name="_Toc38433776"/>
      <w:bookmarkStart w:id="799" w:name="_Toc38433926"/>
      <w:bookmarkStart w:id="800" w:name="_Toc38434074"/>
      <w:bookmarkStart w:id="801" w:name="_Toc38434222"/>
      <w:bookmarkStart w:id="802" w:name="_Toc38434368"/>
      <w:bookmarkStart w:id="803" w:name="_Toc38434511"/>
      <w:bookmarkStart w:id="804" w:name="_Toc38434654"/>
      <w:bookmarkStart w:id="805" w:name="_Toc38434797"/>
      <w:bookmarkStart w:id="806" w:name="_Toc38434941"/>
      <w:bookmarkStart w:id="807" w:name="_Toc38437637"/>
      <w:bookmarkStart w:id="808" w:name="_Toc38437783"/>
      <w:bookmarkStart w:id="809" w:name="_Toc38437929"/>
      <w:bookmarkStart w:id="810" w:name="_Toc38438075"/>
      <w:bookmarkStart w:id="811" w:name="_Toc38438221"/>
      <w:bookmarkStart w:id="812" w:name="_Toc38438558"/>
      <w:bookmarkStart w:id="813" w:name="_Toc38438895"/>
      <w:bookmarkStart w:id="814" w:name="_Toc38439232"/>
      <w:bookmarkStart w:id="815" w:name="_Toc38439569"/>
      <w:bookmarkStart w:id="816" w:name="_Toc38439906"/>
      <w:bookmarkStart w:id="817" w:name="_Toc38440243"/>
      <w:bookmarkStart w:id="818" w:name="_Toc38440580"/>
      <w:bookmarkStart w:id="819" w:name="_Toc38440779"/>
      <w:bookmarkStart w:id="820" w:name="_Toc38441112"/>
      <w:bookmarkStart w:id="821" w:name="_Toc38441444"/>
      <w:bookmarkStart w:id="822" w:name="_Toc38441776"/>
      <w:bookmarkStart w:id="823" w:name="_Toc38442104"/>
      <w:bookmarkStart w:id="824" w:name="_Toc38442436"/>
      <w:bookmarkStart w:id="825" w:name="_Toc38442768"/>
      <w:bookmarkStart w:id="826" w:name="_Toc38443099"/>
      <w:bookmarkStart w:id="827" w:name="_Toc38443430"/>
      <w:bookmarkStart w:id="828" w:name="_Toc38443761"/>
      <w:bookmarkStart w:id="829" w:name="_Toc38433508"/>
      <w:bookmarkStart w:id="830" w:name="_Toc38433643"/>
      <w:bookmarkStart w:id="831" w:name="_Toc38433777"/>
      <w:bookmarkStart w:id="832" w:name="_Toc38433927"/>
      <w:bookmarkStart w:id="833" w:name="_Toc38434075"/>
      <w:bookmarkStart w:id="834" w:name="_Toc38434223"/>
      <w:bookmarkStart w:id="835" w:name="_Toc38434369"/>
      <w:bookmarkStart w:id="836" w:name="_Toc38434512"/>
      <w:bookmarkStart w:id="837" w:name="_Toc38434655"/>
      <w:bookmarkStart w:id="838" w:name="_Toc38434798"/>
      <w:bookmarkStart w:id="839" w:name="_Toc38434942"/>
      <w:bookmarkStart w:id="840" w:name="_Toc38437638"/>
      <w:bookmarkStart w:id="841" w:name="_Toc38437784"/>
      <w:bookmarkStart w:id="842" w:name="_Toc38437930"/>
      <w:bookmarkStart w:id="843" w:name="_Toc38438076"/>
      <w:bookmarkStart w:id="844" w:name="_Toc38438222"/>
      <w:bookmarkStart w:id="845" w:name="_Toc38438559"/>
      <w:bookmarkStart w:id="846" w:name="_Toc38438896"/>
      <w:bookmarkStart w:id="847" w:name="_Toc38439233"/>
      <w:bookmarkStart w:id="848" w:name="_Toc38439570"/>
      <w:bookmarkStart w:id="849" w:name="_Toc38439907"/>
      <w:bookmarkStart w:id="850" w:name="_Toc38440244"/>
      <w:bookmarkStart w:id="851" w:name="_Toc38440581"/>
      <w:bookmarkStart w:id="852" w:name="_Toc38440780"/>
      <w:bookmarkStart w:id="853" w:name="_Toc38441113"/>
      <w:bookmarkStart w:id="854" w:name="_Toc38441445"/>
      <w:bookmarkStart w:id="855" w:name="_Toc38441777"/>
      <w:bookmarkStart w:id="856" w:name="_Toc38442105"/>
      <w:bookmarkStart w:id="857" w:name="_Toc38442437"/>
      <w:bookmarkStart w:id="858" w:name="_Toc38442769"/>
      <w:bookmarkStart w:id="859" w:name="_Toc38443100"/>
      <w:bookmarkStart w:id="860" w:name="_Toc38443431"/>
      <w:bookmarkStart w:id="861" w:name="_Toc38443762"/>
      <w:bookmarkStart w:id="862" w:name="_Toc38433510"/>
      <w:bookmarkStart w:id="863" w:name="_Toc38433645"/>
      <w:bookmarkStart w:id="864" w:name="_Toc38433779"/>
      <w:bookmarkStart w:id="865" w:name="_Toc38433929"/>
      <w:bookmarkStart w:id="866" w:name="_Toc38434077"/>
      <w:bookmarkStart w:id="867" w:name="_Toc38434225"/>
      <w:bookmarkStart w:id="868" w:name="_Toc38434371"/>
      <w:bookmarkStart w:id="869" w:name="_Toc38434514"/>
      <w:bookmarkStart w:id="870" w:name="_Toc38434657"/>
      <w:bookmarkStart w:id="871" w:name="_Toc38434800"/>
      <w:bookmarkStart w:id="872" w:name="_Toc38434944"/>
      <w:bookmarkStart w:id="873" w:name="_Toc38437640"/>
      <w:bookmarkStart w:id="874" w:name="_Toc38437786"/>
      <w:bookmarkStart w:id="875" w:name="_Toc38437932"/>
      <w:bookmarkStart w:id="876" w:name="_Toc38438078"/>
      <w:bookmarkStart w:id="877" w:name="_Toc38438224"/>
      <w:bookmarkStart w:id="878" w:name="_Toc38438561"/>
      <w:bookmarkStart w:id="879" w:name="_Toc38438898"/>
      <w:bookmarkStart w:id="880" w:name="_Toc38439235"/>
      <w:bookmarkStart w:id="881" w:name="_Toc38439572"/>
      <w:bookmarkStart w:id="882" w:name="_Toc38439909"/>
      <w:bookmarkStart w:id="883" w:name="_Toc38440246"/>
      <w:bookmarkStart w:id="884" w:name="_Toc38440583"/>
      <w:bookmarkStart w:id="885" w:name="_Toc38440782"/>
      <w:bookmarkStart w:id="886" w:name="_Toc38441115"/>
      <w:bookmarkStart w:id="887" w:name="_Toc38441447"/>
      <w:bookmarkStart w:id="888" w:name="_Toc38441779"/>
      <w:bookmarkStart w:id="889" w:name="_Toc38442107"/>
      <w:bookmarkStart w:id="890" w:name="_Toc38442439"/>
      <w:bookmarkStart w:id="891" w:name="_Toc38442771"/>
      <w:bookmarkStart w:id="892" w:name="_Toc38443102"/>
      <w:bookmarkStart w:id="893" w:name="_Toc38443433"/>
      <w:bookmarkStart w:id="894" w:name="_Toc38443764"/>
      <w:bookmarkStart w:id="895" w:name="_Toc13148353"/>
      <w:bookmarkStart w:id="896" w:name="_Toc13150581"/>
      <w:bookmarkStart w:id="897" w:name="_Toc13291966"/>
      <w:bookmarkStart w:id="898" w:name="_Toc13504692"/>
      <w:bookmarkStart w:id="899" w:name="_Toc13504808"/>
      <w:bookmarkStart w:id="900" w:name="_Toc13556301"/>
      <w:bookmarkStart w:id="901" w:name="_Toc14337423"/>
      <w:bookmarkStart w:id="902" w:name="_Toc13148354"/>
      <w:bookmarkStart w:id="903" w:name="_Toc13150582"/>
      <w:bookmarkStart w:id="904" w:name="_Toc13291967"/>
      <w:bookmarkStart w:id="905" w:name="_Toc13504693"/>
      <w:bookmarkStart w:id="906" w:name="_Toc13504809"/>
      <w:bookmarkStart w:id="907" w:name="_Toc13556302"/>
      <w:bookmarkStart w:id="908" w:name="_Toc14337424"/>
      <w:bookmarkStart w:id="909" w:name="_Toc13148355"/>
      <w:bookmarkStart w:id="910" w:name="_Toc13150583"/>
      <w:bookmarkStart w:id="911" w:name="_Toc13291968"/>
      <w:bookmarkStart w:id="912" w:name="_Toc13504694"/>
      <w:bookmarkStart w:id="913" w:name="_Toc13504810"/>
      <w:bookmarkStart w:id="914" w:name="_Toc13556303"/>
      <w:bookmarkStart w:id="915" w:name="_Toc14337425"/>
      <w:bookmarkStart w:id="916" w:name="_Toc13148356"/>
      <w:bookmarkStart w:id="917" w:name="_Toc13150584"/>
      <w:bookmarkStart w:id="918" w:name="_Toc13291969"/>
      <w:bookmarkStart w:id="919" w:name="_Toc13504695"/>
      <w:bookmarkStart w:id="920" w:name="_Toc13504811"/>
      <w:bookmarkStart w:id="921" w:name="_Toc13556304"/>
      <w:bookmarkStart w:id="922" w:name="_Toc14337426"/>
      <w:bookmarkStart w:id="923" w:name="_Toc13148357"/>
      <w:bookmarkStart w:id="924" w:name="_Toc13150585"/>
      <w:bookmarkStart w:id="925" w:name="_Toc13291970"/>
      <w:bookmarkStart w:id="926" w:name="_Toc13504696"/>
      <w:bookmarkStart w:id="927" w:name="_Toc13504812"/>
      <w:bookmarkStart w:id="928" w:name="_Toc13556305"/>
      <w:bookmarkStart w:id="929" w:name="_Toc14337427"/>
      <w:bookmarkStart w:id="930" w:name="_Toc13148358"/>
      <w:bookmarkStart w:id="931" w:name="_Toc13150586"/>
      <w:bookmarkStart w:id="932" w:name="_Toc13291971"/>
      <w:bookmarkStart w:id="933" w:name="_Toc13504697"/>
      <w:bookmarkStart w:id="934" w:name="_Toc13504813"/>
      <w:bookmarkStart w:id="935" w:name="_Toc13556306"/>
      <w:bookmarkStart w:id="936" w:name="_Toc14337428"/>
      <w:bookmarkStart w:id="937" w:name="_Toc13148359"/>
      <w:bookmarkStart w:id="938" w:name="_Toc13150587"/>
      <w:bookmarkStart w:id="939" w:name="_Toc13291972"/>
      <w:bookmarkStart w:id="940" w:name="_Toc13504698"/>
      <w:bookmarkStart w:id="941" w:name="_Toc13504814"/>
      <w:bookmarkStart w:id="942" w:name="_Toc13556307"/>
      <w:bookmarkStart w:id="943" w:name="_Toc14337429"/>
      <w:bookmarkStart w:id="944" w:name="_Toc13148360"/>
      <w:bookmarkStart w:id="945" w:name="_Toc13150588"/>
      <w:bookmarkStart w:id="946" w:name="_Toc13291973"/>
      <w:bookmarkStart w:id="947" w:name="_Toc13504699"/>
      <w:bookmarkStart w:id="948" w:name="_Toc13504815"/>
      <w:bookmarkStart w:id="949" w:name="_Toc13556308"/>
      <w:bookmarkStart w:id="950" w:name="_Toc14337430"/>
      <w:bookmarkStart w:id="951" w:name="_Toc13148361"/>
      <w:bookmarkStart w:id="952" w:name="_Toc13150589"/>
      <w:bookmarkStart w:id="953" w:name="_Toc13291974"/>
      <w:bookmarkStart w:id="954" w:name="_Toc13504700"/>
      <w:bookmarkStart w:id="955" w:name="_Toc13504816"/>
      <w:bookmarkStart w:id="956" w:name="_Toc13556309"/>
      <w:bookmarkStart w:id="957" w:name="_Toc14337431"/>
      <w:bookmarkStart w:id="958" w:name="_Toc13148362"/>
      <w:bookmarkStart w:id="959" w:name="_Toc13150590"/>
      <w:bookmarkStart w:id="960" w:name="_Toc13291975"/>
      <w:bookmarkStart w:id="961" w:name="_Toc13504701"/>
      <w:bookmarkStart w:id="962" w:name="_Toc13504817"/>
      <w:bookmarkStart w:id="963" w:name="_Toc13556310"/>
      <w:bookmarkStart w:id="964" w:name="_Toc14337432"/>
      <w:bookmarkStart w:id="965" w:name="_Toc13148369"/>
      <w:bookmarkStart w:id="966" w:name="_Toc13150597"/>
      <w:bookmarkStart w:id="967" w:name="_Toc13291982"/>
      <w:bookmarkStart w:id="968" w:name="_Toc13504708"/>
      <w:bookmarkStart w:id="969" w:name="_Toc13504824"/>
      <w:bookmarkStart w:id="970" w:name="_Toc13556317"/>
      <w:bookmarkStart w:id="971" w:name="_Toc14337439"/>
      <w:bookmarkStart w:id="972" w:name="_Toc13148370"/>
      <w:bookmarkStart w:id="973" w:name="_Toc13150598"/>
      <w:bookmarkStart w:id="974" w:name="_Toc13291983"/>
      <w:bookmarkStart w:id="975" w:name="_Toc13504709"/>
      <w:bookmarkStart w:id="976" w:name="_Toc13504825"/>
      <w:bookmarkStart w:id="977" w:name="_Toc13556318"/>
      <w:bookmarkStart w:id="978" w:name="_Toc14337440"/>
      <w:bookmarkStart w:id="979" w:name="_Toc13148371"/>
      <w:bookmarkStart w:id="980" w:name="_Toc13150599"/>
      <w:bookmarkStart w:id="981" w:name="_Toc13291984"/>
      <w:bookmarkStart w:id="982" w:name="_Toc13504710"/>
      <w:bookmarkStart w:id="983" w:name="_Toc13504826"/>
      <w:bookmarkStart w:id="984" w:name="_Toc13556319"/>
      <w:bookmarkStart w:id="985" w:name="_Toc14337441"/>
      <w:bookmarkStart w:id="986" w:name="_Toc13148372"/>
      <w:bookmarkStart w:id="987" w:name="_Toc13150600"/>
      <w:bookmarkStart w:id="988" w:name="_Toc13291985"/>
      <w:bookmarkStart w:id="989" w:name="_Toc13504711"/>
      <w:bookmarkStart w:id="990" w:name="_Toc13504827"/>
      <w:bookmarkStart w:id="991" w:name="_Toc13556320"/>
      <w:bookmarkStart w:id="992" w:name="_Toc14337442"/>
      <w:bookmarkStart w:id="993" w:name="_Toc13148373"/>
      <w:bookmarkStart w:id="994" w:name="_Toc13150601"/>
      <w:bookmarkStart w:id="995" w:name="_Toc13291986"/>
      <w:bookmarkStart w:id="996" w:name="_Toc13504712"/>
      <w:bookmarkStart w:id="997" w:name="_Toc13504828"/>
      <w:bookmarkStart w:id="998" w:name="_Toc13556321"/>
      <w:bookmarkStart w:id="999" w:name="_Toc14337443"/>
      <w:bookmarkStart w:id="1000" w:name="_Toc13148374"/>
      <w:bookmarkStart w:id="1001" w:name="_Toc13150602"/>
      <w:bookmarkStart w:id="1002" w:name="_Toc13291987"/>
      <w:bookmarkStart w:id="1003" w:name="_Toc13504713"/>
      <w:bookmarkStart w:id="1004" w:name="_Toc13504829"/>
      <w:bookmarkStart w:id="1005" w:name="_Toc13556322"/>
      <w:bookmarkStart w:id="1006" w:name="_Toc14337444"/>
      <w:bookmarkStart w:id="1007" w:name="_Toc13148376"/>
      <w:bookmarkStart w:id="1008" w:name="_Toc13150604"/>
      <w:bookmarkStart w:id="1009" w:name="_Toc13291989"/>
      <w:bookmarkStart w:id="1010" w:name="_Toc13504715"/>
      <w:bookmarkStart w:id="1011" w:name="_Toc13504831"/>
      <w:bookmarkStart w:id="1012" w:name="_Toc13556324"/>
      <w:bookmarkStart w:id="1013" w:name="_Toc14337446"/>
      <w:bookmarkStart w:id="1014" w:name="_Toc13148377"/>
      <w:bookmarkStart w:id="1015" w:name="_Toc13150605"/>
      <w:bookmarkStart w:id="1016" w:name="_Toc13291990"/>
      <w:bookmarkStart w:id="1017" w:name="_Toc13504716"/>
      <w:bookmarkStart w:id="1018" w:name="_Toc13504832"/>
      <w:bookmarkStart w:id="1019" w:name="_Toc13556325"/>
      <w:bookmarkStart w:id="1020" w:name="_Toc14337447"/>
      <w:bookmarkStart w:id="1021" w:name="_Toc13148379"/>
      <w:bookmarkStart w:id="1022" w:name="_Toc13150607"/>
      <w:bookmarkStart w:id="1023" w:name="_Toc13291992"/>
      <w:bookmarkStart w:id="1024" w:name="_Toc13504718"/>
      <w:bookmarkStart w:id="1025" w:name="_Toc13504834"/>
      <w:bookmarkStart w:id="1026" w:name="_Toc13556327"/>
      <w:bookmarkStart w:id="1027" w:name="_Toc14337449"/>
      <w:bookmarkStart w:id="1028" w:name="_Toc13148381"/>
      <w:bookmarkStart w:id="1029" w:name="_Toc13150609"/>
      <w:bookmarkStart w:id="1030" w:name="_Toc13291994"/>
      <w:bookmarkStart w:id="1031" w:name="_Toc13504720"/>
      <w:bookmarkStart w:id="1032" w:name="_Toc13504836"/>
      <w:bookmarkStart w:id="1033" w:name="_Toc13556329"/>
      <w:bookmarkStart w:id="1034" w:name="_Toc14337451"/>
      <w:bookmarkStart w:id="1035" w:name="_Toc13148384"/>
      <w:bookmarkStart w:id="1036" w:name="_Toc13150612"/>
      <w:bookmarkStart w:id="1037" w:name="_Toc13291997"/>
      <w:bookmarkStart w:id="1038" w:name="_Toc13504723"/>
      <w:bookmarkStart w:id="1039" w:name="_Toc13504839"/>
      <w:bookmarkStart w:id="1040" w:name="_Toc13556332"/>
      <w:bookmarkStart w:id="1041" w:name="_Toc14337454"/>
      <w:bookmarkStart w:id="1042" w:name="_Toc13148385"/>
      <w:bookmarkStart w:id="1043" w:name="_Toc13150613"/>
      <w:bookmarkStart w:id="1044" w:name="_Toc13291998"/>
      <w:bookmarkStart w:id="1045" w:name="_Toc13504724"/>
      <w:bookmarkStart w:id="1046" w:name="_Toc13504840"/>
      <w:bookmarkStart w:id="1047" w:name="_Toc13556333"/>
      <w:bookmarkStart w:id="1048" w:name="_Toc14337455"/>
      <w:bookmarkStart w:id="1049" w:name="_Toc13148390"/>
      <w:bookmarkStart w:id="1050" w:name="_Toc13150618"/>
      <w:bookmarkStart w:id="1051" w:name="_Toc13292003"/>
      <w:bookmarkStart w:id="1052" w:name="_Toc13504729"/>
      <w:bookmarkStart w:id="1053" w:name="_Toc13504845"/>
      <w:bookmarkStart w:id="1054" w:name="_Toc13556338"/>
      <w:bookmarkStart w:id="1055" w:name="_Toc14337460"/>
      <w:bookmarkStart w:id="1056" w:name="_Toc13148391"/>
      <w:bookmarkStart w:id="1057" w:name="_Toc13150619"/>
      <w:bookmarkStart w:id="1058" w:name="_Toc13292004"/>
      <w:bookmarkStart w:id="1059" w:name="_Toc13504730"/>
      <w:bookmarkStart w:id="1060" w:name="_Toc13504846"/>
      <w:bookmarkStart w:id="1061" w:name="_Toc13556339"/>
      <w:bookmarkStart w:id="1062" w:name="_Toc14337461"/>
      <w:bookmarkStart w:id="1063" w:name="_Toc13148392"/>
      <w:bookmarkStart w:id="1064" w:name="_Toc13150620"/>
      <w:bookmarkStart w:id="1065" w:name="_Toc13292005"/>
      <w:bookmarkStart w:id="1066" w:name="_Toc13504731"/>
      <w:bookmarkStart w:id="1067" w:name="_Toc13504847"/>
      <w:bookmarkStart w:id="1068" w:name="_Toc13556340"/>
      <w:bookmarkStart w:id="1069" w:name="_Toc14337462"/>
      <w:bookmarkStart w:id="1070" w:name="_Toc13148393"/>
      <w:bookmarkStart w:id="1071" w:name="_Toc13150621"/>
      <w:bookmarkStart w:id="1072" w:name="_Toc13292006"/>
      <w:bookmarkStart w:id="1073" w:name="_Toc13504732"/>
      <w:bookmarkStart w:id="1074" w:name="_Toc13504848"/>
      <w:bookmarkStart w:id="1075" w:name="_Toc13556341"/>
      <w:bookmarkStart w:id="1076" w:name="_Toc14337463"/>
      <w:bookmarkStart w:id="1077" w:name="_Toc13148394"/>
      <w:bookmarkStart w:id="1078" w:name="_Toc13150622"/>
      <w:bookmarkStart w:id="1079" w:name="_Toc13292007"/>
      <w:bookmarkStart w:id="1080" w:name="_Toc13504733"/>
      <w:bookmarkStart w:id="1081" w:name="_Toc13504849"/>
      <w:bookmarkStart w:id="1082" w:name="_Toc13556342"/>
      <w:bookmarkStart w:id="1083" w:name="_Toc14337464"/>
      <w:bookmarkStart w:id="1084" w:name="_Toc13148395"/>
      <w:bookmarkStart w:id="1085" w:name="_Toc13150623"/>
      <w:bookmarkStart w:id="1086" w:name="_Toc13292008"/>
      <w:bookmarkStart w:id="1087" w:name="_Toc13504734"/>
      <w:bookmarkStart w:id="1088" w:name="_Toc13504850"/>
      <w:bookmarkStart w:id="1089" w:name="_Toc13556343"/>
      <w:bookmarkStart w:id="1090" w:name="_Toc14337465"/>
      <w:bookmarkStart w:id="1091" w:name="_Toc13148396"/>
      <w:bookmarkStart w:id="1092" w:name="_Toc13150624"/>
      <w:bookmarkStart w:id="1093" w:name="_Toc13292009"/>
      <w:bookmarkStart w:id="1094" w:name="_Toc13504735"/>
      <w:bookmarkStart w:id="1095" w:name="_Toc13504851"/>
      <w:bookmarkStart w:id="1096" w:name="_Toc13556344"/>
      <w:bookmarkStart w:id="1097" w:name="_Toc14337466"/>
      <w:bookmarkStart w:id="1098" w:name="_Toc13148397"/>
      <w:bookmarkStart w:id="1099" w:name="_Toc13150625"/>
      <w:bookmarkStart w:id="1100" w:name="_Toc13292010"/>
      <w:bookmarkStart w:id="1101" w:name="_Toc13504736"/>
      <w:bookmarkStart w:id="1102" w:name="_Toc13504852"/>
      <w:bookmarkStart w:id="1103" w:name="_Toc13556345"/>
      <w:bookmarkStart w:id="1104" w:name="_Toc14337467"/>
      <w:bookmarkStart w:id="1105" w:name="_Toc13148398"/>
      <w:bookmarkStart w:id="1106" w:name="_Toc13150626"/>
      <w:bookmarkStart w:id="1107" w:name="_Toc13292011"/>
      <w:bookmarkStart w:id="1108" w:name="_Toc13504737"/>
      <w:bookmarkStart w:id="1109" w:name="_Toc13504853"/>
      <w:bookmarkStart w:id="1110" w:name="_Toc13556346"/>
      <w:bookmarkStart w:id="1111" w:name="_Toc14337468"/>
      <w:bookmarkStart w:id="1112" w:name="_Toc13148399"/>
      <w:bookmarkStart w:id="1113" w:name="_Toc13150627"/>
      <w:bookmarkStart w:id="1114" w:name="_Toc13292012"/>
      <w:bookmarkStart w:id="1115" w:name="_Toc13504738"/>
      <w:bookmarkStart w:id="1116" w:name="_Toc13504854"/>
      <w:bookmarkStart w:id="1117" w:name="_Toc13556347"/>
      <w:bookmarkStart w:id="1118" w:name="_Toc14337469"/>
      <w:bookmarkStart w:id="1119" w:name="_Toc13148400"/>
      <w:bookmarkStart w:id="1120" w:name="_Toc13150628"/>
      <w:bookmarkStart w:id="1121" w:name="_Toc13292013"/>
      <w:bookmarkStart w:id="1122" w:name="_Toc13504739"/>
      <w:bookmarkStart w:id="1123" w:name="_Toc13504855"/>
      <w:bookmarkStart w:id="1124" w:name="_Toc13556348"/>
      <w:bookmarkStart w:id="1125" w:name="_Toc14337470"/>
      <w:bookmarkStart w:id="1126" w:name="_Toc13148401"/>
      <w:bookmarkStart w:id="1127" w:name="_Toc13150629"/>
      <w:bookmarkStart w:id="1128" w:name="_Toc13292014"/>
      <w:bookmarkStart w:id="1129" w:name="_Toc13504740"/>
      <w:bookmarkStart w:id="1130" w:name="_Toc13504856"/>
      <w:bookmarkStart w:id="1131" w:name="_Toc13556349"/>
      <w:bookmarkStart w:id="1132" w:name="_Toc14337471"/>
      <w:bookmarkStart w:id="1133" w:name="_Toc13148402"/>
      <w:bookmarkStart w:id="1134" w:name="_Toc13150630"/>
      <w:bookmarkStart w:id="1135" w:name="_Toc13292015"/>
      <w:bookmarkStart w:id="1136" w:name="_Toc13504741"/>
      <w:bookmarkStart w:id="1137" w:name="_Toc13504857"/>
      <w:bookmarkStart w:id="1138" w:name="_Toc13556350"/>
      <w:bookmarkStart w:id="1139" w:name="_Toc14337472"/>
      <w:bookmarkStart w:id="1140" w:name="_Toc13148408"/>
      <w:bookmarkStart w:id="1141" w:name="_Toc13150636"/>
      <w:bookmarkStart w:id="1142" w:name="_Toc13292021"/>
      <w:bookmarkStart w:id="1143" w:name="_Toc13504747"/>
      <w:bookmarkStart w:id="1144" w:name="_Toc13504863"/>
      <w:bookmarkStart w:id="1145" w:name="_Toc13556356"/>
      <w:bookmarkStart w:id="1146" w:name="_Toc14337478"/>
      <w:bookmarkStart w:id="1147" w:name="_Toc13148409"/>
      <w:bookmarkStart w:id="1148" w:name="_Toc13150637"/>
      <w:bookmarkStart w:id="1149" w:name="_Toc13292022"/>
      <w:bookmarkStart w:id="1150" w:name="_Toc13504748"/>
      <w:bookmarkStart w:id="1151" w:name="_Toc13504864"/>
      <w:bookmarkStart w:id="1152" w:name="_Toc13556357"/>
      <w:bookmarkStart w:id="1153" w:name="_Toc14337479"/>
      <w:bookmarkStart w:id="1154" w:name="_Toc13148411"/>
      <w:bookmarkStart w:id="1155" w:name="_Toc13150639"/>
      <w:bookmarkStart w:id="1156" w:name="_Toc13292024"/>
      <w:bookmarkStart w:id="1157" w:name="_Toc13504750"/>
      <w:bookmarkStart w:id="1158" w:name="_Toc13504866"/>
      <w:bookmarkStart w:id="1159" w:name="_Toc13556359"/>
      <w:bookmarkStart w:id="1160" w:name="_Toc14337481"/>
      <w:bookmarkStart w:id="1161" w:name="_Toc13148412"/>
      <w:bookmarkStart w:id="1162" w:name="_Toc13150640"/>
      <w:bookmarkStart w:id="1163" w:name="_Toc13292025"/>
      <w:bookmarkStart w:id="1164" w:name="_Toc13504751"/>
      <w:bookmarkStart w:id="1165" w:name="_Toc13504867"/>
      <w:bookmarkStart w:id="1166" w:name="_Toc13556360"/>
      <w:bookmarkStart w:id="1167" w:name="_Toc14337482"/>
      <w:bookmarkStart w:id="1168" w:name="_Toc13148413"/>
      <w:bookmarkStart w:id="1169" w:name="_Toc13150641"/>
      <w:bookmarkStart w:id="1170" w:name="_Toc13292026"/>
      <w:bookmarkStart w:id="1171" w:name="_Toc13504752"/>
      <w:bookmarkStart w:id="1172" w:name="_Toc13504868"/>
      <w:bookmarkStart w:id="1173" w:name="_Toc13556361"/>
      <w:bookmarkStart w:id="1174" w:name="_Toc14337483"/>
      <w:bookmarkStart w:id="1175" w:name="_Toc38438236"/>
      <w:bookmarkStart w:id="1176" w:name="_Toc38438573"/>
      <w:bookmarkStart w:id="1177" w:name="_Toc38438910"/>
      <w:bookmarkStart w:id="1178" w:name="_Toc38439247"/>
      <w:bookmarkStart w:id="1179" w:name="_Toc38439584"/>
      <w:bookmarkStart w:id="1180" w:name="_Toc38439921"/>
      <w:bookmarkStart w:id="1181" w:name="_Toc38440258"/>
      <w:bookmarkStart w:id="1182" w:name="_Toc38440595"/>
      <w:bookmarkStart w:id="1183" w:name="_Toc38440794"/>
      <w:bookmarkStart w:id="1184" w:name="_Toc38441127"/>
      <w:bookmarkStart w:id="1185" w:name="_Toc38441459"/>
      <w:bookmarkStart w:id="1186" w:name="_Toc38441791"/>
      <w:bookmarkStart w:id="1187" w:name="_Toc38442119"/>
      <w:bookmarkStart w:id="1188" w:name="_Toc38442451"/>
      <w:bookmarkStart w:id="1189" w:name="_Toc38442783"/>
      <w:bookmarkStart w:id="1190" w:name="_Toc38443114"/>
      <w:bookmarkStart w:id="1191" w:name="_Toc38443445"/>
      <w:bookmarkStart w:id="1192" w:name="_Toc38443776"/>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p>
    <w:p w:rsidR="007228CC" w:rsidRPr="00054588" w:rsidP="0071223F">
      <w:pPr>
        <w:snapToGrid w:val="0"/>
        <w:spacing w:line="360" w:lineRule="auto"/>
        <w:ind w:firstLine="640"/>
        <w:rPr>
          <w:rFonts w:asciiTheme="minorEastAsia" w:eastAsiaTheme="minorEastAsia" w:hAnsiTheme="minorEastAsia"/>
          <w:color w:val="000000" w:themeColor="text1"/>
        </w:rPr>
      </w:pPr>
    </w:p>
    <w:p w:rsidR="007228CC" w:rsidRPr="00054588" w:rsidP="00941EC8">
      <w:pPr>
        <w:pStyle w:val="Heading1"/>
        <w:numPr>
          <w:ilvl w:val="0"/>
          <w:numId w:val="7"/>
        </w:numPr>
        <w:snapToGrid w:val="0"/>
        <w:spacing w:beforeLines="0" w:afterLines="0" w:line="360" w:lineRule="auto"/>
        <w:ind w:firstLineChars="0"/>
        <w:rPr>
          <w:rFonts w:asciiTheme="minorEastAsia" w:eastAsiaTheme="minorEastAsia" w:hAnsiTheme="minorEastAsia"/>
          <w:color w:val="000000" w:themeColor="text1"/>
        </w:rPr>
        <w:sectPr w:rsidSect="00DE4B5E">
          <w:pgSz w:w="11906" w:h="16838" w:code="9"/>
          <w:pgMar w:top="1440" w:right="1800" w:bottom="1440" w:left="1800" w:header="851" w:footer="992" w:gutter="0"/>
          <w:cols w:space="425"/>
          <w:docGrid w:type="lines" w:linePitch="312"/>
        </w:sectPr>
      </w:pPr>
      <w:bookmarkStart w:id="1193" w:name="_Toc169345027"/>
      <w:bookmarkStart w:id="1194" w:name="_Toc211920228"/>
      <w:bookmarkStart w:id="1195" w:name="_Toc211927757"/>
      <w:bookmarkStart w:id="1196" w:name="_Toc40511576"/>
    </w:p>
    <w:p w:rsidR="007228CC" w:rsidRPr="00054588" w:rsidP="00DB15B5">
      <w:pPr>
        <w:pStyle w:val="111"/>
        <w:numPr>
          <w:ilvl w:val="0"/>
          <w:numId w:val="7"/>
        </w:numPr>
        <w:tabs>
          <w:tab w:val="num" w:pos="0"/>
          <w:tab w:val="clear" w:pos="2798"/>
        </w:tabs>
        <w:snapToGrid w:val="0"/>
        <w:spacing w:beforeLines="0" w:afterLines="0" w:line="360" w:lineRule="auto"/>
        <w:ind w:left="0" w:firstLine="0" w:firstLineChars="0"/>
        <w:rPr>
          <w:rFonts w:asciiTheme="minorEastAsia" w:eastAsiaTheme="minorEastAsia" w:hAnsiTheme="minorEastAsia"/>
          <w:b/>
          <w:color w:val="000000" w:themeColor="text1"/>
        </w:rPr>
      </w:pPr>
      <w:bookmarkStart w:id="1197" w:name="_Toc123296523"/>
      <w:r w:rsidRPr="00054588">
        <w:rPr>
          <w:rFonts w:asciiTheme="minorEastAsia" w:eastAsiaTheme="minorEastAsia" w:hAnsiTheme="minorEastAsia" w:hint="eastAsia"/>
          <w:b/>
          <w:color w:val="000000" w:themeColor="text1"/>
        </w:rPr>
        <w:t>基金托管协议的内容摘要</w:t>
      </w:r>
      <w:bookmarkEnd w:id="1197"/>
    </w:p>
    <w:p w:rsidR="007228CC" w:rsidRPr="00054588" w:rsidP="009A1EA6">
      <w:pPr>
        <w:pStyle w:val="Heading2"/>
        <w:snapToGrid w:val="0"/>
        <w:spacing w:beforeLines="0" w:afterLines="0" w:line="360" w:lineRule="auto"/>
        <w:ind w:firstLine="0" w:firstLineChars="0"/>
        <w:rPr>
          <w:rFonts w:asciiTheme="minorEastAsia" w:eastAsiaTheme="minorEastAsia" w:hAnsiTheme="minorEastAsia"/>
          <w:color w:val="000000" w:themeColor="text1"/>
          <w:sz w:val="24"/>
        </w:rPr>
      </w:pPr>
      <w:bookmarkStart w:id="1198" w:name="_Toc123296524"/>
      <w:r w:rsidRPr="00054588">
        <w:rPr>
          <w:rFonts w:asciiTheme="minorEastAsia" w:eastAsiaTheme="minorEastAsia" w:hAnsiTheme="minorEastAsia" w:hint="eastAsia"/>
          <w:bCs/>
          <w:color w:val="000000" w:themeColor="text1"/>
        </w:rPr>
        <w:t>（一）托管协议当事人</w:t>
      </w:r>
      <w:bookmarkEnd w:id="1193"/>
      <w:bookmarkEnd w:id="1194"/>
      <w:bookmarkEnd w:id="1195"/>
      <w:bookmarkEnd w:id="1198"/>
    </w:p>
    <w:p w:rsidR="007228CC" w:rsidRPr="00054588"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bookmarkStart w:id="1199" w:name="_Toc211920229"/>
      <w:r w:rsidRPr="00054588">
        <w:rPr>
          <w:rFonts w:asciiTheme="minorEastAsia" w:eastAsiaTheme="minorEastAsia" w:hAnsiTheme="minorEastAsia" w:cs="Arial" w:hint="eastAsia"/>
          <w:color w:val="000000" w:themeColor="text1"/>
          <w:szCs w:val="21"/>
        </w:rPr>
        <w:t>1、基金管理人</w:t>
      </w:r>
      <w:bookmarkEnd w:id="1199"/>
    </w:p>
    <w:p w:rsidR="007228CC" w:rsidRPr="00054588"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名称：易方达基金管理有限公司</w:t>
      </w:r>
    </w:p>
    <w:p w:rsidR="007228CC" w:rsidRPr="00054588"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注册地址：</w:t>
      </w:r>
      <w:r w:rsidRPr="00054588" w:rsidR="005D4CA4">
        <w:rPr>
          <w:rFonts w:asciiTheme="minorEastAsia" w:eastAsiaTheme="minorEastAsia" w:hAnsiTheme="minorEastAsia" w:hint="eastAsia"/>
          <w:color w:val="000000" w:themeColor="text1"/>
          <w:szCs w:val="21"/>
        </w:rPr>
        <w:t>广东省珠海市横琴新区荣粤道188号6层</w:t>
      </w:r>
    </w:p>
    <w:p w:rsidR="007228CC" w:rsidRPr="00054588"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办公地址：</w:t>
      </w:r>
      <w:r w:rsidRPr="00054588">
        <w:rPr>
          <w:rFonts w:asciiTheme="minorEastAsia" w:eastAsiaTheme="minorEastAsia" w:hAnsiTheme="minorEastAsia" w:hint="eastAsia"/>
          <w:color w:val="000000" w:themeColor="text1"/>
          <w:kern w:val="0"/>
          <w:szCs w:val="21"/>
        </w:rPr>
        <w:t>广州市</w:t>
      </w:r>
      <w:r w:rsidRPr="00054588" w:rsidR="001E4DE9">
        <w:rPr>
          <w:rFonts w:asciiTheme="minorEastAsia" w:eastAsiaTheme="minorEastAsia" w:hAnsiTheme="minorEastAsia" w:hint="eastAsia"/>
          <w:color w:val="000000" w:themeColor="text1"/>
          <w:kern w:val="0"/>
          <w:szCs w:val="21"/>
        </w:rPr>
        <w:t>天河区珠江新城珠江东路30号广州银行大厦40-43楼</w:t>
      </w:r>
    </w:p>
    <w:p w:rsidR="007228CC" w:rsidRPr="00054588"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法定代表人：</w:t>
      </w:r>
      <w:r w:rsidRPr="00054588" w:rsidR="00C45C67">
        <w:rPr>
          <w:rFonts w:asciiTheme="minorEastAsia" w:eastAsiaTheme="minorEastAsia" w:hAnsiTheme="minorEastAsia" w:hint="eastAsia"/>
          <w:color w:val="000000" w:themeColor="text1"/>
          <w:kern w:val="0"/>
          <w:szCs w:val="21"/>
        </w:rPr>
        <w:t>刘晓艳</w:t>
      </w:r>
    </w:p>
    <w:p w:rsidR="007228CC" w:rsidRPr="00054588"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成立日期：</w:t>
      </w:r>
      <w:r w:rsidRPr="00054588">
        <w:rPr>
          <w:rStyle w:val="read"/>
          <w:rFonts w:asciiTheme="minorEastAsia" w:eastAsiaTheme="minorEastAsia" w:hAnsiTheme="minorEastAsia" w:cs="Arial" w:hint="eastAsia"/>
          <w:color w:val="000000" w:themeColor="text1"/>
          <w:szCs w:val="21"/>
        </w:rPr>
        <w:t>2001年4月17日</w:t>
      </w:r>
    </w:p>
    <w:p w:rsidR="007228CC" w:rsidRPr="00054588"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批准设立机关及批准设立文号：</w:t>
      </w:r>
      <w:r w:rsidRPr="00054588" w:rsidR="00276BDF">
        <w:rPr>
          <w:rFonts w:asciiTheme="minorEastAsia" w:eastAsiaTheme="minorEastAsia" w:hAnsiTheme="minorEastAsia" w:cs="Arial" w:hint="eastAsia"/>
          <w:color w:val="000000" w:themeColor="text1"/>
          <w:szCs w:val="21"/>
        </w:rPr>
        <w:t>中国证券监督管理委员会</w:t>
      </w:r>
      <w:r w:rsidRPr="00054588">
        <w:rPr>
          <w:rFonts w:asciiTheme="minorEastAsia" w:eastAsiaTheme="minorEastAsia" w:hAnsiTheme="minorEastAsia" w:cs="Arial" w:hint="eastAsia"/>
          <w:color w:val="000000" w:themeColor="text1"/>
          <w:szCs w:val="21"/>
        </w:rPr>
        <w:t>，证监基金字</w:t>
      </w:r>
      <w:r w:rsidRPr="00054588">
        <w:rPr>
          <w:rStyle w:val="read"/>
          <w:rFonts w:asciiTheme="minorEastAsia" w:eastAsiaTheme="minorEastAsia" w:hAnsiTheme="minorEastAsia" w:cs="Arial" w:hint="eastAsia"/>
          <w:color w:val="000000" w:themeColor="text1"/>
          <w:szCs w:val="21"/>
        </w:rPr>
        <w:t>[2001]4</w:t>
      </w:r>
      <w:r w:rsidRPr="00054588">
        <w:rPr>
          <w:rFonts w:asciiTheme="minorEastAsia" w:eastAsiaTheme="minorEastAsia" w:hAnsiTheme="minorEastAsia" w:cs="Arial" w:hint="eastAsia"/>
          <w:color w:val="000000" w:themeColor="text1"/>
          <w:szCs w:val="21"/>
        </w:rPr>
        <w:t>号</w:t>
      </w:r>
    </w:p>
    <w:p w:rsidR="007228CC" w:rsidRPr="00054588"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组织形式：</w:t>
      </w:r>
      <w:r w:rsidRPr="00054588">
        <w:rPr>
          <w:rFonts w:asciiTheme="minorEastAsia" w:eastAsiaTheme="minorEastAsia" w:hAnsiTheme="minorEastAsia" w:hint="eastAsia"/>
          <w:color w:val="000000" w:themeColor="text1"/>
          <w:kern w:val="0"/>
          <w:szCs w:val="21"/>
        </w:rPr>
        <w:t>有限责任公司</w:t>
      </w:r>
    </w:p>
    <w:p w:rsidR="007228CC" w:rsidRPr="00054588"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注册资本：13,244.2万元人民币</w:t>
      </w:r>
    </w:p>
    <w:p w:rsidR="007228CC" w:rsidRPr="00054588"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存续期间：</w:t>
      </w:r>
      <w:r w:rsidRPr="00054588">
        <w:rPr>
          <w:rFonts w:asciiTheme="minorEastAsia" w:eastAsiaTheme="minorEastAsia" w:hAnsiTheme="minorEastAsia" w:hint="eastAsia"/>
          <w:color w:val="000000" w:themeColor="text1"/>
          <w:kern w:val="0"/>
          <w:szCs w:val="21"/>
        </w:rPr>
        <w:t>持续经营</w:t>
      </w:r>
    </w:p>
    <w:p w:rsidR="007228CC" w:rsidRPr="00054588"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经营范围：</w:t>
      </w:r>
      <w:r w:rsidRPr="00054588" w:rsidR="00F600E2">
        <w:rPr>
          <w:rFonts w:asciiTheme="minorEastAsia" w:eastAsiaTheme="minorEastAsia" w:hAnsiTheme="minorEastAsia" w:hint="eastAsia"/>
          <w:color w:val="000000" w:themeColor="text1"/>
          <w:kern w:val="0"/>
          <w:szCs w:val="21"/>
        </w:rPr>
        <w:t>公开募集证券投资基金管理、基金销售、特定客户资产管理</w:t>
      </w:r>
    </w:p>
    <w:p w:rsidR="007228CC" w:rsidRPr="00054588"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bookmarkStart w:id="1200" w:name="_Toc211920230"/>
      <w:r w:rsidRPr="00054588">
        <w:rPr>
          <w:rFonts w:asciiTheme="minorEastAsia" w:eastAsiaTheme="minorEastAsia" w:hAnsiTheme="minorEastAsia" w:cs="Arial" w:hint="eastAsia"/>
          <w:color w:val="000000" w:themeColor="text1"/>
          <w:szCs w:val="21"/>
        </w:rPr>
        <w:t>2、基金托管人</w:t>
      </w:r>
      <w:bookmarkEnd w:id="1200"/>
    </w:p>
    <w:p w:rsidR="007228CC" w:rsidRPr="00054588"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名称：中国建设银行股份有限公司(简称：中国建设银行)</w:t>
      </w:r>
    </w:p>
    <w:p w:rsidR="007228CC" w:rsidRPr="00054588"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住所：北京市西城区金融大街25号</w:t>
      </w:r>
    </w:p>
    <w:p w:rsidR="007228CC" w:rsidRPr="00054588"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办公地址：北京市西城区闹市口大街1号院1号楼</w:t>
      </w:r>
    </w:p>
    <w:p w:rsidR="007228CC" w:rsidRPr="00054588"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邮政编码：100033</w:t>
      </w:r>
    </w:p>
    <w:p w:rsidR="007228CC" w:rsidRPr="00054588"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法定代表人：</w:t>
      </w:r>
      <w:r w:rsidRPr="00054588" w:rsidR="002A71F6">
        <w:rPr>
          <w:rFonts w:asciiTheme="minorEastAsia" w:eastAsiaTheme="minorEastAsia" w:hAnsiTheme="minorEastAsia" w:hint="eastAsia"/>
          <w:color w:val="000000" w:themeColor="text1"/>
          <w:szCs w:val="21"/>
        </w:rPr>
        <w:t>田国立</w:t>
      </w:r>
    </w:p>
    <w:p w:rsidR="007228CC" w:rsidRPr="00054588"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成立日期：2004年09月17日</w:t>
      </w:r>
    </w:p>
    <w:p w:rsidR="007228CC" w:rsidRPr="00054588"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基金托管业务批准文号：中国证监会证监基字[1998</w:t>
      </w:r>
      <w:bookmarkStart w:id="1201" w:name="OLE_LINK3"/>
      <w:r w:rsidRPr="00054588">
        <w:rPr>
          <w:rFonts w:asciiTheme="minorEastAsia" w:eastAsiaTheme="minorEastAsia" w:hAnsiTheme="minorEastAsia" w:cs="Arial" w:hint="eastAsia"/>
          <w:color w:val="000000" w:themeColor="text1"/>
          <w:szCs w:val="21"/>
        </w:rPr>
        <w:t>]</w:t>
      </w:r>
      <w:bookmarkEnd w:id="1201"/>
      <w:r w:rsidRPr="00054588">
        <w:rPr>
          <w:rFonts w:asciiTheme="minorEastAsia" w:eastAsiaTheme="minorEastAsia" w:hAnsiTheme="minorEastAsia" w:cs="Arial" w:hint="eastAsia"/>
          <w:color w:val="000000" w:themeColor="text1"/>
          <w:szCs w:val="21"/>
        </w:rPr>
        <w:t>12号</w:t>
      </w:r>
    </w:p>
    <w:p w:rsidR="007228CC" w:rsidRPr="00054588"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组织形式：股份有限公司</w:t>
      </w:r>
    </w:p>
    <w:p w:rsidR="007228CC" w:rsidRPr="00054588"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注册资本：</w:t>
      </w:r>
      <w:r w:rsidRPr="00054588" w:rsidR="00842B92">
        <w:rPr>
          <w:rFonts w:asciiTheme="minorEastAsia" w:eastAsiaTheme="minorEastAsia" w:hAnsiTheme="minorEastAsia" w:hint="eastAsia"/>
          <w:color w:val="000000" w:themeColor="text1"/>
          <w:szCs w:val="21"/>
        </w:rPr>
        <w:t>贰仟伍佰亿壹仟零玖拾柒万柒仟肆佰捌拾陆元整</w:t>
      </w:r>
    </w:p>
    <w:p w:rsidR="007228CC" w:rsidRPr="00054588"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存续期间：持续经营</w:t>
      </w:r>
    </w:p>
    <w:p w:rsidR="007228CC" w:rsidRPr="00054588" w:rsidP="0071223F">
      <w:pPr>
        <w:tabs>
          <w:tab w:val="left" w:pos="540"/>
        </w:tabs>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7228CC" w:rsidRPr="00054588" w:rsidP="009A1EA6">
      <w:pPr>
        <w:pStyle w:val="Heading2"/>
        <w:snapToGrid w:val="0"/>
        <w:spacing w:beforeLines="0" w:afterLines="0" w:line="360" w:lineRule="auto"/>
        <w:ind w:firstLine="0" w:firstLineChars="0"/>
        <w:rPr>
          <w:rFonts w:asciiTheme="minorEastAsia" w:eastAsiaTheme="minorEastAsia" w:hAnsiTheme="minorEastAsia"/>
          <w:bCs/>
          <w:color w:val="000000" w:themeColor="text1"/>
        </w:rPr>
      </w:pPr>
      <w:bookmarkStart w:id="1202" w:name="_Toc169345028"/>
      <w:bookmarkStart w:id="1203" w:name="_Toc211920231"/>
      <w:bookmarkStart w:id="1204" w:name="_Toc211927758"/>
      <w:bookmarkStart w:id="1205" w:name="_Toc123296525"/>
      <w:r w:rsidRPr="00054588">
        <w:rPr>
          <w:rFonts w:asciiTheme="minorEastAsia" w:eastAsiaTheme="minorEastAsia" w:hAnsiTheme="minorEastAsia" w:hint="eastAsia"/>
          <w:bCs/>
          <w:color w:val="000000" w:themeColor="text1"/>
        </w:rPr>
        <w:t>（二）基金托管人对基金管理人的业务监督和核查</w:t>
      </w:r>
      <w:bookmarkEnd w:id="1202"/>
      <w:bookmarkEnd w:id="1203"/>
      <w:bookmarkEnd w:id="1204"/>
      <w:bookmarkEnd w:id="1205"/>
    </w:p>
    <w:p w:rsidR="007228CC" w:rsidRPr="00054588"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7228CC" w:rsidRPr="00054588"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本基金的投资范围如下：</w:t>
      </w:r>
    </w:p>
    <w:p w:rsidR="007228CC" w:rsidRPr="00054588" w:rsidP="0071223F">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szCs w:val="21"/>
        </w:rPr>
        <w:t>本基金</w:t>
      </w:r>
      <w:r w:rsidRPr="00054588">
        <w:rPr>
          <w:rFonts w:asciiTheme="minorEastAsia" w:eastAsiaTheme="minorEastAsia" w:hAnsiTheme="minorEastAsia" w:hint="eastAsia"/>
          <w:color w:val="000000" w:themeColor="text1"/>
          <w:szCs w:val="21"/>
        </w:rPr>
        <w:t>的投资范围为</w:t>
      </w:r>
      <w:r w:rsidRPr="00054588">
        <w:rPr>
          <w:rFonts w:asciiTheme="minorEastAsia" w:eastAsiaTheme="minorEastAsia" w:hAnsiTheme="minorEastAsia"/>
          <w:color w:val="000000" w:themeColor="text1"/>
          <w:szCs w:val="21"/>
        </w:rPr>
        <w:t>具有良好流动性的</w:t>
      </w:r>
      <w:r w:rsidRPr="00054588">
        <w:rPr>
          <w:rFonts w:asciiTheme="minorEastAsia" w:eastAsiaTheme="minorEastAsia" w:hAnsiTheme="minorEastAsia" w:hint="eastAsia"/>
          <w:color w:val="000000" w:themeColor="text1"/>
          <w:szCs w:val="21"/>
        </w:rPr>
        <w:t>金融工具</w:t>
      </w:r>
      <w:r w:rsidRPr="00054588">
        <w:rPr>
          <w:rFonts w:asciiTheme="minorEastAsia" w:eastAsiaTheme="minorEastAsia" w:hAnsiTheme="minorEastAsia"/>
          <w:color w:val="000000" w:themeColor="text1"/>
          <w:szCs w:val="21"/>
        </w:rPr>
        <w:t>，包括</w:t>
      </w:r>
      <w:r w:rsidRPr="00054588">
        <w:rPr>
          <w:rFonts w:asciiTheme="minorEastAsia" w:eastAsiaTheme="minorEastAsia" w:hAnsiTheme="minorEastAsia" w:hint="eastAsia"/>
          <w:color w:val="000000" w:themeColor="text1"/>
          <w:szCs w:val="21"/>
        </w:rPr>
        <w:t>债券</w:t>
      </w:r>
      <w:r w:rsidRPr="00054588">
        <w:rPr>
          <w:rFonts w:asciiTheme="minorEastAsia" w:eastAsiaTheme="minorEastAsia" w:hAnsiTheme="minorEastAsia"/>
          <w:color w:val="000000" w:themeColor="text1"/>
          <w:szCs w:val="21"/>
        </w:rPr>
        <w:t>回购、央行票据</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国债</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金融债、企业债、</w:t>
      </w:r>
      <w:r w:rsidRPr="00054588">
        <w:rPr>
          <w:rFonts w:asciiTheme="minorEastAsia" w:eastAsiaTheme="minorEastAsia" w:hAnsiTheme="minorEastAsia" w:hint="eastAsia"/>
          <w:color w:val="000000" w:themeColor="text1"/>
          <w:szCs w:val="21"/>
        </w:rPr>
        <w:t>公司债、</w:t>
      </w:r>
      <w:r w:rsidRPr="00054588">
        <w:rPr>
          <w:rFonts w:asciiTheme="minorEastAsia" w:eastAsiaTheme="minorEastAsia" w:hAnsiTheme="minorEastAsia"/>
          <w:color w:val="000000" w:themeColor="text1"/>
          <w:szCs w:val="21"/>
        </w:rPr>
        <w:t>可转换债券</w:t>
      </w:r>
      <w:r w:rsidRPr="00054588">
        <w:rPr>
          <w:rFonts w:asciiTheme="minorEastAsia" w:eastAsiaTheme="minorEastAsia" w:hAnsiTheme="minorEastAsia" w:hint="eastAsia"/>
          <w:color w:val="000000" w:themeColor="text1"/>
          <w:szCs w:val="21"/>
        </w:rPr>
        <w:t>（含分离型可转换债券）</w:t>
      </w:r>
      <w:r w:rsidRPr="00054588">
        <w:rPr>
          <w:rFonts w:asciiTheme="minorEastAsia" w:eastAsiaTheme="minorEastAsia" w:hAnsiTheme="minorEastAsia"/>
          <w:color w:val="000000" w:themeColor="text1"/>
          <w:szCs w:val="21"/>
        </w:rPr>
        <w:t>、资产支持证券</w:t>
      </w:r>
      <w:r w:rsidRPr="00054588">
        <w:rPr>
          <w:rFonts w:asciiTheme="minorEastAsia" w:eastAsiaTheme="minorEastAsia" w:hAnsiTheme="minorEastAsia" w:hint="eastAsia"/>
          <w:color w:val="000000" w:themeColor="text1"/>
          <w:szCs w:val="21"/>
        </w:rPr>
        <w:t>、股票</w:t>
      </w:r>
      <w:r w:rsidRPr="00054588" w:rsidR="003F2F59">
        <w:rPr>
          <w:rFonts w:asciiTheme="minorEastAsia" w:eastAsiaTheme="minorEastAsia" w:hAnsiTheme="minorEastAsia" w:hint="eastAsia"/>
          <w:color w:val="000000" w:themeColor="text1"/>
          <w:szCs w:val="21"/>
        </w:rPr>
        <w:t>（含存托凭证）</w:t>
      </w:r>
      <w:r w:rsidRPr="00054588">
        <w:rPr>
          <w:rFonts w:asciiTheme="minorEastAsia" w:eastAsiaTheme="minorEastAsia" w:hAnsiTheme="minorEastAsia" w:hint="eastAsia"/>
          <w:color w:val="000000" w:themeColor="text1"/>
          <w:szCs w:val="21"/>
        </w:rPr>
        <w:t>以及法律法规或中国证监会允许基金投资的其他金融工具。</w:t>
      </w:r>
      <w:r w:rsidRPr="00054588">
        <w:rPr>
          <w:rFonts w:asciiTheme="minorEastAsia" w:eastAsiaTheme="minorEastAsia" w:hAnsiTheme="minorEastAsia"/>
          <w:color w:val="000000" w:themeColor="text1"/>
          <w:szCs w:val="21"/>
        </w:rPr>
        <w:t>如法律法规或监管机构以后允许基金投资其他品种，基金管理人在履行适当程序后，可以将其纳入投资范围。</w:t>
      </w:r>
    </w:p>
    <w:p w:rsidR="007228CC" w:rsidRPr="00054588" w:rsidP="0071223F">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本基金各类资产的投资比例范围为：债券等固定收益类资产的比例不低于基金资产的80%，其中，公司债、企业债、短期融资券、金融债等信用类固定收益品种不低于固定收益资产总值的50%，可转换债券不高于基金资产净值的30%，本基金持有的全部资产支持证券，其市值不得超过基金资产净值的</w:t>
      </w:r>
      <w:r w:rsidRPr="00054588">
        <w:rPr>
          <w:rFonts w:asciiTheme="minorEastAsia" w:eastAsiaTheme="minorEastAsia" w:hAnsiTheme="minorEastAsia"/>
          <w:color w:val="000000" w:themeColor="text1"/>
          <w:szCs w:val="21"/>
        </w:rPr>
        <w:t>20%</w:t>
      </w:r>
      <w:r w:rsidRPr="00054588">
        <w:rPr>
          <w:rFonts w:asciiTheme="minorEastAsia" w:eastAsiaTheme="minorEastAsia" w:hAnsiTheme="minorEastAsia" w:hint="eastAsia"/>
          <w:color w:val="000000" w:themeColor="text1"/>
          <w:szCs w:val="21"/>
        </w:rPr>
        <w:t>；股票等权益类品种不高于基金资产的20%；基金保留的现金以及到期日在一年以内的政府债券的比例合计不低于基金资产净值的5%</w:t>
      </w:r>
      <w:r w:rsidRPr="00054588" w:rsidR="00F55E0F">
        <w:rPr>
          <w:rFonts w:asciiTheme="minorEastAsia" w:eastAsiaTheme="minorEastAsia" w:hAnsiTheme="minorEastAsia" w:hint="eastAsia"/>
          <w:color w:val="000000" w:themeColor="text1"/>
          <w:szCs w:val="21"/>
        </w:rPr>
        <w:t>，现金不包括结算备付金、存出保证金、应收申购款等</w:t>
      </w:r>
      <w:r w:rsidRPr="00054588">
        <w:rPr>
          <w:rFonts w:asciiTheme="minorEastAsia" w:eastAsiaTheme="minorEastAsia" w:hAnsiTheme="minorEastAsia" w:hint="eastAsia"/>
          <w:color w:val="000000" w:themeColor="text1"/>
          <w:szCs w:val="21"/>
        </w:rPr>
        <w:t>。</w:t>
      </w:r>
    </w:p>
    <w:p w:rsidR="007228CC" w:rsidRPr="00054588" w:rsidP="0071223F">
      <w:pPr>
        <w:snapToGrid w:val="0"/>
        <w:spacing w:line="360" w:lineRule="auto"/>
        <w:ind w:firstLine="472" w:firstLineChars="225"/>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此处信用类固定收益品种是指除了国债和央行票据等并非由国家信用担保的固定收益证券品种。</w:t>
      </w:r>
    </w:p>
    <w:p w:rsidR="007228CC" w:rsidRPr="00054588" w:rsidP="0071223F">
      <w:pPr>
        <w:adjustRightInd w:val="0"/>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2、基金托管人根据有关法律法规的规定及基金合同的约定，对基金投资、融资比例进行监督。基金托管人按下述比例和调整期限进行监督：</w:t>
      </w:r>
    </w:p>
    <w:p w:rsidR="00F55E0F" w:rsidRPr="00054588" w:rsidP="0071223F">
      <w:pPr>
        <w:snapToGrid w:val="0"/>
        <w:spacing w:line="360" w:lineRule="auto"/>
        <w:ind w:left="54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债券等固定收益资产的比例不低于基金资产的80%，其中，公司债、企业债、短期融资券、金融债等信用品种不低于固定收益类投资总额的50%，且可转换债券不高于基金资产净值的30%；股票等权益类品种不高于基金资产的20%；</w:t>
      </w:r>
    </w:p>
    <w:p w:rsidR="007228CC" w:rsidRPr="00054588" w:rsidP="0071223F">
      <w:pPr>
        <w:snapToGrid w:val="0"/>
        <w:spacing w:line="360" w:lineRule="auto"/>
        <w:ind w:left="54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（2</w:t>
      </w:r>
      <w:r w:rsidRPr="00054588">
        <w:rPr>
          <w:rFonts w:asciiTheme="minorEastAsia" w:eastAsiaTheme="minorEastAsia" w:hAnsiTheme="minorEastAsia"/>
          <w:color w:val="000000" w:themeColor="text1"/>
          <w:szCs w:val="21"/>
        </w:rPr>
        <w:t>）</w:t>
      </w:r>
      <w:r w:rsidRPr="00054588">
        <w:rPr>
          <w:rFonts w:asciiTheme="minorEastAsia" w:eastAsiaTheme="minorEastAsia" w:hAnsiTheme="minorEastAsia" w:hint="eastAsia"/>
          <w:color w:val="000000" w:themeColor="text1"/>
          <w:szCs w:val="21"/>
        </w:rPr>
        <w:t>基金保留的现金以及到期日在一年以内的政府债券的比例合计不低于基金资产净值的</w:t>
      </w:r>
      <w:r w:rsidRPr="00054588">
        <w:rPr>
          <w:rFonts w:asciiTheme="minorEastAsia" w:eastAsiaTheme="minorEastAsia" w:hAnsiTheme="minorEastAsia"/>
          <w:color w:val="000000" w:themeColor="text1"/>
          <w:szCs w:val="21"/>
        </w:rPr>
        <w:t>5%</w:t>
      </w:r>
      <w:r w:rsidRPr="00054588">
        <w:rPr>
          <w:rFonts w:asciiTheme="minorEastAsia" w:eastAsiaTheme="minorEastAsia" w:hAnsiTheme="minorEastAsia" w:hint="eastAsia"/>
          <w:color w:val="000000" w:themeColor="text1"/>
          <w:szCs w:val="21"/>
        </w:rPr>
        <w:t>，现金不包括结算备付金、存出保证金、应收申购款等</w:t>
      </w:r>
      <w:r w:rsidRPr="00054588">
        <w:rPr>
          <w:rFonts w:asciiTheme="minorEastAsia" w:eastAsiaTheme="minorEastAsia" w:hAnsiTheme="minorEastAsia"/>
          <w:color w:val="000000" w:themeColor="text1"/>
          <w:szCs w:val="21"/>
        </w:rPr>
        <w:t>；</w:t>
      </w:r>
    </w:p>
    <w:p w:rsidR="007228CC" w:rsidRPr="00054588" w:rsidP="0071223F">
      <w:pPr>
        <w:snapToGrid w:val="0"/>
        <w:spacing w:line="360" w:lineRule="auto"/>
        <w:ind w:left="54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w:t>
      </w:r>
      <w:r w:rsidRPr="00054588" w:rsidR="00F55E0F">
        <w:rPr>
          <w:rFonts w:asciiTheme="minorEastAsia" w:eastAsiaTheme="minorEastAsia" w:hAnsiTheme="minorEastAsia"/>
          <w:color w:val="000000" w:themeColor="text1"/>
          <w:szCs w:val="21"/>
        </w:rPr>
        <w:t>3</w:t>
      </w:r>
      <w:r w:rsidRPr="00054588">
        <w:rPr>
          <w:rFonts w:asciiTheme="minorEastAsia" w:eastAsiaTheme="minorEastAsia" w:hAnsiTheme="minorEastAsia" w:hint="eastAsia"/>
          <w:color w:val="000000" w:themeColor="text1"/>
          <w:szCs w:val="21"/>
        </w:rPr>
        <w:t>）本基金投资于同一公司发行的股票不得超过基金资产净值的10%；</w:t>
      </w:r>
    </w:p>
    <w:p w:rsidR="007228CC" w:rsidRPr="00054588" w:rsidP="0071223F">
      <w:pPr>
        <w:snapToGrid w:val="0"/>
        <w:spacing w:line="360" w:lineRule="auto"/>
        <w:ind w:left="54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w:t>
      </w:r>
      <w:r w:rsidRPr="00054588" w:rsidR="00F55E0F">
        <w:rPr>
          <w:rFonts w:asciiTheme="minorEastAsia" w:eastAsiaTheme="minorEastAsia" w:hAnsiTheme="minorEastAsia"/>
          <w:color w:val="000000" w:themeColor="text1"/>
          <w:szCs w:val="21"/>
        </w:rPr>
        <w:t>4</w:t>
      </w:r>
      <w:r w:rsidRPr="00054588">
        <w:rPr>
          <w:rFonts w:asciiTheme="minorEastAsia" w:eastAsiaTheme="minorEastAsia" w:hAnsiTheme="minorEastAsia" w:hint="eastAsia"/>
          <w:color w:val="000000" w:themeColor="text1"/>
          <w:szCs w:val="21"/>
        </w:rPr>
        <w:t>）本基金投资于同一公司发行的债券不得超过基金资产净值的10%；</w:t>
      </w:r>
    </w:p>
    <w:p w:rsidR="007228CC" w:rsidRPr="00054588" w:rsidP="0071223F">
      <w:pPr>
        <w:snapToGrid w:val="0"/>
        <w:spacing w:line="360" w:lineRule="auto"/>
        <w:ind w:left="54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w:t>
      </w:r>
      <w:r w:rsidRPr="00054588" w:rsidR="00F55E0F">
        <w:rPr>
          <w:rFonts w:asciiTheme="minorEastAsia" w:eastAsiaTheme="minorEastAsia" w:hAnsiTheme="minorEastAsia"/>
          <w:color w:val="000000" w:themeColor="text1"/>
          <w:szCs w:val="21"/>
        </w:rPr>
        <w:t>5</w:t>
      </w:r>
      <w:r w:rsidRPr="00054588">
        <w:rPr>
          <w:rFonts w:asciiTheme="minorEastAsia" w:eastAsiaTheme="minorEastAsia" w:hAnsiTheme="minorEastAsia" w:hint="eastAsia"/>
          <w:color w:val="000000" w:themeColor="text1"/>
          <w:szCs w:val="21"/>
        </w:rPr>
        <w:t>）本基金持有的全部权证，其市值不得超过基金资产净值的3％；</w:t>
      </w:r>
    </w:p>
    <w:p w:rsidR="007228CC" w:rsidRPr="00054588" w:rsidP="0071223F">
      <w:pPr>
        <w:snapToGrid w:val="0"/>
        <w:spacing w:line="360" w:lineRule="auto"/>
        <w:ind w:left="54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w:t>
      </w:r>
      <w:r w:rsidRPr="00054588" w:rsidR="00F55E0F">
        <w:rPr>
          <w:rFonts w:asciiTheme="minorEastAsia" w:eastAsiaTheme="minorEastAsia" w:hAnsiTheme="minorEastAsia"/>
          <w:color w:val="000000" w:themeColor="text1"/>
          <w:szCs w:val="21"/>
        </w:rPr>
        <w:t>6</w:t>
      </w:r>
      <w:r w:rsidRPr="00054588">
        <w:rPr>
          <w:rFonts w:asciiTheme="minorEastAsia" w:eastAsiaTheme="minorEastAsia" w:hAnsiTheme="minorEastAsia" w:hint="eastAsia"/>
          <w:color w:val="000000" w:themeColor="text1"/>
          <w:szCs w:val="21"/>
        </w:rPr>
        <w:t>）本基金持有的同一（指同一信用级别）资产支持证券的比例，不得超过该资产支持证券规模的</w:t>
      </w:r>
      <w:r w:rsidRPr="00054588">
        <w:rPr>
          <w:rFonts w:asciiTheme="minorEastAsia" w:eastAsiaTheme="minorEastAsia" w:hAnsiTheme="minorEastAsia"/>
          <w:color w:val="000000" w:themeColor="text1"/>
          <w:szCs w:val="21"/>
        </w:rPr>
        <w:t>10%</w:t>
      </w:r>
      <w:r w:rsidRPr="00054588">
        <w:rPr>
          <w:rFonts w:asciiTheme="minorEastAsia" w:eastAsiaTheme="minorEastAsia" w:hAnsiTheme="minorEastAsia" w:hint="eastAsia"/>
          <w:color w:val="000000" w:themeColor="text1"/>
          <w:szCs w:val="21"/>
        </w:rPr>
        <w:t>；本基金投资于同一原始权益人的各类资产支持证券的比例，不得超过基金资产净值的</w:t>
      </w:r>
      <w:r w:rsidRPr="00054588">
        <w:rPr>
          <w:rFonts w:asciiTheme="minorEastAsia" w:eastAsiaTheme="minorEastAsia" w:hAnsiTheme="minorEastAsia"/>
          <w:color w:val="000000" w:themeColor="text1"/>
          <w:szCs w:val="21"/>
        </w:rPr>
        <w:t>10%</w:t>
      </w:r>
      <w:r w:rsidRPr="00054588">
        <w:rPr>
          <w:rFonts w:asciiTheme="minorEastAsia" w:eastAsiaTheme="minorEastAsia" w:hAnsiTheme="minorEastAsia" w:hint="eastAsia"/>
          <w:color w:val="000000" w:themeColor="text1"/>
          <w:szCs w:val="21"/>
        </w:rPr>
        <w:t>。；本基金持有的全部资产支持证券，其市值不得超过基金资产净值的</w:t>
      </w:r>
      <w:r w:rsidRPr="00054588">
        <w:rPr>
          <w:rFonts w:asciiTheme="minorEastAsia" w:eastAsiaTheme="minorEastAsia" w:hAnsiTheme="minorEastAsia"/>
          <w:color w:val="000000" w:themeColor="text1"/>
          <w:szCs w:val="21"/>
        </w:rPr>
        <w:t>20%</w:t>
      </w:r>
      <w:r w:rsidRPr="00054588">
        <w:rPr>
          <w:rFonts w:asciiTheme="minorEastAsia" w:eastAsiaTheme="minorEastAsia" w:hAnsiTheme="minorEastAsia" w:hint="eastAsia"/>
          <w:color w:val="000000" w:themeColor="text1"/>
          <w:szCs w:val="21"/>
        </w:rPr>
        <w:t>；</w:t>
      </w:r>
    </w:p>
    <w:p w:rsidR="007228CC" w:rsidRPr="00054588" w:rsidP="0071223F">
      <w:pPr>
        <w:snapToGrid w:val="0"/>
        <w:spacing w:line="360" w:lineRule="auto"/>
        <w:ind w:left="54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w:t>
      </w:r>
      <w:r w:rsidRPr="00054588" w:rsidR="00F55E0F">
        <w:rPr>
          <w:rFonts w:asciiTheme="minorEastAsia" w:eastAsiaTheme="minorEastAsia" w:hAnsiTheme="minorEastAsia"/>
          <w:color w:val="000000" w:themeColor="text1"/>
          <w:szCs w:val="21"/>
        </w:rPr>
        <w:t>7</w:t>
      </w:r>
      <w:r w:rsidRPr="00054588">
        <w:rPr>
          <w:rFonts w:asciiTheme="minorEastAsia" w:eastAsiaTheme="minorEastAsia" w:hAnsiTheme="minorEastAsia" w:hint="eastAsia"/>
          <w:color w:val="000000" w:themeColor="text1"/>
          <w:szCs w:val="21"/>
        </w:rPr>
        <w:t>）本基金在全国银行间债券市场债券正回购的资金余额不得超过基金资产净值的40%；</w:t>
      </w:r>
    </w:p>
    <w:p w:rsidR="007228CC" w:rsidRPr="00054588" w:rsidP="0071223F">
      <w:pPr>
        <w:snapToGrid w:val="0"/>
        <w:spacing w:line="360" w:lineRule="auto"/>
        <w:ind w:left="54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w:t>
      </w:r>
      <w:r w:rsidRPr="00054588" w:rsidR="00F55E0F">
        <w:rPr>
          <w:rFonts w:asciiTheme="minorEastAsia" w:eastAsiaTheme="minorEastAsia" w:hAnsiTheme="minorEastAsia"/>
          <w:color w:val="000000" w:themeColor="text1"/>
          <w:szCs w:val="21"/>
        </w:rPr>
        <w:t>8</w:t>
      </w: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本基金参与股票发行申购，所申报的金额不超过本基金的总资产，所申报的股票数量不超过拟发行股票公司本次发行股票的总量；</w:t>
      </w:r>
    </w:p>
    <w:p w:rsidR="00F55E0F" w:rsidRPr="00054588" w:rsidP="0071223F">
      <w:pPr>
        <w:snapToGrid w:val="0"/>
        <w:spacing w:line="360" w:lineRule="auto"/>
        <w:ind w:left="54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w:t>
      </w:r>
      <w:r w:rsidRPr="00054588">
        <w:rPr>
          <w:rFonts w:asciiTheme="minorEastAsia" w:eastAsiaTheme="minorEastAsia" w:hAnsiTheme="minorEastAsia"/>
          <w:color w:val="000000" w:themeColor="text1"/>
          <w:szCs w:val="21"/>
        </w:rPr>
        <w:t>9</w:t>
      </w:r>
      <w:r w:rsidRPr="00054588">
        <w:rPr>
          <w:rFonts w:asciiTheme="minorEastAsia" w:eastAsiaTheme="minorEastAsia" w:hAnsiTheme="minorEastAsia" w:hint="eastAsia"/>
          <w:color w:val="000000" w:themeColor="text1"/>
          <w:szCs w:val="21"/>
        </w:rPr>
        <w:t>）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F55E0F" w:rsidRPr="00054588" w:rsidP="00F55E0F">
      <w:pPr>
        <w:snapToGrid w:val="0"/>
        <w:spacing w:line="360" w:lineRule="auto"/>
        <w:ind w:left="54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w:t>
      </w:r>
      <w:r w:rsidRPr="00054588">
        <w:rPr>
          <w:rFonts w:asciiTheme="minorEastAsia" w:eastAsiaTheme="minorEastAsia" w:hAnsiTheme="minorEastAsia"/>
          <w:color w:val="000000" w:themeColor="text1"/>
          <w:szCs w:val="21"/>
        </w:rPr>
        <w:t>0）</w:t>
      </w:r>
      <w:r w:rsidRPr="00054588">
        <w:rPr>
          <w:rFonts w:asciiTheme="minorEastAsia" w:eastAsiaTheme="minorEastAsia" w:hAnsiTheme="minorEastAsia" w:hint="eastAsia"/>
          <w:color w:val="000000" w:themeColor="text1"/>
          <w:szCs w:val="21"/>
        </w:rPr>
        <w:t>本基金主动投资于流动性受限资产的市值合计不得超过该基金资产净值的15%。</w:t>
      </w:r>
    </w:p>
    <w:p w:rsidR="00F55E0F" w:rsidRPr="00054588" w:rsidP="00F55E0F">
      <w:pPr>
        <w:snapToGrid w:val="0"/>
        <w:spacing w:line="360" w:lineRule="auto"/>
        <w:ind w:left="54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因证券市场波动、上市公司股票停牌、基金规模变动等基金管理人之外的因素致使基金不符合前款所规定比例限制的，基金管理人不得主动新增流动性受限资产的投资；</w:t>
      </w:r>
    </w:p>
    <w:p w:rsidR="00F55E0F" w:rsidRPr="00054588" w:rsidP="008D5662">
      <w:pPr>
        <w:snapToGrid w:val="0"/>
        <w:spacing w:line="360" w:lineRule="auto"/>
        <w:ind w:left="54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w:t>
      </w:r>
      <w:r w:rsidRPr="00054588">
        <w:rPr>
          <w:rFonts w:asciiTheme="minorEastAsia" w:eastAsiaTheme="minorEastAsia" w:hAnsiTheme="minorEastAsia"/>
          <w:color w:val="000000" w:themeColor="text1"/>
          <w:szCs w:val="21"/>
        </w:rPr>
        <w:t>1</w:t>
      </w:r>
      <w:r w:rsidRPr="00054588">
        <w:rPr>
          <w:rFonts w:asciiTheme="minorEastAsia" w:eastAsiaTheme="minorEastAsia" w:hAnsiTheme="minorEastAsia" w:hint="eastAsia"/>
          <w:color w:val="000000" w:themeColor="text1"/>
          <w:szCs w:val="21"/>
        </w:rPr>
        <w:t>）本基金与私募类证券资管产品及中国证监会认定的其他主体为交易对手开展逆回购交易的，可接受质押品的资质要求应当与基金合同约定的投资范围保持一致；</w:t>
      </w:r>
    </w:p>
    <w:p w:rsidR="008D5662" w:rsidRPr="00054588" w:rsidP="008D5662">
      <w:pPr>
        <w:snapToGrid w:val="0"/>
        <w:spacing w:line="360" w:lineRule="auto"/>
        <w:ind w:left="54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w:t>
      </w:r>
      <w:r w:rsidRPr="00054588">
        <w:rPr>
          <w:rFonts w:asciiTheme="minorEastAsia" w:eastAsiaTheme="minorEastAsia" w:hAnsiTheme="minorEastAsia"/>
          <w:color w:val="000000" w:themeColor="text1"/>
          <w:szCs w:val="21"/>
        </w:rPr>
        <w:t>2</w:t>
      </w:r>
      <w:r w:rsidRPr="00054588">
        <w:rPr>
          <w:rFonts w:asciiTheme="minorEastAsia" w:eastAsiaTheme="minorEastAsia" w:hAnsiTheme="minorEastAsia" w:hint="eastAsia"/>
          <w:color w:val="000000" w:themeColor="text1"/>
          <w:szCs w:val="21"/>
        </w:rPr>
        <w:t>）本基金投资存托凭证的比例限制依照境内上市交易的股票执行，与境内上市交易的股票合并计算；</w:t>
      </w:r>
    </w:p>
    <w:p w:rsidR="007228CC" w:rsidRPr="00054588" w:rsidP="0071223F">
      <w:pPr>
        <w:snapToGrid w:val="0"/>
        <w:spacing w:line="360" w:lineRule="auto"/>
        <w:ind w:left="54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（1</w:t>
      </w:r>
      <w:r w:rsidRPr="00054588" w:rsidR="008D5662">
        <w:rPr>
          <w:rFonts w:asciiTheme="minorEastAsia" w:eastAsiaTheme="minorEastAsia" w:hAnsiTheme="minorEastAsia"/>
          <w:color w:val="000000" w:themeColor="text1"/>
          <w:szCs w:val="21"/>
        </w:rPr>
        <w:t>3</w:t>
      </w:r>
      <w:r w:rsidRPr="00054588">
        <w:rPr>
          <w:rFonts w:asciiTheme="minorEastAsia" w:eastAsiaTheme="minorEastAsia" w:hAnsiTheme="minorEastAsia"/>
          <w:color w:val="000000" w:themeColor="text1"/>
          <w:szCs w:val="21"/>
        </w:rPr>
        <w:t>）</w:t>
      </w:r>
      <w:r w:rsidRPr="00054588">
        <w:rPr>
          <w:rFonts w:asciiTheme="minorEastAsia" w:eastAsiaTheme="minorEastAsia" w:hAnsiTheme="minorEastAsia" w:hint="eastAsia"/>
          <w:color w:val="000000" w:themeColor="text1"/>
          <w:szCs w:val="21"/>
        </w:rPr>
        <w:t>中国证监会、中国人民银行规定的其他比例限制。</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如果法律法规对本基金合同约定投资组合比例限制进行变更的，以变更后的规定为准。</w:t>
      </w:r>
      <w:r w:rsidRPr="00054588">
        <w:rPr>
          <w:rFonts w:asciiTheme="minorEastAsia" w:eastAsiaTheme="minorEastAsia" w:hAnsiTheme="minorEastAsia"/>
          <w:color w:val="000000" w:themeColor="text1"/>
          <w:szCs w:val="21"/>
        </w:rPr>
        <w:t>法律法规或</w:t>
      </w:r>
      <w:r w:rsidRPr="00054588">
        <w:rPr>
          <w:rFonts w:asciiTheme="minorEastAsia" w:eastAsiaTheme="minorEastAsia" w:hAnsiTheme="minorEastAsia" w:hint="eastAsia"/>
          <w:color w:val="000000" w:themeColor="text1"/>
          <w:szCs w:val="21"/>
        </w:rPr>
        <w:t>监管部门取消</w:t>
      </w:r>
      <w:r w:rsidRPr="00054588">
        <w:rPr>
          <w:rFonts w:asciiTheme="minorEastAsia" w:eastAsiaTheme="minorEastAsia" w:hAnsiTheme="minorEastAsia"/>
          <w:color w:val="000000" w:themeColor="text1"/>
          <w:szCs w:val="21"/>
        </w:rPr>
        <w:t>上述限制，</w:t>
      </w:r>
      <w:r w:rsidRPr="00054588">
        <w:rPr>
          <w:rFonts w:asciiTheme="minorEastAsia" w:eastAsiaTheme="minorEastAsia" w:hAnsiTheme="minorEastAsia" w:hint="eastAsia"/>
          <w:color w:val="000000" w:themeColor="text1"/>
          <w:szCs w:val="21"/>
        </w:rPr>
        <w:t>如适用于本基金，则本基金投资不再受相关限制</w:t>
      </w:r>
      <w:r w:rsidRPr="00054588">
        <w:rPr>
          <w:rFonts w:asciiTheme="minorEastAsia" w:eastAsiaTheme="minorEastAsia" w:hAnsiTheme="minorEastAsia"/>
          <w:color w:val="000000" w:themeColor="text1"/>
          <w:szCs w:val="21"/>
        </w:rPr>
        <w:t>。</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除上述（2）、（8）、（10）、（11）以外，</w:t>
      </w:r>
      <w:r w:rsidRPr="00054588">
        <w:rPr>
          <w:rFonts w:asciiTheme="minorEastAsia" w:eastAsiaTheme="minorEastAsia" w:hAnsiTheme="minorEastAsia"/>
          <w:color w:val="000000" w:themeColor="text1"/>
          <w:szCs w:val="21"/>
        </w:rPr>
        <w:t>因证券市场波动、上市公司合并、基金规模变动</w:t>
      </w:r>
      <w:r w:rsidRPr="00054588">
        <w:rPr>
          <w:rFonts w:asciiTheme="minorEastAsia" w:eastAsiaTheme="minorEastAsia" w:hAnsiTheme="minorEastAsia" w:hint="eastAsia"/>
          <w:color w:val="000000" w:themeColor="text1"/>
          <w:szCs w:val="21"/>
        </w:rPr>
        <w:t>、股权分置改革中支付对价</w:t>
      </w:r>
      <w:r w:rsidRPr="00054588">
        <w:rPr>
          <w:rFonts w:asciiTheme="minorEastAsia" w:eastAsiaTheme="minorEastAsia" w:hAnsiTheme="minorEastAsia"/>
          <w:color w:val="000000" w:themeColor="text1"/>
          <w:szCs w:val="21"/>
        </w:rPr>
        <w:t>等基金管理人之外的因素致使基金投资比例不符合上述</w:t>
      </w:r>
      <w:r w:rsidRPr="00054588">
        <w:rPr>
          <w:rFonts w:asciiTheme="minorEastAsia" w:eastAsiaTheme="minorEastAsia" w:hAnsiTheme="minorEastAsia" w:hint="eastAsia"/>
          <w:color w:val="000000" w:themeColor="text1"/>
          <w:szCs w:val="21"/>
        </w:rPr>
        <w:t>规定</w:t>
      </w:r>
      <w:r w:rsidRPr="00054588">
        <w:rPr>
          <w:rFonts w:asciiTheme="minorEastAsia" w:eastAsiaTheme="minorEastAsia" w:hAnsiTheme="minorEastAsia"/>
          <w:color w:val="000000" w:themeColor="text1"/>
          <w:szCs w:val="21"/>
        </w:rPr>
        <w:t>投资比例的，基金管理人应当在10个交易日内进行调整。</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对于因基金份额拆分、大比例分红等集中持续营销活动引起的基金净资产规模在10个交易日内增加10亿元以上的情形，而导致证券投资比例低于基金合同约定的，基金管理人履行相关程序后可将调整时限从10个交易日延长到3个月。法律法规如有变更，从其变更。</w:t>
      </w:r>
    </w:p>
    <w:p w:rsidR="007228CC" w:rsidRPr="00054588"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olor w:val="000000" w:themeColor="text1"/>
          <w:szCs w:val="21"/>
        </w:rPr>
        <w:t>基金管理人应当自基金合同生效之日起6个月内使基金的投资组合比例符合基金合同的有关约定。</w:t>
      </w:r>
      <w:r w:rsidRPr="00054588">
        <w:rPr>
          <w:rFonts w:asciiTheme="minorEastAsia" w:eastAsiaTheme="minorEastAsia" w:hAnsiTheme="minorEastAsia" w:hint="eastAsia"/>
          <w:color w:val="000000" w:themeColor="text1"/>
          <w:szCs w:val="21"/>
        </w:rPr>
        <w:t>除投资资产配置比例外，基金托管人对基金的投资比例的监督与检查自本基金合同生效之日起开始。</w:t>
      </w:r>
    </w:p>
    <w:p w:rsidR="007228CC" w:rsidRPr="00054588"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3、基金托管人根据有关法律法规的规定及基金合同的约定，对本托管协议第十五条第九款基金投资禁止行为进行监督。基金托管人对基金从事的关联交易进行监督。根据法律法规有关基金禁止从事关联交易的规定，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将更新后的名单发送给对方。</w:t>
      </w:r>
    </w:p>
    <w:p w:rsidR="007228CC" w:rsidRPr="00054588"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若基金托管人发现基金管理人与关联交易名单中列示的关联方进行法律法规禁止基金从事的关联交易时，基金托管人应及时提醒基金管理人采取必要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rsidR="007228CC" w:rsidRPr="00054588"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负责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的，应向基金托管人说明理由，并在与交易对手发生交易前3个工作日内与基金托管人协商解决。</w:t>
      </w:r>
    </w:p>
    <w:p w:rsidR="007228CC" w:rsidRPr="00054588"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基金管理人负责对交易对手的资信控制，按银</w:t>
      </w:r>
      <w:r w:rsidRPr="00054588">
        <w:rPr>
          <w:rFonts w:asciiTheme="minorEastAsia" w:eastAsiaTheme="minorEastAsia" w:hAnsiTheme="minorEastAsia" w:hint="eastAsia"/>
          <w:color w:val="000000" w:themeColor="text1"/>
          <w:szCs w:val="21"/>
        </w:rPr>
        <w:t>行间债券市场的交易规则进行交易，并负责解决因交易对手不履行合同而造成的纠纷及损失，如果基金托管人在运作中严格遵循了上述流程履行了监督职责，则对于由于交易对手资信风险引起的损失，不承担赔偿责任</w:t>
      </w:r>
      <w:r w:rsidRPr="00054588">
        <w:rPr>
          <w:rFonts w:asciiTheme="minorEastAsia" w:eastAsiaTheme="minorEastAsia" w:hAnsiTheme="minorEastAsia" w:cs="Arial" w:hint="eastAsia"/>
          <w:color w:val="000000" w:themeColor="text1"/>
          <w:szCs w:val="21"/>
        </w:rPr>
        <w:t>。如基金托管人发现基金管理人没有按照事先约定的交易对手进行交易时，基金托管人应及时提醒基金管理人撤销交易，基金管理人应出具书面说明明确撤销交易，如经提醒后基金管理人仍执行交易并造成基金资产损失的基金托管人不承担责任。</w:t>
      </w:r>
    </w:p>
    <w:p w:rsidR="007228CC" w:rsidRPr="00054588"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正常情况下，基金管理人应在银行间债券市场交易成交后及时将银行间债券市场成交单和指令发至基金托管人并确认，特殊情况下，双方协商处理。</w:t>
      </w:r>
    </w:p>
    <w:p w:rsidR="007228CC" w:rsidRPr="00054588"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5、</w:t>
      </w:r>
      <w:r w:rsidRPr="00054588">
        <w:rPr>
          <w:rFonts w:asciiTheme="minorEastAsia" w:eastAsiaTheme="minorEastAsia" w:hAnsiTheme="minorEastAsia" w:hint="eastAsia"/>
          <w:color w:val="000000" w:themeColor="text1"/>
          <w:szCs w:val="21"/>
        </w:rPr>
        <w:t>本基金投资流通受限证券，基金管理人应事先根据中国证监会相关规定，与基金托管人就相关事项签订补充协议，明确基金投资流通受限证券的比例。</w:t>
      </w:r>
      <w:r w:rsidRPr="00054588">
        <w:rPr>
          <w:rFonts w:asciiTheme="minorEastAsia" w:eastAsiaTheme="minorEastAsia" w:hAnsiTheme="minorEastAsia" w:cs="Arial" w:hint="eastAsia"/>
          <w:color w:val="000000" w:themeColor="text1"/>
          <w:szCs w:val="21"/>
        </w:rPr>
        <w:t>基金管理人应制订严格的投资决策流程和风险控制制度，防范流动性风险、法律风险和操作风险等各种风险。基金托管人对基金管理人是否遵守相关制度、流动性风险处置预案以及相关投资额度和比例等的情况进行监督。</w:t>
      </w:r>
    </w:p>
    <w:p w:rsidR="007228CC" w:rsidRPr="00054588"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7228CC" w:rsidRPr="00054588"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7、基金托管人发现基金管理人的上述事项或实际投资运作违反法律法规、基金合同和本托管协议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7228CC" w:rsidRPr="00054588"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8、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7228CC" w:rsidRPr="00054588"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9、基金托管人发现基金管理人的投资指令违反有关法律法规规定或者违反《基金合同》约定的，应当拒绝执行，并应立即通知基金管理人；若基金托管人发现基金管理人依据交易程序已经生效的指令违反法律、行政法规和其他有关规定，或者违反基金合同约定的，应当立即通知基金管理人,由此造成的损失由基金管理人承担。</w:t>
      </w:r>
    </w:p>
    <w:p w:rsidR="007228CC" w:rsidRPr="00054588"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10、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7228CC" w:rsidRPr="00054588" w:rsidP="009A1EA6">
      <w:pPr>
        <w:pStyle w:val="Heading2"/>
        <w:snapToGrid w:val="0"/>
        <w:spacing w:beforeLines="0" w:afterLines="0" w:line="360" w:lineRule="auto"/>
        <w:ind w:firstLine="0" w:firstLineChars="0"/>
        <w:rPr>
          <w:rFonts w:asciiTheme="minorEastAsia" w:eastAsiaTheme="minorEastAsia" w:hAnsiTheme="minorEastAsia"/>
          <w:bCs/>
          <w:color w:val="000000" w:themeColor="text1"/>
        </w:rPr>
      </w:pPr>
      <w:bookmarkStart w:id="1206" w:name="_Toc169345029"/>
      <w:bookmarkStart w:id="1207" w:name="_Toc211920232"/>
      <w:bookmarkStart w:id="1208" w:name="_Toc211927759"/>
      <w:bookmarkStart w:id="1209" w:name="_Toc123296526"/>
      <w:r w:rsidRPr="00054588">
        <w:rPr>
          <w:rFonts w:asciiTheme="minorEastAsia" w:eastAsiaTheme="minorEastAsia" w:hAnsiTheme="minorEastAsia" w:hint="eastAsia"/>
          <w:bCs/>
          <w:color w:val="000000" w:themeColor="text1"/>
        </w:rPr>
        <w:t>（三）基金管理人对基金托管人的业务核查</w:t>
      </w:r>
      <w:bookmarkEnd w:id="1206"/>
      <w:bookmarkEnd w:id="1207"/>
      <w:bookmarkEnd w:id="1208"/>
      <w:bookmarkEnd w:id="1209"/>
    </w:p>
    <w:p w:rsidR="007228CC" w:rsidRPr="00054588" w:rsidP="0071223F">
      <w:pPr>
        <w:adjustRightInd w:val="0"/>
        <w:snapToGrid w:val="0"/>
        <w:spacing w:line="360" w:lineRule="auto"/>
        <w:ind w:firstLine="48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1、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7228CC" w:rsidRPr="00054588" w:rsidP="0071223F">
      <w:pPr>
        <w:adjustRightInd w:val="0"/>
        <w:snapToGrid w:val="0"/>
        <w:spacing w:line="360" w:lineRule="auto"/>
        <w:ind w:firstLine="48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7228CC" w:rsidRPr="00054588" w:rsidP="0071223F">
      <w:pPr>
        <w:adjustRightInd w:val="0"/>
        <w:snapToGrid w:val="0"/>
        <w:spacing w:line="360" w:lineRule="auto"/>
        <w:ind w:firstLine="48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7228CC" w:rsidRPr="00054588" w:rsidP="009A1EA6">
      <w:pPr>
        <w:pStyle w:val="Heading2"/>
        <w:snapToGrid w:val="0"/>
        <w:spacing w:beforeLines="0" w:afterLines="0" w:line="360" w:lineRule="auto"/>
        <w:ind w:firstLine="0" w:firstLineChars="0"/>
        <w:rPr>
          <w:rFonts w:asciiTheme="minorEastAsia" w:eastAsiaTheme="minorEastAsia" w:hAnsiTheme="minorEastAsia"/>
          <w:bCs/>
          <w:color w:val="000000" w:themeColor="text1"/>
        </w:rPr>
      </w:pPr>
      <w:bookmarkStart w:id="1210" w:name="_Toc169345030"/>
      <w:bookmarkStart w:id="1211" w:name="_Toc211920233"/>
      <w:bookmarkStart w:id="1212" w:name="_Toc211927760"/>
      <w:bookmarkStart w:id="1213" w:name="_Toc123296527"/>
      <w:r w:rsidRPr="00054588">
        <w:rPr>
          <w:rFonts w:asciiTheme="minorEastAsia" w:eastAsiaTheme="minorEastAsia" w:hAnsiTheme="minorEastAsia" w:hint="eastAsia"/>
          <w:bCs/>
          <w:color w:val="000000" w:themeColor="text1"/>
        </w:rPr>
        <w:t>（四）基金财产的保管</w:t>
      </w:r>
      <w:bookmarkEnd w:id="1210"/>
      <w:bookmarkEnd w:id="1211"/>
      <w:bookmarkEnd w:id="1212"/>
      <w:bookmarkEnd w:id="1213"/>
    </w:p>
    <w:p w:rsidR="007228CC" w:rsidRPr="00054588" w:rsidP="0071223F">
      <w:pPr>
        <w:adjustRightInd w:val="0"/>
        <w:snapToGrid w:val="0"/>
        <w:spacing w:line="360" w:lineRule="auto"/>
        <w:ind w:firstLine="42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1、基金财产保管的原则</w:t>
      </w:r>
    </w:p>
    <w:p w:rsidR="007228CC" w:rsidRPr="00054588" w:rsidP="0071223F">
      <w:pPr>
        <w:adjustRightInd w:val="0"/>
        <w:snapToGrid w:val="0"/>
        <w:spacing w:line="360" w:lineRule="auto"/>
        <w:ind w:firstLine="48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（1）基金财产应独立于基金管理人、基金托管人的固有财产。</w:t>
      </w:r>
    </w:p>
    <w:p w:rsidR="007228CC" w:rsidRPr="00054588" w:rsidP="0071223F">
      <w:pPr>
        <w:adjustRightInd w:val="0"/>
        <w:snapToGrid w:val="0"/>
        <w:spacing w:line="360" w:lineRule="auto"/>
        <w:ind w:firstLine="48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（2）基金托管人应安全保管基金财产。</w:t>
      </w:r>
    </w:p>
    <w:p w:rsidR="007228CC" w:rsidRPr="00054588" w:rsidP="0071223F">
      <w:pPr>
        <w:adjustRightInd w:val="0"/>
        <w:snapToGrid w:val="0"/>
        <w:spacing w:line="360" w:lineRule="auto"/>
        <w:ind w:firstLine="48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（3）基金托管人按照规定开设基金财产的资金账户和证券账户。</w:t>
      </w:r>
    </w:p>
    <w:p w:rsidR="007228CC" w:rsidRPr="00054588" w:rsidP="0071223F">
      <w:pPr>
        <w:adjustRightInd w:val="0"/>
        <w:snapToGrid w:val="0"/>
        <w:spacing w:line="360" w:lineRule="auto"/>
        <w:ind w:firstLine="48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（4）基金托管人对所托管的不同基金财产分别设置账户，确保基金财产的完整与独立。</w:t>
      </w:r>
    </w:p>
    <w:p w:rsidR="007228CC" w:rsidRPr="00054588" w:rsidP="0071223F">
      <w:pPr>
        <w:adjustRightInd w:val="0"/>
        <w:snapToGrid w:val="0"/>
        <w:spacing w:line="360" w:lineRule="auto"/>
        <w:ind w:firstLine="48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（5）基金托管人根据基金管理人的指令，按照基金合同和本协议的约定保管基金财产，如有特殊情况双方可另行协商解决。</w:t>
      </w:r>
    </w:p>
    <w:p w:rsidR="007228CC" w:rsidRPr="00054588" w:rsidP="0071223F">
      <w:pPr>
        <w:adjustRightInd w:val="0"/>
        <w:snapToGrid w:val="0"/>
        <w:spacing w:line="360" w:lineRule="auto"/>
        <w:ind w:firstLine="48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7228CC" w:rsidRPr="00054588" w:rsidP="0071223F">
      <w:pPr>
        <w:adjustRightInd w:val="0"/>
        <w:snapToGrid w:val="0"/>
        <w:spacing w:line="360" w:lineRule="auto"/>
        <w:ind w:firstLine="48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（7）除依据法律法规和基金合同的规定外，基金托管人不得委托第三人托管基金财产。</w:t>
      </w:r>
    </w:p>
    <w:p w:rsidR="007228CC" w:rsidRPr="00054588" w:rsidP="0071223F">
      <w:pPr>
        <w:adjustRightInd w:val="0"/>
        <w:snapToGrid w:val="0"/>
        <w:spacing w:line="360" w:lineRule="auto"/>
        <w:ind w:firstLine="42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2、基金募集期间及募集资金的验资</w:t>
      </w:r>
    </w:p>
    <w:p w:rsidR="007228CC" w:rsidRPr="00054588" w:rsidP="0071223F">
      <w:pPr>
        <w:adjustRightInd w:val="0"/>
        <w:snapToGrid w:val="0"/>
        <w:spacing w:line="360" w:lineRule="auto"/>
        <w:ind w:firstLine="48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（1）基金募集期间募集的资金应存于基金管理人开立的“基金募集专户”。该账户由基金管理人开立并管理。</w:t>
      </w:r>
    </w:p>
    <w:p w:rsidR="007228CC" w:rsidRPr="00054588" w:rsidP="0071223F">
      <w:pPr>
        <w:adjustRightInd w:val="0"/>
        <w:snapToGrid w:val="0"/>
        <w:spacing w:line="360" w:lineRule="auto"/>
        <w:ind w:firstLine="48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7228CC" w:rsidRPr="00054588" w:rsidP="0071223F">
      <w:pPr>
        <w:adjustRightInd w:val="0"/>
        <w:snapToGrid w:val="0"/>
        <w:spacing w:line="360" w:lineRule="auto"/>
        <w:ind w:firstLine="48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（3）若基金募集期限届满，未能达到基金合同生效的条件，由基金管理人按规定办理退款等事宜。</w:t>
      </w:r>
    </w:p>
    <w:p w:rsidR="007228CC" w:rsidRPr="00054588" w:rsidP="0071223F">
      <w:pPr>
        <w:adjustRightInd w:val="0"/>
        <w:snapToGrid w:val="0"/>
        <w:spacing w:line="360" w:lineRule="auto"/>
        <w:ind w:firstLine="42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3、基金银行账户的开立和管理</w:t>
      </w:r>
    </w:p>
    <w:p w:rsidR="007228CC" w:rsidRPr="00054588" w:rsidP="0071223F">
      <w:pPr>
        <w:adjustRightInd w:val="0"/>
        <w:snapToGrid w:val="0"/>
        <w:spacing w:line="360" w:lineRule="auto"/>
        <w:ind w:firstLine="48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（1）基金托管人可以基金的名义在其营业机构开立基金的银行账户，并根据基金管理人合法合规的指令办理资金收付。本基金的银行预留印鉴由基金托管人保管和使用。</w:t>
      </w:r>
    </w:p>
    <w:p w:rsidR="007228CC" w:rsidRPr="00054588" w:rsidP="0071223F">
      <w:pPr>
        <w:adjustRightInd w:val="0"/>
        <w:snapToGrid w:val="0"/>
        <w:spacing w:line="360" w:lineRule="auto"/>
        <w:ind w:firstLine="48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（2）基金银行账户的开立和使用，限于满足开展本基金业务的需要。基金托管人和基金管理人不得假借本基金的名义开立任何其他银行账户；亦不得使用基金的任何账户进行本基金业务以外的活动。</w:t>
      </w:r>
    </w:p>
    <w:p w:rsidR="007228CC" w:rsidRPr="00054588" w:rsidP="0071223F">
      <w:pPr>
        <w:adjustRightInd w:val="0"/>
        <w:snapToGrid w:val="0"/>
        <w:spacing w:line="360" w:lineRule="auto"/>
        <w:ind w:firstLine="48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（3）基金银行账户的开立和管理应符合银行业监督管理机构的有关规定。</w:t>
      </w:r>
    </w:p>
    <w:p w:rsidR="007228CC" w:rsidRPr="00054588" w:rsidP="0071223F">
      <w:pPr>
        <w:adjustRightInd w:val="0"/>
        <w:snapToGrid w:val="0"/>
        <w:spacing w:line="360" w:lineRule="auto"/>
        <w:ind w:firstLine="48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（4）在符合法律法规规定的条件下，基金托管人可以通过基金托管人专用账户办理基金资产的支付。</w:t>
      </w:r>
    </w:p>
    <w:p w:rsidR="007228CC" w:rsidRPr="00054588" w:rsidP="0071223F">
      <w:pPr>
        <w:adjustRightInd w:val="0"/>
        <w:snapToGrid w:val="0"/>
        <w:spacing w:line="360" w:lineRule="auto"/>
        <w:ind w:firstLine="42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4、基金证券账户的开立和管理</w:t>
      </w:r>
    </w:p>
    <w:p w:rsidR="007228CC" w:rsidRPr="00054588"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（1）基金托管人在中国证券登记结算有限责任公司上海分公司、深圳分公司为基金开立基金托管人与基金联名的证券账户。</w:t>
      </w:r>
    </w:p>
    <w:p w:rsidR="007228CC" w:rsidRPr="00054588"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7228CC" w:rsidRPr="00054588"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（3）基金证券账户的开立和证券账户卡的保管由基金托管人负责，账户资产的管理和运用由基金管理人负责。</w:t>
      </w:r>
    </w:p>
    <w:p w:rsidR="007228CC" w:rsidRPr="00054588"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7228CC" w:rsidRPr="00054588"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（5）若中国证监会或其他监管机构在本托管协议订立日之后允许基金从事其他投资品种的投资业务，涉及相关账户的开立、使用的，若无相关规定，则基金托管人比照上述关于账户开立、使用的规定执行。</w:t>
      </w:r>
    </w:p>
    <w:p w:rsidR="007228CC" w:rsidRPr="00054588" w:rsidP="0071223F">
      <w:pPr>
        <w:adjustRightInd w:val="0"/>
        <w:snapToGrid w:val="0"/>
        <w:spacing w:line="360" w:lineRule="auto"/>
        <w:ind w:firstLine="42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5、债券托管专户的开设和管理</w:t>
      </w:r>
    </w:p>
    <w:p w:rsidR="007228CC" w:rsidRPr="00054588" w:rsidP="0071223F">
      <w:pPr>
        <w:adjustRightInd w:val="0"/>
        <w:snapToGrid w:val="0"/>
        <w:spacing w:line="360" w:lineRule="auto"/>
        <w:ind w:firstLine="48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基金合同生效后，基金托管人根据中国人民银行、中央国债登记结算有限责任公司的有关规定，在中央国债登记结算有限责任公司开立债券托管账户，并代表基金进行银行间市场债券的结算。基金管理人和基金托管人共同代表基金签订全国银行间债券市场债券回购主协议。</w:t>
      </w:r>
    </w:p>
    <w:p w:rsidR="007228CC" w:rsidRPr="00054588" w:rsidP="0071223F">
      <w:pPr>
        <w:adjustRightInd w:val="0"/>
        <w:snapToGrid w:val="0"/>
        <w:spacing w:line="360" w:lineRule="auto"/>
        <w:ind w:firstLine="42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6、其他账户的开立和管理</w:t>
      </w:r>
    </w:p>
    <w:p w:rsidR="007228CC" w:rsidRPr="00054588" w:rsidP="0071223F">
      <w:pPr>
        <w:adjustRightInd w:val="0"/>
        <w:snapToGrid w:val="0"/>
        <w:spacing w:line="360" w:lineRule="auto"/>
        <w:ind w:firstLine="48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（1）因业务发展需要而开立的其他账户，可以根据法律法规和基金合同的规定，由基金托管人负责开立。新账户按有关规定使用并管理。</w:t>
      </w:r>
    </w:p>
    <w:p w:rsidR="007228CC" w:rsidRPr="00054588" w:rsidP="0071223F">
      <w:pPr>
        <w:adjustRightInd w:val="0"/>
        <w:snapToGrid w:val="0"/>
        <w:spacing w:line="360" w:lineRule="auto"/>
        <w:ind w:firstLine="48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（2）法律法规等有关规定对相关账户的开立和管理另有规定的，从其规定办理。</w:t>
      </w:r>
    </w:p>
    <w:p w:rsidR="007228CC" w:rsidRPr="00054588" w:rsidP="0071223F">
      <w:pPr>
        <w:adjustRightInd w:val="0"/>
        <w:snapToGrid w:val="0"/>
        <w:spacing w:line="360" w:lineRule="auto"/>
        <w:ind w:firstLine="42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7、基金财产投资的有关有价凭证等的保管</w:t>
      </w:r>
    </w:p>
    <w:p w:rsidR="007228CC" w:rsidRPr="00054588"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基金财产投资的有关实物证券等有价凭证由基金托管人存放于基金托管人的保管库，也可存入中央国债登记结算有限责任公司、中国证券登记结算有限责任公司上海分公司/深圳分公司或票据营业中心的代保管库，保管凭证由基金托管人持有。实物证券等有价凭证的购买和转让，由基金管理人和基金托管人共同办理。基金托管人对由基金托管人以外机构实际有效控制的证券不承担保管责任。</w:t>
      </w:r>
    </w:p>
    <w:p w:rsidR="007228CC" w:rsidRPr="00054588" w:rsidP="0071223F">
      <w:pPr>
        <w:adjustRightInd w:val="0"/>
        <w:snapToGrid w:val="0"/>
        <w:spacing w:line="360" w:lineRule="auto"/>
        <w:ind w:firstLine="42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8、与基金财产有关的重大合同的保管</w:t>
      </w:r>
    </w:p>
    <w:p w:rsidR="007228CC" w:rsidRPr="00054588" w:rsidP="0071223F">
      <w:pPr>
        <w:adjustRightInd w:val="0"/>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cs="Arial" w:hint="eastAsia"/>
          <w:color w:val="000000" w:themeColor="text1"/>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五个工作日内将正本通过专人送达、特快专递或挂号邮寄等方式送达基金托管人处。重大合同的保管期限为基金合同终止后15年。</w:t>
      </w:r>
    </w:p>
    <w:p w:rsidR="007228CC" w:rsidRPr="00054588" w:rsidP="009A1EA6">
      <w:pPr>
        <w:pStyle w:val="Heading2"/>
        <w:snapToGrid w:val="0"/>
        <w:spacing w:beforeLines="0" w:afterLines="0" w:line="360" w:lineRule="auto"/>
        <w:ind w:firstLine="0" w:firstLineChars="0"/>
        <w:rPr>
          <w:rFonts w:asciiTheme="minorEastAsia" w:eastAsiaTheme="minorEastAsia" w:hAnsiTheme="minorEastAsia"/>
          <w:bCs/>
          <w:color w:val="000000" w:themeColor="text1"/>
        </w:rPr>
      </w:pPr>
      <w:bookmarkStart w:id="1214" w:name="_Toc169345031"/>
      <w:bookmarkStart w:id="1215" w:name="_Toc211920234"/>
      <w:bookmarkStart w:id="1216" w:name="_Toc211927761"/>
      <w:bookmarkStart w:id="1217" w:name="_Toc123296528"/>
      <w:r w:rsidRPr="00054588">
        <w:rPr>
          <w:rFonts w:asciiTheme="minorEastAsia" w:eastAsiaTheme="minorEastAsia" w:hAnsiTheme="minorEastAsia" w:hint="eastAsia"/>
          <w:bCs/>
          <w:color w:val="000000" w:themeColor="text1"/>
        </w:rPr>
        <w:t>（五）基金资产净值计算与复核</w:t>
      </w:r>
      <w:bookmarkEnd w:id="1214"/>
      <w:bookmarkEnd w:id="1215"/>
      <w:bookmarkEnd w:id="1216"/>
      <w:bookmarkEnd w:id="1217"/>
    </w:p>
    <w:p w:rsidR="007228CC" w:rsidRPr="00054588"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bookmarkStart w:id="1218" w:name="_Toc211920235"/>
      <w:r w:rsidRPr="00054588">
        <w:rPr>
          <w:rFonts w:asciiTheme="minorEastAsia" w:eastAsiaTheme="minorEastAsia" w:hAnsiTheme="minorEastAsia" w:cs="Arial" w:hint="eastAsia"/>
          <w:color w:val="000000" w:themeColor="text1"/>
          <w:szCs w:val="21"/>
        </w:rPr>
        <w:t>1、基金资产净值的计算、复核与完成的时间及程序</w:t>
      </w:r>
      <w:bookmarkEnd w:id="1218"/>
    </w:p>
    <w:p w:rsidR="007228CC" w:rsidRPr="00054588"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（1）基金资产净值</w:t>
      </w:r>
    </w:p>
    <w:p w:rsidR="007228CC" w:rsidRPr="00054588"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基金资产净值是指基金资产总值减去负债后的金额。</w:t>
      </w:r>
    </w:p>
    <w:p w:rsidR="007228CC" w:rsidRPr="00054588"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基金份额净值是指基金资产净值除以基金份额总数，基金份额净值的计算，精确到0.001元，小数点后第四位四舍五入，国家另有规定的，从其规定。</w:t>
      </w:r>
    </w:p>
    <w:p w:rsidR="007228CC" w:rsidRPr="00054588"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基金管理人每个工作日计算基金资产净值及基金份额净值，经基金托管人复核，按规定公告。</w:t>
      </w:r>
    </w:p>
    <w:p w:rsidR="007228CC" w:rsidRPr="00054588"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（2）复核程序</w:t>
      </w:r>
    </w:p>
    <w:p w:rsidR="007228CC" w:rsidRPr="00054588"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基金管理人每开放日对基金资产进行估值后，将基金份额净值结果发送基金托管人，经基金托管人复核无误后，由基金管理人对外公布。</w:t>
      </w:r>
    </w:p>
    <w:p w:rsidR="007228CC" w:rsidRPr="00054588" w:rsidP="00DB3139">
      <w:pPr>
        <w:snapToGrid w:val="0"/>
        <w:spacing w:line="360" w:lineRule="auto"/>
        <w:ind w:firstLine="420" w:firstLineChars="200"/>
        <w:rPr>
          <w:rStyle w:val="read"/>
          <w:rFonts w:asciiTheme="minorEastAsia" w:eastAsiaTheme="minorEastAsia" w:hAnsiTheme="minorEastAsia"/>
          <w:color w:val="000000" w:themeColor="text1"/>
          <w:szCs w:val="21"/>
        </w:rPr>
      </w:pPr>
      <w:r w:rsidRPr="00054588">
        <w:rPr>
          <w:rFonts w:asciiTheme="minorEastAsia" w:eastAsiaTheme="minorEastAsia" w:hAnsiTheme="minorEastAsia" w:cs="Arial" w:hint="eastAsia"/>
          <w:color w:val="000000" w:themeColor="text1"/>
          <w:szCs w:val="21"/>
        </w:rPr>
        <w:t>（3）</w:t>
      </w:r>
      <w:r w:rsidRPr="00054588">
        <w:rPr>
          <w:rFonts w:asciiTheme="minorEastAsia" w:eastAsiaTheme="minorEastAsia" w:hAnsiTheme="minorEastAsia" w:hint="eastAsia"/>
          <w:color w:val="000000" w:themeColor="text1"/>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7228CC" w:rsidRPr="00054588" w:rsidP="009A1EA6">
      <w:pPr>
        <w:pStyle w:val="Heading2"/>
        <w:snapToGrid w:val="0"/>
        <w:spacing w:beforeLines="0" w:afterLines="0" w:line="360" w:lineRule="auto"/>
        <w:ind w:firstLine="0" w:firstLineChars="0"/>
        <w:rPr>
          <w:rFonts w:asciiTheme="minorEastAsia" w:eastAsiaTheme="minorEastAsia" w:hAnsiTheme="minorEastAsia"/>
          <w:bCs/>
          <w:color w:val="000000" w:themeColor="text1"/>
          <w:sz w:val="21"/>
        </w:rPr>
      </w:pPr>
      <w:bookmarkStart w:id="1219" w:name="_Toc169345032"/>
      <w:bookmarkStart w:id="1220" w:name="_Toc211920236"/>
      <w:bookmarkStart w:id="1221" w:name="_Toc211927762"/>
      <w:bookmarkStart w:id="1222" w:name="_Toc123296529"/>
      <w:r w:rsidRPr="00054588">
        <w:rPr>
          <w:rFonts w:asciiTheme="minorEastAsia" w:eastAsiaTheme="minorEastAsia" w:hAnsiTheme="minorEastAsia" w:hint="eastAsia"/>
          <w:bCs/>
          <w:color w:val="000000" w:themeColor="text1"/>
        </w:rPr>
        <w:t>（六）基金份额持有人名册的登记与保管</w:t>
      </w:r>
      <w:bookmarkEnd w:id="1219"/>
      <w:bookmarkEnd w:id="1220"/>
      <w:bookmarkEnd w:id="1221"/>
      <w:bookmarkEnd w:id="1222"/>
    </w:p>
    <w:p w:rsidR="001D16B5" w:rsidRPr="00054588" w:rsidP="001D16B5">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基金份额持有人名册至少应包括基金份额持有人的名称和持有的基金份额。基金份额持有人名册由基金登记结算机构根据基金管理人的指令编制和保管，基金管理人和基金托管人应分别保管基金份额持有人名册，保存期不少于15年。如不能妥善保管，则按相关法规承担责任。</w:t>
      </w:r>
    </w:p>
    <w:p w:rsidR="007228CC" w:rsidRPr="00054588" w:rsidP="001D16B5">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在基金托管人要求或编制中期报告和年度报告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rsidR="007228CC" w:rsidRPr="00054588" w:rsidP="009A1EA6">
      <w:pPr>
        <w:pStyle w:val="Heading2"/>
        <w:snapToGrid w:val="0"/>
        <w:spacing w:beforeLines="0" w:afterLines="0" w:line="360" w:lineRule="auto"/>
        <w:ind w:firstLine="0" w:firstLineChars="0"/>
        <w:rPr>
          <w:rFonts w:asciiTheme="minorEastAsia" w:eastAsiaTheme="minorEastAsia" w:hAnsiTheme="minorEastAsia"/>
          <w:bCs/>
          <w:color w:val="000000" w:themeColor="text1"/>
          <w:sz w:val="21"/>
        </w:rPr>
      </w:pPr>
      <w:bookmarkStart w:id="1223" w:name="_Toc169345033"/>
      <w:bookmarkStart w:id="1224" w:name="_Toc211920237"/>
      <w:bookmarkStart w:id="1225" w:name="_Toc211927763"/>
      <w:bookmarkStart w:id="1226" w:name="_Toc123296530"/>
      <w:r w:rsidRPr="00054588">
        <w:rPr>
          <w:rFonts w:asciiTheme="minorEastAsia" w:eastAsiaTheme="minorEastAsia" w:hAnsiTheme="minorEastAsia" w:hint="eastAsia"/>
          <w:bCs/>
          <w:color w:val="000000" w:themeColor="text1"/>
        </w:rPr>
        <w:t>（七）争议解决方式</w:t>
      </w:r>
      <w:bookmarkEnd w:id="1223"/>
      <w:bookmarkEnd w:id="1224"/>
      <w:bookmarkEnd w:id="1225"/>
      <w:bookmarkEnd w:id="1226"/>
    </w:p>
    <w:p w:rsidR="007228CC" w:rsidRPr="00054588"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bookmarkStart w:id="1227" w:name="_Toc169345034"/>
      <w:r w:rsidRPr="00054588">
        <w:rPr>
          <w:rFonts w:asciiTheme="minorEastAsia" w:eastAsiaTheme="minorEastAsia" w:hAnsiTheme="minorEastAsia" w:cs="Arial" w:hint="eastAsia"/>
          <w:color w:val="000000" w:themeColor="text1"/>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7228CC" w:rsidRPr="00054588"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争议处理期间，双方当事人应恪守基金管理人和基金托管人职责，各自继续忠实、勤勉、尽责地履行基金合同和本托管协议规定的义务，维护基金份额持有人的合法权益。</w:t>
      </w:r>
    </w:p>
    <w:p w:rsidR="007228CC" w:rsidRPr="00054588"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本协议受中国法律管辖。</w:t>
      </w:r>
    </w:p>
    <w:p w:rsidR="007228CC" w:rsidRPr="00054588" w:rsidP="009A1EA6">
      <w:pPr>
        <w:pStyle w:val="Heading2"/>
        <w:snapToGrid w:val="0"/>
        <w:spacing w:beforeLines="0" w:afterLines="0" w:line="360" w:lineRule="auto"/>
        <w:ind w:firstLine="0" w:firstLineChars="0"/>
        <w:rPr>
          <w:rFonts w:asciiTheme="minorEastAsia" w:eastAsiaTheme="minorEastAsia" w:hAnsiTheme="minorEastAsia"/>
          <w:bCs/>
          <w:color w:val="000000" w:themeColor="text1"/>
          <w:sz w:val="21"/>
        </w:rPr>
      </w:pPr>
      <w:bookmarkStart w:id="1228" w:name="_Toc211920238"/>
      <w:bookmarkStart w:id="1229" w:name="_Toc211927764"/>
      <w:bookmarkStart w:id="1230" w:name="_Toc123296531"/>
      <w:r w:rsidRPr="00054588">
        <w:rPr>
          <w:rFonts w:asciiTheme="minorEastAsia" w:eastAsiaTheme="minorEastAsia" w:hAnsiTheme="minorEastAsia" w:hint="eastAsia"/>
          <w:bCs/>
          <w:color w:val="000000" w:themeColor="text1"/>
        </w:rPr>
        <w:t>（八）托管协议的修改与终止</w:t>
      </w:r>
      <w:bookmarkEnd w:id="1227"/>
      <w:bookmarkEnd w:id="1228"/>
      <w:bookmarkEnd w:id="1229"/>
      <w:bookmarkEnd w:id="1230"/>
    </w:p>
    <w:p w:rsidR="007228CC" w:rsidRPr="00054588"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1、托管协议的变更程序</w:t>
      </w:r>
    </w:p>
    <w:p w:rsidR="007228CC" w:rsidRPr="00054588" w:rsidP="0071223F">
      <w:pPr>
        <w:adjustRightInd w:val="0"/>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cs="Arial" w:hint="eastAsia"/>
          <w:color w:val="000000" w:themeColor="text1"/>
          <w:szCs w:val="21"/>
        </w:rPr>
        <w:t>本协议双方当事人经协商一致，可以对协议进行修改。修改后的新协议，其内容不得与基金合同的规定有任何冲突。基金托管协议的变更报中国证监会核准或备案后生效。</w:t>
      </w:r>
    </w:p>
    <w:p w:rsidR="007228CC" w:rsidRPr="00054588"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2、基金托管协议终止出现的情形</w:t>
      </w:r>
    </w:p>
    <w:p w:rsidR="007228CC" w:rsidRPr="00054588"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（1）基金合同终止；</w:t>
      </w:r>
    </w:p>
    <w:p w:rsidR="007228CC" w:rsidRPr="00054588"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（2）基金托管人解散、依法被撤销、破产或由其他基金托管人接管基金资产；</w:t>
      </w:r>
    </w:p>
    <w:p w:rsidR="007228CC" w:rsidRPr="00054588" w:rsidP="0071223F">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054588">
        <w:rPr>
          <w:rFonts w:asciiTheme="minorEastAsia" w:eastAsiaTheme="minorEastAsia" w:hAnsiTheme="minorEastAsia" w:cs="Arial" w:hint="eastAsia"/>
          <w:color w:val="000000" w:themeColor="text1"/>
          <w:szCs w:val="21"/>
        </w:rPr>
        <w:t>（3）基金管理人解散、依法被撤销、破产或由其他基金管理人接管基金管理权；</w:t>
      </w:r>
    </w:p>
    <w:p w:rsidR="00FE66C4" w:rsidRPr="00054588" w:rsidP="00FC0557">
      <w:pPr>
        <w:adjustRightInd w:val="0"/>
        <w:snapToGrid w:val="0"/>
        <w:spacing w:line="360" w:lineRule="auto"/>
        <w:ind w:firstLine="420" w:firstLineChars="200"/>
        <w:rPr>
          <w:rFonts w:asciiTheme="minorEastAsia" w:eastAsiaTheme="minorEastAsia" w:hAnsiTheme="minorEastAsia"/>
          <w:color w:val="000000" w:themeColor="text1"/>
        </w:rPr>
      </w:pPr>
      <w:r w:rsidRPr="00054588">
        <w:rPr>
          <w:rFonts w:asciiTheme="minorEastAsia" w:eastAsiaTheme="minorEastAsia" w:hAnsiTheme="minorEastAsia" w:cs="Arial" w:hint="eastAsia"/>
          <w:color w:val="000000" w:themeColor="text1"/>
          <w:szCs w:val="21"/>
        </w:rPr>
        <w:t>（4）发生法律法规或基金合同规定的终止事项。</w:t>
      </w:r>
      <w:bookmarkStart w:id="1231" w:name="_Toc38186634"/>
      <w:bookmarkEnd w:id="1196"/>
    </w:p>
    <w:p w:rsidR="007228CC" w:rsidRPr="00054588" w:rsidP="00DB15B5">
      <w:pPr>
        <w:pStyle w:val="111"/>
        <w:numPr>
          <w:ilvl w:val="0"/>
          <w:numId w:val="7"/>
        </w:numPr>
        <w:tabs>
          <w:tab w:val="num" w:pos="0"/>
          <w:tab w:val="clear" w:pos="2798"/>
        </w:tabs>
        <w:snapToGrid w:val="0"/>
        <w:spacing w:beforeLines="0" w:afterLines="0" w:line="360" w:lineRule="auto"/>
        <w:ind w:left="0" w:firstLine="0" w:firstLineChars="0"/>
        <w:rPr>
          <w:rFonts w:asciiTheme="minorEastAsia" w:eastAsiaTheme="minorEastAsia" w:hAnsiTheme="minorEastAsia"/>
          <w:b/>
          <w:color w:val="000000" w:themeColor="text1"/>
        </w:rPr>
      </w:pPr>
      <w:bookmarkStart w:id="1232" w:name="_Toc123296532"/>
      <w:r w:rsidRPr="00054588">
        <w:rPr>
          <w:rFonts w:asciiTheme="minorEastAsia" w:eastAsiaTheme="minorEastAsia" w:hAnsiTheme="minorEastAsia" w:hint="eastAsia"/>
          <w:b/>
          <w:color w:val="000000" w:themeColor="text1"/>
        </w:rPr>
        <w:t>对基金份额持有人的服务</w:t>
      </w:r>
      <w:bookmarkEnd w:id="1232"/>
    </w:p>
    <w:p w:rsidR="007228CC" w:rsidRPr="00054588" w:rsidP="0071223F">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基金管理人承诺为基金份额持有人提供一系列的服务。以下是主要的服务内容，基金管理人根据基金份额持有人的需要和市场的变化，有权增加、修改这些服务项目：</w:t>
      </w:r>
    </w:p>
    <w:p w:rsidR="007228CC" w:rsidRPr="00054588" w:rsidP="00941EC8">
      <w:pPr>
        <w:pStyle w:val="Heading2"/>
        <w:snapToGrid w:val="0"/>
        <w:spacing w:beforeLines="0" w:afterLines="0" w:line="360" w:lineRule="auto"/>
        <w:ind w:firstLine="0" w:firstLineChars="0"/>
        <w:rPr>
          <w:rFonts w:asciiTheme="minorEastAsia" w:eastAsiaTheme="minorEastAsia" w:hAnsiTheme="minorEastAsia"/>
          <w:bCs/>
          <w:color w:val="000000" w:themeColor="text1"/>
        </w:rPr>
      </w:pPr>
      <w:bookmarkStart w:id="1233" w:name="_Toc181718381"/>
      <w:bookmarkStart w:id="1234" w:name="_Toc183353851"/>
      <w:bookmarkStart w:id="1235" w:name="_Toc183400210"/>
      <w:bookmarkStart w:id="1236" w:name="_Toc531318033"/>
      <w:bookmarkStart w:id="1237" w:name="_Toc531323798"/>
      <w:bookmarkStart w:id="1238" w:name="_Toc211920240"/>
      <w:bookmarkStart w:id="1239" w:name="_Toc123296533"/>
      <w:r w:rsidRPr="00054588">
        <w:rPr>
          <w:rFonts w:asciiTheme="minorEastAsia" w:eastAsiaTheme="minorEastAsia" w:hAnsiTheme="minorEastAsia" w:hint="eastAsia"/>
          <w:bCs/>
          <w:color w:val="000000" w:themeColor="text1"/>
        </w:rPr>
        <w:t>（一）基金份额持有人投资交易确认服务</w:t>
      </w:r>
      <w:bookmarkEnd w:id="1233"/>
      <w:bookmarkEnd w:id="1234"/>
      <w:bookmarkEnd w:id="1235"/>
      <w:bookmarkEnd w:id="1236"/>
      <w:bookmarkEnd w:id="1237"/>
      <w:bookmarkEnd w:id="1238"/>
      <w:bookmarkEnd w:id="1239"/>
    </w:p>
    <w:p w:rsidR="007228CC" w:rsidRPr="00054588" w:rsidP="0071223F">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注册登记机构保留基金份额持有人名册上列明的所有基金份额持有人的基金交易记录。</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color w:val="000000" w:themeColor="text1"/>
        </w:rPr>
        <w:t>我公司根据在直销网点进行交易的投资人的要求提供成交确认单。非直销销售机构基金份额持有人投资交易确认服务请参照各销售机构实际业务流程及规定。</w:t>
      </w:r>
    </w:p>
    <w:p w:rsidR="007228CC" w:rsidRPr="00054588" w:rsidP="00941EC8">
      <w:pPr>
        <w:pStyle w:val="Heading2"/>
        <w:snapToGrid w:val="0"/>
        <w:spacing w:beforeLines="0" w:afterLines="0" w:line="360" w:lineRule="auto"/>
        <w:ind w:firstLine="0" w:firstLineChars="0"/>
        <w:rPr>
          <w:rFonts w:asciiTheme="minorEastAsia" w:eastAsiaTheme="minorEastAsia" w:hAnsiTheme="minorEastAsia"/>
          <w:bCs/>
          <w:color w:val="000000" w:themeColor="text1"/>
        </w:rPr>
      </w:pPr>
      <w:bookmarkStart w:id="1240" w:name="_Toc181718382"/>
      <w:bookmarkStart w:id="1241" w:name="_Toc183353852"/>
      <w:bookmarkStart w:id="1242" w:name="_Toc183400211"/>
      <w:bookmarkStart w:id="1243" w:name="_Toc531318034"/>
      <w:bookmarkStart w:id="1244" w:name="_Toc531323799"/>
      <w:bookmarkStart w:id="1245" w:name="_Toc211920241"/>
      <w:bookmarkStart w:id="1246" w:name="_Toc123296534"/>
      <w:r w:rsidRPr="00054588">
        <w:rPr>
          <w:rFonts w:asciiTheme="minorEastAsia" w:eastAsiaTheme="minorEastAsia" w:hAnsiTheme="minorEastAsia" w:hint="eastAsia"/>
          <w:bCs/>
          <w:color w:val="000000" w:themeColor="text1"/>
        </w:rPr>
        <w:t>（二）基金份额持有人交易记录查询服务</w:t>
      </w:r>
      <w:bookmarkEnd w:id="1240"/>
      <w:bookmarkEnd w:id="1241"/>
      <w:bookmarkEnd w:id="1242"/>
      <w:bookmarkEnd w:id="1243"/>
      <w:bookmarkEnd w:id="1244"/>
      <w:bookmarkEnd w:id="1245"/>
      <w:bookmarkEnd w:id="1246"/>
    </w:p>
    <w:p w:rsidR="007228CC" w:rsidRPr="00054588" w:rsidP="0071223F">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本基金份额持有人可通过基金管理人的客户服务中心查询历史交易记录。</w:t>
      </w:r>
    </w:p>
    <w:p w:rsidR="007228CC" w:rsidRPr="00054588" w:rsidP="00941EC8">
      <w:pPr>
        <w:pStyle w:val="Heading2"/>
        <w:snapToGrid w:val="0"/>
        <w:spacing w:beforeLines="0" w:afterLines="0" w:line="360" w:lineRule="auto"/>
        <w:ind w:firstLine="0" w:firstLineChars="0"/>
        <w:rPr>
          <w:rFonts w:asciiTheme="minorEastAsia" w:eastAsiaTheme="minorEastAsia" w:hAnsiTheme="minorEastAsia"/>
          <w:bCs/>
          <w:color w:val="000000" w:themeColor="text1"/>
        </w:rPr>
      </w:pPr>
      <w:bookmarkStart w:id="1247" w:name="_Toc123296535"/>
      <w:bookmarkStart w:id="1248" w:name="_Toc181718383"/>
      <w:bookmarkStart w:id="1249" w:name="_Toc183353853"/>
      <w:bookmarkStart w:id="1250" w:name="_Toc183400212"/>
      <w:bookmarkStart w:id="1251" w:name="_Toc531318035"/>
      <w:bookmarkStart w:id="1252" w:name="_Toc531323800"/>
      <w:bookmarkStart w:id="1253" w:name="_Toc211920242"/>
      <w:r w:rsidRPr="00054588">
        <w:rPr>
          <w:rFonts w:asciiTheme="minorEastAsia" w:eastAsiaTheme="minorEastAsia" w:hAnsiTheme="minorEastAsia" w:hint="eastAsia"/>
          <w:bCs/>
          <w:color w:val="000000" w:themeColor="text1"/>
        </w:rPr>
        <w:t>（三）基金份额持有人的对账单服务</w:t>
      </w:r>
      <w:bookmarkEnd w:id="1247"/>
    </w:p>
    <w:p w:rsidR="007228CC" w:rsidRPr="00054588" w:rsidP="0071223F">
      <w:pPr>
        <w:pStyle w:val="TableofFigures"/>
        <w:snapToGrid w:val="0"/>
        <w:spacing w:line="360" w:lineRule="auto"/>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1</w:t>
      </w:r>
      <w:r w:rsidRPr="00054588" w:rsidR="00FE66C4">
        <w:rPr>
          <w:rFonts w:asciiTheme="minorEastAsia" w:eastAsiaTheme="minorEastAsia" w:hAnsiTheme="minorEastAsia" w:hint="eastAsia"/>
          <w:color w:val="000000" w:themeColor="text1"/>
        </w:rPr>
        <w:t>、</w:t>
      </w:r>
      <w:r w:rsidRPr="00054588">
        <w:rPr>
          <w:rFonts w:asciiTheme="minorEastAsia" w:eastAsiaTheme="minorEastAsia" w:hAnsiTheme="minorEastAsia" w:hint="eastAsia"/>
          <w:color w:val="000000" w:themeColor="text1"/>
        </w:rPr>
        <w:t>基金份额持有人可登录本公司网站（</w:t>
      </w:r>
      <w:hyperlink r:id="rId13" w:history="1">
        <w:r w:rsidRPr="00054588">
          <w:rPr>
            <w:rFonts w:asciiTheme="minorEastAsia" w:eastAsiaTheme="minorEastAsia" w:hAnsiTheme="minorEastAsia" w:hint="eastAsia"/>
            <w:color w:val="000000" w:themeColor="text1"/>
          </w:rPr>
          <w:t>http://www.efunds.com.cn</w:t>
        </w:r>
      </w:hyperlink>
      <w:r w:rsidRPr="00054588">
        <w:rPr>
          <w:rFonts w:asciiTheme="minorEastAsia" w:eastAsiaTheme="minorEastAsia" w:hAnsiTheme="minorEastAsia" w:hint="eastAsia"/>
          <w:color w:val="000000" w:themeColor="text1"/>
        </w:rPr>
        <w:t>）查阅对账单。</w:t>
      </w:r>
    </w:p>
    <w:p w:rsidR="007228CC" w:rsidRPr="00054588" w:rsidP="0071223F">
      <w:pPr>
        <w:pStyle w:val="NormalWeb"/>
        <w:autoSpaceDE w:val="0"/>
        <w:autoSpaceDN w:val="0"/>
        <w:adjustRightInd w:val="0"/>
        <w:snapToGrid w:val="0"/>
        <w:spacing w:line="360" w:lineRule="auto"/>
        <w:ind w:firstLine="420" w:firstLineChars="200"/>
        <w:rPr>
          <w:rFonts w:asciiTheme="minorEastAsia" w:eastAsiaTheme="minorEastAsia" w:hAnsiTheme="minorEastAsia"/>
          <w:color w:val="000000" w:themeColor="text1"/>
          <w:sz w:val="21"/>
        </w:rPr>
      </w:pPr>
      <w:r w:rsidRPr="00054588">
        <w:rPr>
          <w:rFonts w:asciiTheme="minorEastAsia" w:eastAsiaTheme="minorEastAsia" w:hAnsiTheme="minorEastAsia" w:hint="eastAsia"/>
          <w:color w:val="000000" w:themeColor="text1"/>
          <w:sz w:val="21"/>
        </w:rPr>
        <w:t>2</w:t>
      </w:r>
      <w:r w:rsidRPr="00054588" w:rsidR="00FE66C4">
        <w:rPr>
          <w:rFonts w:asciiTheme="minorEastAsia" w:eastAsiaTheme="minorEastAsia" w:hAnsiTheme="minorEastAsia" w:hint="eastAsia"/>
          <w:color w:val="000000" w:themeColor="text1"/>
          <w:sz w:val="21"/>
        </w:rPr>
        <w:t>、</w:t>
      </w:r>
      <w:r w:rsidRPr="00054588" w:rsidR="00280D43">
        <w:rPr>
          <w:rFonts w:asciiTheme="minorEastAsia" w:eastAsiaTheme="minorEastAsia" w:hAnsiTheme="minorEastAsia" w:hint="eastAsia"/>
          <w:color w:val="000000" w:themeColor="text1"/>
          <w:sz w:val="21"/>
        </w:rPr>
        <w:t>本公司至少每年度以电子邮件、短信或其他形式向通过易方达直销系统持有本公司基金份额的基金份额持有人提供基金保有情况信息，基金份额持有人也可以向本公司定制电子邮件形式的月度对账单。</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具体查阅和定制账单的方法可参见本公司网站或拨打客服热线咨询。</w:t>
      </w:r>
      <w:bookmarkStart w:id="1254" w:name="_Toc181718384"/>
      <w:bookmarkStart w:id="1255" w:name="_Toc183353854"/>
      <w:bookmarkStart w:id="1256" w:name="_Toc183400213"/>
      <w:bookmarkStart w:id="1257" w:name="_Toc531318036"/>
      <w:bookmarkStart w:id="1258" w:name="_Toc531323801"/>
      <w:bookmarkEnd w:id="1248"/>
      <w:bookmarkEnd w:id="1249"/>
      <w:bookmarkEnd w:id="1250"/>
      <w:bookmarkEnd w:id="1251"/>
      <w:bookmarkEnd w:id="1252"/>
      <w:bookmarkEnd w:id="1253"/>
    </w:p>
    <w:p w:rsidR="007228CC" w:rsidRPr="00054588" w:rsidP="00941EC8">
      <w:pPr>
        <w:pStyle w:val="Heading2"/>
        <w:snapToGrid w:val="0"/>
        <w:spacing w:beforeLines="0" w:afterLines="0" w:line="360" w:lineRule="auto"/>
        <w:ind w:firstLine="0" w:firstLineChars="0"/>
        <w:rPr>
          <w:rFonts w:asciiTheme="minorEastAsia" w:eastAsiaTheme="minorEastAsia" w:hAnsiTheme="minorEastAsia"/>
          <w:bCs/>
          <w:color w:val="000000" w:themeColor="text1"/>
        </w:rPr>
      </w:pPr>
      <w:bookmarkStart w:id="1259" w:name="_Toc181718385"/>
      <w:bookmarkStart w:id="1260" w:name="_Toc183353855"/>
      <w:bookmarkStart w:id="1261" w:name="_Toc183400214"/>
      <w:bookmarkStart w:id="1262" w:name="_Toc531318037"/>
      <w:bookmarkStart w:id="1263" w:name="_Toc531323802"/>
      <w:bookmarkStart w:id="1264" w:name="_Toc211920245"/>
      <w:bookmarkStart w:id="1265" w:name="_Toc123296536"/>
      <w:bookmarkEnd w:id="1254"/>
      <w:bookmarkEnd w:id="1255"/>
      <w:bookmarkEnd w:id="1256"/>
      <w:bookmarkEnd w:id="1257"/>
      <w:bookmarkEnd w:id="1258"/>
      <w:r w:rsidRPr="00054588">
        <w:rPr>
          <w:rFonts w:asciiTheme="minorEastAsia" w:eastAsiaTheme="minorEastAsia" w:hAnsiTheme="minorEastAsia" w:hint="eastAsia"/>
          <w:bCs/>
          <w:color w:val="000000" w:themeColor="text1"/>
        </w:rPr>
        <w:t>（</w:t>
      </w:r>
      <w:r w:rsidRPr="00054588" w:rsidR="005D6939">
        <w:rPr>
          <w:rFonts w:asciiTheme="minorEastAsia" w:eastAsiaTheme="minorEastAsia" w:hAnsiTheme="minorEastAsia" w:hint="eastAsia"/>
          <w:bCs/>
          <w:color w:val="000000" w:themeColor="text1"/>
        </w:rPr>
        <w:t>四</w:t>
      </w:r>
      <w:r w:rsidRPr="00054588">
        <w:rPr>
          <w:rFonts w:asciiTheme="minorEastAsia" w:eastAsiaTheme="minorEastAsia" w:hAnsiTheme="minorEastAsia" w:hint="eastAsia"/>
          <w:bCs/>
          <w:color w:val="000000" w:themeColor="text1"/>
        </w:rPr>
        <w:t>）定期定额投资计划</w:t>
      </w:r>
      <w:bookmarkEnd w:id="1259"/>
      <w:bookmarkEnd w:id="1260"/>
      <w:bookmarkEnd w:id="1261"/>
      <w:bookmarkEnd w:id="1262"/>
      <w:bookmarkEnd w:id="1263"/>
      <w:bookmarkEnd w:id="1264"/>
      <w:bookmarkEnd w:id="1265"/>
    </w:p>
    <w:p w:rsidR="007228CC" w:rsidRPr="00054588" w:rsidP="0071223F">
      <w:pPr>
        <w:pStyle w:val="a"/>
        <w:snapToGrid w:val="0"/>
        <w:spacing w:line="360" w:lineRule="auto"/>
        <w:ind w:firstLine="420" w:firstLineChars="20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kern w:val="0"/>
        </w:rPr>
        <w:t>基金管理人可利用</w:t>
      </w:r>
      <w:r w:rsidRPr="00054588" w:rsidR="005E04E3">
        <w:rPr>
          <w:rFonts w:asciiTheme="minorEastAsia" w:eastAsiaTheme="minorEastAsia" w:hAnsiTheme="minorEastAsia" w:hint="eastAsia"/>
          <w:color w:val="000000" w:themeColor="text1"/>
          <w:kern w:val="0"/>
        </w:rPr>
        <w:t>非直销销售</w:t>
      </w:r>
      <w:r w:rsidRPr="00054588">
        <w:rPr>
          <w:rFonts w:asciiTheme="minorEastAsia" w:eastAsiaTheme="minorEastAsia" w:hAnsiTheme="minorEastAsia" w:hint="eastAsia"/>
          <w:color w:val="000000" w:themeColor="text1"/>
          <w:kern w:val="0"/>
        </w:rPr>
        <w:t>机构网点和本公司网上交易系统为投资者提供定期定额投资的</w:t>
      </w:r>
      <w:r w:rsidRPr="00054588">
        <w:rPr>
          <w:rFonts w:asciiTheme="minorEastAsia" w:eastAsiaTheme="minorEastAsia" w:hAnsiTheme="minorEastAsia" w:hint="eastAsia"/>
          <w:color w:val="000000" w:themeColor="text1"/>
          <w:kern w:val="0"/>
          <w:szCs w:val="21"/>
        </w:rPr>
        <w:t>服务（本公司网上交易系统的定期定额投资服务目前仅对个人投资者开通）</w:t>
      </w:r>
      <w:r w:rsidRPr="00054588">
        <w:rPr>
          <w:rFonts w:asciiTheme="minorEastAsia" w:eastAsiaTheme="minorEastAsia" w:hAnsiTheme="minorEastAsia" w:hint="eastAsia"/>
          <w:color w:val="000000" w:themeColor="text1"/>
        </w:rPr>
        <w:t>。通过定期定额投资计划，投资者可以通过固定的渠道，定期定额申购基金份额，具体实施方法见相关公告。</w:t>
      </w:r>
    </w:p>
    <w:p w:rsidR="007228CC" w:rsidRPr="00054588" w:rsidP="00941EC8">
      <w:pPr>
        <w:pStyle w:val="Heading2"/>
        <w:snapToGrid w:val="0"/>
        <w:spacing w:beforeLines="0" w:afterLines="0" w:line="360" w:lineRule="auto"/>
        <w:ind w:firstLine="0" w:firstLineChars="0"/>
        <w:rPr>
          <w:rFonts w:asciiTheme="minorEastAsia" w:eastAsiaTheme="minorEastAsia" w:hAnsiTheme="minorEastAsia"/>
          <w:bCs/>
          <w:color w:val="000000" w:themeColor="text1"/>
        </w:rPr>
      </w:pPr>
      <w:bookmarkStart w:id="1266" w:name="_Toc181718386"/>
      <w:bookmarkStart w:id="1267" w:name="_Toc183353856"/>
      <w:bookmarkStart w:id="1268" w:name="_Toc183400215"/>
      <w:bookmarkStart w:id="1269" w:name="_Toc531318038"/>
      <w:bookmarkStart w:id="1270" w:name="_Toc531323803"/>
      <w:bookmarkStart w:id="1271" w:name="_Toc211920246"/>
      <w:bookmarkStart w:id="1272" w:name="_Toc123296537"/>
      <w:r w:rsidRPr="00054588">
        <w:rPr>
          <w:rFonts w:asciiTheme="minorEastAsia" w:eastAsiaTheme="minorEastAsia" w:hAnsiTheme="minorEastAsia" w:hint="eastAsia"/>
          <w:bCs/>
          <w:color w:val="000000" w:themeColor="text1"/>
        </w:rPr>
        <w:t>（</w:t>
      </w:r>
      <w:r w:rsidRPr="00054588" w:rsidR="005D6939">
        <w:rPr>
          <w:rFonts w:asciiTheme="minorEastAsia" w:eastAsiaTheme="minorEastAsia" w:hAnsiTheme="minorEastAsia" w:hint="eastAsia"/>
          <w:bCs/>
          <w:color w:val="000000" w:themeColor="text1"/>
        </w:rPr>
        <w:t>五</w:t>
      </w:r>
      <w:r w:rsidRPr="00054588">
        <w:rPr>
          <w:rFonts w:asciiTheme="minorEastAsia" w:eastAsiaTheme="minorEastAsia" w:hAnsiTheme="minorEastAsia" w:hint="eastAsia"/>
          <w:bCs/>
          <w:color w:val="000000" w:themeColor="text1"/>
        </w:rPr>
        <w:t>）资讯服务</w:t>
      </w:r>
      <w:bookmarkEnd w:id="1266"/>
      <w:bookmarkEnd w:id="1267"/>
      <w:bookmarkEnd w:id="1268"/>
      <w:bookmarkEnd w:id="1269"/>
      <w:bookmarkEnd w:id="1270"/>
      <w:bookmarkEnd w:id="1271"/>
      <w:bookmarkEnd w:id="1272"/>
    </w:p>
    <w:p w:rsidR="007228CC" w:rsidRPr="00054588" w:rsidP="0071223F">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1、客户服务电话</w:t>
      </w:r>
    </w:p>
    <w:p w:rsidR="007228CC" w:rsidRPr="00054588" w:rsidP="0071223F">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投资者如果想了解申购与赎回的交易情况、基金账户余额、基金产品与服务等信息，</w:t>
      </w:r>
      <w:r w:rsidRPr="00054588" w:rsidR="007800D1">
        <w:rPr>
          <w:rFonts w:asciiTheme="minorEastAsia" w:eastAsiaTheme="minorEastAsia" w:hAnsiTheme="minorEastAsia" w:hint="eastAsia"/>
          <w:color w:val="000000" w:themeColor="text1"/>
          <w:kern w:val="0"/>
        </w:rPr>
        <w:t>或反馈投资过程中需要投诉与建议的情况，</w:t>
      </w:r>
      <w:r w:rsidRPr="00054588">
        <w:rPr>
          <w:rFonts w:asciiTheme="minorEastAsia" w:eastAsiaTheme="minorEastAsia" w:hAnsiTheme="minorEastAsia" w:hint="eastAsia"/>
          <w:color w:val="000000" w:themeColor="text1"/>
        </w:rPr>
        <w:t>可拨打如下电话：4008818088。</w:t>
      </w:r>
      <w:r w:rsidRPr="00054588" w:rsidR="007800D1">
        <w:rPr>
          <w:rFonts w:asciiTheme="minorEastAsia" w:eastAsiaTheme="minorEastAsia" w:hAnsiTheme="minorEastAsia" w:hint="eastAsia"/>
          <w:color w:val="000000" w:themeColor="text1"/>
          <w:kern w:val="0"/>
          <w:szCs w:val="21"/>
        </w:rPr>
        <w:t>投资者如果认为自己不能准确理解本基金《招募说明书》、《基金合同》的具体内容，也可拨打上述电话详询。</w:t>
      </w:r>
    </w:p>
    <w:p w:rsidR="007228CC" w:rsidRPr="00054588" w:rsidP="0071223F">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2、互联网站及电子信箱</w:t>
      </w:r>
    </w:p>
    <w:p w:rsidR="007228CC" w:rsidRPr="00054588" w:rsidP="0071223F">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网址：http://www.efunds.com.cn</w:t>
      </w:r>
    </w:p>
    <w:p w:rsidR="007228CC" w:rsidRPr="00054588" w:rsidP="0071223F">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电子信箱：service@efunds.com.cn</w:t>
      </w:r>
    </w:p>
    <w:p w:rsidR="007228CC" w:rsidRPr="00054588" w:rsidP="0071223F">
      <w:pPr>
        <w:snapToGrid w:val="0"/>
        <w:spacing w:line="360" w:lineRule="auto"/>
        <w:rPr>
          <w:rFonts w:asciiTheme="minorEastAsia" w:eastAsiaTheme="minorEastAsia" w:hAnsiTheme="minorEastAsia"/>
          <w:color w:val="000000" w:themeColor="text1"/>
        </w:rPr>
      </w:pPr>
    </w:p>
    <w:p w:rsidR="007228CC" w:rsidRPr="00054588" w:rsidP="0071223F">
      <w:pPr>
        <w:snapToGrid w:val="0"/>
        <w:spacing w:line="360" w:lineRule="auto"/>
        <w:ind w:firstLine="640"/>
        <w:rPr>
          <w:rFonts w:asciiTheme="minorEastAsia" w:eastAsiaTheme="minorEastAsia" w:hAnsiTheme="minorEastAsia"/>
          <w:color w:val="000000" w:themeColor="text1"/>
        </w:rPr>
      </w:pPr>
      <w:bookmarkStart w:id="1273" w:name="_Toc38438275"/>
      <w:bookmarkStart w:id="1274" w:name="_Toc38438612"/>
      <w:bookmarkStart w:id="1275" w:name="_Toc38438949"/>
      <w:bookmarkStart w:id="1276" w:name="_Toc38439286"/>
      <w:bookmarkStart w:id="1277" w:name="_Toc38439623"/>
      <w:bookmarkStart w:id="1278" w:name="_Toc38439960"/>
      <w:bookmarkStart w:id="1279" w:name="_Toc38440297"/>
      <w:bookmarkStart w:id="1280" w:name="_Toc38440630"/>
      <w:bookmarkStart w:id="1281" w:name="_Toc38440829"/>
      <w:bookmarkStart w:id="1282" w:name="_Toc38441161"/>
      <w:bookmarkStart w:id="1283" w:name="_Toc38441493"/>
      <w:bookmarkStart w:id="1284" w:name="_Toc38441821"/>
      <w:bookmarkStart w:id="1285" w:name="_Toc38442153"/>
      <w:bookmarkStart w:id="1286" w:name="_Toc38442485"/>
      <w:bookmarkStart w:id="1287" w:name="_Toc38442816"/>
      <w:bookmarkStart w:id="1288" w:name="_Toc38443147"/>
      <w:bookmarkStart w:id="1289" w:name="_Toc38443478"/>
      <w:bookmarkStart w:id="1290" w:name="_Toc38443809"/>
      <w:bookmarkStart w:id="1291" w:name="_Toc38438277"/>
      <w:bookmarkStart w:id="1292" w:name="_Toc38438614"/>
      <w:bookmarkStart w:id="1293" w:name="_Toc38438951"/>
      <w:bookmarkStart w:id="1294" w:name="_Toc38439288"/>
      <w:bookmarkStart w:id="1295" w:name="_Toc38439625"/>
      <w:bookmarkStart w:id="1296" w:name="_Toc38439962"/>
      <w:bookmarkStart w:id="1297" w:name="_Toc38440299"/>
      <w:bookmarkStart w:id="1298" w:name="_Toc38440632"/>
      <w:bookmarkStart w:id="1299" w:name="_Toc38440831"/>
      <w:bookmarkStart w:id="1300" w:name="_Toc38441163"/>
      <w:bookmarkStart w:id="1301" w:name="_Toc38441495"/>
      <w:bookmarkStart w:id="1302" w:name="_Toc38441823"/>
      <w:bookmarkStart w:id="1303" w:name="_Toc38442155"/>
      <w:bookmarkStart w:id="1304" w:name="_Toc38442487"/>
      <w:bookmarkStart w:id="1305" w:name="_Toc38442818"/>
      <w:bookmarkStart w:id="1306" w:name="_Toc38443149"/>
      <w:bookmarkStart w:id="1307" w:name="_Toc38443480"/>
      <w:bookmarkStart w:id="1308" w:name="_Toc38443811"/>
      <w:bookmarkStart w:id="1309" w:name="_Toc38438278"/>
      <w:bookmarkStart w:id="1310" w:name="_Toc38438615"/>
      <w:bookmarkStart w:id="1311" w:name="_Toc38438952"/>
      <w:bookmarkStart w:id="1312" w:name="_Toc38439289"/>
      <w:bookmarkStart w:id="1313" w:name="_Toc38439626"/>
      <w:bookmarkStart w:id="1314" w:name="_Toc38439963"/>
      <w:bookmarkStart w:id="1315" w:name="_Toc38440300"/>
      <w:bookmarkStart w:id="1316" w:name="_Toc38440633"/>
      <w:bookmarkStart w:id="1317" w:name="_Toc38440832"/>
      <w:bookmarkStart w:id="1318" w:name="_Toc38441164"/>
      <w:bookmarkStart w:id="1319" w:name="_Toc38441496"/>
      <w:bookmarkStart w:id="1320" w:name="_Toc38441824"/>
      <w:bookmarkStart w:id="1321" w:name="_Toc38442156"/>
      <w:bookmarkStart w:id="1322" w:name="_Toc38442488"/>
      <w:bookmarkStart w:id="1323" w:name="_Toc38442819"/>
      <w:bookmarkStart w:id="1324" w:name="_Toc38443150"/>
      <w:bookmarkStart w:id="1325" w:name="_Toc38443481"/>
      <w:bookmarkStart w:id="1326" w:name="_Toc38443812"/>
      <w:bookmarkStart w:id="1327" w:name="_Toc38438279"/>
      <w:bookmarkStart w:id="1328" w:name="_Toc38438616"/>
      <w:bookmarkStart w:id="1329" w:name="_Toc38438953"/>
      <w:bookmarkStart w:id="1330" w:name="_Toc38439290"/>
      <w:bookmarkStart w:id="1331" w:name="_Toc38439627"/>
      <w:bookmarkStart w:id="1332" w:name="_Toc38439964"/>
      <w:bookmarkStart w:id="1333" w:name="_Toc38440301"/>
      <w:bookmarkStart w:id="1334" w:name="_Toc38440634"/>
      <w:bookmarkStart w:id="1335" w:name="_Toc38440833"/>
      <w:bookmarkStart w:id="1336" w:name="_Toc38441165"/>
      <w:bookmarkStart w:id="1337" w:name="_Toc38441497"/>
      <w:bookmarkStart w:id="1338" w:name="_Toc38441825"/>
      <w:bookmarkStart w:id="1339" w:name="_Toc38442157"/>
      <w:bookmarkStart w:id="1340" w:name="_Toc38442489"/>
      <w:bookmarkStart w:id="1341" w:name="_Toc38442820"/>
      <w:bookmarkStart w:id="1342" w:name="_Toc38443151"/>
      <w:bookmarkStart w:id="1343" w:name="_Toc38443482"/>
      <w:bookmarkStart w:id="1344" w:name="_Toc38443813"/>
      <w:bookmarkStart w:id="1345" w:name="_Toc38438280"/>
      <w:bookmarkStart w:id="1346" w:name="_Toc38438617"/>
      <w:bookmarkStart w:id="1347" w:name="_Toc38438954"/>
      <w:bookmarkStart w:id="1348" w:name="_Toc38439291"/>
      <w:bookmarkStart w:id="1349" w:name="_Toc38439628"/>
      <w:bookmarkStart w:id="1350" w:name="_Toc38439965"/>
      <w:bookmarkStart w:id="1351" w:name="_Toc38440302"/>
      <w:bookmarkStart w:id="1352" w:name="_Toc38440635"/>
      <w:bookmarkStart w:id="1353" w:name="_Toc38440834"/>
      <w:bookmarkStart w:id="1354" w:name="_Toc38441166"/>
      <w:bookmarkStart w:id="1355" w:name="_Toc38441498"/>
      <w:bookmarkStart w:id="1356" w:name="_Toc38441826"/>
      <w:bookmarkStart w:id="1357" w:name="_Toc38442158"/>
      <w:bookmarkStart w:id="1358" w:name="_Toc38442490"/>
      <w:bookmarkStart w:id="1359" w:name="_Toc38442821"/>
      <w:bookmarkStart w:id="1360" w:name="_Toc38443152"/>
      <w:bookmarkStart w:id="1361" w:name="_Toc38443483"/>
      <w:bookmarkStart w:id="1362" w:name="_Toc38443814"/>
      <w:bookmarkStart w:id="1363" w:name="_Toc38438281"/>
      <w:bookmarkStart w:id="1364" w:name="_Toc38438618"/>
      <w:bookmarkStart w:id="1365" w:name="_Toc38438955"/>
      <w:bookmarkStart w:id="1366" w:name="_Toc38439292"/>
      <w:bookmarkStart w:id="1367" w:name="_Toc38439629"/>
      <w:bookmarkStart w:id="1368" w:name="_Toc38439966"/>
      <w:bookmarkStart w:id="1369" w:name="_Toc38440303"/>
      <w:bookmarkStart w:id="1370" w:name="_Toc38440636"/>
      <w:bookmarkStart w:id="1371" w:name="_Toc38440835"/>
      <w:bookmarkStart w:id="1372" w:name="_Toc38441167"/>
      <w:bookmarkStart w:id="1373" w:name="_Toc38441499"/>
      <w:bookmarkStart w:id="1374" w:name="_Toc38441827"/>
      <w:bookmarkStart w:id="1375" w:name="_Toc38442159"/>
      <w:bookmarkStart w:id="1376" w:name="_Toc38442491"/>
      <w:bookmarkStart w:id="1377" w:name="_Toc38442822"/>
      <w:bookmarkStart w:id="1378" w:name="_Toc38443153"/>
      <w:bookmarkStart w:id="1379" w:name="_Toc38443484"/>
      <w:bookmarkStart w:id="1380" w:name="_Toc38443815"/>
      <w:bookmarkStart w:id="1381" w:name="_Toc38438282"/>
      <w:bookmarkStart w:id="1382" w:name="_Toc38438619"/>
      <w:bookmarkStart w:id="1383" w:name="_Toc38438956"/>
      <w:bookmarkStart w:id="1384" w:name="_Toc38439293"/>
      <w:bookmarkStart w:id="1385" w:name="_Toc38439630"/>
      <w:bookmarkStart w:id="1386" w:name="_Toc38439967"/>
      <w:bookmarkStart w:id="1387" w:name="_Toc38440304"/>
      <w:bookmarkStart w:id="1388" w:name="_Toc38440637"/>
      <w:bookmarkStart w:id="1389" w:name="_Toc38440836"/>
      <w:bookmarkStart w:id="1390" w:name="_Toc38441168"/>
      <w:bookmarkStart w:id="1391" w:name="_Toc38441500"/>
      <w:bookmarkStart w:id="1392" w:name="_Toc38441828"/>
      <w:bookmarkStart w:id="1393" w:name="_Toc38442160"/>
      <w:bookmarkStart w:id="1394" w:name="_Toc38442492"/>
      <w:bookmarkStart w:id="1395" w:name="_Toc38442823"/>
      <w:bookmarkStart w:id="1396" w:name="_Toc38443154"/>
      <w:bookmarkStart w:id="1397" w:name="_Toc38443485"/>
      <w:bookmarkStart w:id="1398" w:name="_Toc38443816"/>
      <w:bookmarkStart w:id="1399" w:name="_Toc38438283"/>
      <w:bookmarkStart w:id="1400" w:name="_Toc38438620"/>
      <w:bookmarkStart w:id="1401" w:name="_Toc38438957"/>
      <w:bookmarkStart w:id="1402" w:name="_Toc38439294"/>
      <w:bookmarkStart w:id="1403" w:name="_Toc38439631"/>
      <w:bookmarkStart w:id="1404" w:name="_Toc38439968"/>
      <w:bookmarkStart w:id="1405" w:name="_Toc38440305"/>
      <w:bookmarkStart w:id="1406" w:name="_Toc38440638"/>
      <w:bookmarkStart w:id="1407" w:name="_Toc38440837"/>
      <w:bookmarkStart w:id="1408" w:name="_Toc38441169"/>
      <w:bookmarkStart w:id="1409" w:name="_Toc38441501"/>
      <w:bookmarkStart w:id="1410" w:name="_Toc38441829"/>
      <w:bookmarkStart w:id="1411" w:name="_Toc38442161"/>
      <w:bookmarkStart w:id="1412" w:name="_Toc38442493"/>
      <w:bookmarkStart w:id="1413" w:name="_Toc38442824"/>
      <w:bookmarkStart w:id="1414" w:name="_Toc38443155"/>
      <w:bookmarkStart w:id="1415" w:name="_Toc38443486"/>
      <w:bookmarkStart w:id="1416" w:name="_Toc38443817"/>
      <w:bookmarkStart w:id="1417" w:name="_Toc38438284"/>
      <w:bookmarkStart w:id="1418" w:name="_Toc38438621"/>
      <w:bookmarkStart w:id="1419" w:name="_Toc38438958"/>
      <w:bookmarkStart w:id="1420" w:name="_Toc38439295"/>
      <w:bookmarkStart w:id="1421" w:name="_Toc38439632"/>
      <w:bookmarkStart w:id="1422" w:name="_Toc38439969"/>
      <w:bookmarkStart w:id="1423" w:name="_Toc38440306"/>
      <w:bookmarkStart w:id="1424" w:name="_Toc38440639"/>
      <w:bookmarkStart w:id="1425" w:name="_Toc38440838"/>
      <w:bookmarkStart w:id="1426" w:name="_Toc38441170"/>
      <w:bookmarkStart w:id="1427" w:name="_Toc38441502"/>
      <w:bookmarkStart w:id="1428" w:name="_Toc38441830"/>
      <w:bookmarkStart w:id="1429" w:name="_Toc38442162"/>
      <w:bookmarkStart w:id="1430" w:name="_Toc38442494"/>
      <w:bookmarkStart w:id="1431" w:name="_Toc38442825"/>
      <w:bookmarkStart w:id="1432" w:name="_Toc38443156"/>
      <w:bookmarkStart w:id="1433" w:name="_Toc38443487"/>
      <w:bookmarkStart w:id="1434" w:name="_Toc38443818"/>
      <w:bookmarkStart w:id="1435" w:name="_Toc38438285"/>
      <w:bookmarkStart w:id="1436" w:name="_Toc38438622"/>
      <w:bookmarkStart w:id="1437" w:name="_Toc38438959"/>
      <w:bookmarkStart w:id="1438" w:name="_Toc38439296"/>
      <w:bookmarkStart w:id="1439" w:name="_Toc38439633"/>
      <w:bookmarkStart w:id="1440" w:name="_Toc38439970"/>
      <w:bookmarkStart w:id="1441" w:name="_Toc38440307"/>
      <w:bookmarkStart w:id="1442" w:name="_Toc38440640"/>
      <w:bookmarkStart w:id="1443" w:name="_Toc38440839"/>
      <w:bookmarkStart w:id="1444" w:name="_Toc38441171"/>
      <w:bookmarkStart w:id="1445" w:name="_Toc38441503"/>
      <w:bookmarkStart w:id="1446" w:name="_Toc38441831"/>
      <w:bookmarkStart w:id="1447" w:name="_Toc38442163"/>
      <w:bookmarkStart w:id="1448" w:name="_Toc38442495"/>
      <w:bookmarkStart w:id="1449" w:name="_Toc38442826"/>
      <w:bookmarkStart w:id="1450" w:name="_Toc38443157"/>
      <w:bookmarkStart w:id="1451" w:name="_Toc38443488"/>
      <w:bookmarkStart w:id="1452" w:name="_Toc38443819"/>
      <w:bookmarkStart w:id="1453" w:name="_Toc38438286"/>
      <w:bookmarkStart w:id="1454" w:name="_Toc38438623"/>
      <w:bookmarkStart w:id="1455" w:name="_Toc38438960"/>
      <w:bookmarkStart w:id="1456" w:name="_Toc38439297"/>
      <w:bookmarkStart w:id="1457" w:name="_Toc38439634"/>
      <w:bookmarkStart w:id="1458" w:name="_Toc38439971"/>
      <w:bookmarkStart w:id="1459" w:name="_Toc38440308"/>
      <w:bookmarkStart w:id="1460" w:name="_Toc38440641"/>
      <w:bookmarkStart w:id="1461" w:name="_Toc38440840"/>
      <w:bookmarkStart w:id="1462" w:name="_Toc38441172"/>
      <w:bookmarkStart w:id="1463" w:name="_Toc38441504"/>
      <w:bookmarkStart w:id="1464" w:name="_Toc38441832"/>
      <w:bookmarkStart w:id="1465" w:name="_Toc38442164"/>
      <w:bookmarkStart w:id="1466" w:name="_Toc38442496"/>
      <w:bookmarkStart w:id="1467" w:name="_Toc38442827"/>
      <w:bookmarkStart w:id="1468" w:name="_Toc38443158"/>
      <w:bookmarkStart w:id="1469" w:name="_Toc38443489"/>
      <w:bookmarkStart w:id="1470" w:name="_Toc38443820"/>
      <w:bookmarkStart w:id="1471" w:name="_Toc38438287"/>
      <w:bookmarkStart w:id="1472" w:name="_Toc38438624"/>
      <w:bookmarkStart w:id="1473" w:name="_Toc38438961"/>
      <w:bookmarkStart w:id="1474" w:name="_Toc38439298"/>
      <w:bookmarkStart w:id="1475" w:name="_Toc38439635"/>
      <w:bookmarkStart w:id="1476" w:name="_Toc38439972"/>
      <w:bookmarkStart w:id="1477" w:name="_Toc38440309"/>
      <w:bookmarkStart w:id="1478" w:name="_Toc38440642"/>
      <w:bookmarkStart w:id="1479" w:name="_Toc38440841"/>
      <w:bookmarkStart w:id="1480" w:name="_Toc38441173"/>
      <w:bookmarkStart w:id="1481" w:name="_Toc38441505"/>
      <w:bookmarkStart w:id="1482" w:name="_Toc38441833"/>
      <w:bookmarkStart w:id="1483" w:name="_Toc38442165"/>
      <w:bookmarkStart w:id="1484" w:name="_Toc38442497"/>
      <w:bookmarkStart w:id="1485" w:name="_Toc38442828"/>
      <w:bookmarkStart w:id="1486" w:name="_Toc38443159"/>
      <w:bookmarkStart w:id="1487" w:name="_Toc38443490"/>
      <w:bookmarkStart w:id="1488" w:name="_Toc38443821"/>
      <w:bookmarkStart w:id="1489" w:name="_Toc38438288"/>
      <w:bookmarkStart w:id="1490" w:name="_Toc38438625"/>
      <w:bookmarkStart w:id="1491" w:name="_Toc38438962"/>
      <w:bookmarkStart w:id="1492" w:name="_Toc38439299"/>
      <w:bookmarkStart w:id="1493" w:name="_Toc38439636"/>
      <w:bookmarkStart w:id="1494" w:name="_Toc38439973"/>
      <w:bookmarkStart w:id="1495" w:name="_Toc38440310"/>
      <w:bookmarkStart w:id="1496" w:name="_Toc38440643"/>
      <w:bookmarkStart w:id="1497" w:name="_Toc38440842"/>
      <w:bookmarkStart w:id="1498" w:name="_Toc38441174"/>
      <w:bookmarkStart w:id="1499" w:name="_Toc38441506"/>
      <w:bookmarkStart w:id="1500" w:name="_Toc38441834"/>
      <w:bookmarkStart w:id="1501" w:name="_Toc38442166"/>
      <w:bookmarkStart w:id="1502" w:name="_Toc38442498"/>
      <w:bookmarkStart w:id="1503" w:name="_Toc38442829"/>
      <w:bookmarkStart w:id="1504" w:name="_Toc38443160"/>
      <w:bookmarkStart w:id="1505" w:name="_Toc38443491"/>
      <w:bookmarkStart w:id="1506" w:name="_Toc38443822"/>
      <w:bookmarkStart w:id="1507" w:name="_Toc38438289"/>
      <w:bookmarkStart w:id="1508" w:name="_Toc38438626"/>
      <w:bookmarkStart w:id="1509" w:name="_Toc38438963"/>
      <w:bookmarkStart w:id="1510" w:name="_Toc38439300"/>
      <w:bookmarkStart w:id="1511" w:name="_Toc38439637"/>
      <w:bookmarkStart w:id="1512" w:name="_Toc38439974"/>
      <w:bookmarkStart w:id="1513" w:name="_Toc38440311"/>
      <w:bookmarkStart w:id="1514" w:name="_Toc38440644"/>
      <w:bookmarkStart w:id="1515" w:name="_Toc38440843"/>
      <w:bookmarkStart w:id="1516" w:name="_Toc38441175"/>
      <w:bookmarkStart w:id="1517" w:name="_Toc38441507"/>
      <w:bookmarkStart w:id="1518" w:name="_Toc38441835"/>
      <w:bookmarkStart w:id="1519" w:name="_Toc38442167"/>
      <w:bookmarkStart w:id="1520" w:name="_Toc38442499"/>
      <w:bookmarkStart w:id="1521" w:name="_Toc38442830"/>
      <w:bookmarkStart w:id="1522" w:name="_Toc38443161"/>
      <w:bookmarkStart w:id="1523" w:name="_Toc38443492"/>
      <w:bookmarkStart w:id="1524" w:name="_Toc38443823"/>
      <w:bookmarkStart w:id="1525" w:name="_Toc38438290"/>
      <w:bookmarkStart w:id="1526" w:name="_Toc38438627"/>
      <w:bookmarkStart w:id="1527" w:name="_Toc38438964"/>
      <w:bookmarkStart w:id="1528" w:name="_Toc38439301"/>
      <w:bookmarkStart w:id="1529" w:name="_Toc38439638"/>
      <w:bookmarkStart w:id="1530" w:name="_Toc38439975"/>
      <w:bookmarkStart w:id="1531" w:name="_Toc38440312"/>
      <w:bookmarkStart w:id="1532" w:name="_Toc38440645"/>
      <w:bookmarkStart w:id="1533" w:name="_Toc38440844"/>
      <w:bookmarkStart w:id="1534" w:name="_Toc38441176"/>
      <w:bookmarkStart w:id="1535" w:name="_Toc38441508"/>
      <w:bookmarkStart w:id="1536" w:name="_Toc38441836"/>
      <w:bookmarkStart w:id="1537" w:name="_Toc38442168"/>
      <w:bookmarkStart w:id="1538" w:name="_Toc38442500"/>
      <w:bookmarkStart w:id="1539" w:name="_Toc38442831"/>
      <w:bookmarkStart w:id="1540" w:name="_Toc38443162"/>
      <w:bookmarkStart w:id="1541" w:name="_Toc38443493"/>
      <w:bookmarkStart w:id="1542" w:name="_Toc38443824"/>
      <w:bookmarkStart w:id="1543" w:name="_Toc38438291"/>
      <w:bookmarkStart w:id="1544" w:name="_Toc38438628"/>
      <w:bookmarkStart w:id="1545" w:name="_Toc38438965"/>
      <w:bookmarkStart w:id="1546" w:name="_Toc38439302"/>
      <w:bookmarkStart w:id="1547" w:name="_Toc38439639"/>
      <w:bookmarkStart w:id="1548" w:name="_Toc38439976"/>
      <w:bookmarkStart w:id="1549" w:name="_Toc38440313"/>
      <w:bookmarkStart w:id="1550" w:name="_Toc38440646"/>
      <w:bookmarkStart w:id="1551" w:name="_Toc38440845"/>
      <w:bookmarkStart w:id="1552" w:name="_Toc38441177"/>
      <w:bookmarkStart w:id="1553" w:name="_Toc38441509"/>
      <w:bookmarkStart w:id="1554" w:name="_Toc38441837"/>
      <w:bookmarkStart w:id="1555" w:name="_Toc38442169"/>
      <w:bookmarkStart w:id="1556" w:name="_Toc38442501"/>
      <w:bookmarkStart w:id="1557" w:name="_Toc38442832"/>
      <w:bookmarkStart w:id="1558" w:name="_Toc38443163"/>
      <w:bookmarkStart w:id="1559" w:name="_Toc38443494"/>
      <w:bookmarkStart w:id="1560" w:name="_Toc38443825"/>
      <w:bookmarkStart w:id="1561" w:name="_Toc38438292"/>
      <w:bookmarkStart w:id="1562" w:name="_Toc38438629"/>
      <w:bookmarkStart w:id="1563" w:name="_Toc38438966"/>
      <w:bookmarkStart w:id="1564" w:name="_Toc38439303"/>
      <w:bookmarkStart w:id="1565" w:name="_Toc38439640"/>
      <w:bookmarkStart w:id="1566" w:name="_Toc38439977"/>
      <w:bookmarkStart w:id="1567" w:name="_Toc38440314"/>
      <w:bookmarkStart w:id="1568" w:name="_Toc38440647"/>
      <w:bookmarkStart w:id="1569" w:name="_Toc38440846"/>
      <w:bookmarkStart w:id="1570" w:name="_Toc38441178"/>
      <w:bookmarkStart w:id="1571" w:name="_Toc38441510"/>
      <w:bookmarkStart w:id="1572" w:name="_Toc38441838"/>
      <w:bookmarkStart w:id="1573" w:name="_Toc38442170"/>
      <w:bookmarkStart w:id="1574" w:name="_Toc38442502"/>
      <w:bookmarkStart w:id="1575" w:name="_Toc38442833"/>
      <w:bookmarkStart w:id="1576" w:name="_Toc38443164"/>
      <w:bookmarkStart w:id="1577" w:name="_Toc38443495"/>
      <w:bookmarkStart w:id="1578" w:name="_Toc38443826"/>
      <w:bookmarkStart w:id="1579" w:name="_Toc38438293"/>
      <w:bookmarkStart w:id="1580" w:name="_Toc38438630"/>
      <w:bookmarkStart w:id="1581" w:name="_Toc38438967"/>
      <w:bookmarkStart w:id="1582" w:name="_Toc38439304"/>
      <w:bookmarkStart w:id="1583" w:name="_Toc38439641"/>
      <w:bookmarkStart w:id="1584" w:name="_Toc38439978"/>
      <w:bookmarkStart w:id="1585" w:name="_Toc38440315"/>
      <w:bookmarkStart w:id="1586" w:name="_Toc38440648"/>
      <w:bookmarkStart w:id="1587" w:name="_Toc38440847"/>
      <w:bookmarkStart w:id="1588" w:name="_Toc38441179"/>
      <w:bookmarkStart w:id="1589" w:name="_Toc38441511"/>
      <w:bookmarkStart w:id="1590" w:name="_Toc38441839"/>
      <w:bookmarkStart w:id="1591" w:name="_Toc38442171"/>
      <w:bookmarkStart w:id="1592" w:name="_Toc38442503"/>
      <w:bookmarkStart w:id="1593" w:name="_Toc38442834"/>
      <w:bookmarkStart w:id="1594" w:name="_Toc38443165"/>
      <w:bookmarkStart w:id="1595" w:name="_Toc38443496"/>
      <w:bookmarkStart w:id="1596" w:name="_Toc38443827"/>
      <w:bookmarkStart w:id="1597" w:name="_Toc38438296"/>
      <w:bookmarkStart w:id="1598" w:name="_Toc38438633"/>
      <w:bookmarkStart w:id="1599" w:name="_Toc38438970"/>
      <w:bookmarkStart w:id="1600" w:name="_Toc38439307"/>
      <w:bookmarkStart w:id="1601" w:name="_Toc38439644"/>
      <w:bookmarkStart w:id="1602" w:name="_Toc38439981"/>
      <w:bookmarkStart w:id="1603" w:name="_Toc38440318"/>
      <w:bookmarkStart w:id="1604" w:name="_Toc38440651"/>
      <w:bookmarkStart w:id="1605" w:name="_Toc38440850"/>
      <w:bookmarkStart w:id="1606" w:name="_Toc38441182"/>
      <w:bookmarkStart w:id="1607" w:name="_Toc38441514"/>
      <w:bookmarkStart w:id="1608" w:name="_Toc38441842"/>
      <w:bookmarkStart w:id="1609" w:name="_Toc38442174"/>
      <w:bookmarkStart w:id="1610" w:name="_Toc38442506"/>
      <w:bookmarkStart w:id="1611" w:name="_Toc38442837"/>
      <w:bookmarkStart w:id="1612" w:name="_Toc38443168"/>
      <w:bookmarkStart w:id="1613" w:name="_Toc38443499"/>
      <w:bookmarkStart w:id="1614" w:name="_Toc38443830"/>
      <w:bookmarkStart w:id="1615" w:name="_Toc38438297"/>
      <w:bookmarkStart w:id="1616" w:name="_Toc38438634"/>
      <w:bookmarkStart w:id="1617" w:name="_Toc38438971"/>
      <w:bookmarkStart w:id="1618" w:name="_Toc38439308"/>
      <w:bookmarkStart w:id="1619" w:name="_Toc38439645"/>
      <w:bookmarkStart w:id="1620" w:name="_Toc38439982"/>
      <w:bookmarkStart w:id="1621" w:name="_Toc38440319"/>
      <w:bookmarkStart w:id="1622" w:name="_Toc38440652"/>
      <w:bookmarkStart w:id="1623" w:name="_Toc38440851"/>
      <w:bookmarkStart w:id="1624" w:name="_Toc38441183"/>
      <w:bookmarkStart w:id="1625" w:name="_Toc38441515"/>
      <w:bookmarkStart w:id="1626" w:name="_Toc38441843"/>
      <w:bookmarkStart w:id="1627" w:name="_Toc38442175"/>
      <w:bookmarkStart w:id="1628" w:name="_Toc38442507"/>
      <w:bookmarkStart w:id="1629" w:name="_Toc38442838"/>
      <w:bookmarkStart w:id="1630" w:name="_Toc38443169"/>
      <w:bookmarkStart w:id="1631" w:name="_Toc38443500"/>
      <w:bookmarkStart w:id="1632" w:name="_Toc38443831"/>
      <w:bookmarkStart w:id="1633" w:name="_Toc38438298"/>
      <w:bookmarkStart w:id="1634" w:name="_Toc38438635"/>
      <w:bookmarkStart w:id="1635" w:name="_Toc38438972"/>
      <w:bookmarkStart w:id="1636" w:name="_Toc38439309"/>
      <w:bookmarkStart w:id="1637" w:name="_Toc38439646"/>
      <w:bookmarkStart w:id="1638" w:name="_Toc38439983"/>
      <w:bookmarkStart w:id="1639" w:name="_Toc38440320"/>
      <w:bookmarkStart w:id="1640" w:name="_Toc38440653"/>
      <w:bookmarkStart w:id="1641" w:name="_Toc38440852"/>
      <w:bookmarkStart w:id="1642" w:name="_Toc38441184"/>
      <w:bookmarkStart w:id="1643" w:name="_Toc38441516"/>
      <w:bookmarkStart w:id="1644" w:name="_Toc38441844"/>
      <w:bookmarkStart w:id="1645" w:name="_Toc38442176"/>
      <w:bookmarkStart w:id="1646" w:name="_Toc38442508"/>
      <w:bookmarkStart w:id="1647" w:name="_Toc38442839"/>
      <w:bookmarkStart w:id="1648" w:name="_Toc38443170"/>
      <w:bookmarkStart w:id="1649" w:name="_Toc38443501"/>
      <w:bookmarkStart w:id="1650" w:name="_Toc38443832"/>
      <w:bookmarkStart w:id="1651" w:name="_Toc38438299"/>
      <w:bookmarkStart w:id="1652" w:name="_Toc38438636"/>
      <w:bookmarkStart w:id="1653" w:name="_Toc38438973"/>
      <w:bookmarkStart w:id="1654" w:name="_Toc38439310"/>
      <w:bookmarkStart w:id="1655" w:name="_Toc38439647"/>
      <w:bookmarkStart w:id="1656" w:name="_Toc38439984"/>
      <w:bookmarkStart w:id="1657" w:name="_Toc38440321"/>
      <w:bookmarkStart w:id="1658" w:name="_Toc38440654"/>
      <w:bookmarkStart w:id="1659" w:name="_Toc38440853"/>
      <w:bookmarkStart w:id="1660" w:name="_Toc38441185"/>
      <w:bookmarkStart w:id="1661" w:name="_Toc38441517"/>
      <w:bookmarkStart w:id="1662" w:name="_Toc38441845"/>
      <w:bookmarkStart w:id="1663" w:name="_Toc38442177"/>
      <w:bookmarkStart w:id="1664" w:name="_Toc38442509"/>
      <w:bookmarkStart w:id="1665" w:name="_Toc38442840"/>
      <w:bookmarkStart w:id="1666" w:name="_Toc38443171"/>
      <w:bookmarkStart w:id="1667" w:name="_Toc38443502"/>
      <w:bookmarkStart w:id="1668" w:name="_Toc38443833"/>
      <w:bookmarkStart w:id="1669" w:name="_Toc38438301"/>
      <w:bookmarkStart w:id="1670" w:name="_Toc38438638"/>
      <w:bookmarkStart w:id="1671" w:name="_Toc38438975"/>
      <w:bookmarkStart w:id="1672" w:name="_Toc38439312"/>
      <w:bookmarkStart w:id="1673" w:name="_Toc38439649"/>
      <w:bookmarkStart w:id="1674" w:name="_Toc38439986"/>
      <w:bookmarkStart w:id="1675" w:name="_Toc38440323"/>
      <w:bookmarkStart w:id="1676" w:name="_Toc38440656"/>
      <w:bookmarkStart w:id="1677" w:name="_Toc38440855"/>
      <w:bookmarkStart w:id="1678" w:name="_Toc38441187"/>
      <w:bookmarkStart w:id="1679" w:name="_Toc38441519"/>
      <w:bookmarkStart w:id="1680" w:name="_Toc38441847"/>
      <w:bookmarkStart w:id="1681" w:name="_Toc38442179"/>
      <w:bookmarkStart w:id="1682" w:name="_Toc38442511"/>
      <w:bookmarkStart w:id="1683" w:name="_Toc38442842"/>
      <w:bookmarkStart w:id="1684" w:name="_Toc38443173"/>
      <w:bookmarkStart w:id="1685" w:name="_Toc38443504"/>
      <w:bookmarkStart w:id="1686" w:name="_Toc38443835"/>
      <w:bookmarkStart w:id="1687" w:name="_Toc38438302"/>
      <w:bookmarkStart w:id="1688" w:name="_Toc38438639"/>
      <w:bookmarkStart w:id="1689" w:name="_Toc38438976"/>
      <w:bookmarkStart w:id="1690" w:name="_Toc38439313"/>
      <w:bookmarkStart w:id="1691" w:name="_Toc38439650"/>
      <w:bookmarkStart w:id="1692" w:name="_Toc38439987"/>
      <w:bookmarkStart w:id="1693" w:name="_Toc38440324"/>
      <w:bookmarkStart w:id="1694" w:name="_Toc38440657"/>
      <w:bookmarkStart w:id="1695" w:name="_Toc38440856"/>
      <w:bookmarkStart w:id="1696" w:name="_Toc38441188"/>
      <w:bookmarkStart w:id="1697" w:name="_Toc38441520"/>
      <w:bookmarkStart w:id="1698" w:name="_Toc38441848"/>
      <w:bookmarkStart w:id="1699" w:name="_Toc38442180"/>
      <w:bookmarkStart w:id="1700" w:name="_Toc38442512"/>
      <w:bookmarkStart w:id="1701" w:name="_Toc38442843"/>
      <w:bookmarkStart w:id="1702" w:name="_Toc38443174"/>
      <w:bookmarkStart w:id="1703" w:name="_Toc38443505"/>
      <w:bookmarkStart w:id="1704" w:name="_Toc38443836"/>
      <w:bookmarkStart w:id="1705" w:name="_Toc38438303"/>
      <w:bookmarkStart w:id="1706" w:name="_Toc38438640"/>
      <w:bookmarkStart w:id="1707" w:name="_Toc38438977"/>
      <w:bookmarkStart w:id="1708" w:name="_Toc38439314"/>
      <w:bookmarkStart w:id="1709" w:name="_Toc38439651"/>
      <w:bookmarkStart w:id="1710" w:name="_Toc38439988"/>
      <w:bookmarkStart w:id="1711" w:name="_Toc38440325"/>
      <w:bookmarkStart w:id="1712" w:name="_Toc38440658"/>
      <w:bookmarkStart w:id="1713" w:name="_Toc38440857"/>
      <w:bookmarkStart w:id="1714" w:name="_Toc38441189"/>
      <w:bookmarkStart w:id="1715" w:name="_Toc38441521"/>
      <w:bookmarkStart w:id="1716" w:name="_Toc38441849"/>
      <w:bookmarkStart w:id="1717" w:name="_Toc38442181"/>
      <w:bookmarkStart w:id="1718" w:name="_Toc38442513"/>
      <w:bookmarkStart w:id="1719" w:name="_Toc38442844"/>
      <w:bookmarkStart w:id="1720" w:name="_Toc38443175"/>
      <w:bookmarkStart w:id="1721" w:name="_Toc38443506"/>
      <w:bookmarkStart w:id="1722" w:name="_Toc38443837"/>
      <w:bookmarkStart w:id="1723" w:name="_Toc38438304"/>
      <w:bookmarkStart w:id="1724" w:name="_Toc38438641"/>
      <w:bookmarkStart w:id="1725" w:name="_Toc38438978"/>
      <w:bookmarkStart w:id="1726" w:name="_Toc38439315"/>
      <w:bookmarkStart w:id="1727" w:name="_Toc38439652"/>
      <w:bookmarkStart w:id="1728" w:name="_Toc38439989"/>
      <w:bookmarkStart w:id="1729" w:name="_Toc38440326"/>
      <w:bookmarkStart w:id="1730" w:name="_Toc38440659"/>
      <w:bookmarkStart w:id="1731" w:name="_Toc38440858"/>
      <w:bookmarkStart w:id="1732" w:name="_Toc38441190"/>
      <w:bookmarkStart w:id="1733" w:name="_Toc38441522"/>
      <w:bookmarkStart w:id="1734" w:name="_Toc38441850"/>
      <w:bookmarkStart w:id="1735" w:name="_Toc38442182"/>
      <w:bookmarkStart w:id="1736" w:name="_Toc38442514"/>
      <w:bookmarkStart w:id="1737" w:name="_Toc38442845"/>
      <w:bookmarkStart w:id="1738" w:name="_Toc38443176"/>
      <w:bookmarkStart w:id="1739" w:name="_Toc38443507"/>
      <w:bookmarkStart w:id="1740" w:name="_Toc38443838"/>
      <w:bookmarkStart w:id="1741" w:name="_Toc38438305"/>
      <w:bookmarkStart w:id="1742" w:name="_Toc38438642"/>
      <w:bookmarkStart w:id="1743" w:name="_Toc38438979"/>
      <w:bookmarkStart w:id="1744" w:name="_Toc38439316"/>
      <w:bookmarkStart w:id="1745" w:name="_Toc38439653"/>
      <w:bookmarkStart w:id="1746" w:name="_Toc38439990"/>
      <w:bookmarkStart w:id="1747" w:name="_Toc38440327"/>
      <w:bookmarkStart w:id="1748" w:name="_Toc38440660"/>
      <w:bookmarkStart w:id="1749" w:name="_Toc38440859"/>
      <w:bookmarkStart w:id="1750" w:name="_Toc38441191"/>
      <w:bookmarkStart w:id="1751" w:name="_Toc38441523"/>
      <w:bookmarkStart w:id="1752" w:name="_Toc38441851"/>
      <w:bookmarkStart w:id="1753" w:name="_Toc38442183"/>
      <w:bookmarkStart w:id="1754" w:name="_Toc38442515"/>
      <w:bookmarkStart w:id="1755" w:name="_Toc38442846"/>
      <w:bookmarkStart w:id="1756" w:name="_Toc38443177"/>
      <w:bookmarkStart w:id="1757" w:name="_Toc38443508"/>
      <w:bookmarkStart w:id="1758" w:name="_Toc38443839"/>
      <w:bookmarkStart w:id="1759" w:name="_Toc38438306"/>
      <w:bookmarkStart w:id="1760" w:name="_Toc38438643"/>
      <w:bookmarkStart w:id="1761" w:name="_Toc38438980"/>
      <w:bookmarkStart w:id="1762" w:name="_Toc38439317"/>
      <w:bookmarkStart w:id="1763" w:name="_Toc38439654"/>
      <w:bookmarkStart w:id="1764" w:name="_Toc38439991"/>
      <w:bookmarkStart w:id="1765" w:name="_Toc38440328"/>
      <w:bookmarkStart w:id="1766" w:name="_Toc38440661"/>
      <w:bookmarkStart w:id="1767" w:name="_Toc38440860"/>
      <w:bookmarkStart w:id="1768" w:name="_Toc38441192"/>
      <w:bookmarkStart w:id="1769" w:name="_Toc38441524"/>
      <w:bookmarkStart w:id="1770" w:name="_Toc38441852"/>
      <w:bookmarkStart w:id="1771" w:name="_Toc38442184"/>
      <w:bookmarkStart w:id="1772" w:name="_Toc38442516"/>
      <w:bookmarkStart w:id="1773" w:name="_Toc38442847"/>
      <w:bookmarkStart w:id="1774" w:name="_Toc38443178"/>
      <w:bookmarkStart w:id="1775" w:name="_Toc38443509"/>
      <w:bookmarkStart w:id="1776" w:name="_Toc38443840"/>
      <w:bookmarkStart w:id="1777" w:name="_Toc38438310"/>
      <w:bookmarkStart w:id="1778" w:name="_Toc38438647"/>
      <w:bookmarkStart w:id="1779" w:name="_Toc38438984"/>
      <w:bookmarkStart w:id="1780" w:name="_Toc38439321"/>
      <w:bookmarkStart w:id="1781" w:name="_Toc38439658"/>
      <w:bookmarkStart w:id="1782" w:name="_Toc38439995"/>
      <w:bookmarkStart w:id="1783" w:name="_Toc38440332"/>
      <w:bookmarkStart w:id="1784" w:name="_Toc38440665"/>
      <w:bookmarkStart w:id="1785" w:name="_Toc38440864"/>
      <w:bookmarkStart w:id="1786" w:name="_Toc38441196"/>
      <w:bookmarkStart w:id="1787" w:name="_Toc38441528"/>
      <w:bookmarkStart w:id="1788" w:name="_Toc38441856"/>
      <w:bookmarkStart w:id="1789" w:name="_Toc38442188"/>
      <w:bookmarkStart w:id="1790" w:name="_Toc38442520"/>
      <w:bookmarkStart w:id="1791" w:name="_Toc38442851"/>
      <w:bookmarkStart w:id="1792" w:name="_Toc38443182"/>
      <w:bookmarkStart w:id="1793" w:name="_Toc38443513"/>
      <w:bookmarkStart w:id="1794" w:name="_Toc38443844"/>
      <w:bookmarkStart w:id="1795" w:name="_Toc38438311"/>
      <w:bookmarkStart w:id="1796" w:name="_Toc38438648"/>
      <w:bookmarkStart w:id="1797" w:name="_Toc38438985"/>
      <w:bookmarkStart w:id="1798" w:name="_Toc38439322"/>
      <w:bookmarkStart w:id="1799" w:name="_Toc38439659"/>
      <w:bookmarkStart w:id="1800" w:name="_Toc38439996"/>
      <w:bookmarkStart w:id="1801" w:name="_Toc38440333"/>
      <w:bookmarkStart w:id="1802" w:name="_Toc38440666"/>
      <w:bookmarkStart w:id="1803" w:name="_Toc38440865"/>
      <w:bookmarkStart w:id="1804" w:name="_Toc38441197"/>
      <w:bookmarkStart w:id="1805" w:name="_Toc38441529"/>
      <w:bookmarkStart w:id="1806" w:name="_Toc38441857"/>
      <w:bookmarkStart w:id="1807" w:name="_Toc38442189"/>
      <w:bookmarkStart w:id="1808" w:name="_Toc38442521"/>
      <w:bookmarkStart w:id="1809" w:name="_Toc38442852"/>
      <w:bookmarkStart w:id="1810" w:name="_Toc38443183"/>
      <w:bookmarkStart w:id="1811" w:name="_Toc38443514"/>
      <w:bookmarkStart w:id="1812" w:name="_Toc38443845"/>
      <w:bookmarkStart w:id="1813" w:name="_Toc38438312"/>
      <w:bookmarkStart w:id="1814" w:name="_Toc38438649"/>
      <w:bookmarkStart w:id="1815" w:name="_Toc38438986"/>
      <w:bookmarkStart w:id="1816" w:name="_Toc38439323"/>
      <w:bookmarkStart w:id="1817" w:name="_Toc38439660"/>
      <w:bookmarkStart w:id="1818" w:name="_Toc38439997"/>
      <w:bookmarkStart w:id="1819" w:name="_Toc38440334"/>
      <w:bookmarkStart w:id="1820" w:name="_Toc38440667"/>
      <w:bookmarkStart w:id="1821" w:name="_Toc38440866"/>
      <w:bookmarkStart w:id="1822" w:name="_Toc38441198"/>
      <w:bookmarkStart w:id="1823" w:name="_Toc38441530"/>
      <w:bookmarkStart w:id="1824" w:name="_Toc38441858"/>
      <w:bookmarkStart w:id="1825" w:name="_Toc38442190"/>
      <w:bookmarkStart w:id="1826" w:name="_Toc38442522"/>
      <w:bookmarkStart w:id="1827" w:name="_Toc38442853"/>
      <w:bookmarkStart w:id="1828" w:name="_Toc38443184"/>
      <w:bookmarkStart w:id="1829" w:name="_Toc38443515"/>
      <w:bookmarkStart w:id="1830" w:name="_Toc38443846"/>
      <w:bookmarkStart w:id="1831" w:name="_Toc38438313"/>
      <w:bookmarkStart w:id="1832" w:name="_Toc38438650"/>
      <w:bookmarkStart w:id="1833" w:name="_Toc38438987"/>
      <w:bookmarkStart w:id="1834" w:name="_Toc38439324"/>
      <w:bookmarkStart w:id="1835" w:name="_Toc38439661"/>
      <w:bookmarkStart w:id="1836" w:name="_Toc38439998"/>
      <w:bookmarkStart w:id="1837" w:name="_Toc38440335"/>
      <w:bookmarkStart w:id="1838" w:name="_Toc38440668"/>
      <w:bookmarkStart w:id="1839" w:name="_Toc38440867"/>
      <w:bookmarkStart w:id="1840" w:name="_Toc38441199"/>
      <w:bookmarkStart w:id="1841" w:name="_Toc38441531"/>
      <w:bookmarkStart w:id="1842" w:name="_Toc38441859"/>
      <w:bookmarkStart w:id="1843" w:name="_Toc38442191"/>
      <w:bookmarkStart w:id="1844" w:name="_Toc38442523"/>
      <w:bookmarkStart w:id="1845" w:name="_Toc38442854"/>
      <w:bookmarkStart w:id="1846" w:name="_Toc38443185"/>
      <w:bookmarkStart w:id="1847" w:name="_Toc38443516"/>
      <w:bookmarkStart w:id="1848" w:name="_Toc38443847"/>
      <w:bookmarkStart w:id="1849" w:name="_Toc38438314"/>
      <w:bookmarkStart w:id="1850" w:name="_Toc38438651"/>
      <w:bookmarkStart w:id="1851" w:name="_Toc38438988"/>
      <w:bookmarkStart w:id="1852" w:name="_Toc38439325"/>
      <w:bookmarkStart w:id="1853" w:name="_Toc38439662"/>
      <w:bookmarkStart w:id="1854" w:name="_Toc38439999"/>
      <w:bookmarkStart w:id="1855" w:name="_Toc38440336"/>
      <w:bookmarkStart w:id="1856" w:name="_Toc38440669"/>
      <w:bookmarkStart w:id="1857" w:name="_Toc38440868"/>
      <w:bookmarkStart w:id="1858" w:name="_Toc38441200"/>
      <w:bookmarkStart w:id="1859" w:name="_Toc38441532"/>
      <w:bookmarkStart w:id="1860" w:name="_Toc38441860"/>
      <w:bookmarkStart w:id="1861" w:name="_Toc38442192"/>
      <w:bookmarkStart w:id="1862" w:name="_Toc38442524"/>
      <w:bookmarkStart w:id="1863" w:name="_Toc38442855"/>
      <w:bookmarkStart w:id="1864" w:name="_Toc38443186"/>
      <w:bookmarkStart w:id="1865" w:name="_Toc38443517"/>
      <w:bookmarkStart w:id="1866" w:name="_Toc38443848"/>
      <w:bookmarkStart w:id="1867" w:name="_Toc38438315"/>
      <w:bookmarkStart w:id="1868" w:name="_Toc38438652"/>
      <w:bookmarkStart w:id="1869" w:name="_Toc38438989"/>
      <w:bookmarkStart w:id="1870" w:name="_Toc38439326"/>
      <w:bookmarkStart w:id="1871" w:name="_Toc38439663"/>
      <w:bookmarkStart w:id="1872" w:name="_Toc38440000"/>
      <w:bookmarkStart w:id="1873" w:name="_Toc38440337"/>
      <w:bookmarkStart w:id="1874" w:name="_Toc38440670"/>
      <w:bookmarkStart w:id="1875" w:name="_Toc38440869"/>
      <w:bookmarkStart w:id="1876" w:name="_Toc38441201"/>
      <w:bookmarkStart w:id="1877" w:name="_Toc38441533"/>
      <w:bookmarkStart w:id="1878" w:name="_Toc38441861"/>
      <w:bookmarkStart w:id="1879" w:name="_Toc38442193"/>
      <w:bookmarkStart w:id="1880" w:name="_Toc38442525"/>
      <w:bookmarkStart w:id="1881" w:name="_Toc38442856"/>
      <w:bookmarkStart w:id="1882" w:name="_Toc38443187"/>
      <w:bookmarkStart w:id="1883" w:name="_Toc38443518"/>
      <w:bookmarkStart w:id="1884" w:name="_Toc38443849"/>
      <w:bookmarkStart w:id="1885" w:name="_Toc38438316"/>
      <w:bookmarkStart w:id="1886" w:name="_Toc38438653"/>
      <w:bookmarkStart w:id="1887" w:name="_Toc38438990"/>
      <w:bookmarkStart w:id="1888" w:name="_Toc38439327"/>
      <w:bookmarkStart w:id="1889" w:name="_Toc38439664"/>
      <w:bookmarkStart w:id="1890" w:name="_Toc38440001"/>
      <w:bookmarkStart w:id="1891" w:name="_Toc38440338"/>
      <w:bookmarkStart w:id="1892" w:name="_Toc38440671"/>
      <w:bookmarkStart w:id="1893" w:name="_Toc38440870"/>
      <w:bookmarkStart w:id="1894" w:name="_Toc38441202"/>
      <w:bookmarkStart w:id="1895" w:name="_Toc38441534"/>
      <w:bookmarkStart w:id="1896" w:name="_Toc38441862"/>
      <w:bookmarkStart w:id="1897" w:name="_Toc38442194"/>
      <w:bookmarkStart w:id="1898" w:name="_Toc38442526"/>
      <w:bookmarkStart w:id="1899" w:name="_Toc38442857"/>
      <w:bookmarkStart w:id="1900" w:name="_Toc38443188"/>
      <w:bookmarkStart w:id="1901" w:name="_Toc38443519"/>
      <w:bookmarkStart w:id="1902" w:name="_Toc38443850"/>
      <w:bookmarkStart w:id="1903" w:name="_Toc38438317"/>
      <w:bookmarkStart w:id="1904" w:name="_Toc38438654"/>
      <w:bookmarkStart w:id="1905" w:name="_Toc38438991"/>
      <w:bookmarkStart w:id="1906" w:name="_Toc38439328"/>
      <w:bookmarkStart w:id="1907" w:name="_Toc38439665"/>
      <w:bookmarkStart w:id="1908" w:name="_Toc38440002"/>
      <w:bookmarkStart w:id="1909" w:name="_Toc38440339"/>
      <w:bookmarkStart w:id="1910" w:name="_Toc38440672"/>
      <w:bookmarkStart w:id="1911" w:name="_Toc38440871"/>
      <w:bookmarkStart w:id="1912" w:name="_Toc38441203"/>
      <w:bookmarkStart w:id="1913" w:name="_Toc38441535"/>
      <w:bookmarkStart w:id="1914" w:name="_Toc38441863"/>
      <w:bookmarkStart w:id="1915" w:name="_Toc38442195"/>
      <w:bookmarkStart w:id="1916" w:name="_Toc38442527"/>
      <w:bookmarkStart w:id="1917" w:name="_Toc38442858"/>
      <w:bookmarkStart w:id="1918" w:name="_Toc38443189"/>
      <w:bookmarkStart w:id="1919" w:name="_Toc38443520"/>
      <w:bookmarkStart w:id="1920" w:name="_Toc38443851"/>
      <w:bookmarkStart w:id="1921" w:name="_Toc38438318"/>
      <w:bookmarkStart w:id="1922" w:name="_Toc38438655"/>
      <w:bookmarkStart w:id="1923" w:name="_Toc38438992"/>
      <w:bookmarkStart w:id="1924" w:name="_Toc38439329"/>
      <w:bookmarkStart w:id="1925" w:name="_Toc38439666"/>
      <w:bookmarkStart w:id="1926" w:name="_Toc38440003"/>
      <w:bookmarkStart w:id="1927" w:name="_Toc38440340"/>
      <w:bookmarkStart w:id="1928" w:name="_Toc38440673"/>
      <w:bookmarkStart w:id="1929" w:name="_Toc38440872"/>
      <w:bookmarkStart w:id="1930" w:name="_Toc38441204"/>
      <w:bookmarkStart w:id="1931" w:name="_Toc38441536"/>
      <w:bookmarkStart w:id="1932" w:name="_Toc38441864"/>
      <w:bookmarkStart w:id="1933" w:name="_Toc38442196"/>
      <w:bookmarkStart w:id="1934" w:name="_Toc38442528"/>
      <w:bookmarkStart w:id="1935" w:name="_Toc38442859"/>
      <w:bookmarkStart w:id="1936" w:name="_Toc38443190"/>
      <w:bookmarkStart w:id="1937" w:name="_Toc38443521"/>
      <w:bookmarkStart w:id="1938" w:name="_Toc38443852"/>
      <w:bookmarkStart w:id="1939" w:name="_Toc38438319"/>
      <w:bookmarkStart w:id="1940" w:name="_Toc38438656"/>
      <w:bookmarkStart w:id="1941" w:name="_Toc38438993"/>
      <w:bookmarkStart w:id="1942" w:name="_Toc38439330"/>
      <w:bookmarkStart w:id="1943" w:name="_Toc38439667"/>
      <w:bookmarkStart w:id="1944" w:name="_Toc38440004"/>
      <w:bookmarkStart w:id="1945" w:name="_Toc38440341"/>
      <w:bookmarkStart w:id="1946" w:name="_Toc38440674"/>
      <w:bookmarkStart w:id="1947" w:name="_Toc38440873"/>
      <w:bookmarkStart w:id="1948" w:name="_Toc38441205"/>
      <w:bookmarkStart w:id="1949" w:name="_Toc38441537"/>
      <w:bookmarkStart w:id="1950" w:name="_Toc38441865"/>
      <w:bookmarkStart w:id="1951" w:name="_Toc38442197"/>
      <w:bookmarkStart w:id="1952" w:name="_Toc38442529"/>
      <w:bookmarkStart w:id="1953" w:name="_Toc38442860"/>
      <w:bookmarkStart w:id="1954" w:name="_Toc38443191"/>
      <w:bookmarkStart w:id="1955" w:name="_Toc38443522"/>
      <w:bookmarkStart w:id="1956" w:name="_Toc38443853"/>
      <w:bookmarkStart w:id="1957" w:name="_Toc38438320"/>
      <w:bookmarkStart w:id="1958" w:name="_Toc38438657"/>
      <w:bookmarkStart w:id="1959" w:name="_Toc38438994"/>
      <w:bookmarkStart w:id="1960" w:name="_Toc38439331"/>
      <w:bookmarkStart w:id="1961" w:name="_Toc38439668"/>
      <w:bookmarkStart w:id="1962" w:name="_Toc38440005"/>
      <w:bookmarkStart w:id="1963" w:name="_Toc38440342"/>
      <w:bookmarkStart w:id="1964" w:name="_Toc38440675"/>
      <w:bookmarkStart w:id="1965" w:name="_Toc38440874"/>
      <w:bookmarkStart w:id="1966" w:name="_Toc38441206"/>
      <w:bookmarkStart w:id="1967" w:name="_Toc38441538"/>
      <w:bookmarkStart w:id="1968" w:name="_Toc38441866"/>
      <w:bookmarkStart w:id="1969" w:name="_Toc38442198"/>
      <w:bookmarkStart w:id="1970" w:name="_Toc38442530"/>
      <w:bookmarkStart w:id="1971" w:name="_Toc38442861"/>
      <w:bookmarkStart w:id="1972" w:name="_Toc38443192"/>
      <w:bookmarkStart w:id="1973" w:name="_Toc38443523"/>
      <w:bookmarkStart w:id="1974" w:name="_Toc38443854"/>
      <w:bookmarkStart w:id="1975" w:name="_Toc38438321"/>
      <w:bookmarkStart w:id="1976" w:name="_Toc38438658"/>
      <w:bookmarkStart w:id="1977" w:name="_Toc38438995"/>
      <w:bookmarkStart w:id="1978" w:name="_Toc38439332"/>
      <w:bookmarkStart w:id="1979" w:name="_Toc38439669"/>
      <w:bookmarkStart w:id="1980" w:name="_Toc38440006"/>
      <w:bookmarkStart w:id="1981" w:name="_Toc38440343"/>
      <w:bookmarkStart w:id="1982" w:name="_Toc38440676"/>
      <w:bookmarkStart w:id="1983" w:name="_Toc38440875"/>
      <w:bookmarkStart w:id="1984" w:name="_Toc38441207"/>
      <w:bookmarkStart w:id="1985" w:name="_Toc38441539"/>
      <w:bookmarkStart w:id="1986" w:name="_Toc38441867"/>
      <w:bookmarkStart w:id="1987" w:name="_Toc38442199"/>
      <w:bookmarkStart w:id="1988" w:name="_Toc38442531"/>
      <w:bookmarkStart w:id="1989" w:name="_Toc38442862"/>
      <w:bookmarkStart w:id="1990" w:name="_Toc38443193"/>
      <w:bookmarkStart w:id="1991" w:name="_Toc38443524"/>
      <w:bookmarkStart w:id="1992" w:name="_Toc38443855"/>
      <w:bookmarkStart w:id="1993" w:name="_Toc38438322"/>
      <w:bookmarkStart w:id="1994" w:name="_Toc38438659"/>
      <w:bookmarkStart w:id="1995" w:name="_Toc38438996"/>
      <w:bookmarkStart w:id="1996" w:name="_Toc38439333"/>
      <w:bookmarkStart w:id="1997" w:name="_Toc38439670"/>
      <w:bookmarkStart w:id="1998" w:name="_Toc38440007"/>
      <w:bookmarkStart w:id="1999" w:name="_Toc38440344"/>
      <w:bookmarkStart w:id="2000" w:name="_Toc38440677"/>
      <w:bookmarkStart w:id="2001" w:name="_Toc38440876"/>
      <w:bookmarkStart w:id="2002" w:name="_Toc38441208"/>
      <w:bookmarkStart w:id="2003" w:name="_Toc38441540"/>
      <w:bookmarkStart w:id="2004" w:name="_Toc38441868"/>
      <w:bookmarkStart w:id="2005" w:name="_Toc38442200"/>
      <w:bookmarkStart w:id="2006" w:name="_Toc38442532"/>
      <w:bookmarkStart w:id="2007" w:name="_Toc38442863"/>
      <w:bookmarkStart w:id="2008" w:name="_Toc38443194"/>
      <w:bookmarkStart w:id="2009" w:name="_Toc38443525"/>
      <w:bookmarkStart w:id="2010" w:name="_Toc38443856"/>
      <w:bookmarkStart w:id="2011" w:name="_Toc38438323"/>
      <w:bookmarkStart w:id="2012" w:name="_Toc38438660"/>
      <w:bookmarkStart w:id="2013" w:name="_Toc38438997"/>
      <w:bookmarkStart w:id="2014" w:name="_Toc38439334"/>
      <w:bookmarkStart w:id="2015" w:name="_Toc38439671"/>
      <w:bookmarkStart w:id="2016" w:name="_Toc38440008"/>
      <w:bookmarkStart w:id="2017" w:name="_Toc38440345"/>
      <w:bookmarkStart w:id="2018" w:name="_Toc38440678"/>
      <w:bookmarkStart w:id="2019" w:name="_Toc38440877"/>
      <w:bookmarkStart w:id="2020" w:name="_Toc38441209"/>
      <w:bookmarkStart w:id="2021" w:name="_Toc38441541"/>
      <w:bookmarkStart w:id="2022" w:name="_Toc38441869"/>
      <w:bookmarkStart w:id="2023" w:name="_Toc38442201"/>
      <w:bookmarkStart w:id="2024" w:name="_Toc38442533"/>
      <w:bookmarkStart w:id="2025" w:name="_Toc38442864"/>
      <w:bookmarkStart w:id="2026" w:name="_Toc38443195"/>
      <w:bookmarkStart w:id="2027" w:name="_Toc38443526"/>
      <w:bookmarkStart w:id="2028" w:name="_Toc38443857"/>
      <w:bookmarkStart w:id="2029" w:name="_Toc38438324"/>
      <w:bookmarkStart w:id="2030" w:name="_Toc38438661"/>
      <w:bookmarkStart w:id="2031" w:name="_Toc38438998"/>
      <w:bookmarkStart w:id="2032" w:name="_Toc38439335"/>
      <w:bookmarkStart w:id="2033" w:name="_Toc38439672"/>
      <w:bookmarkStart w:id="2034" w:name="_Toc38440009"/>
      <w:bookmarkStart w:id="2035" w:name="_Toc38440346"/>
      <w:bookmarkStart w:id="2036" w:name="_Toc38440679"/>
      <w:bookmarkStart w:id="2037" w:name="_Toc38440878"/>
      <w:bookmarkStart w:id="2038" w:name="_Toc38441210"/>
      <w:bookmarkStart w:id="2039" w:name="_Toc38441542"/>
      <w:bookmarkStart w:id="2040" w:name="_Toc38441870"/>
      <w:bookmarkStart w:id="2041" w:name="_Toc38442202"/>
      <w:bookmarkStart w:id="2042" w:name="_Toc38442534"/>
      <w:bookmarkStart w:id="2043" w:name="_Toc38442865"/>
      <w:bookmarkStart w:id="2044" w:name="_Toc38443196"/>
      <w:bookmarkStart w:id="2045" w:name="_Toc38443527"/>
      <w:bookmarkStart w:id="2046" w:name="_Toc38443858"/>
      <w:bookmarkStart w:id="2047" w:name="_Toc38438325"/>
      <w:bookmarkStart w:id="2048" w:name="_Toc38438662"/>
      <w:bookmarkStart w:id="2049" w:name="_Toc38438999"/>
      <w:bookmarkStart w:id="2050" w:name="_Toc38439336"/>
      <w:bookmarkStart w:id="2051" w:name="_Toc38439673"/>
      <w:bookmarkStart w:id="2052" w:name="_Toc38440010"/>
      <w:bookmarkStart w:id="2053" w:name="_Toc38440347"/>
      <w:bookmarkStart w:id="2054" w:name="_Toc38440879"/>
      <w:bookmarkStart w:id="2055" w:name="_Toc38441211"/>
      <w:bookmarkStart w:id="2056" w:name="_Toc38441543"/>
      <w:bookmarkStart w:id="2057" w:name="_Toc38441871"/>
      <w:bookmarkStart w:id="2058" w:name="_Toc38442203"/>
      <w:bookmarkStart w:id="2059" w:name="_Toc38442535"/>
      <w:bookmarkStart w:id="2060" w:name="_Toc38442866"/>
      <w:bookmarkStart w:id="2061" w:name="_Toc38443197"/>
      <w:bookmarkStart w:id="2062" w:name="_Toc38443528"/>
      <w:bookmarkStart w:id="2063" w:name="_Toc38443859"/>
      <w:bookmarkStart w:id="2064" w:name="_Toc38438326"/>
      <w:bookmarkStart w:id="2065" w:name="_Toc38438663"/>
      <w:bookmarkStart w:id="2066" w:name="_Toc38439000"/>
      <w:bookmarkStart w:id="2067" w:name="_Toc38439337"/>
      <w:bookmarkStart w:id="2068" w:name="_Toc38439674"/>
      <w:bookmarkStart w:id="2069" w:name="_Toc38440011"/>
      <w:bookmarkStart w:id="2070" w:name="_Toc38440348"/>
      <w:bookmarkStart w:id="2071" w:name="_Toc38440880"/>
      <w:bookmarkStart w:id="2072" w:name="_Toc38441212"/>
      <w:bookmarkStart w:id="2073" w:name="_Toc38441544"/>
      <w:bookmarkStart w:id="2074" w:name="_Toc38441872"/>
      <w:bookmarkStart w:id="2075" w:name="_Toc38442204"/>
      <w:bookmarkStart w:id="2076" w:name="_Toc38442536"/>
      <w:bookmarkStart w:id="2077" w:name="_Toc38442867"/>
      <w:bookmarkStart w:id="2078" w:name="_Toc38443198"/>
      <w:bookmarkStart w:id="2079" w:name="_Toc38443529"/>
      <w:bookmarkStart w:id="2080" w:name="_Toc38443860"/>
      <w:bookmarkStart w:id="2081" w:name="_Toc38438327"/>
      <w:bookmarkStart w:id="2082" w:name="_Toc38438664"/>
      <w:bookmarkStart w:id="2083" w:name="_Toc38439001"/>
      <w:bookmarkStart w:id="2084" w:name="_Toc38439338"/>
      <w:bookmarkStart w:id="2085" w:name="_Toc38439675"/>
      <w:bookmarkStart w:id="2086" w:name="_Toc38440012"/>
      <w:bookmarkStart w:id="2087" w:name="_Toc38440349"/>
      <w:bookmarkStart w:id="2088" w:name="_Toc38440881"/>
      <w:bookmarkStart w:id="2089" w:name="_Toc38441213"/>
      <w:bookmarkStart w:id="2090" w:name="_Toc38441545"/>
      <w:bookmarkStart w:id="2091" w:name="_Toc38441873"/>
      <w:bookmarkStart w:id="2092" w:name="_Toc38442205"/>
      <w:bookmarkStart w:id="2093" w:name="_Toc38442537"/>
      <w:bookmarkStart w:id="2094" w:name="_Toc38442868"/>
      <w:bookmarkStart w:id="2095" w:name="_Toc38443199"/>
      <w:bookmarkStart w:id="2096" w:name="_Toc38443530"/>
      <w:bookmarkStart w:id="2097" w:name="_Toc38443861"/>
      <w:bookmarkStart w:id="2098" w:name="_Toc38438328"/>
      <w:bookmarkStart w:id="2099" w:name="_Toc38438665"/>
      <w:bookmarkStart w:id="2100" w:name="_Toc38439002"/>
      <w:bookmarkStart w:id="2101" w:name="_Toc38439339"/>
      <w:bookmarkStart w:id="2102" w:name="_Toc38439676"/>
      <w:bookmarkStart w:id="2103" w:name="_Toc38440013"/>
      <w:bookmarkStart w:id="2104" w:name="_Toc38440350"/>
      <w:bookmarkStart w:id="2105" w:name="_Toc38440882"/>
      <w:bookmarkStart w:id="2106" w:name="_Toc38441214"/>
      <w:bookmarkStart w:id="2107" w:name="_Toc38441546"/>
      <w:bookmarkStart w:id="2108" w:name="_Toc38441874"/>
      <w:bookmarkStart w:id="2109" w:name="_Toc38442206"/>
      <w:bookmarkStart w:id="2110" w:name="_Toc38442538"/>
      <w:bookmarkStart w:id="2111" w:name="_Toc38442869"/>
      <w:bookmarkStart w:id="2112" w:name="_Toc38443200"/>
      <w:bookmarkStart w:id="2113" w:name="_Toc38443531"/>
      <w:bookmarkStart w:id="2114" w:name="_Toc38443862"/>
      <w:bookmarkStart w:id="2115" w:name="_Toc38438329"/>
      <w:bookmarkStart w:id="2116" w:name="_Toc38438666"/>
      <w:bookmarkStart w:id="2117" w:name="_Toc38439003"/>
      <w:bookmarkStart w:id="2118" w:name="_Toc38439340"/>
      <w:bookmarkStart w:id="2119" w:name="_Toc38439677"/>
      <w:bookmarkStart w:id="2120" w:name="_Toc38440014"/>
      <w:bookmarkStart w:id="2121" w:name="_Toc38440351"/>
      <w:bookmarkStart w:id="2122" w:name="_Toc38440883"/>
      <w:bookmarkStart w:id="2123" w:name="_Toc38441215"/>
      <w:bookmarkStart w:id="2124" w:name="_Toc38441547"/>
      <w:bookmarkStart w:id="2125" w:name="_Toc38441875"/>
      <w:bookmarkStart w:id="2126" w:name="_Toc38442207"/>
      <w:bookmarkStart w:id="2127" w:name="_Toc38442539"/>
      <w:bookmarkStart w:id="2128" w:name="_Toc38442870"/>
      <w:bookmarkStart w:id="2129" w:name="_Toc38443201"/>
      <w:bookmarkStart w:id="2130" w:name="_Toc38443532"/>
      <w:bookmarkStart w:id="2131" w:name="_Toc38443863"/>
      <w:bookmarkStart w:id="2132" w:name="_Toc38438330"/>
      <w:bookmarkStart w:id="2133" w:name="_Toc38438667"/>
      <w:bookmarkStart w:id="2134" w:name="_Toc38439004"/>
      <w:bookmarkStart w:id="2135" w:name="_Toc38439341"/>
      <w:bookmarkStart w:id="2136" w:name="_Toc38439678"/>
      <w:bookmarkStart w:id="2137" w:name="_Toc38440015"/>
      <w:bookmarkStart w:id="2138" w:name="_Toc38440352"/>
      <w:bookmarkStart w:id="2139" w:name="_Toc38440884"/>
      <w:bookmarkStart w:id="2140" w:name="_Toc38441216"/>
      <w:bookmarkStart w:id="2141" w:name="_Toc38441548"/>
      <w:bookmarkStart w:id="2142" w:name="_Toc38441876"/>
      <w:bookmarkStart w:id="2143" w:name="_Toc38442208"/>
      <w:bookmarkStart w:id="2144" w:name="_Toc38442540"/>
      <w:bookmarkStart w:id="2145" w:name="_Toc38442871"/>
      <w:bookmarkStart w:id="2146" w:name="_Toc38443202"/>
      <w:bookmarkStart w:id="2147" w:name="_Toc38443533"/>
      <w:bookmarkStart w:id="2148" w:name="_Toc38443864"/>
      <w:bookmarkStart w:id="2149" w:name="_Toc38438331"/>
      <w:bookmarkStart w:id="2150" w:name="_Toc38438668"/>
      <w:bookmarkStart w:id="2151" w:name="_Toc38439005"/>
      <w:bookmarkStart w:id="2152" w:name="_Toc38439342"/>
      <w:bookmarkStart w:id="2153" w:name="_Toc38439679"/>
      <w:bookmarkStart w:id="2154" w:name="_Toc38440016"/>
      <w:bookmarkStart w:id="2155" w:name="_Toc38440353"/>
      <w:bookmarkStart w:id="2156" w:name="_Toc38440885"/>
      <w:bookmarkStart w:id="2157" w:name="_Toc38441217"/>
      <w:bookmarkStart w:id="2158" w:name="_Toc38441549"/>
      <w:bookmarkStart w:id="2159" w:name="_Toc38441877"/>
      <w:bookmarkStart w:id="2160" w:name="_Toc38442209"/>
      <w:bookmarkStart w:id="2161" w:name="_Toc38442541"/>
      <w:bookmarkStart w:id="2162" w:name="_Toc38442872"/>
      <w:bookmarkStart w:id="2163" w:name="_Toc38443203"/>
      <w:bookmarkStart w:id="2164" w:name="_Toc38443534"/>
      <w:bookmarkStart w:id="2165" w:name="_Toc38443865"/>
      <w:bookmarkStart w:id="2166" w:name="_Toc38438332"/>
      <w:bookmarkStart w:id="2167" w:name="_Toc38438669"/>
      <w:bookmarkStart w:id="2168" w:name="_Toc38439006"/>
      <w:bookmarkStart w:id="2169" w:name="_Toc38439343"/>
      <w:bookmarkStart w:id="2170" w:name="_Toc38439680"/>
      <w:bookmarkStart w:id="2171" w:name="_Toc38440017"/>
      <w:bookmarkStart w:id="2172" w:name="_Toc38440354"/>
      <w:bookmarkStart w:id="2173" w:name="_Toc38440886"/>
      <w:bookmarkStart w:id="2174" w:name="_Toc38441218"/>
      <w:bookmarkStart w:id="2175" w:name="_Toc38441550"/>
      <w:bookmarkStart w:id="2176" w:name="_Toc38441878"/>
      <w:bookmarkStart w:id="2177" w:name="_Toc38442210"/>
      <w:bookmarkStart w:id="2178" w:name="_Toc38442542"/>
      <w:bookmarkStart w:id="2179" w:name="_Toc38442873"/>
      <w:bookmarkStart w:id="2180" w:name="_Toc38443204"/>
      <w:bookmarkStart w:id="2181" w:name="_Toc38443535"/>
      <w:bookmarkStart w:id="2182" w:name="_Toc38443866"/>
      <w:bookmarkStart w:id="2183" w:name="_Toc38438333"/>
      <w:bookmarkStart w:id="2184" w:name="_Toc38438670"/>
      <w:bookmarkStart w:id="2185" w:name="_Toc38439007"/>
      <w:bookmarkStart w:id="2186" w:name="_Toc38439344"/>
      <w:bookmarkStart w:id="2187" w:name="_Toc38439681"/>
      <w:bookmarkStart w:id="2188" w:name="_Toc38440018"/>
      <w:bookmarkStart w:id="2189" w:name="_Toc38440355"/>
      <w:bookmarkStart w:id="2190" w:name="_Toc38440887"/>
      <w:bookmarkStart w:id="2191" w:name="_Toc38441219"/>
      <w:bookmarkStart w:id="2192" w:name="_Toc38441551"/>
      <w:bookmarkStart w:id="2193" w:name="_Toc38441879"/>
      <w:bookmarkStart w:id="2194" w:name="_Toc38442211"/>
      <w:bookmarkStart w:id="2195" w:name="_Toc38442543"/>
      <w:bookmarkStart w:id="2196" w:name="_Toc38442874"/>
      <w:bookmarkStart w:id="2197" w:name="_Toc38443205"/>
      <w:bookmarkStart w:id="2198" w:name="_Toc38443536"/>
      <w:bookmarkStart w:id="2199" w:name="_Toc38443867"/>
      <w:bookmarkStart w:id="2200" w:name="_Toc38438334"/>
      <w:bookmarkStart w:id="2201" w:name="_Toc38438671"/>
      <w:bookmarkStart w:id="2202" w:name="_Toc38439008"/>
      <w:bookmarkStart w:id="2203" w:name="_Toc38439345"/>
      <w:bookmarkStart w:id="2204" w:name="_Toc38439682"/>
      <w:bookmarkStart w:id="2205" w:name="_Toc38440019"/>
      <w:bookmarkStart w:id="2206" w:name="_Toc38440356"/>
      <w:bookmarkStart w:id="2207" w:name="_Toc38440888"/>
      <w:bookmarkStart w:id="2208" w:name="_Toc38441220"/>
      <w:bookmarkStart w:id="2209" w:name="_Toc38441552"/>
      <w:bookmarkStart w:id="2210" w:name="_Toc38441880"/>
      <w:bookmarkStart w:id="2211" w:name="_Toc38442212"/>
      <w:bookmarkStart w:id="2212" w:name="_Toc38442544"/>
      <w:bookmarkStart w:id="2213" w:name="_Toc38442875"/>
      <w:bookmarkStart w:id="2214" w:name="_Toc38443206"/>
      <w:bookmarkStart w:id="2215" w:name="_Toc38443537"/>
      <w:bookmarkStart w:id="2216" w:name="_Toc38443868"/>
      <w:bookmarkStart w:id="2217" w:name="_Toc38438335"/>
      <w:bookmarkStart w:id="2218" w:name="_Toc38438672"/>
      <w:bookmarkStart w:id="2219" w:name="_Toc38439009"/>
      <w:bookmarkStart w:id="2220" w:name="_Toc38439346"/>
      <w:bookmarkStart w:id="2221" w:name="_Toc38439683"/>
      <w:bookmarkStart w:id="2222" w:name="_Toc38440020"/>
      <w:bookmarkStart w:id="2223" w:name="_Toc38440357"/>
      <w:bookmarkStart w:id="2224" w:name="_Toc38440889"/>
      <w:bookmarkStart w:id="2225" w:name="_Toc38441221"/>
      <w:bookmarkStart w:id="2226" w:name="_Toc38441553"/>
      <w:bookmarkStart w:id="2227" w:name="_Toc38441881"/>
      <w:bookmarkStart w:id="2228" w:name="_Toc38442213"/>
      <w:bookmarkStart w:id="2229" w:name="_Toc38442545"/>
      <w:bookmarkStart w:id="2230" w:name="_Toc38442876"/>
      <w:bookmarkStart w:id="2231" w:name="_Toc38443207"/>
      <w:bookmarkStart w:id="2232" w:name="_Toc38443538"/>
      <w:bookmarkStart w:id="2233" w:name="_Toc38443869"/>
      <w:bookmarkStart w:id="2234" w:name="_Toc38438336"/>
      <w:bookmarkStart w:id="2235" w:name="_Toc38438673"/>
      <w:bookmarkStart w:id="2236" w:name="_Toc38439010"/>
      <w:bookmarkStart w:id="2237" w:name="_Toc38439347"/>
      <w:bookmarkStart w:id="2238" w:name="_Toc38439684"/>
      <w:bookmarkStart w:id="2239" w:name="_Toc38440021"/>
      <w:bookmarkStart w:id="2240" w:name="_Toc38440358"/>
      <w:bookmarkStart w:id="2241" w:name="_Toc38440890"/>
      <w:bookmarkStart w:id="2242" w:name="_Toc38441222"/>
      <w:bookmarkStart w:id="2243" w:name="_Toc38441554"/>
      <w:bookmarkStart w:id="2244" w:name="_Toc38441882"/>
      <w:bookmarkStart w:id="2245" w:name="_Toc38442214"/>
      <w:bookmarkStart w:id="2246" w:name="_Toc38442546"/>
      <w:bookmarkStart w:id="2247" w:name="_Toc38442877"/>
      <w:bookmarkStart w:id="2248" w:name="_Toc38443208"/>
      <w:bookmarkStart w:id="2249" w:name="_Toc38443539"/>
      <w:bookmarkStart w:id="2250" w:name="_Toc38443870"/>
      <w:bookmarkStart w:id="2251" w:name="_Toc38438337"/>
      <w:bookmarkStart w:id="2252" w:name="_Toc38438674"/>
      <w:bookmarkStart w:id="2253" w:name="_Toc38439011"/>
      <w:bookmarkStart w:id="2254" w:name="_Toc38439348"/>
      <w:bookmarkStart w:id="2255" w:name="_Toc38439685"/>
      <w:bookmarkStart w:id="2256" w:name="_Toc38440022"/>
      <w:bookmarkStart w:id="2257" w:name="_Toc38440359"/>
      <w:bookmarkStart w:id="2258" w:name="_Toc38440891"/>
      <w:bookmarkStart w:id="2259" w:name="_Toc38441223"/>
      <w:bookmarkStart w:id="2260" w:name="_Toc38441555"/>
      <w:bookmarkStart w:id="2261" w:name="_Toc38441883"/>
      <w:bookmarkStart w:id="2262" w:name="_Toc38442215"/>
      <w:bookmarkStart w:id="2263" w:name="_Toc38442547"/>
      <w:bookmarkStart w:id="2264" w:name="_Toc38442878"/>
      <w:bookmarkStart w:id="2265" w:name="_Toc38443209"/>
      <w:bookmarkStart w:id="2266" w:name="_Toc38443540"/>
      <w:bookmarkStart w:id="2267" w:name="_Toc38443871"/>
      <w:bookmarkStart w:id="2268" w:name="_Toc38438338"/>
      <w:bookmarkStart w:id="2269" w:name="_Toc38438675"/>
      <w:bookmarkStart w:id="2270" w:name="_Toc38439012"/>
      <w:bookmarkStart w:id="2271" w:name="_Toc38439349"/>
      <w:bookmarkStart w:id="2272" w:name="_Toc38439686"/>
      <w:bookmarkStart w:id="2273" w:name="_Toc38440023"/>
      <w:bookmarkStart w:id="2274" w:name="_Toc38440360"/>
      <w:bookmarkStart w:id="2275" w:name="_Toc38440892"/>
      <w:bookmarkStart w:id="2276" w:name="_Toc38441224"/>
      <w:bookmarkStart w:id="2277" w:name="_Toc38441556"/>
      <w:bookmarkStart w:id="2278" w:name="_Toc38441884"/>
      <w:bookmarkStart w:id="2279" w:name="_Toc38442216"/>
      <w:bookmarkStart w:id="2280" w:name="_Toc38442548"/>
      <w:bookmarkStart w:id="2281" w:name="_Toc38442879"/>
      <w:bookmarkStart w:id="2282" w:name="_Toc38443210"/>
      <w:bookmarkStart w:id="2283" w:name="_Toc38443541"/>
      <w:bookmarkStart w:id="2284" w:name="_Toc38443872"/>
      <w:bookmarkStart w:id="2285" w:name="_Toc38438339"/>
      <w:bookmarkStart w:id="2286" w:name="_Toc38438676"/>
      <w:bookmarkStart w:id="2287" w:name="_Toc38439013"/>
      <w:bookmarkStart w:id="2288" w:name="_Toc38439350"/>
      <w:bookmarkStart w:id="2289" w:name="_Toc38439687"/>
      <w:bookmarkStart w:id="2290" w:name="_Toc38440024"/>
      <w:bookmarkStart w:id="2291" w:name="_Toc38440361"/>
      <w:bookmarkStart w:id="2292" w:name="_Toc38440893"/>
      <w:bookmarkStart w:id="2293" w:name="_Toc38441225"/>
      <w:bookmarkStart w:id="2294" w:name="_Toc38441557"/>
      <w:bookmarkStart w:id="2295" w:name="_Toc38441885"/>
      <w:bookmarkStart w:id="2296" w:name="_Toc38442217"/>
      <w:bookmarkStart w:id="2297" w:name="_Toc38442549"/>
      <w:bookmarkStart w:id="2298" w:name="_Toc38442880"/>
      <w:bookmarkStart w:id="2299" w:name="_Toc38443211"/>
      <w:bookmarkStart w:id="2300" w:name="_Toc38443542"/>
      <w:bookmarkStart w:id="2301" w:name="_Toc38443873"/>
      <w:bookmarkStart w:id="2302" w:name="_Toc38438340"/>
      <w:bookmarkStart w:id="2303" w:name="_Toc38438677"/>
      <w:bookmarkStart w:id="2304" w:name="_Toc38439014"/>
      <w:bookmarkStart w:id="2305" w:name="_Toc38439351"/>
      <w:bookmarkStart w:id="2306" w:name="_Toc38439688"/>
      <w:bookmarkStart w:id="2307" w:name="_Toc38440025"/>
      <w:bookmarkStart w:id="2308" w:name="_Toc38440362"/>
      <w:bookmarkStart w:id="2309" w:name="_Toc38440894"/>
      <w:bookmarkStart w:id="2310" w:name="_Toc38441226"/>
      <w:bookmarkStart w:id="2311" w:name="_Toc38441558"/>
      <w:bookmarkStart w:id="2312" w:name="_Toc38441886"/>
      <w:bookmarkStart w:id="2313" w:name="_Toc38442218"/>
      <w:bookmarkStart w:id="2314" w:name="_Toc38442550"/>
      <w:bookmarkStart w:id="2315" w:name="_Toc38442881"/>
      <w:bookmarkStart w:id="2316" w:name="_Toc38443212"/>
      <w:bookmarkStart w:id="2317" w:name="_Toc38443543"/>
      <w:bookmarkStart w:id="2318" w:name="_Toc38443874"/>
      <w:bookmarkStart w:id="2319" w:name="_Toc38438341"/>
      <w:bookmarkStart w:id="2320" w:name="_Toc38438678"/>
      <w:bookmarkStart w:id="2321" w:name="_Toc38439015"/>
      <w:bookmarkStart w:id="2322" w:name="_Toc38439352"/>
      <w:bookmarkStart w:id="2323" w:name="_Toc38439689"/>
      <w:bookmarkStart w:id="2324" w:name="_Toc38440026"/>
      <w:bookmarkStart w:id="2325" w:name="_Toc38440363"/>
      <w:bookmarkStart w:id="2326" w:name="_Toc38440895"/>
      <w:bookmarkStart w:id="2327" w:name="_Toc38441227"/>
      <w:bookmarkStart w:id="2328" w:name="_Toc38441559"/>
      <w:bookmarkStart w:id="2329" w:name="_Toc38441887"/>
      <w:bookmarkStart w:id="2330" w:name="_Toc38442219"/>
      <w:bookmarkStart w:id="2331" w:name="_Toc38442551"/>
      <w:bookmarkStart w:id="2332" w:name="_Toc38442882"/>
      <w:bookmarkStart w:id="2333" w:name="_Toc38443213"/>
      <w:bookmarkStart w:id="2334" w:name="_Toc38443544"/>
      <w:bookmarkStart w:id="2335" w:name="_Toc38443875"/>
      <w:bookmarkStart w:id="2336" w:name="_Toc38438342"/>
      <w:bookmarkStart w:id="2337" w:name="_Toc38438679"/>
      <w:bookmarkStart w:id="2338" w:name="_Toc38439016"/>
      <w:bookmarkStart w:id="2339" w:name="_Toc38439353"/>
      <w:bookmarkStart w:id="2340" w:name="_Toc38439690"/>
      <w:bookmarkStart w:id="2341" w:name="_Toc38440027"/>
      <w:bookmarkStart w:id="2342" w:name="_Toc38440364"/>
      <w:bookmarkStart w:id="2343" w:name="_Toc38440896"/>
      <w:bookmarkStart w:id="2344" w:name="_Toc38441228"/>
      <w:bookmarkStart w:id="2345" w:name="_Toc38441560"/>
      <w:bookmarkStart w:id="2346" w:name="_Toc38441888"/>
      <w:bookmarkStart w:id="2347" w:name="_Toc38442220"/>
      <w:bookmarkStart w:id="2348" w:name="_Toc38442552"/>
      <w:bookmarkStart w:id="2349" w:name="_Toc38442883"/>
      <w:bookmarkStart w:id="2350" w:name="_Toc38443214"/>
      <w:bookmarkStart w:id="2351" w:name="_Toc38443545"/>
      <w:bookmarkStart w:id="2352" w:name="_Toc38443876"/>
      <w:bookmarkStart w:id="2353" w:name="_Toc38438343"/>
      <w:bookmarkStart w:id="2354" w:name="_Toc38438680"/>
      <w:bookmarkStart w:id="2355" w:name="_Toc38439017"/>
      <w:bookmarkStart w:id="2356" w:name="_Toc38439354"/>
      <w:bookmarkStart w:id="2357" w:name="_Toc38439691"/>
      <w:bookmarkStart w:id="2358" w:name="_Toc38440028"/>
      <w:bookmarkStart w:id="2359" w:name="_Toc38440365"/>
      <w:bookmarkStart w:id="2360" w:name="_Toc38440897"/>
      <w:bookmarkStart w:id="2361" w:name="_Toc38441229"/>
      <w:bookmarkStart w:id="2362" w:name="_Toc38441561"/>
      <w:bookmarkStart w:id="2363" w:name="_Toc38441889"/>
      <w:bookmarkStart w:id="2364" w:name="_Toc38442221"/>
      <w:bookmarkStart w:id="2365" w:name="_Toc38442553"/>
      <w:bookmarkStart w:id="2366" w:name="_Toc38442884"/>
      <w:bookmarkStart w:id="2367" w:name="_Toc38443215"/>
      <w:bookmarkStart w:id="2368" w:name="_Toc38443546"/>
      <w:bookmarkStart w:id="2369" w:name="_Toc38443877"/>
      <w:bookmarkEnd w:id="1231"/>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p>
    <w:p w:rsidR="007228CC" w:rsidRPr="00054588" w:rsidP="00941EC8">
      <w:pPr>
        <w:pStyle w:val="Heading1"/>
        <w:numPr>
          <w:ilvl w:val="0"/>
          <w:numId w:val="7"/>
        </w:numPr>
        <w:tabs>
          <w:tab w:val="num" w:pos="0"/>
          <w:tab w:val="clear" w:pos="2798"/>
        </w:tabs>
        <w:snapToGrid w:val="0"/>
        <w:spacing w:beforeLines="0" w:afterLines="0" w:line="360" w:lineRule="auto"/>
        <w:ind w:left="0" w:firstLine="640" w:firstLineChars="0"/>
        <w:rPr>
          <w:rFonts w:asciiTheme="minorEastAsia" w:eastAsiaTheme="minorEastAsia" w:hAnsiTheme="minorEastAsia"/>
          <w:color w:val="000000" w:themeColor="text1"/>
        </w:rPr>
        <w:sectPr w:rsidSect="00DE4B5E">
          <w:pgSz w:w="11906" w:h="16838" w:code="9"/>
          <w:pgMar w:top="1440" w:right="1800" w:bottom="1440" w:left="1800" w:header="851" w:footer="992" w:gutter="0"/>
          <w:cols w:space="425"/>
          <w:docGrid w:type="lines" w:linePitch="312"/>
        </w:sectPr>
      </w:pPr>
    </w:p>
    <w:p w:rsidR="006634BB" w:rsidRPr="00054588" w:rsidP="00DB15B5">
      <w:pPr>
        <w:pStyle w:val="111"/>
        <w:numPr>
          <w:ilvl w:val="0"/>
          <w:numId w:val="7"/>
        </w:numPr>
        <w:tabs>
          <w:tab w:val="num" w:pos="0"/>
          <w:tab w:val="clear" w:pos="2798"/>
        </w:tabs>
        <w:snapToGrid w:val="0"/>
        <w:spacing w:beforeLines="0" w:afterLines="0" w:line="360" w:lineRule="auto"/>
        <w:ind w:left="0" w:firstLine="0" w:firstLineChars="0"/>
        <w:rPr>
          <w:rFonts w:asciiTheme="minorEastAsia" w:eastAsiaTheme="minorEastAsia" w:hAnsiTheme="minorEastAsia"/>
          <w:b/>
          <w:color w:val="000000" w:themeColor="text1"/>
        </w:rPr>
      </w:pPr>
      <w:bookmarkStart w:id="2370" w:name="_Toc123296538"/>
      <w:r w:rsidRPr="00054588">
        <w:rPr>
          <w:rFonts w:asciiTheme="minorEastAsia" w:eastAsiaTheme="minorEastAsia" w:hAnsiTheme="minorEastAsia" w:hint="eastAsia"/>
          <w:b/>
          <w:color w:val="000000" w:themeColor="text1"/>
        </w:rPr>
        <w:t>其他应披露事项</w:t>
      </w:r>
      <w:bookmarkStart w:id="2371" w:name="_Toc38438350"/>
      <w:bookmarkStart w:id="2372" w:name="_Toc38438687"/>
      <w:bookmarkStart w:id="2373" w:name="_Toc38439024"/>
      <w:bookmarkStart w:id="2374" w:name="_Toc38439361"/>
      <w:bookmarkStart w:id="2375" w:name="_Toc38439698"/>
      <w:bookmarkStart w:id="2376" w:name="_Toc38440035"/>
      <w:bookmarkStart w:id="2377" w:name="_Toc38440372"/>
      <w:bookmarkStart w:id="2378" w:name="_Toc38440904"/>
      <w:bookmarkStart w:id="2379" w:name="_Toc38441236"/>
      <w:bookmarkStart w:id="2380" w:name="_Toc38441568"/>
      <w:bookmarkStart w:id="2381" w:name="_Toc38441896"/>
      <w:bookmarkStart w:id="2382" w:name="_Toc38442228"/>
      <w:bookmarkStart w:id="2383" w:name="_Toc38442560"/>
      <w:bookmarkStart w:id="2384" w:name="_Toc38442891"/>
      <w:bookmarkStart w:id="2385" w:name="_Toc38443222"/>
      <w:bookmarkStart w:id="2386" w:name="_Toc38443553"/>
      <w:bookmarkStart w:id="2387" w:name="_Toc38443883"/>
      <w:bookmarkStart w:id="2388" w:name="_Toc38438351"/>
      <w:bookmarkStart w:id="2389" w:name="_Toc38438688"/>
      <w:bookmarkStart w:id="2390" w:name="_Toc38439025"/>
      <w:bookmarkStart w:id="2391" w:name="_Toc38439362"/>
      <w:bookmarkStart w:id="2392" w:name="_Toc38439699"/>
      <w:bookmarkStart w:id="2393" w:name="_Toc38440036"/>
      <w:bookmarkStart w:id="2394" w:name="_Toc38440373"/>
      <w:bookmarkStart w:id="2395" w:name="_Toc38440905"/>
      <w:bookmarkStart w:id="2396" w:name="_Toc38441237"/>
      <w:bookmarkStart w:id="2397" w:name="_Toc38441569"/>
      <w:bookmarkStart w:id="2398" w:name="_Toc38441897"/>
      <w:bookmarkStart w:id="2399" w:name="_Toc38442229"/>
      <w:bookmarkStart w:id="2400" w:name="_Toc38442561"/>
      <w:bookmarkStart w:id="2401" w:name="_Toc38442892"/>
      <w:bookmarkStart w:id="2402" w:name="_Toc38443223"/>
      <w:bookmarkStart w:id="2403" w:name="_Toc38443554"/>
      <w:bookmarkStart w:id="2404" w:name="_Toc38443884"/>
      <w:bookmarkStart w:id="2405" w:name="_Toc38438352"/>
      <w:bookmarkStart w:id="2406" w:name="_Toc38438689"/>
      <w:bookmarkStart w:id="2407" w:name="_Toc38439026"/>
      <w:bookmarkStart w:id="2408" w:name="_Toc38439363"/>
      <w:bookmarkStart w:id="2409" w:name="_Toc38439700"/>
      <w:bookmarkStart w:id="2410" w:name="_Toc38440037"/>
      <w:bookmarkStart w:id="2411" w:name="_Toc38440374"/>
      <w:bookmarkStart w:id="2412" w:name="_Toc38440906"/>
      <w:bookmarkStart w:id="2413" w:name="_Toc38441238"/>
      <w:bookmarkStart w:id="2414" w:name="_Toc38441570"/>
      <w:bookmarkStart w:id="2415" w:name="_Toc38441898"/>
      <w:bookmarkStart w:id="2416" w:name="_Toc38442230"/>
      <w:bookmarkStart w:id="2417" w:name="_Toc38442562"/>
      <w:bookmarkStart w:id="2418" w:name="_Toc38442893"/>
      <w:bookmarkStart w:id="2419" w:name="_Toc38443224"/>
      <w:bookmarkStart w:id="2420" w:name="_Toc38443555"/>
      <w:bookmarkStart w:id="2421" w:name="_Toc38443885"/>
      <w:bookmarkStart w:id="2422" w:name="_Toc38438353"/>
      <w:bookmarkStart w:id="2423" w:name="_Toc38438690"/>
      <w:bookmarkStart w:id="2424" w:name="_Toc38439027"/>
      <w:bookmarkStart w:id="2425" w:name="_Toc38439364"/>
      <w:bookmarkStart w:id="2426" w:name="_Toc38439701"/>
      <w:bookmarkStart w:id="2427" w:name="_Toc38440038"/>
      <w:bookmarkStart w:id="2428" w:name="_Toc38440375"/>
      <w:bookmarkStart w:id="2429" w:name="_Toc38440907"/>
      <w:bookmarkStart w:id="2430" w:name="_Toc38441239"/>
      <w:bookmarkStart w:id="2431" w:name="_Toc38441571"/>
      <w:bookmarkStart w:id="2432" w:name="_Toc38441899"/>
      <w:bookmarkStart w:id="2433" w:name="_Toc38442231"/>
      <w:bookmarkStart w:id="2434" w:name="_Toc38442563"/>
      <w:bookmarkStart w:id="2435" w:name="_Toc38442894"/>
      <w:bookmarkStart w:id="2436" w:name="_Toc38443225"/>
      <w:bookmarkStart w:id="2437" w:name="_Toc38443556"/>
      <w:bookmarkStart w:id="2438" w:name="_Toc38443886"/>
      <w:bookmarkStart w:id="2439" w:name="_Toc38438354"/>
      <w:bookmarkStart w:id="2440" w:name="_Toc38438691"/>
      <w:bookmarkStart w:id="2441" w:name="_Toc38439028"/>
      <w:bookmarkStart w:id="2442" w:name="_Toc38439365"/>
      <w:bookmarkStart w:id="2443" w:name="_Toc38439702"/>
      <w:bookmarkStart w:id="2444" w:name="_Toc38440039"/>
      <w:bookmarkStart w:id="2445" w:name="_Toc38440376"/>
      <w:bookmarkStart w:id="2446" w:name="_Toc38440908"/>
      <w:bookmarkStart w:id="2447" w:name="_Toc38441240"/>
      <w:bookmarkStart w:id="2448" w:name="_Toc38441572"/>
      <w:bookmarkStart w:id="2449" w:name="_Toc38441900"/>
      <w:bookmarkStart w:id="2450" w:name="_Toc38442232"/>
      <w:bookmarkStart w:id="2451" w:name="_Toc38442564"/>
      <w:bookmarkStart w:id="2452" w:name="_Toc38442895"/>
      <w:bookmarkStart w:id="2453" w:name="_Toc38443226"/>
      <w:bookmarkStart w:id="2454" w:name="_Toc38443557"/>
      <w:bookmarkStart w:id="2455" w:name="_Toc38443887"/>
      <w:bookmarkStart w:id="2456" w:name="_Toc38438355"/>
      <w:bookmarkStart w:id="2457" w:name="_Toc38438692"/>
      <w:bookmarkStart w:id="2458" w:name="_Toc38439029"/>
      <w:bookmarkStart w:id="2459" w:name="_Toc38439366"/>
      <w:bookmarkStart w:id="2460" w:name="_Toc38439703"/>
      <w:bookmarkStart w:id="2461" w:name="_Toc38440040"/>
      <w:bookmarkStart w:id="2462" w:name="_Toc38440377"/>
      <w:bookmarkStart w:id="2463" w:name="_Toc38440909"/>
      <w:bookmarkStart w:id="2464" w:name="_Toc38441241"/>
      <w:bookmarkStart w:id="2465" w:name="_Toc38441573"/>
      <w:bookmarkStart w:id="2466" w:name="_Toc38441901"/>
      <w:bookmarkStart w:id="2467" w:name="_Toc38442233"/>
      <w:bookmarkStart w:id="2468" w:name="_Toc38442565"/>
      <w:bookmarkStart w:id="2469" w:name="_Toc38442896"/>
      <w:bookmarkStart w:id="2470" w:name="_Toc38443227"/>
      <w:bookmarkStart w:id="2471" w:name="_Toc38443558"/>
      <w:bookmarkStart w:id="2472" w:name="_Toc38443888"/>
      <w:bookmarkStart w:id="2473" w:name="_Toc38438356"/>
      <w:bookmarkStart w:id="2474" w:name="_Toc38438693"/>
      <w:bookmarkStart w:id="2475" w:name="_Toc38439030"/>
      <w:bookmarkStart w:id="2476" w:name="_Toc38439367"/>
      <w:bookmarkStart w:id="2477" w:name="_Toc38439704"/>
      <w:bookmarkStart w:id="2478" w:name="_Toc38440041"/>
      <w:bookmarkStart w:id="2479" w:name="_Toc38440378"/>
      <w:bookmarkStart w:id="2480" w:name="_Toc38440910"/>
      <w:bookmarkStart w:id="2481" w:name="_Toc38441242"/>
      <w:bookmarkStart w:id="2482" w:name="_Toc38441574"/>
      <w:bookmarkStart w:id="2483" w:name="_Toc38441902"/>
      <w:bookmarkStart w:id="2484" w:name="_Toc38442234"/>
      <w:bookmarkStart w:id="2485" w:name="_Toc38442566"/>
      <w:bookmarkStart w:id="2486" w:name="_Toc38442897"/>
      <w:bookmarkStart w:id="2487" w:name="_Toc38443228"/>
      <w:bookmarkStart w:id="2488" w:name="_Toc38443559"/>
      <w:bookmarkStart w:id="2489" w:name="_Toc38443889"/>
      <w:bookmarkStart w:id="2490" w:name="_Toc38438357"/>
      <w:bookmarkStart w:id="2491" w:name="_Toc38438694"/>
      <w:bookmarkStart w:id="2492" w:name="_Toc38439031"/>
      <w:bookmarkStart w:id="2493" w:name="_Toc38439368"/>
      <w:bookmarkStart w:id="2494" w:name="_Toc38439705"/>
      <w:bookmarkStart w:id="2495" w:name="_Toc38440042"/>
      <w:bookmarkStart w:id="2496" w:name="_Toc38440379"/>
      <w:bookmarkStart w:id="2497" w:name="_Toc38440911"/>
      <w:bookmarkStart w:id="2498" w:name="_Toc38441243"/>
      <w:bookmarkStart w:id="2499" w:name="_Toc38441575"/>
      <w:bookmarkStart w:id="2500" w:name="_Toc38441903"/>
      <w:bookmarkStart w:id="2501" w:name="_Toc38442235"/>
      <w:bookmarkStart w:id="2502" w:name="_Toc38442567"/>
      <w:bookmarkStart w:id="2503" w:name="_Toc38442898"/>
      <w:bookmarkStart w:id="2504" w:name="_Toc38443229"/>
      <w:bookmarkStart w:id="2505" w:name="_Toc38443560"/>
      <w:bookmarkStart w:id="2506" w:name="_Toc38443890"/>
      <w:bookmarkStart w:id="2507" w:name="_Toc38438358"/>
      <w:bookmarkStart w:id="2508" w:name="_Toc38438695"/>
      <w:bookmarkStart w:id="2509" w:name="_Toc38439032"/>
      <w:bookmarkStart w:id="2510" w:name="_Toc38439369"/>
      <w:bookmarkStart w:id="2511" w:name="_Toc38439706"/>
      <w:bookmarkStart w:id="2512" w:name="_Toc38440043"/>
      <w:bookmarkStart w:id="2513" w:name="_Toc38440380"/>
      <w:bookmarkStart w:id="2514" w:name="_Toc38440912"/>
      <w:bookmarkStart w:id="2515" w:name="_Toc38441244"/>
      <w:bookmarkStart w:id="2516" w:name="_Toc38441576"/>
      <w:bookmarkStart w:id="2517" w:name="_Toc38441904"/>
      <w:bookmarkStart w:id="2518" w:name="_Toc38442236"/>
      <w:bookmarkStart w:id="2519" w:name="_Toc38442568"/>
      <w:bookmarkStart w:id="2520" w:name="_Toc38442899"/>
      <w:bookmarkStart w:id="2521" w:name="_Toc38443230"/>
      <w:bookmarkStart w:id="2522" w:name="_Toc38443561"/>
      <w:bookmarkStart w:id="2523" w:name="_Toc38443891"/>
      <w:bookmarkStart w:id="2524" w:name="_Toc38438359"/>
      <w:bookmarkStart w:id="2525" w:name="_Toc38438696"/>
      <w:bookmarkStart w:id="2526" w:name="_Toc38439033"/>
      <w:bookmarkStart w:id="2527" w:name="_Toc38439370"/>
      <w:bookmarkStart w:id="2528" w:name="_Toc38439707"/>
      <w:bookmarkStart w:id="2529" w:name="_Toc38440044"/>
      <w:bookmarkStart w:id="2530" w:name="_Toc38440381"/>
      <w:bookmarkStart w:id="2531" w:name="_Toc38440913"/>
      <w:bookmarkStart w:id="2532" w:name="_Toc38441245"/>
      <w:bookmarkStart w:id="2533" w:name="_Toc38441577"/>
      <w:bookmarkStart w:id="2534" w:name="_Toc38441905"/>
      <w:bookmarkStart w:id="2535" w:name="_Toc38442237"/>
      <w:bookmarkStart w:id="2536" w:name="_Toc38442569"/>
      <w:bookmarkStart w:id="2537" w:name="_Toc38442900"/>
      <w:bookmarkStart w:id="2538" w:name="_Toc38443231"/>
      <w:bookmarkStart w:id="2539" w:name="_Toc38443562"/>
      <w:bookmarkStart w:id="2540" w:name="_Toc38443892"/>
      <w:bookmarkStart w:id="2541" w:name="_Toc38438360"/>
      <w:bookmarkStart w:id="2542" w:name="_Toc38438697"/>
      <w:bookmarkStart w:id="2543" w:name="_Toc38439034"/>
      <w:bookmarkStart w:id="2544" w:name="_Toc38439371"/>
      <w:bookmarkStart w:id="2545" w:name="_Toc38439708"/>
      <w:bookmarkStart w:id="2546" w:name="_Toc38440045"/>
      <w:bookmarkStart w:id="2547" w:name="_Toc38440382"/>
      <w:bookmarkStart w:id="2548" w:name="_Toc38440914"/>
      <w:bookmarkStart w:id="2549" w:name="_Toc38441246"/>
      <w:bookmarkStart w:id="2550" w:name="_Toc38441578"/>
      <w:bookmarkStart w:id="2551" w:name="_Toc38441906"/>
      <w:bookmarkStart w:id="2552" w:name="_Toc38442238"/>
      <w:bookmarkStart w:id="2553" w:name="_Toc38442570"/>
      <w:bookmarkStart w:id="2554" w:name="_Toc38442901"/>
      <w:bookmarkStart w:id="2555" w:name="_Toc38443232"/>
      <w:bookmarkStart w:id="2556" w:name="_Toc38443563"/>
      <w:bookmarkStart w:id="2557" w:name="_Toc38443893"/>
      <w:bookmarkStart w:id="2558" w:name="_Toc38438361"/>
      <w:bookmarkStart w:id="2559" w:name="_Toc38438698"/>
      <w:bookmarkStart w:id="2560" w:name="_Toc38439035"/>
      <w:bookmarkStart w:id="2561" w:name="_Toc38439372"/>
      <w:bookmarkStart w:id="2562" w:name="_Toc38439709"/>
      <w:bookmarkStart w:id="2563" w:name="_Toc38440046"/>
      <w:bookmarkStart w:id="2564" w:name="_Toc38440383"/>
      <w:bookmarkStart w:id="2565" w:name="_Toc38440915"/>
      <w:bookmarkStart w:id="2566" w:name="_Toc38441247"/>
      <w:bookmarkStart w:id="2567" w:name="_Toc38441579"/>
      <w:bookmarkStart w:id="2568" w:name="_Toc38441907"/>
      <w:bookmarkStart w:id="2569" w:name="_Toc38442239"/>
      <w:bookmarkStart w:id="2570" w:name="_Toc38442571"/>
      <w:bookmarkStart w:id="2571" w:name="_Toc38442902"/>
      <w:bookmarkStart w:id="2572" w:name="_Toc38443233"/>
      <w:bookmarkStart w:id="2573" w:name="_Toc38443564"/>
      <w:bookmarkStart w:id="2574" w:name="_Toc38443894"/>
      <w:bookmarkStart w:id="2575" w:name="_Toc38438362"/>
      <w:bookmarkStart w:id="2576" w:name="_Toc38438699"/>
      <w:bookmarkStart w:id="2577" w:name="_Toc38439036"/>
      <w:bookmarkStart w:id="2578" w:name="_Toc38439373"/>
      <w:bookmarkStart w:id="2579" w:name="_Toc38439710"/>
      <w:bookmarkStart w:id="2580" w:name="_Toc38440047"/>
      <w:bookmarkStart w:id="2581" w:name="_Toc38440384"/>
      <w:bookmarkStart w:id="2582" w:name="_Toc38440916"/>
      <w:bookmarkStart w:id="2583" w:name="_Toc38441248"/>
      <w:bookmarkStart w:id="2584" w:name="_Toc38441580"/>
      <w:bookmarkStart w:id="2585" w:name="_Toc38441908"/>
      <w:bookmarkStart w:id="2586" w:name="_Toc38442240"/>
      <w:bookmarkStart w:id="2587" w:name="_Toc38442572"/>
      <w:bookmarkStart w:id="2588" w:name="_Toc38442903"/>
      <w:bookmarkStart w:id="2589" w:name="_Toc38443234"/>
      <w:bookmarkStart w:id="2590" w:name="_Toc38443565"/>
      <w:bookmarkStart w:id="2591" w:name="_Toc38443895"/>
      <w:bookmarkStart w:id="2592" w:name="_Toc38438363"/>
      <w:bookmarkStart w:id="2593" w:name="_Toc38438700"/>
      <w:bookmarkStart w:id="2594" w:name="_Toc38439037"/>
      <w:bookmarkStart w:id="2595" w:name="_Toc38439374"/>
      <w:bookmarkStart w:id="2596" w:name="_Toc38439711"/>
      <w:bookmarkStart w:id="2597" w:name="_Toc38440048"/>
      <w:bookmarkStart w:id="2598" w:name="_Toc38440385"/>
      <w:bookmarkStart w:id="2599" w:name="_Toc38440917"/>
      <w:bookmarkStart w:id="2600" w:name="_Toc38441249"/>
      <w:bookmarkStart w:id="2601" w:name="_Toc38441581"/>
      <w:bookmarkStart w:id="2602" w:name="_Toc38441909"/>
      <w:bookmarkStart w:id="2603" w:name="_Toc38442241"/>
      <w:bookmarkStart w:id="2604" w:name="_Toc38442573"/>
      <w:bookmarkStart w:id="2605" w:name="_Toc38442904"/>
      <w:bookmarkStart w:id="2606" w:name="_Toc38443235"/>
      <w:bookmarkStart w:id="2607" w:name="_Toc38443566"/>
      <w:bookmarkStart w:id="2608" w:name="_Toc38443896"/>
      <w:bookmarkStart w:id="2609" w:name="_Toc38438364"/>
      <w:bookmarkStart w:id="2610" w:name="_Toc38438701"/>
      <w:bookmarkStart w:id="2611" w:name="_Toc38439038"/>
      <w:bookmarkStart w:id="2612" w:name="_Toc38439375"/>
      <w:bookmarkStart w:id="2613" w:name="_Toc38439712"/>
      <w:bookmarkStart w:id="2614" w:name="_Toc38440049"/>
      <w:bookmarkStart w:id="2615" w:name="_Toc38440386"/>
      <w:bookmarkStart w:id="2616" w:name="_Toc38440918"/>
      <w:bookmarkStart w:id="2617" w:name="_Toc38441250"/>
      <w:bookmarkStart w:id="2618" w:name="_Toc38441582"/>
      <w:bookmarkStart w:id="2619" w:name="_Toc38441910"/>
      <w:bookmarkStart w:id="2620" w:name="_Toc38442242"/>
      <w:bookmarkStart w:id="2621" w:name="_Toc38442574"/>
      <w:bookmarkStart w:id="2622" w:name="_Toc38442905"/>
      <w:bookmarkStart w:id="2623" w:name="_Toc38443236"/>
      <w:bookmarkStart w:id="2624" w:name="_Toc38443567"/>
      <w:bookmarkStart w:id="2625" w:name="_Toc38443897"/>
      <w:bookmarkStart w:id="2626" w:name="_Toc38438365"/>
      <w:bookmarkStart w:id="2627" w:name="_Toc38438702"/>
      <w:bookmarkStart w:id="2628" w:name="_Toc38439039"/>
      <w:bookmarkStart w:id="2629" w:name="_Toc38439376"/>
      <w:bookmarkStart w:id="2630" w:name="_Toc38439713"/>
      <w:bookmarkStart w:id="2631" w:name="_Toc38440050"/>
      <w:bookmarkStart w:id="2632" w:name="_Toc38440387"/>
      <w:bookmarkStart w:id="2633" w:name="_Toc38440919"/>
      <w:bookmarkStart w:id="2634" w:name="_Toc38441251"/>
      <w:bookmarkStart w:id="2635" w:name="_Toc38441583"/>
      <w:bookmarkStart w:id="2636" w:name="_Toc38441911"/>
      <w:bookmarkStart w:id="2637" w:name="_Toc38442243"/>
      <w:bookmarkStart w:id="2638" w:name="_Toc38442575"/>
      <w:bookmarkStart w:id="2639" w:name="_Toc38442906"/>
      <w:bookmarkStart w:id="2640" w:name="_Toc38443237"/>
      <w:bookmarkStart w:id="2641" w:name="_Toc38443568"/>
      <w:bookmarkStart w:id="2642" w:name="_Toc38443898"/>
      <w:bookmarkStart w:id="2643" w:name="_Toc38438366"/>
      <w:bookmarkStart w:id="2644" w:name="_Toc38438703"/>
      <w:bookmarkStart w:id="2645" w:name="_Toc38439040"/>
      <w:bookmarkStart w:id="2646" w:name="_Toc38439377"/>
      <w:bookmarkStart w:id="2647" w:name="_Toc38439714"/>
      <w:bookmarkStart w:id="2648" w:name="_Toc38440051"/>
      <w:bookmarkStart w:id="2649" w:name="_Toc38440388"/>
      <w:bookmarkStart w:id="2650" w:name="_Toc38440920"/>
      <w:bookmarkStart w:id="2651" w:name="_Toc38441252"/>
      <w:bookmarkStart w:id="2652" w:name="_Toc38441584"/>
      <w:bookmarkStart w:id="2653" w:name="_Toc38441912"/>
      <w:bookmarkStart w:id="2654" w:name="_Toc38442244"/>
      <w:bookmarkStart w:id="2655" w:name="_Toc38442576"/>
      <w:bookmarkStart w:id="2656" w:name="_Toc38442907"/>
      <w:bookmarkStart w:id="2657" w:name="_Toc38443238"/>
      <w:bookmarkStart w:id="2658" w:name="_Toc38443569"/>
      <w:bookmarkStart w:id="2659" w:name="_Toc38443899"/>
      <w:bookmarkStart w:id="2660" w:name="_Toc38438367"/>
      <w:bookmarkStart w:id="2661" w:name="_Toc38438704"/>
      <w:bookmarkStart w:id="2662" w:name="_Toc38439041"/>
      <w:bookmarkStart w:id="2663" w:name="_Toc38439378"/>
      <w:bookmarkStart w:id="2664" w:name="_Toc38439715"/>
      <w:bookmarkStart w:id="2665" w:name="_Toc38440052"/>
      <w:bookmarkStart w:id="2666" w:name="_Toc38440389"/>
      <w:bookmarkStart w:id="2667" w:name="_Toc38440921"/>
      <w:bookmarkStart w:id="2668" w:name="_Toc38441253"/>
      <w:bookmarkStart w:id="2669" w:name="_Toc38441585"/>
      <w:bookmarkStart w:id="2670" w:name="_Toc38441913"/>
      <w:bookmarkStart w:id="2671" w:name="_Toc38442245"/>
      <w:bookmarkStart w:id="2672" w:name="_Toc38442577"/>
      <w:bookmarkStart w:id="2673" w:name="_Toc38442908"/>
      <w:bookmarkStart w:id="2674" w:name="_Toc38443239"/>
      <w:bookmarkStart w:id="2675" w:name="_Toc38443570"/>
      <w:bookmarkStart w:id="2676" w:name="_Toc38443900"/>
      <w:bookmarkStart w:id="2677" w:name="_Toc38438368"/>
      <w:bookmarkStart w:id="2678" w:name="_Toc38438705"/>
      <w:bookmarkStart w:id="2679" w:name="_Toc38439042"/>
      <w:bookmarkStart w:id="2680" w:name="_Toc38439379"/>
      <w:bookmarkStart w:id="2681" w:name="_Toc38439716"/>
      <w:bookmarkStart w:id="2682" w:name="_Toc38440053"/>
      <w:bookmarkStart w:id="2683" w:name="_Toc38440390"/>
      <w:bookmarkStart w:id="2684" w:name="_Toc38440922"/>
      <w:bookmarkStart w:id="2685" w:name="_Toc38441254"/>
      <w:bookmarkStart w:id="2686" w:name="_Toc38441586"/>
      <w:bookmarkStart w:id="2687" w:name="_Toc38441914"/>
      <w:bookmarkStart w:id="2688" w:name="_Toc38442246"/>
      <w:bookmarkStart w:id="2689" w:name="_Toc38442578"/>
      <w:bookmarkStart w:id="2690" w:name="_Toc38442909"/>
      <w:bookmarkStart w:id="2691" w:name="_Toc38443240"/>
      <w:bookmarkStart w:id="2692" w:name="_Toc38443571"/>
      <w:bookmarkStart w:id="2693" w:name="_Toc38443901"/>
      <w:bookmarkStart w:id="2694" w:name="_Toc38438369"/>
      <w:bookmarkStart w:id="2695" w:name="_Toc38438706"/>
      <w:bookmarkStart w:id="2696" w:name="_Toc38439043"/>
      <w:bookmarkStart w:id="2697" w:name="_Toc38439380"/>
      <w:bookmarkStart w:id="2698" w:name="_Toc38439717"/>
      <w:bookmarkStart w:id="2699" w:name="_Toc38440054"/>
      <w:bookmarkStart w:id="2700" w:name="_Toc38440391"/>
      <w:bookmarkStart w:id="2701" w:name="_Toc38440923"/>
      <w:bookmarkStart w:id="2702" w:name="_Toc38441255"/>
      <w:bookmarkStart w:id="2703" w:name="_Toc38441587"/>
      <w:bookmarkStart w:id="2704" w:name="_Toc38441915"/>
      <w:bookmarkStart w:id="2705" w:name="_Toc38442247"/>
      <w:bookmarkStart w:id="2706" w:name="_Toc38442579"/>
      <w:bookmarkStart w:id="2707" w:name="_Toc38442910"/>
      <w:bookmarkStart w:id="2708" w:name="_Toc38443241"/>
      <w:bookmarkStart w:id="2709" w:name="_Toc38443572"/>
      <w:bookmarkStart w:id="2710" w:name="_Toc38443902"/>
      <w:bookmarkStart w:id="2711" w:name="_Toc38438371"/>
      <w:bookmarkStart w:id="2712" w:name="_Toc38438708"/>
      <w:bookmarkStart w:id="2713" w:name="_Toc38439045"/>
      <w:bookmarkStart w:id="2714" w:name="_Toc38439382"/>
      <w:bookmarkStart w:id="2715" w:name="_Toc38439719"/>
      <w:bookmarkStart w:id="2716" w:name="_Toc38440056"/>
      <w:bookmarkStart w:id="2717" w:name="_Toc38440393"/>
      <w:bookmarkStart w:id="2718" w:name="_Toc38440925"/>
      <w:bookmarkStart w:id="2719" w:name="_Toc38441257"/>
      <w:bookmarkStart w:id="2720" w:name="_Toc38441589"/>
      <w:bookmarkStart w:id="2721" w:name="_Toc38441917"/>
      <w:bookmarkStart w:id="2722" w:name="_Toc38442249"/>
      <w:bookmarkStart w:id="2723" w:name="_Toc38442581"/>
      <w:bookmarkStart w:id="2724" w:name="_Toc38442912"/>
      <w:bookmarkStart w:id="2725" w:name="_Toc38443243"/>
      <w:bookmarkStart w:id="2726" w:name="_Toc38443574"/>
      <w:bookmarkStart w:id="2727" w:name="_Toc38443904"/>
      <w:bookmarkStart w:id="2728" w:name="_Toc38438372"/>
      <w:bookmarkStart w:id="2729" w:name="_Toc38438709"/>
      <w:bookmarkStart w:id="2730" w:name="_Toc38439046"/>
      <w:bookmarkStart w:id="2731" w:name="_Toc38439383"/>
      <w:bookmarkStart w:id="2732" w:name="_Toc38439720"/>
      <w:bookmarkStart w:id="2733" w:name="_Toc38440057"/>
      <w:bookmarkStart w:id="2734" w:name="_Toc38440394"/>
      <w:bookmarkStart w:id="2735" w:name="_Toc38440926"/>
      <w:bookmarkStart w:id="2736" w:name="_Toc38441258"/>
      <w:bookmarkStart w:id="2737" w:name="_Toc38441590"/>
      <w:bookmarkStart w:id="2738" w:name="_Toc38441918"/>
      <w:bookmarkStart w:id="2739" w:name="_Toc38442250"/>
      <w:bookmarkStart w:id="2740" w:name="_Toc38442582"/>
      <w:bookmarkStart w:id="2741" w:name="_Toc38442913"/>
      <w:bookmarkStart w:id="2742" w:name="_Toc38443244"/>
      <w:bookmarkStart w:id="2743" w:name="_Toc38443575"/>
      <w:bookmarkStart w:id="2744" w:name="_Toc38443905"/>
      <w:bookmarkStart w:id="2745" w:name="_Toc38438373"/>
      <w:bookmarkStart w:id="2746" w:name="_Toc38438710"/>
      <w:bookmarkStart w:id="2747" w:name="_Toc38439047"/>
      <w:bookmarkStart w:id="2748" w:name="_Toc38439384"/>
      <w:bookmarkStart w:id="2749" w:name="_Toc38439721"/>
      <w:bookmarkStart w:id="2750" w:name="_Toc38440058"/>
      <w:bookmarkStart w:id="2751" w:name="_Toc38440395"/>
      <w:bookmarkStart w:id="2752" w:name="_Toc38440927"/>
      <w:bookmarkStart w:id="2753" w:name="_Toc38441259"/>
      <w:bookmarkStart w:id="2754" w:name="_Toc38441591"/>
      <w:bookmarkStart w:id="2755" w:name="_Toc38441919"/>
      <w:bookmarkStart w:id="2756" w:name="_Toc38442251"/>
      <w:bookmarkStart w:id="2757" w:name="_Toc38442583"/>
      <w:bookmarkStart w:id="2758" w:name="_Toc38442914"/>
      <w:bookmarkStart w:id="2759" w:name="_Toc38443245"/>
      <w:bookmarkStart w:id="2760" w:name="_Toc38443576"/>
      <w:bookmarkStart w:id="2761" w:name="_Toc38443906"/>
      <w:bookmarkStart w:id="2762" w:name="_Toc38438374"/>
      <w:bookmarkStart w:id="2763" w:name="_Toc38438711"/>
      <w:bookmarkStart w:id="2764" w:name="_Toc38439048"/>
      <w:bookmarkStart w:id="2765" w:name="_Toc38439385"/>
      <w:bookmarkStart w:id="2766" w:name="_Toc38439722"/>
      <w:bookmarkStart w:id="2767" w:name="_Toc38440059"/>
      <w:bookmarkStart w:id="2768" w:name="_Toc38440396"/>
      <w:bookmarkStart w:id="2769" w:name="_Toc38440928"/>
      <w:bookmarkStart w:id="2770" w:name="_Toc38441260"/>
      <w:bookmarkStart w:id="2771" w:name="_Toc38441592"/>
      <w:bookmarkStart w:id="2772" w:name="_Toc38441920"/>
      <w:bookmarkStart w:id="2773" w:name="_Toc38442252"/>
      <w:bookmarkStart w:id="2774" w:name="_Toc38442584"/>
      <w:bookmarkStart w:id="2775" w:name="_Toc38442915"/>
      <w:bookmarkStart w:id="2776" w:name="_Toc38443246"/>
      <w:bookmarkStart w:id="2777" w:name="_Toc38443577"/>
      <w:bookmarkStart w:id="2778" w:name="_Toc38443907"/>
      <w:bookmarkStart w:id="2779" w:name="_Toc38438375"/>
      <w:bookmarkStart w:id="2780" w:name="_Toc38438712"/>
      <w:bookmarkStart w:id="2781" w:name="_Toc38439049"/>
      <w:bookmarkStart w:id="2782" w:name="_Toc38439386"/>
      <w:bookmarkStart w:id="2783" w:name="_Toc38439723"/>
      <w:bookmarkStart w:id="2784" w:name="_Toc38440060"/>
      <w:bookmarkStart w:id="2785" w:name="_Toc38440397"/>
      <w:bookmarkStart w:id="2786" w:name="_Toc38440929"/>
      <w:bookmarkStart w:id="2787" w:name="_Toc38441261"/>
      <w:bookmarkStart w:id="2788" w:name="_Toc38441593"/>
      <w:bookmarkStart w:id="2789" w:name="_Toc38441921"/>
      <w:bookmarkStart w:id="2790" w:name="_Toc38442253"/>
      <w:bookmarkStart w:id="2791" w:name="_Toc38442585"/>
      <w:bookmarkStart w:id="2792" w:name="_Toc38442916"/>
      <w:bookmarkStart w:id="2793" w:name="_Toc38443247"/>
      <w:bookmarkStart w:id="2794" w:name="_Toc38443578"/>
      <w:bookmarkStart w:id="2795" w:name="_Toc38443908"/>
      <w:bookmarkStart w:id="2796" w:name="_Toc38438376"/>
      <w:bookmarkStart w:id="2797" w:name="_Toc38438713"/>
      <w:bookmarkStart w:id="2798" w:name="_Toc38439050"/>
      <w:bookmarkStart w:id="2799" w:name="_Toc38439387"/>
      <w:bookmarkStart w:id="2800" w:name="_Toc38439724"/>
      <w:bookmarkStart w:id="2801" w:name="_Toc38440061"/>
      <w:bookmarkStart w:id="2802" w:name="_Toc38440398"/>
      <w:bookmarkStart w:id="2803" w:name="_Toc38440930"/>
      <w:bookmarkStart w:id="2804" w:name="_Toc38441262"/>
      <w:bookmarkStart w:id="2805" w:name="_Toc38441594"/>
      <w:bookmarkStart w:id="2806" w:name="_Toc38441922"/>
      <w:bookmarkStart w:id="2807" w:name="_Toc38442254"/>
      <w:bookmarkStart w:id="2808" w:name="_Toc38442586"/>
      <w:bookmarkStart w:id="2809" w:name="_Toc38442917"/>
      <w:bookmarkStart w:id="2810" w:name="_Toc38443248"/>
      <w:bookmarkStart w:id="2811" w:name="_Toc38443579"/>
      <w:bookmarkStart w:id="2812" w:name="_Toc38443909"/>
      <w:bookmarkStart w:id="2813" w:name="_Toc38438377"/>
      <w:bookmarkStart w:id="2814" w:name="_Toc38438714"/>
      <w:bookmarkStart w:id="2815" w:name="_Toc38439051"/>
      <w:bookmarkStart w:id="2816" w:name="_Toc38439388"/>
      <w:bookmarkStart w:id="2817" w:name="_Toc38439725"/>
      <w:bookmarkStart w:id="2818" w:name="_Toc38440062"/>
      <w:bookmarkStart w:id="2819" w:name="_Toc38440399"/>
      <w:bookmarkStart w:id="2820" w:name="_Toc38440931"/>
      <w:bookmarkStart w:id="2821" w:name="_Toc38441263"/>
      <w:bookmarkStart w:id="2822" w:name="_Toc38441595"/>
      <w:bookmarkStart w:id="2823" w:name="_Toc38441923"/>
      <w:bookmarkStart w:id="2824" w:name="_Toc38442255"/>
      <w:bookmarkStart w:id="2825" w:name="_Toc38442587"/>
      <w:bookmarkStart w:id="2826" w:name="_Toc38442918"/>
      <w:bookmarkStart w:id="2827" w:name="_Toc38443249"/>
      <w:bookmarkStart w:id="2828" w:name="_Toc38443580"/>
      <w:bookmarkStart w:id="2829" w:name="_Toc38443910"/>
      <w:bookmarkStart w:id="2830" w:name="_Toc38438378"/>
      <w:bookmarkStart w:id="2831" w:name="_Toc38438715"/>
      <w:bookmarkStart w:id="2832" w:name="_Toc38439052"/>
      <w:bookmarkStart w:id="2833" w:name="_Toc38439389"/>
      <w:bookmarkStart w:id="2834" w:name="_Toc38439726"/>
      <w:bookmarkStart w:id="2835" w:name="_Toc38440063"/>
      <w:bookmarkStart w:id="2836" w:name="_Toc38440400"/>
      <w:bookmarkStart w:id="2837" w:name="_Toc38440932"/>
      <w:bookmarkStart w:id="2838" w:name="_Toc38441264"/>
      <w:bookmarkStart w:id="2839" w:name="_Toc38441596"/>
      <w:bookmarkStart w:id="2840" w:name="_Toc38441924"/>
      <w:bookmarkStart w:id="2841" w:name="_Toc38442256"/>
      <w:bookmarkStart w:id="2842" w:name="_Toc38442588"/>
      <w:bookmarkStart w:id="2843" w:name="_Toc38442919"/>
      <w:bookmarkStart w:id="2844" w:name="_Toc38443250"/>
      <w:bookmarkStart w:id="2845" w:name="_Toc38443581"/>
      <w:bookmarkStart w:id="2846" w:name="_Toc38443911"/>
      <w:bookmarkStart w:id="2847" w:name="_Toc38438379"/>
      <w:bookmarkStart w:id="2848" w:name="_Toc38438716"/>
      <w:bookmarkStart w:id="2849" w:name="_Toc38439053"/>
      <w:bookmarkStart w:id="2850" w:name="_Toc38439390"/>
      <w:bookmarkStart w:id="2851" w:name="_Toc38439727"/>
      <w:bookmarkStart w:id="2852" w:name="_Toc38440064"/>
      <w:bookmarkStart w:id="2853" w:name="_Toc38440401"/>
      <w:bookmarkStart w:id="2854" w:name="_Toc38440933"/>
      <w:bookmarkStart w:id="2855" w:name="_Toc38441265"/>
      <w:bookmarkStart w:id="2856" w:name="_Toc38441597"/>
      <w:bookmarkStart w:id="2857" w:name="_Toc38441925"/>
      <w:bookmarkStart w:id="2858" w:name="_Toc38442257"/>
      <w:bookmarkStart w:id="2859" w:name="_Toc38442589"/>
      <w:bookmarkStart w:id="2860" w:name="_Toc38442920"/>
      <w:bookmarkStart w:id="2861" w:name="_Toc38443251"/>
      <w:bookmarkStart w:id="2862" w:name="_Toc38443582"/>
      <w:bookmarkStart w:id="2863" w:name="_Toc38443912"/>
      <w:bookmarkStart w:id="2864" w:name="_Toc38438380"/>
      <w:bookmarkStart w:id="2865" w:name="_Toc38438717"/>
      <w:bookmarkStart w:id="2866" w:name="_Toc38439054"/>
      <w:bookmarkStart w:id="2867" w:name="_Toc38439391"/>
      <w:bookmarkStart w:id="2868" w:name="_Toc38439728"/>
      <w:bookmarkStart w:id="2869" w:name="_Toc38440065"/>
      <w:bookmarkStart w:id="2870" w:name="_Toc38440402"/>
      <w:bookmarkStart w:id="2871" w:name="_Toc38440934"/>
      <w:bookmarkStart w:id="2872" w:name="_Toc38441266"/>
      <w:bookmarkStart w:id="2873" w:name="_Toc38441598"/>
      <w:bookmarkStart w:id="2874" w:name="_Toc38441926"/>
      <w:bookmarkStart w:id="2875" w:name="_Toc38442258"/>
      <w:bookmarkStart w:id="2876" w:name="_Toc38442590"/>
      <w:bookmarkStart w:id="2877" w:name="_Toc38442921"/>
      <w:bookmarkStart w:id="2878" w:name="_Toc38443252"/>
      <w:bookmarkStart w:id="2879" w:name="_Toc38443583"/>
      <w:bookmarkStart w:id="2880" w:name="_Toc38443913"/>
      <w:bookmarkStart w:id="2881" w:name="_Toc38438381"/>
      <w:bookmarkStart w:id="2882" w:name="_Toc38438718"/>
      <w:bookmarkStart w:id="2883" w:name="_Toc38439055"/>
      <w:bookmarkStart w:id="2884" w:name="_Toc38439392"/>
      <w:bookmarkStart w:id="2885" w:name="_Toc38439729"/>
      <w:bookmarkStart w:id="2886" w:name="_Toc38440066"/>
      <w:bookmarkStart w:id="2887" w:name="_Toc38440403"/>
      <w:bookmarkStart w:id="2888" w:name="_Toc38440935"/>
      <w:bookmarkStart w:id="2889" w:name="_Toc38441267"/>
      <w:bookmarkStart w:id="2890" w:name="_Toc38441599"/>
      <w:bookmarkStart w:id="2891" w:name="_Toc38441927"/>
      <w:bookmarkStart w:id="2892" w:name="_Toc38442259"/>
      <w:bookmarkStart w:id="2893" w:name="_Toc38442591"/>
      <w:bookmarkStart w:id="2894" w:name="_Toc38442922"/>
      <w:bookmarkStart w:id="2895" w:name="_Toc38443253"/>
      <w:bookmarkStart w:id="2896" w:name="_Toc38443584"/>
      <w:bookmarkStart w:id="2897" w:name="_Toc38443914"/>
      <w:bookmarkStart w:id="2898" w:name="_Toc38438382"/>
      <w:bookmarkStart w:id="2899" w:name="_Toc38438719"/>
      <w:bookmarkStart w:id="2900" w:name="_Toc38439056"/>
      <w:bookmarkStart w:id="2901" w:name="_Toc38439393"/>
      <w:bookmarkStart w:id="2902" w:name="_Toc38439730"/>
      <w:bookmarkStart w:id="2903" w:name="_Toc38440067"/>
      <w:bookmarkStart w:id="2904" w:name="_Toc38440404"/>
      <w:bookmarkStart w:id="2905" w:name="_Toc38440936"/>
      <w:bookmarkStart w:id="2906" w:name="_Toc38441268"/>
      <w:bookmarkStart w:id="2907" w:name="_Toc38441600"/>
      <w:bookmarkStart w:id="2908" w:name="_Toc38441928"/>
      <w:bookmarkStart w:id="2909" w:name="_Toc38442260"/>
      <w:bookmarkStart w:id="2910" w:name="_Toc38442592"/>
      <w:bookmarkStart w:id="2911" w:name="_Toc38442923"/>
      <w:bookmarkStart w:id="2912" w:name="_Toc38443254"/>
      <w:bookmarkStart w:id="2913" w:name="_Toc38443585"/>
      <w:bookmarkStart w:id="2914" w:name="_Toc38443915"/>
      <w:bookmarkStart w:id="2915" w:name="_Toc38438383"/>
      <w:bookmarkStart w:id="2916" w:name="_Toc38438720"/>
      <w:bookmarkStart w:id="2917" w:name="_Toc38439057"/>
      <w:bookmarkStart w:id="2918" w:name="_Toc38439394"/>
      <w:bookmarkStart w:id="2919" w:name="_Toc38439731"/>
      <w:bookmarkStart w:id="2920" w:name="_Toc38440068"/>
      <w:bookmarkStart w:id="2921" w:name="_Toc38440405"/>
      <w:bookmarkStart w:id="2922" w:name="_Toc38440937"/>
      <w:bookmarkStart w:id="2923" w:name="_Toc38441269"/>
      <w:bookmarkStart w:id="2924" w:name="_Toc38441601"/>
      <w:bookmarkStart w:id="2925" w:name="_Toc38441929"/>
      <w:bookmarkStart w:id="2926" w:name="_Toc38442261"/>
      <w:bookmarkStart w:id="2927" w:name="_Toc38442593"/>
      <w:bookmarkStart w:id="2928" w:name="_Toc38442924"/>
      <w:bookmarkStart w:id="2929" w:name="_Toc38443255"/>
      <w:bookmarkStart w:id="2930" w:name="_Toc38443586"/>
      <w:bookmarkStart w:id="2931" w:name="_Toc38443916"/>
      <w:bookmarkStart w:id="2932" w:name="_Toc38438384"/>
      <w:bookmarkStart w:id="2933" w:name="_Toc38438721"/>
      <w:bookmarkStart w:id="2934" w:name="_Toc38439058"/>
      <w:bookmarkStart w:id="2935" w:name="_Toc38439395"/>
      <w:bookmarkStart w:id="2936" w:name="_Toc38439732"/>
      <w:bookmarkStart w:id="2937" w:name="_Toc38440069"/>
      <w:bookmarkStart w:id="2938" w:name="_Toc38440406"/>
      <w:bookmarkStart w:id="2939" w:name="_Toc38440938"/>
      <w:bookmarkStart w:id="2940" w:name="_Toc38441270"/>
      <w:bookmarkStart w:id="2941" w:name="_Toc38441602"/>
      <w:bookmarkStart w:id="2942" w:name="_Toc38441930"/>
      <w:bookmarkStart w:id="2943" w:name="_Toc38442262"/>
      <w:bookmarkStart w:id="2944" w:name="_Toc38442594"/>
      <w:bookmarkStart w:id="2945" w:name="_Toc38442925"/>
      <w:bookmarkStart w:id="2946" w:name="_Toc38443256"/>
      <w:bookmarkStart w:id="2947" w:name="_Toc38443587"/>
      <w:bookmarkStart w:id="2948" w:name="_Toc38443917"/>
      <w:bookmarkStart w:id="2949" w:name="_Toc38438385"/>
      <w:bookmarkStart w:id="2950" w:name="_Toc38438722"/>
      <w:bookmarkStart w:id="2951" w:name="_Toc38439059"/>
      <w:bookmarkStart w:id="2952" w:name="_Toc38439396"/>
      <w:bookmarkStart w:id="2953" w:name="_Toc38439733"/>
      <w:bookmarkStart w:id="2954" w:name="_Toc38440070"/>
      <w:bookmarkStart w:id="2955" w:name="_Toc38440407"/>
      <w:bookmarkStart w:id="2956" w:name="_Toc38440939"/>
      <w:bookmarkStart w:id="2957" w:name="_Toc38441271"/>
      <w:bookmarkStart w:id="2958" w:name="_Toc38441603"/>
      <w:bookmarkStart w:id="2959" w:name="_Toc38441931"/>
      <w:bookmarkStart w:id="2960" w:name="_Toc38442263"/>
      <w:bookmarkStart w:id="2961" w:name="_Toc38442595"/>
      <w:bookmarkStart w:id="2962" w:name="_Toc38442926"/>
      <w:bookmarkStart w:id="2963" w:name="_Toc38443257"/>
      <w:bookmarkStart w:id="2964" w:name="_Toc38443588"/>
      <w:bookmarkStart w:id="2965" w:name="_Toc38443918"/>
      <w:bookmarkStart w:id="2966" w:name="_Toc38438386"/>
      <w:bookmarkStart w:id="2967" w:name="_Toc38438723"/>
      <w:bookmarkStart w:id="2968" w:name="_Toc38439060"/>
      <w:bookmarkStart w:id="2969" w:name="_Toc38439397"/>
      <w:bookmarkStart w:id="2970" w:name="_Toc38439734"/>
      <w:bookmarkStart w:id="2971" w:name="_Toc38440071"/>
      <w:bookmarkStart w:id="2972" w:name="_Toc38440408"/>
      <w:bookmarkStart w:id="2973" w:name="_Toc38440940"/>
      <w:bookmarkStart w:id="2974" w:name="_Toc38441272"/>
      <w:bookmarkStart w:id="2975" w:name="_Toc38441604"/>
      <w:bookmarkStart w:id="2976" w:name="_Toc38441932"/>
      <w:bookmarkStart w:id="2977" w:name="_Toc38442264"/>
      <w:bookmarkStart w:id="2978" w:name="_Toc38442596"/>
      <w:bookmarkStart w:id="2979" w:name="_Toc38442927"/>
      <w:bookmarkStart w:id="2980" w:name="_Toc38443258"/>
      <w:bookmarkStart w:id="2981" w:name="_Toc38443589"/>
      <w:bookmarkStart w:id="2982" w:name="_Toc38443919"/>
      <w:bookmarkStart w:id="2983" w:name="_Toc38438387"/>
      <w:bookmarkStart w:id="2984" w:name="_Toc38438724"/>
      <w:bookmarkStart w:id="2985" w:name="_Toc38439061"/>
      <w:bookmarkStart w:id="2986" w:name="_Toc38439398"/>
      <w:bookmarkStart w:id="2987" w:name="_Toc38439735"/>
      <w:bookmarkStart w:id="2988" w:name="_Toc38440072"/>
      <w:bookmarkStart w:id="2989" w:name="_Toc38440409"/>
      <w:bookmarkStart w:id="2990" w:name="_Toc38440941"/>
      <w:bookmarkStart w:id="2991" w:name="_Toc38441273"/>
      <w:bookmarkStart w:id="2992" w:name="_Toc38441605"/>
      <w:bookmarkStart w:id="2993" w:name="_Toc38441933"/>
      <w:bookmarkStart w:id="2994" w:name="_Toc38442265"/>
      <w:bookmarkStart w:id="2995" w:name="_Toc38442597"/>
      <w:bookmarkStart w:id="2996" w:name="_Toc38442928"/>
      <w:bookmarkStart w:id="2997" w:name="_Toc38443259"/>
      <w:bookmarkStart w:id="2998" w:name="_Toc38443590"/>
      <w:bookmarkStart w:id="2999" w:name="_Toc38443920"/>
      <w:bookmarkStart w:id="3000" w:name="_Toc38438388"/>
      <w:bookmarkStart w:id="3001" w:name="_Toc38438725"/>
      <w:bookmarkStart w:id="3002" w:name="_Toc38439062"/>
      <w:bookmarkStart w:id="3003" w:name="_Toc38439399"/>
      <w:bookmarkStart w:id="3004" w:name="_Toc38439736"/>
      <w:bookmarkStart w:id="3005" w:name="_Toc38440073"/>
      <w:bookmarkStart w:id="3006" w:name="_Toc38440410"/>
      <w:bookmarkStart w:id="3007" w:name="_Toc38440942"/>
      <w:bookmarkStart w:id="3008" w:name="_Toc38441274"/>
      <w:bookmarkStart w:id="3009" w:name="_Toc38441606"/>
      <w:bookmarkStart w:id="3010" w:name="_Toc38441934"/>
      <w:bookmarkStart w:id="3011" w:name="_Toc38442266"/>
      <w:bookmarkStart w:id="3012" w:name="_Toc38442598"/>
      <w:bookmarkStart w:id="3013" w:name="_Toc38442929"/>
      <w:bookmarkStart w:id="3014" w:name="_Toc38443260"/>
      <w:bookmarkStart w:id="3015" w:name="_Toc38443591"/>
      <w:bookmarkStart w:id="3016" w:name="_Toc38443921"/>
      <w:bookmarkStart w:id="3017" w:name="_Toc38438389"/>
      <w:bookmarkStart w:id="3018" w:name="_Toc38438726"/>
      <w:bookmarkStart w:id="3019" w:name="_Toc38439063"/>
      <w:bookmarkStart w:id="3020" w:name="_Toc38439400"/>
      <w:bookmarkStart w:id="3021" w:name="_Toc38439737"/>
      <w:bookmarkStart w:id="3022" w:name="_Toc38440074"/>
      <w:bookmarkStart w:id="3023" w:name="_Toc38440411"/>
      <w:bookmarkStart w:id="3024" w:name="_Toc38440943"/>
      <w:bookmarkStart w:id="3025" w:name="_Toc38441275"/>
      <w:bookmarkStart w:id="3026" w:name="_Toc38441607"/>
      <w:bookmarkStart w:id="3027" w:name="_Toc38441935"/>
      <w:bookmarkStart w:id="3028" w:name="_Toc38442267"/>
      <w:bookmarkStart w:id="3029" w:name="_Toc38442599"/>
      <w:bookmarkStart w:id="3030" w:name="_Toc38442930"/>
      <w:bookmarkStart w:id="3031" w:name="_Toc38443261"/>
      <w:bookmarkStart w:id="3032" w:name="_Toc38443592"/>
      <w:bookmarkStart w:id="3033" w:name="_Toc38443922"/>
      <w:bookmarkStart w:id="3034" w:name="_Toc38438390"/>
      <w:bookmarkStart w:id="3035" w:name="_Toc38438727"/>
      <w:bookmarkStart w:id="3036" w:name="_Toc38439064"/>
      <w:bookmarkStart w:id="3037" w:name="_Toc38439401"/>
      <w:bookmarkStart w:id="3038" w:name="_Toc38439738"/>
      <w:bookmarkStart w:id="3039" w:name="_Toc38440075"/>
      <w:bookmarkStart w:id="3040" w:name="_Toc38440412"/>
      <w:bookmarkStart w:id="3041" w:name="_Toc38440944"/>
      <w:bookmarkStart w:id="3042" w:name="_Toc38441276"/>
      <w:bookmarkStart w:id="3043" w:name="_Toc38441608"/>
      <w:bookmarkStart w:id="3044" w:name="_Toc38441936"/>
      <w:bookmarkStart w:id="3045" w:name="_Toc38442268"/>
      <w:bookmarkStart w:id="3046" w:name="_Toc38442600"/>
      <w:bookmarkStart w:id="3047" w:name="_Toc38442931"/>
      <w:bookmarkStart w:id="3048" w:name="_Toc38443262"/>
      <w:bookmarkStart w:id="3049" w:name="_Toc38443593"/>
      <w:bookmarkStart w:id="3050" w:name="_Toc38443923"/>
      <w:bookmarkStart w:id="3051" w:name="_Toc38438391"/>
      <w:bookmarkStart w:id="3052" w:name="_Toc38438728"/>
      <w:bookmarkStart w:id="3053" w:name="_Toc38439065"/>
      <w:bookmarkStart w:id="3054" w:name="_Toc38439402"/>
      <w:bookmarkStart w:id="3055" w:name="_Toc38439739"/>
      <w:bookmarkStart w:id="3056" w:name="_Toc38440076"/>
      <w:bookmarkStart w:id="3057" w:name="_Toc38440413"/>
      <w:bookmarkStart w:id="3058" w:name="_Toc38440945"/>
      <w:bookmarkStart w:id="3059" w:name="_Toc38441277"/>
      <w:bookmarkStart w:id="3060" w:name="_Toc38441609"/>
      <w:bookmarkStart w:id="3061" w:name="_Toc38441937"/>
      <w:bookmarkStart w:id="3062" w:name="_Toc38442269"/>
      <w:bookmarkStart w:id="3063" w:name="_Toc38442601"/>
      <w:bookmarkStart w:id="3064" w:name="_Toc38442932"/>
      <w:bookmarkStart w:id="3065" w:name="_Toc38443263"/>
      <w:bookmarkStart w:id="3066" w:name="_Toc38443594"/>
      <w:bookmarkStart w:id="3067" w:name="_Toc38443924"/>
      <w:bookmarkStart w:id="3068" w:name="_Toc38438392"/>
      <w:bookmarkStart w:id="3069" w:name="_Toc38438729"/>
      <w:bookmarkStart w:id="3070" w:name="_Toc38439066"/>
      <w:bookmarkStart w:id="3071" w:name="_Toc38439403"/>
      <w:bookmarkStart w:id="3072" w:name="_Toc38439740"/>
      <w:bookmarkStart w:id="3073" w:name="_Toc38440077"/>
      <w:bookmarkStart w:id="3074" w:name="_Toc38440414"/>
      <w:bookmarkStart w:id="3075" w:name="_Toc38440946"/>
      <w:bookmarkStart w:id="3076" w:name="_Toc38441278"/>
      <w:bookmarkStart w:id="3077" w:name="_Toc38441610"/>
      <w:bookmarkStart w:id="3078" w:name="_Toc38441938"/>
      <w:bookmarkStart w:id="3079" w:name="_Toc38442270"/>
      <w:bookmarkStart w:id="3080" w:name="_Toc38442602"/>
      <w:bookmarkStart w:id="3081" w:name="_Toc38442933"/>
      <w:bookmarkStart w:id="3082" w:name="_Toc38443264"/>
      <w:bookmarkStart w:id="3083" w:name="_Toc38443595"/>
      <w:bookmarkStart w:id="3084" w:name="_Toc38443925"/>
      <w:bookmarkStart w:id="3085" w:name="_Toc38438393"/>
      <w:bookmarkStart w:id="3086" w:name="_Toc38438730"/>
      <w:bookmarkStart w:id="3087" w:name="_Toc38439067"/>
      <w:bookmarkStart w:id="3088" w:name="_Toc38439404"/>
      <w:bookmarkStart w:id="3089" w:name="_Toc38439741"/>
      <w:bookmarkStart w:id="3090" w:name="_Toc38440078"/>
      <w:bookmarkStart w:id="3091" w:name="_Toc38440415"/>
      <w:bookmarkStart w:id="3092" w:name="_Toc38440947"/>
      <w:bookmarkStart w:id="3093" w:name="_Toc38441279"/>
      <w:bookmarkStart w:id="3094" w:name="_Toc38441611"/>
      <w:bookmarkStart w:id="3095" w:name="_Toc38441939"/>
      <w:bookmarkStart w:id="3096" w:name="_Toc38442271"/>
      <w:bookmarkStart w:id="3097" w:name="_Toc38442603"/>
      <w:bookmarkStart w:id="3098" w:name="_Toc38442934"/>
      <w:bookmarkStart w:id="3099" w:name="_Toc38443265"/>
      <w:bookmarkStart w:id="3100" w:name="_Toc38443596"/>
      <w:bookmarkStart w:id="3101" w:name="_Toc38443926"/>
      <w:bookmarkStart w:id="3102" w:name="_Toc38438394"/>
      <w:bookmarkStart w:id="3103" w:name="_Toc38438731"/>
      <w:bookmarkStart w:id="3104" w:name="_Toc38439068"/>
      <w:bookmarkStart w:id="3105" w:name="_Toc38439405"/>
      <w:bookmarkStart w:id="3106" w:name="_Toc38439742"/>
      <w:bookmarkStart w:id="3107" w:name="_Toc38440079"/>
      <w:bookmarkStart w:id="3108" w:name="_Toc38440416"/>
      <w:bookmarkStart w:id="3109" w:name="_Toc38440948"/>
      <w:bookmarkStart w:id="3110" w:name="_Toc38441280"/>
      <w:bookmarkStart w:id="3111" w:name="_Toc38441612"/>
      <w:bookmarkStart w:id="3112" w:name="_Toc38441940"/>
      <w:bookmarkStart w:id="3113" w:name="_Toc38442272"/>
      <w:bookmarkStart w:id="3114" w:name="_Toc38442604"/>
      <w:bookmarkStart w:id="3115" w:name="_Toc38442935"/>
      <w:bookmarkStart w:id="3116" w:name="_Toc38443266"/>
      <w:bookmarkStart w:id="3117" w:name="_Toc38443597"/>
      <w:bookmarkStart w:id="3118" w:name="_Toc38443927"/>
      <w:bookmarkStart w:id="3119" w:name="_Toc38438395"/>
      <w:bookmarkStart w:id="3120" w:name="_Toc38438732"/>
      <w:bookmarkStart w:id="3121" w:name="_Toc38439069"/>
      <w:bookmarkStart w:id="3122" w:name="_Toc38439406"/>
      <w:bookmarkStart w:id="3123" w:name="_Toc38439743"/>
      <w:bookmarkStart w:id="3124" w:name="_Toc38440080"/>
      <w:bookmarkStart w:id="3125" w:name="_Toc38440417"/>
      <w:bookmarkStart w:id="3126" w:name="_Toc38440949"/>
      <w:bookmarkStart w:id="3127" w:name="_Toc38441281"/>
      <w:bookmarkStart w:id="3128" w:name="_Toc38441613"/>
      <w:bookmarkStart w:id="3129" w:name="_Toc38441941"/>
      <w:bookmarkStart w:id="3130" w:name="_Toc38442273"/>
      <w:bookmarkStart w:id="3131" w:name="_Toc38442605"/>
      <w:bookmarkStart w:id="3132" w:name="_Toc38442936"/>
      <w:bookmarkStart w:id="3133" w:name="_Toc38443267"/>
      <w:bookmarkStart w:id="3134" w:name="_Toc38443598"/>
      <w:bookmarkStart w:id="3135" w:name="_Toc38443928"/>
      <w:bookmarkStart w:id="3136" w:name="_Toc38438396"/>
      <w:bookmarkStart w:id="3137" w:name="_Toc38438733"/>
      <w:bookmarkStart w:id="3138" w:name="_Toc38439070"/>
      <w:bookmarkStart w:id="3139" w:name="_Toc38439407"/>
      <w:bookmarkStart w:id="3140" w:name="_Toc38439744"/>
      <w:bookmarkStart w:id="3141" w:name="_Toc38440081"/>
      <w:bookmarkStart w:id="3142" w:name="_Toc38440418"/>
      <w:bookmarkStart w:id="3143" w:name="_Toc38440950"/>
      <w:bookmarkStart w:id="3144" w:name="_Toc38441282"/>
      <w:bookmarkStart w:id="3145" w:name="_Toc38441614"/>
      <w:bookmarkStart w:id="3146" w:name="_Toc38441942"/>
      <w:bookmarkStart w:id="3147" w:name="_Toc38442274"/>
      <w:bookmarkStart w:id="3148" w:name="_Toc38442606"/>
      <w:bookmarkStart w:id="3149" w:name="_Toc38442937"/>
      <w:bookmarkStart w:id="3150" w:name="_Toc38443268"/>
      <w:bookmarkStart w:id="3151" w:name="_Toc38443599"/>
      <w:bookmarkStart w:id="3152" w:name="_Toc38443929"/>
      <w:bookmarkStart w:id="3153" w:name="_Toc38438397"/>
      <w:bookmarkStart w:id="3154" w:name="_Toc38438734"/>
      <w:bookmarkStart w:id="3155" w:name="_Toc38439071"/>
      <w:bookmarkStart w:id="3156" w:name="_Toc38439408"/>
      <w:bookmarkStart w:id="3157" w:name="_Toc38439745"/>
      <w:bookmarkStart w:id="3158" w:name="_Toc38440082"/>
      <w:bookmarkStart w:id="3159" w:name="_Toc38440419"/>
      <w:bookmarkStart w:id="3160" w:name="_Toc38440951"/>
      <w:bookmarkStart w:id="3161" w:name="_Toc38441283"/>
      <w:bookmarkStart w:id="3162" w:name="_Toc38441615"/>
      <w:bookmarkStart w:id="3163" w:name="_Toc38441943"/>
      <w:bookmarkStart w:id="3164" w:name="_Toc38442275"/>
      <w:bookmarkStart w:id="3165" w:name="_Toc38442607"/>
      <w:bookmarkStart w:id="3166" w:name="_Toc38442938"/>
      <w:bookmarkStart w:id="3167" w:name="_Toc38443269"/>
      <w:bookmarkStart w:id="3168" w:name="_Toc38443600"/>
      <w:bookmarkStart w:id="3169" w:name="_Toc38443930"/>
      <w:bookmarkStart w:id="3170" w:name="_Toc38438398"/>
      <w:bookmarkStart w:id="3171" w:name="_Toc38438735"/>
      <w:bookmarkStart w:id="3172" w:name="_Toc38439072"/>
      <w:bookmarkStart w:id="3173" w:name="_Toc38439409"/>
      <w:bookmarkStart w:id="3174" w:name="_Toc38439746"/>
      <w:bookmarkStart w:id="3175" w:name="_Toc38440083"/>
      <w:bookmarkStart w:id="3176" w:name="_Toc38440420"/>
      <w:bookmarkStart w:id="3177" w:name="_Toc38440952"/>
      <w:bookmarkStart w:id="3178" w:name="_Toc38441284"/>
      <w:bookmarkStart w:id="3179" w:name="_Toc38441616"/>
      <w:bookmarkStart w:id="3180" w:name="_Toc38441944"/>
      <w:bookmarkStart w:id="3181" w:name="_Toc38442276"/>
      <w:bookmarkStart w:id="3182" w:name="_Toc38442608"/>
      <w:bookmarkStart w:id="3183" w:name="_Toc38442939"/>
      <w:bookmarkStart w:id="3184" w:name="_Toc38443270"/>
      <w:bookmarkStart w:id="3185" w:name="_Toc38443601"/>
      <w:bookmarkStart w:id="3186" w:name="_Toc38443931"/>
      <w:bookmarkStart w:id="3187" w:name="_Toc38438400"/>
      <w:bookmarkStart w:id="3188" w:name="_Toc38438737"/>
      <w:bookmarkStart w:id="3189" w:name="_Toc38439074"/>
      <w:bookmarkStart w:id="3190" w:name="_Toc38439411"/>
      <w:bookmarkStart w:id="3191" w:name="_Toc38439748"/>
      <w:bookmarkStart w:id="3192" w:name="_Toc38440085"/>
      <w:bookmarkStart w:id="3193" w:name="_Toc38440422"/>
      <w:bookmarkStart w:id="3194" w:name="_Toc38440954"/>
      <w:bookmarkStart w:id="3195" w:name="_Toc38441286"/>
      <w:bookmarkStart w:id="3196" w:name="_Toc38441618"/>
      <w:bookmarkStart w:id="3197" w:name="_Toc38441946"/>
      <w:bookmarkStart w:id="3198" w:name="_Toc38442278"/>
      <w:bookmarkStart w:id="3199" w:name="_Toc38442610"/>
      <w:bookmarkStart w:id="3200" w:name="_Toc38442941"/>
      <w:bookmarkStart w:id="3201" w:name="_Toc38443272"/>
      <w:bookmarkStart w:id="3202" w:name="_Toc38443603"/>
      <w:bookmarkStart w:id="3203" w:name="_Toc38443933"/>
      <w:bookmarkStart w:id="3204" w:name="_Toc38438401"/>
      <w:bookmarkStart w:id="3205" w:name="_Toc38438738"/>
      <w:bookmarkStart w:id="3206" w:name="_Toc38439075"/>
      <w:bookmarkStart w:id="3207" w:name="_Toc38439412"/>
      <w:bookmarkStart w:id="3208" w:name="_Toc38439749"/>
      <w:bookmarkStart w:id="3209" w:name="_Toc38440086"/>
      <w:bookmarkStart w:id="3210" w:name="_Toc38440423"/>
      <w:bookmarkStart w:id="3211" w:name="_Toc38440955"/>
      <w:bookmarkStart w:id="3212" w:name="_Toc38441287"/>
      <w:bookmarkStart w:id="3213" w:name="_Toc38441619"/>
      <w:bookmarkStart w:id="3214" w:name="_Toc38441947"/>
      <w:bookmarkStart w:id="3215" w:name="_Toc38442279"/>
      <w:bookmarkStart w:id="3216" w:name="_Toc38442611"/>
      <w:bookmarkStart w:id="3217" w:name="_Toc38442942"/>
      <w:bookmarkStart w:id="3218" w:name="_Toc38443273"/>
      <w:bookmarkStart w:id="3219" w:name="_Toc38443604"/>
      <w:bookmarkStart w:id="3220" w:name="_Toc38443934"/>
      <w:bookmarkStart w:id="3221" w:name="_Toc38438402"/>
      <w:bookmarkStart w:id="3222" w:name="_Toc38438739"/>
      <w:bookmarkStart w:id="3223" w:name="_Toc38439076"/>
      <w:bookmarkStart w:id="3224" w:name="_Toc38439413"/>
      <w:bookmarkStart w:id="3225" w:name="_Toc38439750"/>
      <w:bookmarkStart w:id="3226" w:name="_Toc38440087"/>
      <w:bookmarkStart w:id="3227" w:name="_Toc38440424"/>
      <w:bookmarkStart w:id="3228" w:name="_Toc38440956"/>
      <w:bookmarkStart w:id="3229" w:name="_Toc38441288"/>
      <w:bookmarkStart w:id="3230" w:name="_Toc38441620"/>
      <w:bookmarkStart w:id="3231" w:name="_Toc38441948"/>
      <w:bookmarkStart w:id="3232" w:name="_Toc38442280"/>
      <w:bookmarkStart w:id="3233" w:name="_Toc38442612"/>
      <w:bookmarkStart w:id="3234" w:name="_Toc38442943"/>
      <w:bookmarkStart w:id="3235" w:name="_Toc38443274"/>
      <w:bookmarkStart w:id="3236" w:name="_Toc38443605"/>
      <w:bookmarkStart w:id="3237" w:name="_Toc38443935"/>
      <w:bookmarkStart w:id="3238" w:name="_Toc38438404"/>
      <w:bookmarkStart w:id="3239" w:name="_Toc38438741"/>
      <w:bookmarkStart w:id="3240" w:name="_Toc38439078"/>
      <w:bookmarkStart w:id="3241" w:name="_Toc38439415"/>
      <w:bookmarkStart w:id="3242" w:name="_Toc38439752"/>
      <w:bookmarkStart w:id="3243" w:name="_Toc38440089"/>
      <w:bookmarkStart w:id="3244" w:name="_Toc38440426"/>
      <w:bookmarkStart w:id="3245" w:name="_Toc38440958"/>
      <w:bookmarkStart w:id="3246" w:name="_Toc38441290"/>
      <w:bookmarkStart w:id="3247" w:name="_Toc38441622"/>
      <w:bookmarkStart w:id="3248" w:name="_Toc38441950"/>
      <w:bookmarkStart w:id="3249" w:name="_Toc38442282"/>
      <w:bookmarkStart w:id="3250" w:name="_Toc38442614"/>
      <w:bookmarkStart w:id="3251" w:name="_Toc38442945"/>
      <w:bookmarkStart w:id="3252" w:name="_Toc38443276"/>
      <w:bookmarkStart w:id="3253" w:name="_Toc38443607"/>
      <w:bookmarkStart w:id="3254" w:name="_Toc38443937"/>
      <w:bookmarkStart w:id="3255" w:name="_Toc38438405"/>
      <w:bookmarkStart w:id="3256" w:name="_Toc38438742"/>
      <w:bookmarkStart w:id="3257" w:name="_Toc38439079"/>
      <w:bookmarkStart w:id="3258" w:name="_Toc38439416"/>
      <w:bookmarkStart w:id="3259" w:name="_Toc38439753"/>
      <w:bookmarkStart w:id="3260" w:name="_Toc38440090"/>
      <w:bookmarkStart w:id="3261" w:name="_Toc38440427"/>
      <w:bookmarkStart w:id="3262" w:name="_Toc38440959"/>
      <w:bookmarkStart w:id="3263" w:name="_Toc38441291"/>
      <w:bookmarkStart w:id="3264" w:name="_Toc38441623"/>
      <w:bookmarkStart w:id="3265" w:name="_Toc38441951"/>
      <w:bookmarkStart w:id="3266" w:name="_Toc38442283"/>
      <w:bookmarkStart w:id="3267" w:name="_Toc38442615"/>
      <w:bookmarkStart w:id="3268" w:name="_Toc38442946"/>
      <w:bookmarkStart w:id="3269" w:name="_Toc38443277"/>
      <w:bookmarkStart w:id="3270" w:name="_Toc38443608"/>
      <w:bookmarkStart w:id="3271" w:name="_Toc38443938"/>
      <w:bookmarkStart w:id="3272" w:name="_Toc38438406"/>
      <w:bookmarkStart w:id="3273" w:name="_Toc38438743"/>
      <w:bookmarkStart w:id="3274" w:name="_Toc38439080"/>
      <w:bookmarkStart w:id="3275" w:name="_Toc38439417"/>
      <w:bookmarkStart w:id="3276" w:name="_Toc38439754"/>
      <w:bookmarkStart w:id="3277" w:name="_Toc38440091"/>
      <w:bookmarkStart w:id="3278" w:name="_Toc38440428"/>
      <w:bookmarkStart w:id="3279" w:name="_Toc38440960"/>
      <w:bookmarkStart w:id="3280" w:name="_Toc38441292"/>
      <w:bookmarkStart w:id="3281" w:name="_Toc38441624"/>
      <w:bookmarkStart w:id="3282" w:name="_Toc38441952"/>
      <w:bookmarkStart w:id="3283" w:name="_Toc38442284"/>
      <w:bookmarkStart w:id="3284" w:name="_Toc38442616"/>
      <w:bookmarkStart w:id="3285" w:name="_Toc38442947"/>
      <w:bookmarkStart w:id="3286" w:name="_Toc38443278"/>
      <w:bookmarkStart w:id="3287" w:name="_Toc38443609"/>
      <w:bookmarkStart w:id="3288" w:name="_Toc38443939"/>
      <w:bookmarkStart w:id="3289" w:name="_Toc38438407"/>
      <w:bookmarkStart w:id="3290" w:name="_Toc38438744"/>
      <w:bookmarkStart w:id="3291" w:name="_Toc38439081"/>
      <w:bookmarkStart w:id="3292" w:name="_Toc38439418"/>
      <w:bookmarkStart w:id="3293" w:name="_Toc38439755"/>
      <w:bookmarkStart w:id="3294" w:name="_Toc38440092"/>
      <w:bookmarkStart w:id="3295" w:name="_Toc38440429"/>
      <w:bookmarkStart w:id="3296" w:name="_Toc38440961"/>
      <w:bookmarkStart w:id="3297" w:name="_Toc38441293"/>
      <w:bookmarkStart w:id="3298" w:name="_Toc38441625"/>
      <w:bookmarkStart w:id="3299" w:name="_Toc38441953"/>
      <w:bookmarkStart w:id="3300" w:name="_Toc38442285"/>
      <w:bookmarkStart w:id="3301" w:name="_Toc38442617"/>
      <w:bookmarkStart w:id="3302" w:name="_Toc38442948"/>
      <w:bookmarkStart w:id="3303" w:name="_Toc38443279"/>
      <w:bookmarkStart w:id="3304" w:name="_Toc38443610"/>
      <w:bookmarkStart w:id="3305" w:name="_Toc38443940"/>
      <w:bookmarkStart w:id="3306" w:name="_Toc38438408"/>
      <w:bookmarkStart w:id="3307" w:name="_Toc38438745"/>
      <w:bookmarkStart w:id="3308" w:name="_Toc38439082"/>
      <w:bookmarkStart w:id="3309" w:name="_Toc38439419"/>
      <w:bookmarkStart w:id="3310" w:name="_Toc38439756"/>
      <w:bookmarkStart w:id="3311" w:name="_Toc38440093"/>
      <w:bookmarkStart w:id="3312" w:name="_Toc38440430"/>
      <w:bookmarkStart w:id="3313" w:name="_Toc38440962"/>
      <w:bookmarkStart w:id="3314" w:name="_Toc38441294"/>
      <w:bookmarkStart w:id="3315" w:name="_Toc38441626"/>
      <w:bookmarkStart w:id="3316" w:name="_Toc38441954"/>
      <w:bookmarkStart w:id="3317" w:name="_Toc38442286"/>
      <w:bookmarkStart w:id="3318" w:name="_Toc38442618"/>
      <w:bookmarkStart w:id="3319" w:name="_Toc38442949"/>
      <w:bookmarkStart w:id="3320" w:name="_Toc38443280"/>
      <w:bookmarkStart w:id="3321" w:name="_Toc38443611"/>
      <w:bookmarkStart w:id="3322" w:name="_Toc38443941"/>
      <w:bookmarkStart w:id="3323" w:name="_Toc38438409"/>
      <w:bookmarkStart w:id="3324" w:name="_Toc38438746"/>
      <w:bookmarkStart w:id="3325" w:name="_Toc38439083"/>
      <w:bookmarkStart w:id="3326" w:name="_Toc38439420"/>
      <w:bookmarkStart w:id="3327" w:name="_Toc38439757"/>
      <w:bookmarkStart w:id="3328" w:name="_Toc38440094"/>
      <w:bookmarkStart w:id="3329" w:name="_Toc38440431"/>
      <w:bookmarkStart w:id="3330" w:name="_Toc38440963"/>
      <w:bookmarkStart w:id="3331" w:name="_Toc38441295"/>
      <w:bookmarkStart w:id="3332" w:name="_Toc38441627"/>
      <w:bookmarkStart w:id="3333" w:name="_Toc38441955"/>
      <w:bookmarkStart w:id="3334" w:name="_Toc38442287"/>
      <w:bookmarkStart w:id="3335" w:name="_Toc38442619"/>
      <w:bookmarkStart w:id="3336" w:name="_Toc38442950"/>
      <w:bookmarkStart w:id="3337" w:name="_Toc38443281"/>
      <w:bookmarkStart w:id="3338" w:name="_Toc38443612"/>
      <w:bookmarkStart w:id="3339" w:name="_Toc38443942"/>
      <w:bookmarkStart w:id="3340" w:name="_Toc38438410"/>
      <w:bookmarkStart w:id="3341" w:name="_Toc38438747"/>
      <w:bookmarkStart w:id="3342" w:name="_Toc38439084"/>
      <w:bookmarkStart w:id="3343" w:name="_Toc38439421"/>
      <w:bookmarkStart w:id="3344" w:name="_Toc38439758"/>
      <w:bookmarkStart w:id="3345" w:name="_Toc38440095"/>
      <w:bookmarkStart w:id="3346" w:name="_Toc38440432"/>
      <w:bookmarkStart w:id="3347" w:name="_Toc38440964"/>
      <w:bookmarkStart w:id="3348" w:name="_Toc38441296"/>
      <w:bookmarkStart w:id="3349" w:name="_Toc38441628"/>
      <w:bookmarkStart w:id="3350" w:name="_Toc38441956"/>
      <w:bookmarkStart w:id="3351" w:name="_Toc38442288"/>
      <w:bookmarkStart w:id="3352" w:name="_Toc38442620"/>
      <w:bookmarkStart w:id="3353" w:name="_Toc38442951"/>
      <w:bookmarkStart w:id="3354" w:name="_Toc38443282"/>
      <w:bookmarkStart w:id="3355" w:name="_Toc38443613"/>
      <w:bookmarkStart w:id="3356" w:name="_Toc38443943"/>
      <w:bookmarkStart w:id="3357" w:name="_Toc38438411"/>
      <w:bookmarkStart w:id="3358" w:name="_Toc38438748"/>
      <w:bookmarkStart w:id="3359" w:name="_Toc38439085"/>
      <w:bookmarkStart w:id="3360" w:name="_Toc38439422"/>
      <w:bookmarkStart w:id="3361" w:name="_Toc38439759"/>
      <w:bookmarkStart w:id="3362" w:name="_Toc38440096"/>
      <w:bookmarkStart w:id="3363" w:name="_Toc38440433"/>
      <w:bookmarkStart w:id="3364" w:name="_Toc38440965"/>
      <w:bookmarkStart w:id="3365" w:name="_Toc38441297"/>
      <w:bookmarkStart w:id="3366" w:name="_Toc38441629"/>
      <w:bookmarkStart w:id="3367" w:name="_Toc38441957"/>
      <w:bookmarkStart w:id="3368" w:name="_Toc38442289"/>
      <w:bookmarkStart w:id="3369" w:name="_Toc38442621"/>
      <w:bookmarkStart w:id="3370" w:name="_Toc38442952"/>
      <w:bookmarkStart w:id="3371" w:name="_Toc38443283"/>
      <w:bookmarkStart w:id="3372" w:name="_Toc38443614"/>
      <w:bookmarkStart w:id="3373" w:name="_Toc38443944"/>
      <w:bookmarkStart w:id="3374" w:name="_Toc38438412"/>
      <w:bookmarkStart w:id="3375" w:name="_Toc38438749"/>
      <w:bookmarkStart w:id="3376" w:name="_Toc38439086"/>
      <w:bookmarkStart w:id="3377" w:name="_Toc38439423"/>
      <w:bookmarkStart w:id="3378" w:name="_Toc38439760"/>
      <w:bookmarkStart w:id="3379" w:name="_Toc38440097"/>
      <w:bookmarkStart w:id="3380" w:name="_Toc38440434"/>
      <w:bookmarkStart w:id="3381" w:name="_Toc38440966"/>
      <w:bookmarkStart w:id="3382" w:name="_Toc38441298"/>
      <w:bookmarkStart w:id="3383" w:name="_Toc38441630"/>
      <w:bookmarkStart w:id="3384" w:name="_Toc38441958"/>
      <w:bookmarkStart w:id="3385" w:name="_Toc38442290"/>
      <w:bookmarkStart w:id="3386" w:name="_Toc38442622"/>
      <w:bookmarkStart w:id="3387" w:name="_Toc38442953"/>
      <w:bookmarkStart w:id="3388" w:name="_Toc38443284"/>
      <w:bookmarkStart w:id="3389" w:name="_Toc38443615"/>
      <w:bookmarkStart w:id="3390" w:name="_Toc38443945"/>
      <w:bookmarkStart w:id="3391" w:name="_Toc38438413"/>
      <w:bookmarkStart w:id="3392" w:name="_Toc38438750"/>
      <w:bookmarkStart w:id="3393" w:name="_Toc38439087"/>
      <w:bookmarkStart w:id="3394" w:name="_Toc38439424"/>
      <w:bookmarkStart w:id="3395" w:name="_Toc38439761"/>
      <w:bookmarkStart w:id="3396" w:name="_Toc38440098"/>
      <w:bookmarkStart w:id="3397" w:name="_Toc38440435"/>
      <w:bookmarkStart w:id="3398" w:name="_Toc38440967"/>
      <w:bookmarkStart w:id="3399" w:name="_Toc38441299"/>
      <w:bookmarkStart w:id="3400" w:name="_Toc38441631"/>
      <w:bookmarkStart w:id="3401" w:name="_Toc38441959"/>
      <w:bookmarkStart w:id="3402" w:name="_Toc38442291"/>
      <w:bookmarkStart w:id="3403" w:name="_Toc38442623"/>
      <w:bookmarkStart w:id="3404" w:name="_Toc38442954"/>
      <w:bookmarkStart w:id="3405" w:name="_Toc38443285"/>
      <w:bookmarkStart w:id="3406" w:name="_Toc38443616"/>
      <w:bookmarkStart w:id="3407" w:name="_Toc38443946"/>
      <w:bookmarkStart w:id="3408" w:name="_Toc38438414"/>
      <w:bookmarkStart w:id="3409" w:name="_Toc38438751"/>
      <w:bookmarkStart w:id="3410" w:name="_Toc38439088"/>
      <w:bookmarkStart w:id="3411" w:name="_Toc38439425"/>
      <w:bookmarkStart w:id="3412" w:name="_Toc38439762"/>
      <w:bookmarkStart w:id="3413" w:name="_Toc38440099"/>
      <w:bookmarkStart w:id="3414" w:name="_Toc38440436"/>
      <w:bookmarkStart w:id="3415" w:name="_Toc38440968"/>
      <w:bookmarkStart w:id="3416" w:name="_Toc38441300"/>
      <w:bookmarkStart w:id="3417" w:name="_Toc38441632"/>
      <w:bookmarkStart w:id="3418" w:name="_Toc38441960"/>
      <w:bookmarkStart w:id="3419" w:name="_Toc38442292"/>
      <w:bookmarkStart w:id="3420" w:name="_Toc38442624"/>
      <w:bookmarkStart w:id="3421" w:name="_Toc38442955"/>
      <w:bookmarkStart w:id="3422" w:name="_Toc38443286"/>
      <w:bookmarkStart w:id="3423" w:name="_Toc38443617"/>
      <w:bookmarkStart w:id="3424" w:name="_Toc38443947"/>
      <w:bookmarkStart w:id="3425" w:name="_Toc38438415"/>
      <w:bookmarkStart w:id="3426" w:name="_Toc38438752"/>
      <w:bookmarkStart w:id="3427" w:name="_Toc38439089"/>
      <w:bookmarkStart w:id="3428" w:name="_Toc38439426"/>
      <w:bookmarkStart w:id="3429" w:name="_Toc38439763"/>
      <w:bookmarkStart w:id="3430" w:name="_Toc38440100"/>
      <w:bookmarkStart w:id="3431" w:name="_Toc38440437"/>
      <w:bookmarkStart w:id="3432" w:name="_Toc38440969"/>
      <w:bookmarkStart w:id="3433" w:name="_Toc38441301"/>
      <w:bookmarkStart w:id="3434" w:name="_Toc38441633"/>
      <w:bookmarkStart w:id="3435" w:name="_Toc38441961"/>
      <w:bookmarkStart w:id="3436" w:name="_Toc38442293"/>
      <w:bookmarkStart w:id="3437" w:name="_Toc38442625"/>
      <w:bookmarkStart w:id="3438" w:name="_Toc38442956"/>
      <w:bookmarkStart w:id="3439" w:name="_Toc38443287"/>
      <w:bookmarkStart w:id="3440" w:name="_Toc38443618"/>
      <w:bookmarkStart w:id="3441" w:name="_Toc38443948"/>
      <w:bookmarkStart w:id="3442" w:name="_Toc38438416"/>
      <w:bookmarkStart w:id="3443" w:name="_Toc38438753"/>
      <w:bookmarkStart w:id="3444" w:name="_Toc38439090"/>
      <w:bookmarkStart w:id="3445" w:name="_Toc38439427"/>
      <w:bookmarkStart w:id="3446" w:name="_Toc38439764"/>
      <w:bookmarkStart w:id="3447" w:name="_Toc38440101"/>
      <w:bookmarkStart w:id="3448" w:name="_Toc38440438"/>
      <w:bookmarkStart w:id="3449" w:name="_Toc38440970"/>
      <w:bookmarkStart w:id="3450" w:name="_Toc38441302"/>
      <w:bookmarkStart w:id="3451" w:name="_Toc38441634"/>
      <w:bookmarkStart w:id="3452" w:name="_Toc38441962"/>
      <w:bookmarkStart w:id="3453" w:name="_Toc38442294"/>
      <w:bookmarkStart w:id="3454" w:name="_Toc38442626"/>
      <w:bookmarkStart w:id="3455" w:name="_Toc38442957"/>
      <w:bookmarkStart w:id="3456" w:name="_Toc38443288"/>
      <w:bookmarkStart w:id="3457" w:name="_Toc38443619"/>
      <w:bookmarkStart w:id="3458" w:name="_Toc38443949"/>
      <w:bookmarkStart w:id="3459" w:name="_Toc38438417"/>
      <w:bookmarkStart w:id="3460" w:name="_Toc38438754"/>
      <w:bookmarkStart w:id="3461" w:name="_Toc38439091"/>
      <w:bookmarkStart w:id="3462" w:name="_Toc38439428"/>
      <w:bookmarkStart w:id="3463" w:name="_Toc38439765"/>
      <w:bookmarkStart w:id="3464" w:name="_Toc38440102"/>
      <w:bookmarkStart w:id="3465" w:name="_Toc38440439"/>
      <w:bookmarkStart w:id="3466" w:name="_Toc38440971"/>
      <w:bookmarkStart w:id="3467" w:name="_Toc38441303"/>
      <w:bookmarkStart w:id="3468" w:name="_Toc38441635"/>
      <w:bookmarkStart w:id="3469" w:name="_Toc38441963"/>
      <w:bookmarkStart w:id="3470" w:name="_Toc38442295"/>
      <w:bookmarkStart w:id="3471" w:name="_Toc38442627"/>
      <w:bookmarkStart w:id="3472" w:name="_Toc38442958"/>
      <w:bookmarkStart w:id="3473" w:name="_Toc38443289"/>
      <w:bookmarkStart w:id="3474" w:name="_Toc38443620"/>
      <w:bookmarkStart w:id="3475" w:name="_Toc38443950"/>
      <w:bookmarkStart w:id="3476" w:name="_Toc38438418"/>
      <w:bookmarkStart w:id="3477" w:name="_Toc38438755"/>
      <w:bookmarkStart w:id="3478" w:name="_Toc38439092"/>
      <w:bookmarkStart w:id="3479" w:name="_Toc38439429"/>
      <w:bookmarkStart w:id="3480" w:name="_Toc38439766"/>
      <w:bookmarkStart w:id="3481" w:name="_Toc38440103"/>
      <w:bookmarkStart w:id="3482" w:name="_Toc38440440"/>
      <w:bookmarkStart w:id="3483" w:name="_Toc38440972"/>
      <w:bookmarkStart w:id="3484" w:name="_Toc38441304"/>
      <w:bookmarkStart w:id="3485" w:name="_Toc38441636"/>
      <w:bookmarkStart w:id="3486" w:name="_Toc38441964"/>
      <w:bookmarkStart w:id="3487" w:name="_Toc38442296"/>
      <w:bookmarkStart w:id="3488" w:name="_Toc38442628"/>
      <w:bookmarkStart w:id="3489" w:name="_Toc38442959"/>
      <w:bookmarkStart w:id="3490" w:name="_Toc38443290"/>
      <w:bookmarkStart w:id="3491" w:name="_Toc38443621"/>
      <w:bookmarkStart w:id="3492" w:name="_Toc38443951"/>
      <w:bookmarkStart w:id="3493" w:name="_Toc38438419"/>
      <w:bookmarkStart w:id="3494" w:name="_Toc38438756"/>
      <w:bookmarkStart w:id="3495" w:name="_Toc38439093"/>
      <w:bookmarkStart w:id="3496" w:name="_Toc38439430"/>
      <w:bookmarkStart w:id="3497" w:name="_Toc38439767"/>
      <w:bookmarkStart w:id="3498" w:name="_Toc38440104"/>
      <w:bookmarkStart w:id="3499" w:name="_Toc38440441"/>
      <w:bookmarkStart w:id="3500" w:name="_Toc38440973"/>
      <w:bookmarkStart w:id="3501" w:name="_Toc38441305"/>
      <w:bookmarkStart w:id="3502" w:name="_Toc38441637"/>
      <w:bookmarkStart w:id="3503" w:name="_Toc38441965"/>
      <w:bookmarkStart w:id="3504" w:name="_Toc38442297"/>
      <w:bookmarkStart w:id="3505" w:name="_Toc38442629"/>
      <w:bookmarkStart w:id="3506" w:name="_Toc38442960"/>
      <w:bookmarkStart w:id="3507" w:name="_Toc38443291"/>
      <w:bookmarkStart w:id="3508" w:name="_Toc38443622"/>
      <w:bookmarkStart w:id="3509" w:name="_Toc38443952"/>
      <w:bookmarkStart w:id="3510" w:name="_Toc38438420"/>
      <w:bookmarkStart w:id="3511" w:name="_Toc38438757"/>
      <w:bookmarkStart w:id="3512" w:name="_Toc38439094"/>
      <w:bookmarkStart w:id="3513" w:name="_Toc38439431"/>
      <w:bookmarkStart w:id="3514" w:name="_Toc38439768"/>
      <w:bookmarkStart w:id="3515" w:name="_Toc38440105"/>
      <w:bookmarkStart w:id="3516" w:name="_Toc38440442"/>
      <w:bookmarkStart w:id="3517" w:name="_Toc38440974"/>
      <w:bookmarkStart w:id="3518" w:name="_Toc38441306"/>
      <w:bookmarkStart w:id="3519" w:name="_Toc38441638"/>
      <w:bookmarkStart w:id="3520" w:name="_Toc38441966"/>
      <w:bookmarkStart w:id="3521" w:name="_Toc38442298"/>
      <w:bookmarkStart w:id="3522" w:name="_Toc38442630"/>
      <w:bookmarkStart w:id="3523" w:name="_Toc38442961"/>
      <w:bookmarkStart w:id="3524" w:name="_Toc38443292"/>
      <w:bookmarkStart w:id="3525" w:name="_Toc38443623"/>
      <w:bookmarkStart w:id="3526" w:name="_Toc38443953"/>
      <w:bookmarkStart w:id="3527" w:name="_Toc38438421"/>
      <w:bookmarkStart w:id="3528" w:name="_Toc38438758"/>
      <w:bookmarkStart w:id="3529" w:name="_Toc38439095"/>
      <w:bookmarkStart w:id="3530" w:name="_Toc38439432"/>
      <w:bookmarkStart w:id="3531" w:name="_Toc38439769"/>
      <w:bookmarkStart w:id="3532" w:name="_Toc38440106"/>
      <w:bookmarkStart w:id="3533" w:name="_Toc38440443"/>
      <w:bookmarkStart w:id="3534" w:name="_Toc38440975"/>
      <w:bookmarkStart w:id="3535" w:name="_Toc38441307"/>
      <w:bookmarkStart w:id="3536" w:name="_Toc38441639"/>
      <w:bookmarkStart w:id="3537" w:name="_Toc38441967"/>
      <w:bookmarkStart w:id="3538" w:name="_Toc38442299"/>
      <w:bookmarkStart w:id="3539" w:name="_Toc38442631"/>
      <w:bookmarkStart w:id="3540" w:name="_Toc38442962"/>
      <w:bookmarkStart w:id="3541" w:name="_Toc38443293"/>
      <w:bookmarkStart w:id="3542" w:name="_Toc38443624"/>
      <w:bookmarkStart w:id="3543" w:name="_Toc38443954"/>
      <w:bookmarkStart w:id="3544" w:name="_Toc38438422"/>
      <w:bookmarkStart w:id="3545" w:name="_Toc38438759"/>
      <w:bookmarkStart w:id="3546" w:name="_Toc38439096"/>
      <w:bookmarkStart w:id="3547" w:name="_Toc38439433"/>
      <w:bookmarkStart w:id="3548" w:name="_Toc38439770"/>
      <w:bookmarkStart w:id="3549" w:name="_Toc38440107"/>
      <w:bookmarkStart w:id="3550" w:name="_Toc38440444"/>
      <w:bookmarkStart w:id="3551" w:name="_Toc38440976"/>
      <w:bookmarkStart w:id="3552" w:name="_Toc38441308"/>
      <w:bookmarkStart w:id="3553" w:name="_Toc38441640"/>
      <w:bookmarkStart w:id="3554" w:name="_Toc38441968"/>
      <w:bookmarkStart w:id="3555" w:name="_Toc38442300"/>
      <w:bookmarkStart w:id="3556" w:name="_Toc38442632"/>
      <w:bookmarkStart w:id="3557" w:name="_Toc38442963"/>
      <w:bookmarkStart w:id="3558" w:name="_Toc38443294"/>
      <w:bookmarkStart w:id="3559" w:name="_Toc38443625"/>
      <w:bookmarkStart w:id="3560" w:name="_Toc38443955"/>
      <w:bookmarkStart w:id="3561" w:name="_Toc38438423"/>
      <w:bookmarkStart w:id="3562" w:name="_Toc38438760"/>
      <w:bookmarkStart w:id="3563" w:name="_Toc38439097"/>
      <w:bookmarkStart w:id="3564" w:name="_Toc38439434"/>
      <w:bookmarkStart w:id="3565" w:name="_Toc38439771"/>
      <w:bookmarkStart w:id="3566" w:name="_Toc38440108"/>
      <w:bookmarkStart w:id="3567" w:name="_Toc38440445"/>
      <w:bookmarkStart w:id="3568" w:name="_Toc38440977"/>
      <w:bookmarkStart w:id="3569" w:name="_Toc38441309"/>
      <w:bookmarkStart w:id="3570" w:name="_Toc38441641"/>
      <w:bookmarkStart w:id="3571" w:name="_Toc38441969"/>
      <w:bookmarkStart w:id="3572" w:name="_Toc38442301"/>
      <w:bookmarkStart w:id="3573" w:name="_Toc38442633"/>
      <w:bookmarkStart w:id="3574" w:name="_Toc38442964"/>
      <w:bookmarkStart w:id="3575" w:name="_Toc38443295"/>
      <w:bookmarkStart w:id="3576" w:name="_Toc38443626"/>
      <w:bookmarkStart w:id="3577" w:name="_Toc38443956"/>
      <w:bookmarkStart w:id="3578" w:name="_Toc38438424"/>
      <w:bookmarkStart w:id="3579" w:name="_Toc38438761"/>
      <w:bookmarkStart w:id="3580" w:name="_Toc38439098"/>
      <w:bookmarkStart w:id="3581" w:name="_Toc38439435"/>
      <w:bookmarkStart w:id="3582" w:name="_Toc38439772"/>
      <w:bookmarkStart w:id="3583" w:name="_Toc38440109"/>
      <w:bookmarkStart w:id="3584" w:name="_Toc38440446"/>
      <w:bookmarkStart w:id="3585" w:name="_Toc38440978"/>
      <w:bookmarkStart w:id="3586" w:name="_Toc38441310"/>
      <w:bookmarkStart w:id="3587" w:name="_Toc38441642"/>
      <w:bookmarkStart w:id="3588" w:name="_Toc38441970"/>
      <w:bookmarkStart w:id="3589" w:name="_Toc38442302"/>
      <w:bookmarkStart w:id="3590" w:name="_Toc38442634"/>
      <w:bookmarkStart w:id="3591" w:name="_Toc38442965"/>
      <w:bookmarkStart w:id="3592" w:name="_Toc38443296"/>
      <w:bookmarkStart w:id="3593" w:name="_Toc38443627"/>
      <w:bookmarkStart w:id="3594" w:name="_Toc38443957"/>
      <w:bookmarkStart w:id="3595" w:name="_Toc38438425"/>
      <w:bookmarkStart w:id="3596" w:name="_Toc38438762"/>
      <w:bookmarkStart w:id="3597" w:name="_Toc38439099"/>
      <w:bookmarkStart w:id="3598" w:name="_Toc38439436"/>
      <w:bookmarkStart w:id="3599" w:name="_Toc38439773"/>
      <w:bookmarkStart w:id="3600" w:name="_Toc38440110"/>
      <w:bookmarkStart w:id="3601" w:name="_Toc38440447"/>
      <w:bookmarkStart w:id="3602" w:name="_Toc38440979"/>
      <w:bookmarkStart w:id="3603" w:name="_Toc38441311"/>
      <w:bookmarkStart w:id="3604" w:name="_Toc38441643"/>
      <w:bookmarkStart w:id="3605" w:name="_Toc38441971"/>
      <w:bookmarkStart w:id="3606" w:name="_Toc38442303"/>
      <w:bookmarkStart w:id="3607" w:name="_Toc38442635"/>
      <w:bookmarkStart w:id="3608" w:name="_Toc38442966"/>
      <w:bookmarkStart w:id="3609" w:name="_Toc38443297"/>
      <w:bookmarkStart w:id="3610" w:name="_Toc38443628"/>
      <w:bookmarkStart w:id="3611" w:name="_Toc38443958"/>
      <w:bookmarkStart w:id="3612" w:name="_Toc38438426"/>
      <w:bookmarkStart w:id="3613" w:name="_Toc38438763"/>
      <w:bookmarkStart w:id="3614" w:name="_Toc38439100"/>
      <w:bookmarkStart w:id="3615" w:name="_Toc38439437"/>
      <w:bookmarkStart w:id="3616" w:name="_Toc38439774"/>
      <w:bookmarkStart w:id="3617" w:name="_Toc38440111"/>
      <w:bookmarkStart w:id="3618" w:name="_Toc38440448"/>
      <w:bookmarkStart w:id="3619" w:name="_Toc38440980"/>
      <w:bookmarkStart w:id="3620" w:name="_Toc38441312"/>
      <w:bookmarkStart w:id="3621" w:name="_Toc38441644"/>
      <w:bookmarkStart w:id="3622" w:name="_Toc38441972"/>
      <w:bookmarkStart w:id="3623" w:name="_Toc38442304"/>
      <w:bookmarkStart w:id="3624" w:name="_Toc38442636"/>
      <w:bookmarkStart w:id="3625" w:name="_Toc38442967"/>
      <w:bookmarkStart w:id="3626" w:name="_Toc38443298"/>
      <w:bookmarkStart w:id="3627" w:name="_Toc38443629"/>
      <w:bookmarkStart w:id="3628" w:name="_Toc38443959"/>
      <w:bookmarkStart w:id="3629" w:name="_Toc38438427"/>
      <w:bookmarkStart w:id="3630" w:name="_Toc38438764"/>
      <w:bookmarkStart w:id="3631" w:name="_Toc38439101"/>
      <w:bookmarkStart w:id="3632" w:name="_Toc38439438"/>
      <w:bookmarkStart w:id="3633" w:name="_Toc38439775"/>
      <w:bookmarkStart w:id="3634" w:name="_Toc38440112"/>
      <w:bookmarkStart w:id="3635" w:name="_Toc38440449"/>
      <w:bookmarkStart w:id="3636" w:name="_Toc38440981"/>
      <w:bookmarkStart w:id="3637" w:name="_Toc38441313"/>
      <w:bookmarkStart w:id="3638" w:name="_Toc38441645"/>
      <w:bookmarkStart w:id="3639" w:name="_Toc38441973"/>
      <w:bookmarkStart w:id="3640" w:name="_Toc38442305"/>
      <w:bookmarkStart w:id="3641" w:name="_Toc38442637"/>
      <w:bookmarkStart w:id="3642" w:name="_Toc38442968"/>
      <w:bookmarkStart w:id="3643" w:name="_Toc38443299"/>
      <w:bookmarkStart w:id="3644" w:name="_Toc38443630"/>
      <w:bookmarkStart w:id="3645" w:name="_Toc38443960"/>
      <w:bookmarkStart w:id="3646" w:name="_Toc38438428"/>
      <w:bookmarkStart w:id="3647" w:name="_Toc38438765"/>
      <w:bookmarkStart w:id="3648" w:name="_Toc38439102"/>
      <w:bookmarkStart w:id="3649" w:name="_Toc38439439"/>
      <w:bookmarkStart w:id="3650" w:name="_Toc38439776"/>
      <w:bookmarkStart w:id="3651" w:name="_Toc38440113"/>
      <w:bookmarkStart w:id="3652" w:name="_Toc38440450"/>
      <w:bookmarkStart w:id="3653" w:name="_Toc38440982"/>
      <w:bookmarkStart w:id="3654" w:name="_Toc38441314"/>
      <w:bookmarkStart w:id="3655" w:name="_Toc38441646"/>
      <w:bookmarkStart w:id="3656" w:name="_Toc38441974"/>
      <w:bookmarkStart w:id="3657" w:name="_Toc38442306"/>
      <w:bookmarkStart w:id="3658" w:name="_Toc38442638"/>
      <w:bookmarkStart w:id="3659" w:name="_Toc38442969"/>
      <w:bookmarkStart w:id="3660" w:name="_Toc38443300"/>
      <w:bookmarkStart w:id="3661" w:name="_Toc38443631"/>
      <w:bookmarkStart w:id="3662" w:name="_Toc38443961"/>
      <w:bookmarkStart w:id="3663" w:name="_Toc38438429"/>
      <w:bookmarkStart w:id="3664" w:name="_Toc38438766"/>
      <w:bookmarkStart w:id="3665" w:name="_Toc38439103"/>
      <w:bookmarkStart w:id="3666" w:name="_Toc38439440"/>
      <w:bookmarkStart w:id="3667" w:name="_Toc38439777"/>
      <w:bookmarkStart w:id="3668" w:name="_Toc38440114"/>
      <w:bookmarkStart w:id="3669" w:name="_Toc38440451"/>
      <w:bookmarkStart w:id="3670" w:name="_Toc38440983"/>
      <w:bookmarkStart w:id="3671" w:name="_Toc38441315"/>
      <w:bookmarkStart w:id="3672" w:name="_Toc38441647"/>
      <w:bookmarkStart w:id="3673" w:name="_Toc38441975"/>
      <w:bookmarkStart w:id="3674" w:name="_Toc38442307"/>
      <w:bookmarkStart w:id="3675" w:name="_Toc38442639"/>
      <w:bookmarkStart w:id="3676" w:name="_Toc38442970"/>
      <w:bookmarkStart w:id="3677" w:name="_Toc38443301"/>
      <w:bookmarkStart w:id="3678" w:name="_Toc38443632"/>
      <w:bookmarkStart w:id="3679" w:name="_Toc38443962"/>
      <w:bookmarkStart w:id="3680" w:name="_Toc38438430"/>
      <w:bookmarkStart w:id="3681" w:name="_Toc38438767"/>
      <w:bookmarkStart w:id="3682" w:name="_Toc38439104"/>
      <w:bookmarkStart w:id="3683" w:name="_Toc38439441"/>
      <w:bookmarkStart w:id="3684" w:name="_Toc38439778"/>
      <w:bookmarkStart w:id="3685" w:name="_Toc38440115"/>
      <w:bookmarkStart w:id="3686" w:name="_Toc38440452"/>
      <w:bookmarkStart w:id="3687" w:name="_Toc38440984"/>
      <w:bookmarkStart w:id="3688" w:name="_Toc38441316"/>
      <w:bookmarkStart w:id="3689" w:name="_Toc38441648"/>
      <w:bookmarkStart w:id="3690" w:name="_Toc38441976"/>
      <w:bookmarkStart w:id="3691" w:name="_Toc38442308"/>
      <w:bookmarkStart w:id="3692" w:name="_Toc38442640"/>
      <w:bookmarkStart w:id="3693" w:name="_Toc38442971"/>
      <w:bookmarkStart w:id="3694" w:name="_Toc38443302"/>
      <w:bookmarkStart w:id="3695" w:name="_Toc38443633"/>
      <w:bookmarkStart w:id="3696" w:name="_Toc38443963"/>
      <w:bookmarkStart w:id="3697" w:name="_Toc38438431"/>
      <w:bookmarkStart w:id="3698" w:name="_Toc38438768"/>
      <w:bookmarkStart w:id="3699" w:name="_Toc38439105"/>
      <w:bookmarkStart w:id="3700" w:name="_Toc38439442"/>
      <w:bookmarkStart w:id="3701" w:name="_Toc38439779"/>
      <w:bookmarkStart w:id="3702" w:name="_Toc38440116"/>
      <w:bookmarkStart w:id="3703" w:name="_Toc38440453"/>
      <w:bookmarkStart w:id="3704" w:name="_Toc38440985"/>
      <w:bookmarkStart w:id="3705" w:name="_Toc38441317"/>
      <w:bookmarkStart w:id="3706" w:name="_Toc38441649"/>
      <w:bookmarkStart w:id="3707" w:name="_Toc38441977"/>
      <w:bookmarkStart w:id="3708" w:name="_Toc38442309"/>
      <w:bookmarkStart w:id="3709" w:name="_Toc38442641"/>
      <w:bookmarkStart w:id="3710" w:name="_Toc38442972"/>
      <w:bookmarkStart w:id="3711" w:name="_Toc38443303"/>
      <w:bookmarkStart w:id="3712" w:name="_Toc38443634"/>
      <w:bookmarkStart w:id="3713" w:name="_Toc38443964"/>
      <w:bookmarkStart w:id="3714" w:name="_Toc38438432"/>
      <w:bookmarkStart w:id="3715" w:name="_Toc38438769"/>
      <w:bookmarkStart w:id="3716" w:name="_Toc38439106"/>
      <w:bookmarkStart w:id="3717" w:name="_Toc38439443"/>
      <w:bookmarkStart w:id="3718" w:name="_Toc38439780"/>
      <w:bookmarkStart w:id="3719" w:name="_Toc38440117"/>
      <w:bookmarkStart w:id="3720" w:name="_Toc38440454"/>
      <w:bookmarkStart w:id="3721" w:name="_Toc38440986"/>
      <w:bookmarkStart w:id="3722" w:name="_Toc38441318"/>
      <w:bookmarkStart w:id="3723" w:name="_Toc38441650"/>
      <w:bookmarkStart w:id="3724" w:name="_Toc38441978"/>
      <w:bookmarkStart w:id="3725" w:name="_Toc38442310"/>
      <w:bookmarkStart w:id="3726" w:name="_Toc38442642"/>
      <w:bookmarkStart w:id="3727" w:name="_Toc38442973"/>
      <w:bookmarkStart w:id="3728" w:name="_Toc38443304"/>
      <w:bookmarkStart w:id="3729" w:name="_Toc38443635"/>
      <w:bookmarkStart w:id="3730" w:name="_Toc38443965"/>
      <w:bookmarkStart w:id="3731" w:name="_Toc38438433"/>
      <w:bookmarkStart w:id="3732" w:name="_Toc38438770"/>
      <w:bookmarkStart w:id="3733" w:name="_Toc38439107"/>
      <w:bookmarkStart w:id="3734" w:name="_Toc38439444"/>
      <w:bookmarkStart w:id="3735" w:name="_Toc38439781"/>
      <w:bookmarkStart w:id="3736" w:name="_Toc38440118"/>
      <w:bookmarkStart w:id="3737" w:name="_Toc38440455"/>
      <w:bookmarkStart w:id="3738" w:name="_Toc38440987"/>
      <w:bookmarkStart w:id="3739" w:name="_Toc38441319"/>
      <w:bookmarkStart w:id="3740" w:name="_Toc38441651"/>
      <w:bookmarkStart w:id="3741" w:name="_Toc38441979"/>
      <w:bookmarkStart w:id="3742" w:name="_Toc38442311"/>
      <w:bookmarkStart w:id="3743" w:name="_Toc38442643"/>
      <w:bookmarkStart w:id="3744" w:name="_Toc38442974"/>
      <w:bookmarkStart w:id="3745" w:name="_Toc38443305"/>
      <w:bookmarkStart w:id="3746" w:name="_Toc38443636"/>
      <w:bookmarkStart w:id="3747" w:name="_Toc38443966"/>
      <w:bookmarkStart w:id="3748" w:name="_Toc38438434"/>
      <w:bookmarkStart w:id="3749" w:name="_Toc38438771"/>
      <w:bookmarkStart w:id="3750" w:name="_Toc38439108"/>
      <w:bookmarkStart w:id="3751" w:name="_Toc38439445"/>
      <w:bookmarkStart w:id="3752" w:name="_Toc38439782"/>
      <w:bookmarkStart w:id="3753" w:name="_Toc38440119"/>
      <w:bookmarkStart w:id="3754" w:name="_Toc38440456"/>
      <w:bookmarkStart w:id="3755" w:name="_Toc38440988"/>
      <w:bookmarkStart w:id="3756" w:name="_Toc38441320"/>
      <w:bookmarkStart w:id="3757" w:name="_Toc38441652"/>
      <w:bookmarkStart w:id="3758" w:name="_Toc38441980"/>
      <w:bookmarkStart w:id="3759" w:name="_Toc38442312"/>
      <w:bookmarkStart w:id="3760" w:name="_Toc38442644"/>
      <w:bookmarkStart w:id="3761" w:name="_Toc38442975"/>
      <w:bookmarkStart w:id="3762" w:name="_Toc38443306"/>
      <w:bookmarkStart w:id="3763" w:name="_Toc38443637"/>
      <w:bookmarkStart w:id="3764" w:name="_Toc38443967"/>
      <w:bookmarkStart w:id="3765" w:name="_Toc38438435"/>
      <w:bookmarkStart w:id="3766" w:name="_Toc38438772"/>
      <w:bookmarkStart w:id="3767" w:name="_Toc38439109"/>
      <w:bookmarkStart w:id="3768" w:name="_Toc38439446"/>
      <w:bookmarkStart w:id="3769" w:name="_Toc38439783"/>
      <w:bookmarkStart w:id="3770" w:name="_Toc38440120"/>
      <w:bookmarkStart w:id="3771" w:name="_Toc38440457"/>
      <w:bookmarkStart w:id="3772" w:name="_Toc38440989"/>
      <w:bookmarkStart w:id="3773" w:name="_Toc38441321"/>
      <w:bookmarkStart w:id="3774" w:name="_Toc38441653"/>
      <w:bookmarkStart w:id="3775" w:name="_Toc38441981"/>
      <w:bookmarkStart w:id="3776" w:name="_Toc38442313"/>
      <w:bookmarkStart w:id="3777" w:name="_Toc38442645"/>
      <w:bookmarkStart w:id="3778" w:name="_Toc38442976"/>
      <w:bookmarkStart w:id="3779" w:name="_Toc38443307"/>
      <w:bookmarkStart w:id="3780" w:name="_Toc38443638"/>
      <w:bookmarkStart w:id="3781" w:name="_Toc38443968"/>
      <w:bookmarkStart w:id="3782" w:name="_Toc38438436"/>
      <w:bookmarkStart w:id="3783" w:name="_Toc38438773"/>
      <w:bookmarkStart w:id="3784" w:name="_Toc38439110"/>
      <w:bookmarkStart w:id="3785" w:name="_Toc38439447"/>
      <w:bookmarkStart w:id="3786" w:name="_Toc38439784"/>
      <w:bookmarkStart w:id="3787" w:name="_Toc38440121"/>
      <w:bookmarkStart w:id="3788" w:name="_Toc38440458"/>
      <w:bookmarkStart w:id="3789" w:name="_Toc38440990"/>
      <w:bookmarkStart w:id="3790" w:name="_Toc38441322"/>
      <w:bookmarkStart w:id="3791" w:name="_Toc38441654"/>
      <w:bookmarkStart w:id="3792" w:name="_Toc38441982"/>
      <w:bookmarkStart w:id="3793" w:name="_Toc38442314"/>
      <w:bookmarkStart w:id="3794" w:name="_Toc38442646"/>
      <w:bookmarkStart w:id="3795" w:name="_Toc38442977"/>
      <w:bookmarkStart w:id="3796" w:name="_Toc38443308"/>
      <w:bookmarkStart w:id="3797" w:name="_Toc38443639"/>
      <w:bookmarkStart w:id="3798" w:name="_Toc38443969"/>
      <w:bookmarkStart w:id="3799" w:name="_Toc38438437"/>
      <w:bookmarkStart w:id="3800" w:name="_Toc38438774"/>
      <w:bookmarkStart w:id="3801" w:name="_Toc38439111"/>
      <w:bookmarkStart w:id="3802" w:name="_Toc38439448"/>
      <w:bookmarkStart w:id="3803" w:name="_Toc38439785"/>
      <w:bookmarkStart w:id="3804" w:name="_Toc38440122"/>
      <w:bookmarkStart w:id="3805" w:name="_Toc38440459"/>
      <w:bookmarkStart w:id="3806" w:name="_Toc38440991"/>
      <w:bookmarkStart w:id="3807" w:name="_Toc38441323"/>
      <w:bookmarkStart w:id="3808" w:name="_Toc38441655"/>
      <w:bookmarkStart w:id="3809" w:name="_Toc38441983"/>
      <w:bookmarkStart w:id="3810" w:name="_Toc38442315"/>
      <w:bookmarkStart w:id="3811" w:name="_Toc38442647"/>
      <w:bookmarkStart w:id="3812" w:name="_Toc38442978"/>
      <w:bookmarkStart w:id="3813" w:name="_Toc38443309"/>
      <w:bookmarkStart w:id="3814" w:name="_Toc38443640"/>
      <w:bookmarkStart w:id="3815" w:name="_Toc38443970"/>
      <w:bookmarkStart w:id="3816" w:name="_Toc38438438"/>
      <w:bookmarkStart w:id="3817" w:name="_Toc38438775"/>
      <w:bookmarkStart w:id="3818" w:name="_Toc38439112"/>
      <w:bookmarkStart w:id="3819" w:name="_Toc38439449"/>
      <w:bookmarkStart w:id="3820" w:name="_Toc38439786"/>
      <w:bookmarkStart w:id="3821" w:name="_Toc38440123"/>
      <w:bookmarkStart w:id="3822" w:name="_Toc38440460"/>
      <w:bookmarkStart w:id="3823" w:name="_Toc38440992"/>
      <w:bookmarkStart w:id="3824" w:name="_Toc38441324"/>
      <w:bookmarkStart w:id="3825" w:name="_Toc38441656"/>
      <w:bookmarkStart w:id="3826" w:name="_Toc38441984"/>
      <w:bookmarkStart w:id="3827" w:name="_Toc38442316"/>
      <w:bookmarkStart w:id="3828" w:name="_Toc38442648"/>
      <w:bookmarkStart w:id="3829" w:name="_Toc38442979"/>
      <w:bookmarkStart w:id="3830" w:name="_Toc38443310"/>
      <w:bookmarkStart w:id="3831" w:name="_Toc38443641"/>
      <w:bookmarkStart w:id="3832" w:name="_Toc38443971"/>
      <w:bookmarkStart w:id="3833" w:name="_Toc38438439"/>
      <w:bookmarkStart w:id="3834" w:name="_Toc38438776"/>
      <w:bookmarkStart w:id="3835" w:name="_Toc38439113"/>
      <w:bookmarkStart w:id="3836" w:name="_Toc38439450"/>
      <w:bookmarkStart w:id="3837" w:name="_Toc38439787"/>
      <w:bookmarkStart w:id="3838" w:name="_Toc38440124"/>
      <w:bookmarkStart w:id="3839" w:name="_Toc38440461"/>
      <w:bookmarkStart w:id="3840" w:name="_Toc38440993"/>
      <w:bookmarkStart w:id="3841" w:name="_Toc38441325"/>
      <w:bookmarkStart w:id="3842" w:name="_Toc38441657"/>
      <w:bookmarkStart w:id="3843" w:name="_Toc38441985"/>
      <w:bookmarkStart w:id="3844" w:name="_Toc38442317"/>
      <w:bookmarkStart w:id="3845" w:name="_Toc38442649"/>
      <w:bookmarkStart w:id="3846" w:name="_Toc38442980"/>
      <w:bookmarkStart w:id="3847" w:name="_Toc38443311"/>
      <w:bookmarkStart w:id="3848" w:name="_Toc38443642"/>
      <w:bookmarkStart w:id="3849" w:name="_Toc38443972"/>
      <w:bookmarkStart w:id="3850" w:name="_Toc38438440"/>
      <w:bookmarkStart w:id="3851" w:name="_Toc38438777"/>
      <w:bookmarkStart w:id="3852" w:name="_Toc38439114"/>
      <w:bookmarkStart w:id="3853" w:name="_Toc38439451"/>
      <w:bookmarkStart w:id="3854" w:name="_Toc38439788"/>
      <w:bookmarkStart w:id="3855" w:name="_Toc38440125"/>
      <w:bookmarkStart w:id="3856" w:name="_Toc38440462"/>
      <w:bookmarkStart w:id="3857" w:name="_Toc38440994"/>
      <w:bookmarkStart w:id="3858" w:name="_Toc38441326"/>
      <w:bookmarkStart w:id="3859" w:name="_Toc38441658"/>
      <w:bookmarkStart w:id="3860" w:name="_Toc38441986"/>
      <w:bookmarkStart w:id="3861" w:name="_Toc38442318"/>
      <w:bookmarkStart w:id="3862" w:name="_Toc38442650"/>
      <w:bookmarkStart w:id="3863" w:name="_Toc38442981"/>
      <w:bookmarkStart w:id="3864" w:name="_Toc38443312"/>
      <w:bookmarkStart w:id="3865" w:name="_Toc38443643"/>
      <w:bookmarkStart w:id="3866" w:name="_Toc38443973"/>
      <w:bookmarkStart w:id="3867" w:name="_Toc38438441"/>
      <w:bookmarkStart w:id="3868" w:name="_Toc38438778"/>
      <w:bookmarkStart w:id="3869" w:name="_Toc38439115"/>
      <w:bookmarkStart w:id="3870" w:name="_Toc38439452"/>
      <w:bookmarkStart w:id="3871" w:name="_Toc38439789"/>
      <w:bookmarkStart w:id="3872" w:name="_Toc38440126"/>
      <w:bookmarkStart w:id="3873" w:name="_Toc38440463"/>
      <w:bookmarkStart w:id="3874" w:name="_Toc38440995"/>
      <w:bookmarkStart w:id="3875" w:name="_Toc38441327"/>
      <w:bookmarkStart w:id="3876" w:name="_Toc38441659"/>
      <w:bookmarkStart w:id="3877" w:name="_Toc38441987"/>
      <w:bookmarkStart w:id="3878" w:name="_Toc38442319"/>
      <w:bookmarkStart w:id="3879" w:name="_Toc38442651"/>
      <w:bookmarkStart w:id="3880" w:name="_Toc38442982"/>
      <w:bookmarkStart w:id="3881" w:name="_Toc38443313"/>
      <w:bookmarkStart w:id="3882" w:name="_Toc38443644"/>
      <w:bookmarkStart w:id="3883" w:name="_Toc38443974"/>
      <w:bookmarkStart w:id="3884" w:name="_Toc38438442"/>
      <w:bookmarkStart w:id="3885" w:name="_Toc38438779"/>
      <w:bookmarkStart w:id="3886" w:name="_Toc38439116"/>
      <w:bookmarkStart w:id="3887" w:name="_Toc38439453"/>
      <w:bookmarkStart w:id="3888" w:name="_Toc38439790"/>
      <w:bookmarkStart w:id="3889" w:name="_Toc38440127"/>
      <w:bookmarkStart w:id="3890" w:name="_Toc38440464"/>
      <w:bookmarkStart w:id="3891" w:name="_Toc38440996"/>
      <w:bookmarkStart w:id="3892" w:name="_Toc38441328"/>
      <w:bookmarkStart w:id="3893" w:name="_Toc38441660"/>
      <w:bookmarkStart w:id="3894" w:name="_Toc38441988"/>
      <w:bookmarkStart w:id="3895" w:name="_Toc38442320"/>
      <w:bookmarkStart w:id="3896" w:name="_Toc38442652"/>
      <w:bookmarkStart w:id="3897" w:name="_Toc38442983"/>
      <w:bookmarkStart w:id="3898" w:name="_Toc38443314"/>
      <w:bookmarkStart w:id="3899" w:name="_Toc38443645"/>
      <w:bookmarkStart w:id="3900" w:name="_Toc38443975"/>
      <w:bookmarkStart w:id="3901" w:name="_Toc38438443"/>
      <w:bookmarkStart w:id="3902" w:name="_Toc38438780"/>
      <w:bookmarkStart w:id="3903" w:name="_Toc38439117"/>
      <w:bookmarkStart w:id="3904" w:name="_Toc38439454"/>
      <w:bookmarkStart w:id="3905" w:name="_Toc38439791"/>
      <w:bookmarkStart w:id="3906" w:name="_Toc38440128"/>
      <w:bookmarkStart w:id="3907" w:name="_Toc38440465"/>
      <w:bookmarkStart w:id="3908" w:name="_Toc38440997"/>
      <w:bookmarkStart w:id="3909" w:name="_Toc38441329"/>
      <w:bookmarkStart w:id="3910" w:name="_Toc38441661"/>
      <w:bookmarkStart w:id="3911" w:name="_Toc38441989"/>
      <w:bookmarkStart w:id="3912" w:name="_Toc38442321"/>
      <w:bookmarkStart w:id="3913" w:name="_Toc38442653"/>
      <w:bookmarkStart w:id="3914" w:name="_Toc38442984"/>
      <w:bookmarkStart w:id="3915" w:name="_Toc38443315"/>
      <w:bookmarkStart w:id="3916" w:name="_Toc38443646"/>
      <w:bookmarkStart w:id="3917" w:name="_Toc38443976"/>
      <w:bookmarkStart w:id="3918" w:name="_Toc38438444"/>
      <w:bookmarkStart w:id="3919" w:name="_Toc38438781"/>
      <w:bookmarkStart w:id="3920" w:name="_Toc38439118"/>
      <w:bookmarkStart w:id="3921" w:name="_Toc38439455"/>
      <w:bookmarkStart w:id="3922" w:name="_Toc38439792"/>
      <w:bookmarkStart w:id="3923" w:name="_Toc38440129"/>
      <w:bookmarkStart w:id="3924" w:name="_Toc38440466"/>
      <w:bookmarkStart w:id="3925" w:name="_Toc38440998"/>
      <w:bookmarkStart w:id="3926" w:name="_Toc38441330"/>
      <w:bookmarkStart w:id="3927" w:name="_Toc38441662"/>
      <w:bookmarkStart w:id="3928" w:name="_Toc38441990"/>
      <w:bookmarkStart w:id="3929" w:name="_Toc38442322"/>
      <w:bookmarkStart w:id="3930" w:name="_Toc38442654"/>
      <w:bookmarkStart w:id="3931" w:name="_Toc38442985"/>
      <w:bookmarkStart w:id="3932" w:name="_Toc38443316"/>
      <w:bookmarkStart w:id="3933" w:name="_Toc38443647"/>
      <w:bookmarkStart w:id="3934" w:name="_Toc38443977"/>
      <w:bookmarkStart w:id="3935" w:name="_Toc38438445"/>
      <w:bookmarkStart w:id="3936" w:name="_Toc38438782"/>
      <w:bookmarkStart w:id="3937" w:name="_Toc38439119"/>
      <w:bookmarkStart w:id="3938" w:name="_Toc38439456"/>
      <w:bookmarkStart w:id="3939" w:name="_Toc38439793"/>
      <w:bookmarkStart w:id="3940" w:name="_Toc38440130"/>
      <w:bookmarkStart w:id="3941" w:name="_Toc38440467"/>
      <w:bookmarkStart w:id="3942" w:name="_Toc38440999"/>
      <w:bookmarkStart w:id="3943" w:name="_Toc38441331"/>
      <w:bookmarkStart w:id="3944" w:name="_Toc38441663"/>
      <w:bookmarkStart w:id="3945" w:name="_Toc38441991"/>
      <w:bookmarkStart w:id="3946" w:name="_Toc38442323"/>
      <w:bookmarkStart w:id="3947" w:name="_Toc38442655"/>
      <w:bookmarkStart w:id="3948" w:name="_Toc38442986"/>
      <w:bookmarkStart w:id="3949" w:name="_Toc38443317"/>
      <w:bookmarkStart w:id="3950" w:name="_Toc38443648"/>
      <w:bookmarkStart w:id="3951" w:name="_Toc38443978"/>
      <w:bookmarkStart w:id="3952" w:name="_Toc38438446"/>
      <w:bookmarkStart w:id="3953" w:name="_Toc38438783"/>
      <w:bookmarkStart w:id="3954" w:name="_Toc38439120"/>
      <w:bookmarkStart w:id="3955" w:name="_Toc38439457"/>
      <w:bookmarkStart w:id="3956" w:name="_Toc38439794"/>
      <w:bookmarkStart w:id="3957" w:name="_Toc38440131"/>
      <w:bookmarkStart w:id="3958" w:name="_Toc38440468"/>
      <w:bookmarkStart w:id="3959" w:name="_Toc38441000"/>
      <w:bookmarkStart w:id="3960" w:name="_Toc38441332"/>
      <w:bookmarkStart w:id="3961" w:name="_Toc38441664"/>
      <w:bookmarkStart w:id="3962" w:name="_Toc38441992"/>
      <w:bookmarkStart w:id="3963" w:name="_Toc38442324"/>
      <w:bookmarkStart w:id="3964" w:name="_Toc38442656"/>
      <w:bookmarkStart w:id="3965" w:name="_Toc38442987"/>
      <w:bookmarkStart w:id="3966" w:name="_Toc38443318"/>
      <w:bookmarkStart w:id="3967" w:name="_Toc38443649"/>
      <w:bookmarkStart w:id="3968" w:name="_Toc38443979"/>
      <w:bookmarkStart w:id="3969" w:name="_Toc38438447"/>
      <w:bookmarkStart w:id="3970" w:name="_Toc38438784"/>
      <w:bookmarkStart w:id="3971" w:name="_Toc38439121"/>
      <w:bookmarkStart w:id="3972" w:name="_Toc38439458"/>
      <w:bookmarkStart w:id="3973" w:name="_Toc38439795"/>
      <w:bookmarkStart w:id="3974" w:name="_Toc38440132"/>
      <w:bookmarkStart w:id="3975" w:name="_Toc38440469"/>
      <w:bookmarkStart w:id="3976" w:name="_Toc38441001"/>
      <w:bookmarkStart w:id="3977" w:name="_Toc38441333"/>
      <w:bookmarkStart w:id="3978" w:name="_Toc38441665"/>
      <w:bookmarkStart w:id="3979" w:name="_Toc38441993"/>
      <w:bookmarkStart w:id="3980" w:name="_Toc38442325"/>
      <w:bookmarkStart w:id="3981" w:name="_Toc38442657"/>
      <w:bookmarkStart w:id="3982" w:name="_Toc38442988"/>
      <w:bookmarkStart w:id="3983" w:name="_Toc38443319"/>
      <w:bookmarkStart w:id="3984" w:name="_Toc38443650"/>
      <w:bookmarkStart w:id="3985" w:name="_Toc38443980"/>
      <w:bookmarkStart w:id="3986" w:name="_Toc38438448"/>
      <w:bookmarkStart w:id="3987" w:name="_Toc38438785"/>
      <w:bookmarkStart w:id="3988" w:name="_Toc38439122"/>
      <w:bookmarkStart w:id="3989" w:name="_Toc38439459"/>
      <w:bookmarkStart w:id="3990" w:name="_Toc38439796"/>
      <w:bookmarkStart w:id="3991" w:name="_Toc38440133"/>
      <w:bookmarkStart w:id="3992" w:name="_Toc38440470"/>
      <w:bookmarkStart w:id="3993" w:name="_Toc38441002"/>
      <w:bookmarkStart w:id="3994" w:name="_Toc38441334"/>
      <w:bookmarkStart w:id="3995" w:name="_Toc38441666"/>
      <w:bookmarkStart w:id="3996" w:name="_Toc38441994"/>
      <w:bookmarkStart w:id="3997" w:name="_Toc38442326"/>
      <w:bookmarkStart w:id="3998" w:name="_Toc38442658"/>
      <w:bookmarkStart w:id="3999" w:name="_Toc38442989"/>
      <w:bookmarkStart w:id="4000" w:name="_Toc38443320"/>
      <w:bookmarkStart w:id="4001" w:name="_Toc38443651"/>
      <w:bookmarkStart w:id="4002" w:name="_Toc38443981"/>
      <w:bookmarkStart w:id="4003" w:name="_Toc38438449"/>
      <w:bookmarkStart w:id="4004" w:name="_Toc38438786"/>
      <w:bookmarkStart w:id="4005" w:name="_Toc38439123"/>
      <w:bookmarkStart w:id="4006" w:name="_Toc38439460"/>
      <w:bookmarkStart w:id="4007" w:name="_Toc38439797"/>
      <w:bookmarkStart w:id="4008" w:name="_Toc38440134"/>
      <w:bookmarkStart w:id="4009" w:name="_Toc38440471"/>
      <w:bookmarkStart w:id="4010" w:name="_Toc38441003"/>
      <w:bookmarkStart w:id="4011" w:name="_Toc38441335"/>
      <w:bookmarkStart w:id="4012" w:name="_Toc38441667"/>
      <w:bookmarkStart w:id="4013" w:name="_Toc38441995"/>
      <w:bookmarkStart w:id="4014" w:name="_Toc38442327"/>
      <w:bookmarkStart w:id="4015" w:name="_Toc38442659"/>
      <w:bookmarkStart w:id="4016" w:name="_Toc38442990"/>
      <w:bookmarkStart w:id="4017" w:name="_Toc38443321"/>
      <w:bookmarkStart w:id="4018" w:name="_Toc38443652"/>
      <w:bookmarkStart w:id="4019" w:name="_Toc38443982"/>
      <w:bookmarkStart w:id="4020" w:name="_Toc38438450"/>
      <w:bookmarkStart w:id="4021" w:name="_Toc38438787"/>
      <w:bookmarkStart w:id="4022" w:name="_Toc38439124"/>
      <w:bookmarkStart w:id="4023" w:name="_Toc38439461"/>
      <w:bookmarkStart w:id="4024" w:name="_Toc38439798"/>
      <w:bookmarkStart w:id="4025" w:name="_Toc38440135"/>
      <w:bookmarkStart w:id="4026" w:name="_Toc38440472"/>
      <w:bookmarkStart w:id="4027" w:name="_Toc38441004"/>
      <w:bookmarkStart w:id="4028" w:name="_Toc38441336"/>
      <w:bookmarkStart w:id="4029" w:name="_Toc38441668"/>
      <w:bookmarkStart w:id="4030" w:name="_Toc38441996"/>
      <w:bookmarkStart w:id="4031" w:name="_Toc38442328"/>
      <w:bookmarkStart w:id="4032" w:name="_Toc38442660"/>
      <w:bookmarkStart w:id="4033" w:name="_Toc38442991"/>
      <w:bookmarkStart w:id="4034" w:name="_Toc38443322"/>
      <w:bookmarkStart w:id="4035" w:name="_Toc38443653"/>
      <w:bookmarkStart w:id="4036" w:name="_Toc38443983"/>
      <w:bookmarkStart w:id="4037" w:name="_Toc38438451"/>
      <w:bookmarkStart w:id="4038" w:name="_Toc38438788"/>
      <w:bookmarkStart w:id="4039" w:name="_Toc38439125"/>
      <w:bookmarkStart w:id="4040" w:name="_Toc38439462"/>
      <w:bookmarkStart w:id="4041" w:name="_Toc38439799"/>
      <w:bookmarkStart w:id="4042" w:name="_Toc38440136"/>
      <w:bookmarkStart w:id="4043" w:name="_Toc38440473"/>
      <w:bookmarkStart w:id="4044" w:name="_Toc38441005"/>
      <w:bookmarkStart w:id="4045" w:name="_Toc38441337"/>
      <w:bookmarkStart w:id="4046" w:name="_Toc38441669"/>
      <w:bookmarkStart w:id="4047" w:name="_Toc38441997"/>
      <w:bookmarkStart w:id="4048" w:name="_Toc38442329"/>
      <w:bookmarkStart w:id="4049" w:name="_Toc38442661"/>
      <w:bookmarkStart w:id="4050" w:name="_Toc38442992"/>
      <w:bookmarkStart w:id="4051" w:name="_Toc38443323"/>
      <w:bookmarkStart w:id="4052" w:name="_Toc38443654"/>
      <w:bookmarkStart w:id="4053" w:name="_Toc38443984"/>
      <w:bookmarkStart w:id="4054" w:name="_Toc38438452"/>
      <w:bookmarkStart w:id="4055" w:name="_Toc38438789"/>
      <w:bookmarkStart w:id="4056" w:name="_Toc38439126"/>
      <w:bookmarkStart w:id="4057" w:name="_Toc38439463"/>
      <w:bookmarkStart w:id="4058" w:name="_Toc38439800"/>
      <w:bookmarkStart w:id="4059" w:name="_Toc38440137"/>
      <w:bookmarkStart w:id="4060" w:name="_Toc38440474"/>
      <w:bookmarkStart w:id="4061" w:name="_Toc38441006"/>
      <w:bookmarkStart w:id="4062" w:name="_Toc38441338"/>
      <w:bookmarkStart w:id="4063" w:name="_Toc38441670"/>
      <w:bookmarkStart w:id="4064" w:name="_Toc38441998"/>
      <w:bookmarkStart w:id="4065" w:name="_Toc38442330"/>
      <w:bookmarkStart w:id="4066" w:name="_Toc38442662"/>
      <w:bookmarkStart w:id="4067" w:name="_Toc38442993"/>
      <w:bookmarkStart w:id="4068" w:name="_Toc38443324"/>
      <w:bookmarkStart w:id="4069" w:name="_Toc38443655"/>
      <w:bookmarkStart w:id="4070" w:name="_Toc38443985"/>
      <w:bookmarkStart w:id="4071" w:name="_Toc38438453"/>
      <w:bookmarkStart w:id="4072" w:name="_Toc38438790"/>
      <w:bookmarkStart w:id="4073" w:name="_Toc38439127"/>
      <w:bookmarkStart w:id="4074" w:name="_Toc38439464"/>
      <w:bookmarkStart w:id="4075" w:name="_Toc38439801"/>
      <w:bookmarkStart w:id="4076" w:name="_Toc38440138"/>
      <w:bookmarkStart w:id="4077" w:name="_Toc38440475"/>
      <w:bookmarkStart w:id="4078" w:name="_Toc38441007"/>
      <w:bookmarkStart w:id="4079" w:name="_Toc38441339"/>
      <w:bookmarkStart w:id="4080" w:name="_Toc38441671"/>
      <w:bookmarkStart w:id="4081" w:name="_Toc38441999"/>
      <w:bookmarkStart w:id="4082" w:name="_Toc38442331"/>
      <w:bookmarkStart w:id="4083" w:name="_Toc38442663"/>
      <w:bookmarkStart w:id="4084" w:name="_Toc38442994"/>
      <w:bookmarkStart w:id="4085" w:name="_Toc38443325"/>
      <w:bookmarkStart w:id="4086" w:name="_Toc38443656"/>
      <w:bookmarkStart w:id="4087" w:name="_Toc38443986"/>
      <w:bookmarkStart w:id="4088" w:name="_Toc38438454"/>
      <w:bookmarkStart w:id="4089" w:name="_Toc38438791"/>
      <w:bookmarkStart w:id="4090" w:name="_Toc38439128"/>
      <w:bookmarkStart w:id="4091" w:name="_Toc38439465"/>
      <w:bookmarkStart w:id="4092" w:name="_Toc38439802"/>
      <w:bookmarkStart w:id="4093" w:name="_Toc38440139"/>
      <w:bookmarkStart w:id="4094" w:name="_Toc38440476"/>
      <w:bookmarkStart w:id="4095" w:name="_Toc38441008"/>
      <w:bookmarkStart w:id="4096" w:name="_Toc38441340"/>
      <w:bookmarkStart w:id="4097" w:name="_Toc38441672"/>
      <w:bookmarkStart w:id="4098" w:name="_Toc38442000"/>
      <w:bookmarkStart w:id="4099" w:name="_Toc38442332"/>
      <w:bookmarkStart w:id="4100" w:name="_Toc38442664"/>
      <w:bookmarkStart w:id="4101" w:name="_Toc38442995"/>
      <w:bookmarkStart w:id="4102" w:name="_Toc38443326"/>
      <w:bookmarkStart w:id="4103" w:name="_Toc38443657"/>
      <w:bookmarkStart w:id="4104" w:name="_Toc38443987"/>
      <w:bookmarkStart w:id="4105" w:name="_Toc38438455"/>
      <w:bookmarkStart w:id="4106" w:name="_Toc38438792"/>
      <w:bookmarkStart w:id="4107" w:name="_Toc38439129"/>
      <w:bookmarkStart w:id="4108" w:name="_Toc38439466"/>
      <w:bookmarkStart w:id="4109" w:name="_Toc38439803"/>
      <w:bookmarkStart w:id="4110" w:name="_Toc38440140"/>
      <w:bookmarkStart w:id="4111" w:name="_Toc38440477"/>
      <w:bookmarkStart w:id="4112" w:name="_Toc38441009"/>
      <w:bookmarkStart w:id="4113" w:name="_Toc38441341"/>
      <w:bookmarkStart w:id="4114" w:name="_Toc38441673"/>
      <w:bookmarkStart w:id="4115" w:name="_Toc38442001"/>
      <w:bookmarkStart w:id="4116" w:name="_Toc38442333"/>
      <w:bookmarkStart w:id="4117" w:name="_Toc38442665"/>
      <w:bookmarkStart w:id="4118" w:name="_Toc38442996"/>
      <w:bookmarkStart w:id="4119" w:name="_Toc38443327"/>
      <w:bookmarkStart w:id="4120" w:name="_Toc38443658"/>
      <w:bookmarkStart w:id="4121" w:name="_Toc38443988"/>
      <w:bookmarkStart w:id="4122" w:name="_Toc38438456"/>
      <w:bookmarkStart w:id="4123" w:name="_Toc38438793"/>
      <w:bookmarkStart w:id="4124" w:name="_Toc38439130"/>
      <w:bookmarkStart w:id="4125" w:name="_Toc38439467"/>
      <w:bookmarkStart w:id="4126" w:name="_Toc38439804"/>
      <w:bookmarkStart w:id="4127" w:name="_Toc38440141"/>
      <w:bookmarkStart w:id="4128" w:name="_Toc38440478"/>
      <w:bookmarkStart w:id="4129" w:name="_Toc38441010"/>
      <w:bookmarkStart w:id="4130" w:name="_Toc38441342"/>
      <w:bookmarkStart w:id="4131" w:name="_Toc38441674"/>
      <w:bookmarkStart w:id="4132" w:name="_Toc38442002"/>
      <w:bookmarkStart w:id="4133" w:name="_Toc38442334"/>
      <w:bookmarkStart w:id="4134" w:name="_Toc38442666"/>
      <w:bookmarkStart w:id="4135" w:name="_Toc38442997"/>
      <w:bookmarkStart w:id="4136" w:name="_Toc38443328"/>
      <w:bookmarkStart w:id="4137" w:name="_Toc38443659"/>
      <w:bookmarkStart w:id="4138" w:name="_Toc38443989"/>
      <w:bookmarkStart w:id="4139" w:name="_Toc38438457"/>
      <w:bookmarkStart w:id="4140" w:name="_Toc38438794"/>
      <w:bookmarkStart w:id="4141" w:name="_Toc38439131"/>
      <w:bookmarkStart w:id="4142" w:name="_Toc38439468"/>
      <w:bookmarkStart w:id="4143" w:name="_Toc38439805"/>
      <w:bookmarkStart w:id="4144" w:name="_Toc38440142"/>
      <w:bookmarkStart w:id="4145" w:name="_Toc38440479"/>
      <w:bookmarkStart w:id="4146" w:name="_Toc38441011"/>
      <w:bookmarkStart w:id="4147" w:name="_Toc38441343"/>
      <w:bookmarkStart w:id="4148" w:name="_Toc38441675"/>
      <w:bookmarkStart w:id="4149" w:name="_Toc38442003"/>
      <w:bookmarkStart w:id="4150" w:name="_Toc38442335"/>
      <w:bookmarkStart w:id="4151" w:name="_Toc38442667"/>
      <w:bookmarkStart w:id="4152" w:name="_Toc38442998"/>
      <w:bookmarkStart w:id="4153" w:name="_Toc38443329"/>
      <w:bookmarkStart w:id="4154" w:name="_Toc38443660"/>
      <w:bookmarkStart w:id="4155" w:name="_Toc38443990"/>
      <w:bookmarkStart w:id="4156" w:name="_Toc38438458"/>
      <w:bookmarkStart w:id="4157" w:name="_Toc38438795"/>
      <w:bookmarkStart w:id="4158" w:name="_Toc38439132"/>
      <w:bookmarkStart w:id="4159" w:name="_Toc38439469"/>
      <w:bookmarkStart w:id="4160" w:name="_Toc38439806"/>
      <w:bookmarkStart w:id="4161" w:name="_Toc38440143"/>
      <w:bookmarkStart w:id="4162" w:name="_Toc38440480"/>
      <w:bookmarkStart w:id="4163" w:name="_Toc38441012"/>
      <w:bookmarkStart w:id="4164" w:name="_Toc38441344"/>
      <w:bookmarkStart w:id="4165" w:name="_Toc38441676"/>
      <w:bookmarkStart w:id="4166" w:name="_Toc38442004"/>
      <w:bookmarkStart w:id="4167" w:name="_Toc38442336"/>
      <w:bookmarkStart w:id="4168" w:name="_Toc38442668"/>
      <w:bookmarkStart w:id="4169" w:name="_Toc38442999"/>
      <w:bookmarkStart w:id="4170" w:name="_Toc38443330"/>
      <w:bookmarkStart w:id="4171" w:name="_Toc38443661"/>
      <w:bookmarkStart w:id="4172" w:name="_Toc38443991"/>
      <w:bookmarkStart w:id="4173" w:name="_Toc211920248"/>
      <w:bookmarkStart w:id="4174" w:name="_Toc211927767"/>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p>
    <w:tbl>
      <w:tblPr>
        <w:tblW w:w="84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9"/>
        <w:gridCol w:w="1340"/>
      </w:tblGrid>
      <w:tr w:rsidTr="00D031BC">
        <w:tblPrEx>
          <w:tblW w:w="84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65"/>
        </w:trPr>
        <w:tc>
          <w:tcPr>
            <w:tcW w:w="7089" w:type="dxa"/>
            <w:tcBorders>
              <w:top w:val="single" w:sz="4" w:space="0" w:color="auto"/>
              <w:left w:val="single" w:sz="4" w:space="0" w:color="auto"/>
              <w:bottom w:val="single" w:sz="4" w:space="0" w:color="auto"/>
              <w:right w:val="single" w:sz="4" w:space="0" w:color="auto"/>
            </w:tcBorders>
            <w:vAlign w:val="center"/>
            <w:hideMark/>
          </w:tcPr>
          <w:p w:rsidR="002A71F6" w:rsidRPr="00054588" w:rsidP="002A71F6">
            <w:pPr>
              <w:spacing w:line="360" w:lineRule="auto"/>
              <w:jc w:val="center"/>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公告事项</w:t>
            </w:r>
          </w:p>
        </w:tc>
        <w:tc>
          <w:tcPr>
            <w:tcW w:w="1340" w:type="dxa"/>
            <w:tcBorders>
              <w:top w:val="single" w:sz="4" w:space="0" w:color="auto"/>
              <w:left w:val="single" w:sz="4" w:space="0" w:color="auto"/>
              <w:bottom w:val="single" w:sz="4" w:space="0" w:color="auto"/>
              <w:right w:val="single" w:sz="4" w:space="0" w:color="auto"/>
            </w:tcBorders>
            <w:vAlign w:val="center"/>
            <w:hideMark/>
          </w:tcPr>
          <w:p w:rsidR="002A71F6" w:rsidRPr="00054588" w:rsidP="002A71F6">
            <w:pPr>
              <w:spacing w:line="360" w:lineRule="auto"/>
              <w:jc w:val="center"/>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披露日期</w:t>
            </w:r>
          </w:p>
        </w:tc>
      </w:tr>
      <w:tr>
        <w:tblPrEx>
          <w:tblW w:w="8429" w:type="dxa"/>
          <w:tblInd w:w="93" w:type="dxa"/>
          <w:tblLook w:val="04A0"/>
        </w:tblPrEx>
        <w:tc>
          <w:tcPr>
            <w:tcW w:w="7089"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易方达基金管理有限公司关于成都分公司营业场所变更的公告</w:t>
            </w:r>
          </w:p>
        </w:tc>
        <w:tc>
          <w:tcPr>
            <w:tcW w:w="134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2021-12-17</w:t>
            </w:r>
          </w:p>
        </w:tc>
      </w:tr>
      <w:tr>
        <w:tblPrEx>
          <w:tblW w:w="8429" w:type="dxa"/>
          <w:tblInd w:w="93" w:type="dxa"/>
          <w:tblLook w:val="04A0"/>
        </w:tblPrEx>
        <w:tc>
          <w:tcPr>
            <w:tcW w:w="7089"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易方达增强回报债券型证券投资基金暂停机构客户申购、转换转入及定期定额投资业务的公告</w:t>
            </w:r>
          </w:p>
        </w:tc>
        <w:tc>
          <w:tcPr>
            <w:tcW w:w="134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2021-12-18</w:t>
            </w:r>
          </w:p>
        </w:tc>
      </w:tr>
      <w:tr>
        <w:tblPrEx>
          <w:tblW w:w="8429" w:type="dxa"/>
          <w:tblInd w:w="93" w:type="dxa"/>
          <w:tblLook w:val="04A0"/>
        </w:tblPrEx>
        <w:tc>
          <w:tcPr>
            <w:tcW w:w="7089"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易方达增强回报债券型证券投资基金恢复机构客户申购、转换转入及定期定额投资业务的公告</w:t>
            </w:r>
          </w:p>
        </w:tc>
        <w:tc>
          <w:tcPr>
            <w:tcW w:w="134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2021-12-21</w:t>
            </w:r>
          </w:p>
        </w:tc>
      </w:tr>
      <w:tr>
        <w:tblPrEx>
          <w:tblW w:w="8429" w:type="dxa"/>
          <w:tblInd w:w="93" w:type="dxa"/>
          <w:tblLook w:val="04A0"/>
        </w:tblPrEx>
        <w:tc>
          <w:tcPr>
            <w:tcW w:w="7089"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易方达增强回报债券型证券投资基金分红公告</w:t>
            </w:r>
          </w:p>
        </w:tc>
        <w:tc>
          <w:tcPr>
            <w:tcW w:w="134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2021-12-21</w:t>
            </w:r>
          </w:p>
        </w:tc>
      </w:tr>
      <w:tr>
        <w:tblPrEx>
          <w:tblW w:w="8429" w:type="dxa"/>
          <w:tblInd w:w="93" w:type="dxa"/>
          <w:tblLook w:val="04A0"/>
        </w:tblPrEx>
        <w:tc>
          <w:tcPr>
            <w:tcW w:w="7089"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易方达基金管理有限公司关于旗下公开募集证券投资基金执行新金融工具相关会计准则的公告</w:t>
            </w:r>
          </w:p>
        </w:tc>
        <w:tc>
          <w:tcPr>
            <w:tcW w:w="134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2022-01-01</w:t>
            </w:r>
          </w:p>
        </w:tc>
      </w:tr>
      <w:tr>
        <w:tblPrEx>
          <w:tblW w:w="8429" w:type="dxa"/>
          <w:tblInd w:w="93" w:type="dxa"/>
          <w:tblLook w:val="04A0"/>
        </w:tblPrEx>
        <w:tc>
          <w:tcPr>
            <w:tcW w:w="7089"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易方达基金管理有限公司关于旗下部分基金获配浙江鼎力（603338）非公开发行A股的公告</w:t>
            </w:r>
          </w:p>
        </w:tc>
        <w:tc>
          <w:tcPr>
            <w:tcW w:w="134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2022-01-06</w:t>
            </w:r>
          </w:p>
        </w:tc>
      </w:tr>
      <w:tr>
        <w:tblPrEx>
          <w:tblW w:w="8429" w:type="dxa"/>
          <w:tblInd w:w="93" w:type="dxa"/>
          <w:tblLook w:val="04A0"/>
        </w:tblPrEx>
        <w:tc>
          <w:tcPr>
            <w:tcW w:w="7089"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易方达基金管理有限公司关于公司住所变更的公告</w:t>
            </w:r>
          </w:p>
        </w:tc>
        <w:tc>
          <w:tcPr>
            <w:tcW w:w="134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2022-01-07</w:t>
            </w:r>
          </w:p>
        </w:tc>
      </w:tr>
      <w:tr>
        <w:tblPrEx>
          <w:tblW w:w="8429" w:type="dxa"/>
          <w:tblInd w:w="93" w:type="dxa"/>
          <w:tblLook w:val="04A0"/>
        </w:tblPrEx>
        <w:tc>
          <w:tcPr>
            <w:tcW w:w="7089"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易方达基金管理有限公司关于旗下部分基金获配冀东水泥（000401）非公开发行A股的公告</w:t>
            </w:r>
          </w:p>
        </w:tc>
        <w:tc>
          <w:tcPr>
            <w:tcW w:w="134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2022-01-15</w:t>
            </w:r>
          </w:p>
        </w:tc>
      </w:tr>
      <w:tr>
        <w:tblPrEx>
          <w:tblW w:w="8429" w:type="dxa"/>
          <w:tblInd w:w="93" w:type="dxa"/>
          <w:tblLook w:val="04A0"/>
        </w:tblPrEx>
        <w:tc>
          <w:tcPr>
            <w:tcW w:w="7089"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易方达基金管理有限公司旗下基金2021年第4季度报告提示性公告</w:t>
            </w:r>
          </w:p>
        </w:tc>
        <w:tc>
          <w:tcPr>
            <w:tcW w:w="134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2022-01-21</w:t>
            </w:r>
          </w:p>
        </w:tc>
      </w:tr>
      <w:tr>
        <w:tblPrEx>
          <w:tblW w:w="8429" w:type="dxa"/>
          <w:tblInd w:w="93" w:type="dxa"/>
          <w:tblLook w:val="04A0"/>
        </w:tblPrEx>
        <w:tc>
          <w:tcPr>
            <w:tcW w:w="7089"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易方达基金管理有限公司关于旗下部分基金获配用友网络（600588）非公开发行A股的公告</w:t>
            </w:r>
          </w:p>
        </w:tc>
        <w:tc>
          <w:tcPr>
            <w:tcW w:w="134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2022-01-28</w:t>
            </w:r>
          </w:p>
        </w:tc>
      </w:tr>
      <w:tr>
        <w:tblPrEx>
          <w:tblW w:w="8429" w:type="dxa"/>
          <w:tblInd w:w="93" w:type="dxa"/>
          <w:tblLook w:val="04A0"/>
        </w:tblPrEx>
        <w:tc>
          <w:tcPr>
            <w:tcW w:w="7089"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易方达基金管理有限公司关于旗下部分基金获配天山股份（000877）非公开发行A股的公告</w:t>
            </w:r>
          </w:p>
        </w:tc>
        <w:tc>
          <w:tcPr>
            <w:tcW w:w="134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2022-02-12</w:t>
            </w:r>
          </w:p>
        </w:tc>
      </w:tr>
      <w:tr>
        <w:tblPrEx>
          <w:tblW w:w="8429" w:type="dxa"/>
          <w:tblInd w:w="93" w:type="dxa"/>
          <w:tblLook w:val="04A0"/>
        </w:tblPrEx>
        <w:tc>
          <w:tcPr>
            <w:tcW w:w="7089"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易方达基金管理有限公司关于旗下部分基金获配老百姓（603883）非公开发行A股的公告</w:t>
            </w:r>
          </w:p>
        </w:tc>
        <w:tc>
          <w:tcPr>
            <w:tcW w:w="134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2022-02-16</w:t>
            </w:r>
          </w:p>
        </w:tc>
      </w:tr>
      <w:tr>
        <w:tblPrEx>
          <w:tblW w:w="8429" w:type="dxa"/>
          <w:tblInd w:w="93" w:type="dxa"/>
          <w:tblLook w:val="04A0"/>
        </w:tblPrEx>
        <w:tc>
          <w:tcPr>
            <w:tcW w:w="7089"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易方达基金管理有限公司旗下基金2021年年度报告提示性公告</w:t>
            </w:r>
          </w:p>
        </w:tc>
        <w:tc>
          <w:tcPr>
            <w:tcW w:w="134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2022-03-30</w:t>
            </w:r>
          </w:p>
        </w:tc>
      </w:tr>
      <w:tr>
        <w:tblPrEx>
          <w:tblW w:w="8429" w:type="dxa"/>
          <w:tblInd w:w="93" w:type="dxa"/>
          <w:tblLook w:val="04A0"/>
        </w:tblPrEx>
        <w:tc>
          <w:tcPr>
            <w:tcW w:w="7089"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易方达基金管理有限公司关于提醒投资者及时提供或更新身份信息资料的公告</w:t>
            </w:r>
          </w:p>
        </w:tc>
        <w:tc>
          <w:tcPr>
            <w:tcW w:w="134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2022-04-11</w:t>
            </w:r>
          </w:p>
        </w:tc>
      </w:tr>
      <w:tr>
        <w:tblPrEx>
          <w:tblW w:w="8429" w:type="dxa"/>
          <w:tblInd w:w="93" w:type="dxa"/>
          <w:tblLook w:val="04A0"/>
        </w:tblPrEx>
        <w:tc>
          <w:tcPr>
            <w:tcW w:w="7089"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易方达基金管理有限公司高级管理人员变更公告</w:t>
            </w:r>
          </w:p>
        </w:tc>
        <w:tc>
          <w:tcPr>
            <w:tcW w:w="134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2022-04-21</w:t>
            </w:r>
          </w:p>
        </w:tc>
      </w:tr>
      <w:tr>
        <w:tblPrEx>
          <w:tblW w:w="8429" w:type="dxa"/>
          <w:tblInd w:w="93" w:type="dxa"/>
          <w:tblLook w:val="04A0"/>
        </w:tblPrEx>
        <w:tc>
          <w:tcPr>
            <w:tcW w:w="7089"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易方达基金管理有限公司旗下基金2022年第1季度报告提示性公告</w:t>
            </w:r>
          </w:p>
        </w:tc>
        <w:tc>
          <w:tcPr>
            <w:tcW w:w="134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2022-04-22</w:t>
            </w:r>
          </w:p>
        </w:tc>
      </w:tr>
      <w:tr>
        <w:tblPrEx>
          <w:tblW w:w="8429" w:type="dxa"/>
          <w:tblInd w:w="93" w:type="dxa"/>
          <w:tblLook w:val="04A0"/>
        </w:tblPrEx>
        <w:tc>
          <w:tcPr>
            <w:tcW w:w="7089"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易方达基金管理有限公司关于聘任基金经理助理的公告</w:t>
            </w:r>
          </w:p>
        </w:tc>
        <w:tc>
          <w:tcPr>
            <w:tcW w:w="134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2022-04-27</w:t>
            </w:r>
          </w:p>
        </w:tc>
      </w:tr>
      <w:tr>
        <w:tblPrEx>
          <w:tblW w:w="8429" w:type="dxa"/>
          <w:tblInd w:w="93" w:type="dxa"/>
          <w:tblLook w:val="04A0"/>
        </w:tblPrEx>
        <w:tc>
          <w:tcPr>
            <w:tcW w:w="7089"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易方达基金管理有限公司高级管理人员变更公告</w:t>
            </w:r>
          </w:p>
        </w:tc>
        <w:tc>
          <w:tcPr>
            <w:tcW w:w="134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2022-05-13</w:t>
            </w:r>
          </w:p>
        </w:tc>
      </w:tr>
      <w:tr>
        <w:tblPrEx>
          <w:tblW w:w="8429" w:type="dxa"/>
          <w:tblInd w:w="93" w:type="dxa"/>
          <w:tblLook w:val="04A0"/>
        </w:tblPrEx>
        <w:tc>
          <w:tcPr>
            <w:tcW w:w="7089"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易方达基金管理有限公司关于子公司住所变更的公告</w:t>
            </w:r>
          </w:p>
        </w:tc>
        <w:tc>
          <w:tcPr>
            <w:tcW w:w="134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2022-05-14</w:t>
            </w:r>
          </w:p>
        </w:tc>
      </w:tr>
      <w:tr>
        <w:tblPrEx>
          <w:tblW w:w="8429" w:type="dxa"/>
          <w:tblInd w:w="93" w:type="dxa"/>
          <w:tblLook w:val="04A0"/>
        </w:tblPrEx>
        <w:tc>
          <w:tcPr>
            <w:tcW w:w="7089"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易方达基金管理有限公司关于公司旗下部分基金估值调整情况的公告</w:t>
            </w:r>
          </w:p>
        </w:tc>
        <w:tc>
          <w:tcPr>
            <w:tcW w:w="134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2022-06-07</w:t>
            </w:r>
          </w:p>
        </w:tc>
      </w:tr>
      <w:tr>
        <w:tblPrEx>
          <w:tblW w:w="8429" w:type="dxa"/>
          <w:tblInd w:w="93" w:type="dxa"/>
          <w:tblLook w:val="04A0"/>
        </w:tblPrEx>
        <w:tc>
          <w:tcPr>
            <w:tcW w:w="7089"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关于警惕冒用易方达基金管理有限公司名义进行诈骗活动的特别提示公告</w:t>
            </w:r>
          </w:p>
        </w:tc>
        <w:tc>
          <w:tcPr>
            <w:tcW w:w="134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2022-07-07</w:t>
            </w:r>
          </w:p>
        </w:tc>
      </w:tr>
      <w:tr>
        <w:tblPrEx>
          <w:tblW w:w="8429" w:type="dxa"/>
          <w:tblInd w:w="93" w:type="dxa"/>
          <w:tblLook w:val="04A0"/>
        </w:tblPrEx>
        <w:tc>
          <w:tcPr>
            <w:tcW w:w="7089"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易方达基金管理有限公司关于暂停喜鹊财富基金销售有限公司办理旗下基金相关销售业务的公告</w:t>
            </w:r>
          </w:p>
        </w:tc>
        <w:tc>
          <w:tcPr>
            <w:tcW w:w="134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2022-07-08</w:t>
            </w:r>
          </w:p>
        </w:tc>
      </w:tr>
      <w:tr>
        <w:tblPrEx>
          <w:tblW w:w="8429" w:type="dxa"/>
          <w:tblInd w:w="93" w:type="dxa"/>
          <w:tblLook w:val="04A0"/>
        </w:tblPrEx>
        <w:tc>
          <w:tcPr>
            <w:tcW w:w="7089"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易方达基金管理有限公司旗下基金2022年第2季度报告提示性公告</w:t>
            </w:r>
          </w:p>
        </w:tc>
        <w:tc>
          <w:tcPr>
            <w:tcW w:w="134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2022-07-20</w:t>
            </w:r>
          </w:p>
        </w:tc>
      </w:tr>
      <w:tr>
        <w:tblPrEx>
          <w:tblW w:w="8429" w:type="dxa"/>
          <w:tblInd w:w="93" w:type="dxa"/>
          <w:tblLook w:val="04A0"/>
        </w:tblPrEx>
        <w:tc>
          <w:tcPr>
            <w:tcW w:w="7089"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易方达基金管理有限公司旗下基金2022年中期报告提示性公告</w:t>
            </w:r>
          </w:p>
        </w:tc>
        <w:tc>
          <w:tcPr>
            <w:tcW w:w="134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2022-08-30</w:t>
            </w:r>
          </w:p>
        </w:tc>
      </w:tr>
      <w:tr>
        <w:tblPrEx>
          <w:tblW w:w="8429" w:type="dxa"/>
          <w:tblInd w:w="93" w:type="dxa"/>
          <w:tblLook w:val="04A0"/>
        </w:tblPrEx>
        <w:tc>
          <w:tcPr>
            <w:tcW w:w="7089" w:type="dxa"/>
          </w:tcPr>
          <w:p w:rsidR="009945FE" w:rsidRPr="00054588">
            <w:pPr>
              <w:jc w:val="lef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易方达基金管理有限公司旗下基金2022年第3季度报告提示性公告</w:t>
            </w:r>
          </w:p>
        </w:tc>
        <w:tc>
          <w:tcPr>
            <w:tcW w:w="1340" w:type="dxa"/>
          </w:tcPr>
          <w:p w:rsidR="009945FE" w:rsidRPr="00054588">
            <w:pPr>
              <w:jc w:val="center"/>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2022-10-26</w:t>
            </w:r>
          </w:p>
        </w:tc>
      </w:tr>
    </w:tbl>
    <w:p w:rsidR="004F772B" w:rsidRPr="00054588" w:rsidP="0071223F">
      <w:pPr>
        <w:pStyle w:val="NormalIndent"/>
        <w:snapToGrid w:val="0"/>
        <w:spacing w:line="360" w:lineRule="auto"/>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szCs w:val="21"/>
        </w:rPr>
        <w:t>注：以上公告事项披露在</w:t>
      </w:r>
      <w:r w:rsidRPr="00054588" w:rsidR="00861FDF">
        <w:rPr>
          <w:rFonts w:asciiTheme="minorEastAsia" w:eastAsiaTheme="minorEastAsia" w:hAnsiTheme="minorEastAsia" w:hint="eastAsia"/>
          <w:color w:val="000000" w:themeColor="text1"/>
          <w:szCs w:val="21"/>
        </w:rPr>
        <w:t>规定</w:t>
      </w:r>
      <w:r w:rsidRPr="00054588">
        <w:rPr>
          <w:rFonts w:asciiTheme="minorEastAsia" w:eastAsiaTheme="minorEastAsia" w:hAnsiTheme="minorEastAsia" w:hint="eastAsia"/>
          <w:color w:val="000000" w:themeColor="text1"/>
          <w:szCs w:val="21"/>
        </w:rPr>
        <w:t>媒介及基金管理人网站上。</w:t>
      </w:r>
    </w:p>
    <w:p w:rsidR="000113D5" w:rsidRPr="00054588" w:rsidP="0071223F">
      <w:pPr>
        <w:snapToGrid w:val="0"/>
        <w:spacing w:line="360" w:lineRule="auto"/>
        <w:rPr>
          <w:rFonts w:asciiTheme="minorEastAsia" w:eastAsiaTheme="minorEastAsia" w:hAnsiTheme="minorEastAsia"/>
          <w:color w:val="000000" w:themeColor="text1"/>
        </w:rPr>
        <w:sectPr w:rsidSect="00DE4B5E">
          <w:pgSz w:w="11906" w:h="16838" w:code="9"/>
          <w:pgMar w:top="1440" w:right="1800" w:bottom="1440" w:left="1800" w:header="851" w:footer="992" w:gutter="0"/>
          <w:cols w:space="425"/>
          <w:docGrid w:type="lines" w:linePitch="312"/>
        </w:sectPr>
      </w:pPr>
    </w:p>
    <w:p w:rsidR="007228CC" w:rsidRPr="00054588" w:rsidP="002A71F6">
      <w:pPr>
        <w:pStyle w:val="111"/>
        <w:numPr>
          <w:ilvl w:val="0"/>
          <w:numId w:val="7"/>
        </w:numPr>
        <w:tabs>
          <w:tab w:val="num" w:pos="0"/>
          <w:tab w:val="clear" w:pos="2798"/>
        </w:tabs>
        <w:snapToGrid w:val="0"/>
        <w:spacing w:beforeLines="0" w:afterLines="0" w:line="360" w:lineRule="auto"/>
        <w:ind w:left="0" w:firstLine="0" w:firstLineChars="0"/>
        <w:rPr>
          <w:rFonts w:asciiTheme="minorEastAsia" w:eastAsiaTheme="minorEastAsia" w:hAnsiTheme="minorEastAsia"/>
          <w:b/>
          <w:color w:val="000000" w:themeColor="text1"/>
        </w:rPr>
      </w:pPr>
      <w:bookmarkStart w:id="4175" w:name="_Toc123296539"/>
      <w:r w:rsidRPr="00054588">
        <w:rPr>
          <w:rFonts w:asciiTheme="minorEastAsia" w:eastAsiaTheme="minorEastAsia" w:hAnsiTheme="minorEastAsia" w:hint="eastAsia"/>
          <w:b/>
          <w:color w:val="000000" w:themeColor="text1"/>
        </w:rPr>
        <w:t>招募说明书存放及查阅方式</w:t>
      </w:r>
      <w:bookmarkEnd w:id="4173"/>
      <w:bookmarkEnd w:id="4174"/>
      <w:bookmarkEnd w:id="4175"/>
    </w:p>
    <w:p w:rsidR="007228CC" w:rsidRPr="00054588" w:rsidP="0071223F">
      <w:pPr>
        <w:snapToGrid w:val="0"/>
        <w:spacing w:line="360" w:lineRule="auto"/>
        <w:ind w:firstLine="48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szCs w:val="21"/>
        </w:rPr>
        <w:t>本招募说明书存放在基金管理人及基金</w:t>
      </w:r>
      <w:r w:rsidRPr="00054588" w:rsidR="00236E5B">
        <w:rPr>
          <w:rFonts w:asciiTheme="minorEastAsia" w:eastAsiaTheme="minorEastAsia" w:hAnsiTheme="minorEastAsia" w:hint="eastAsia"/>
          <w:color w:val="000000" w:themeColor="text1"/>
          <w:szCs w:val="21"/>
        </w:rPr>
        <w:t>销售</w:t>
      </w:r>
      <w:r w:rsidRPr="00054588">
        <w:rPr>
          <w:rFonts w:asciiTheme="minorEastAsia" w:eastAsiaTheme="minorEastAsia" w:hAnsiTheme="minorEastAsia" w:hint="eastAsia"/>
          <w:color w:val="000000" w:themeColor="text1"/>
          <w:szCs w:val="21"/>
        </w:rPr>
        <w:t>机构</w:t>
      </w:r>
      <w:r w:rsidRPr="00054588" w:rsidR="00861FDF">
        <w:rPr>
          <w:rFonts w:asciiTheme="minorEastAsia" w:eastAsiaTheme="minorEastAsia" w:hAnsiTheme="minorEastAsia" w:hint="eastAsia"/>
          <w:color w:val="000000" w:themeColor="text1"/>
          <w:szCs w:val="21"/>
        </w:rPr>
        <w:t>处</w:t>
      </w:r>
      <w:r w:rsidRPr="00054588">
        <w:rPr>
          <w:rFonts w:asciiTheme="minorEastAsia" w:eastAsiaTheme="minorEastAsia" w:hAnsiTheme="minorEastAsia" w:hint="eastAsia"/>
          <w:color w:val="000000" w:themeColor="text1"/>
          <w:szCs w:val="21"/>
        </w:rPr>
        <w:t>，投资者可在营业时间免费查阅，也可按工本费购买复印件。</w:t>
      </w:r>
      <w:r w:rsidRPr="00054588">
        <w:rPr>
          <w:rFonts w:asciiTheme="minorEastAsia" w:eastAsiaTheme="minorEastAsia" w:hAnsiTheme="minorEastAsia"/>
          <w:color w:val="000000" w:themeColor="text1"/>
        </w:rPr>
        <w:t>基金管理人和基金托管人保证</w:t>
      </w:r>
      <w:r w:rsidRPr="00054588">
        <w:rPr>
          <w:rFonts w:asciiTheme="minorEastAsia" w:eastAsiaTheme="minorEastAsia" w:hAnsiTheme="minorEastAsia" w:hint="eastAsia"/>
          <w:color w:val="000000" w:themeColor="text1"/>
        </w:rPr>
        <w:t>其所提供的</w:t>
      </w:r>
      <w:r w:rsidRPr="00054588">
        <w:rPr>
          <w:rFonts w:asciiTheme="minorEastAsia" w:eastAsiaTheme="minorEastAsia" w:hAnsiTheme="minorEastAsia"/>
          <w:color w:val="000000" w:themeColor="text1"/>
        </w:rPr>
        <w:t>文本的内容与所公告的内容完全一致。</w:t>
      </w:r>
    </w:p>
    <w:p w:rsidR="007228CC" w:rsidRPr="00054588" w:rsidP="0071223F">
      <w:pPr>
        <w:snapToGrid w:val="0"/>
        <w:spacing w:line="360" w:lineRule="auto"/>
        <w:ind w:firstLine="480"/>
        <w:rPr>
          <w:rFonts w:asciiTheme="minorEastAsia" w:eastAsiaTheme="minorEastAsia" w:hAnsiTheme="minorEastAsia"/>
          <w:color w:val="000000" w:themeColor="text1"/>
        </w:rPr>
      </w:pPr>
    </w:p>
    <w:p w:rsidR="007228CC" w:rsidRPr="00054588" w:rsidP="00941EC8">
      <w:pPr>
        <w:pStyle w:val="Heading1"/>
        <w:numPr>
          <w:ilvl w:val="0"/>
          <w:numId w:val="9"/>
        </w:numPr>
        <w:snapToGrid w:val="0"/>
        <w:spacing w:beforeLines="0" w:afterLines="0" w:line="360" w:lineRule="auto"/>
        <w:ind w:left="0" w:firstLine="0" w:firstLineChars="0"/>
        <w:rPr>
          <w:rFonts w:asciiTheme="minorEastAsia" w:eastAsiaTheme="minorEastAsia" w:hAnsiTheme="minorEastAsia"/>
          <w:color w:val="000000" w:themeColor="text1"/>
        </w:rPr>
        <w:sectPr w:rsidSect="00DE4B5E">
          <w:pgSz w:w="11906" w:h="16838" w:code="9"/>
          <w:pgMar w:top="1440" w:right="1800" w:bottom="1440" w:left="1800" w:header="851" w:footer="992" w:gutter="0"/>
          <w:cols w:space="425"/>
          <w:docGrid w:type="lines" w:linePitch="312"/>
        </w:sectPr>
      </w:pPr>
    </w:p>
    <w:p w:rsidR="007228CC" w:rsidRPr="00054588" w:rsidP="002A71F6">
      <w:pPr>
        <w:pStyle w:val="111"/>
        <w:numPr>
          <w:ilvl w:val="0"/>
          <w:numId w:val="7"/>
        </w:numPr>
        <w:tabs>
          <w:tab w:val="num" w:pos="0"/>
          <w:tab w:val="clear" w:pos="2798"/>
        </w:tabs>
        <w:snapToGrid w:val="0"/>
        <w:spacing w:beforeLines="0" w:afterLines="0" w:line="360" w:lineRule="auto"/>
        <w:ind w:left="0" w:firstLine="0" w:firstLineChars="0"/>
        <w:rPr>
          <w:rFonts w:asciiTheme="minorEastAsia" w:eastAsiaTheme="minorEastAsia" w:hAnsiTheme="minorEastAsia"/>
          <w:b/>
          <w:color w:val="000000" w:themeColor="text1"/>
        </w:rPr>
      </w:pPr>
      <w:bookmarkStart w:id="4176" w:name="_Toc123296540"/>
      <w:r w:rsidRPr="00054588">
        <w:rPr>
          <w:rFonts w:asciiTheme="minorEastAsia" w:eastAsiaTheme="minorEastAsia" w:hAnsiTheme="minorEastAsia" w:hint="eastAsia"/>
          <w:b/>
          <w:color w:val="000000" w:themeColor="text1"/>
        </w:rPr>
        <w:t>备查文件</w:t>
      </w:r>
      <w:bookmarkEnd w:id="4176"/>
    </w:p>
    <w:p w:rsidR="007228CC" w:rsidRPr="00054588" w:rsidP="0071223F">
      <w:pPr>
        <w:snapToGrid w:val="0"/>
        <w:spacing w:line="360" w:lineRule="auto"/>
        <w:ind w:firstLine="42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1、中国证监会核准易方达增强回报债券型证券投资基金募集的文件；</w:t>
      </w:r>
    </w:p>
    <w:p w:rsidR="007228CC" w:rsidRPr="00054588" w:rsidP="0071223F">
      <w:pPr>
        <w:pStyle w:val="BodyTextFirstIndent"/>
        <w:autoSpaceDE w:val="0"/>
        <w:autoSpaceDN w:val="0"/>
        <w:adjustRightInd w:val="0"/>
        <w:snapToGrid w:val="0"/>
        <w:spacing w:after="0" w:line="360" w:lineRule="auto"/>
        <w:ind w:firstLineChars="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2、《易方达增强回报债券型证券投资基金基金合同》；</w:t>
      </w:r>
    </w:p>
    <w:p w:rsidR="007228CC" w:rsidRPr="00054588" w:rsidP="0071223F">
      <w:pPr>
        <w:pStyle w:val="BodyTextFirstIndent"/>
        <w:autoSpaceDE w:val="0"/>
        <w:autoSpaceDN w:val="0"/>
        <w:adjustRightInd w:val="0"/>
        <w:snapToGrid w:val="0"/>
        <w:spacing w:after="0" w:line="360" w:lineRule="auto"/>
        <w:ind w:firstLineChars="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3、《易方达基金管理有限公司开放式基金业务规则》；</w:t>
      </w:r>
    </w:p>
    <w:p w:rsidR="007228CC" w:rsidRPr="00054588" w:rsidP="0071223F">
      <w:pPr>
        <w:snapToGrid w:val="0"/>
        <w:spacing w:line="360" w:lineRule="auto"/>
        <w:ind w:firstLine="42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4、《易方达增强回报债券型证券投资基金托管协议》；</w:t>
      </w:r>
    </w:p>
    <w:p w:rsidR="007228CC" w:rsidRPr="00054588" w:rsidP="0071223F">
      <w:pPr>
        <w:snapToGrid w:val="0"/>
        <w:spacing w:line="360" w:lineRule="auto"/>
        <w:ind w:firstLine="42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rPr>
        <w:t>5、法律意见书；</w:t>
      </w:r>
    </w:p>
    <w:p w:rsidR="007228CC" w:rsidRPr="00054588" w:rsidP="0071223F">
      <w:pPr>
        <w:snapToGrid w:val="0"/>
        <w:spacing w:line="360" w:lineRule="auto"/>
        <w:ind w:firstLine="42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6、基金管理人业务资格批件和营业执照；</w:t>
      </w:r>
    </w:p>
    <w:p w:rsidR="007228CC" w:rsidRPr="00054588" w:rsidP="0071223F">
      <w:pPr>
        <w:snapToGrid w:val="0"/>
        <w:spacing w:line="360" w:lineRule="auto"/>
        <w:ind w:firstLine="42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7、基金托管人业务资格批件和营业执照。</w:t>
      </w:r>
    </w:p>
    <w:p w:rsidR="007228CC" w:rsidRPr="00054588" w:rsidP="0071223F">
      <w:pPr>
        <w:snapToGrid w:val="0"/>
        <w:spacing w:line="360" w:lineRule="auto"/>
        <w:ind w:firstLine="420" w:firstLineChars="200"/>
        <w:rPr>
          <w:rFonts w:asciiTheme="minorEastAsia" w:eastAsiaTheme="minorEastAsia" w:hAnsiTheme="minorEastAsia"/>
          <w:color w:val="000000" w:themeColor="text1"/>
        </w:rPr>
      </w:pPr>
      <w:r w:rsidRPr="00054588">
        <w:rPr>
          <w:rFonts w:asciiTheme="minorEastAsia" w:eastAsiaTheme="minorEastAsia" w:hAnsiTheme="minorEastAsia" w:hint="eastAsia"/>
          <w:color w:val="000000" w:themeColor="text1"/>
        </w:rPr>
        <w:t>存放地点：基金管理人处</w:t>
      </w:r>
    </w:p>
    <w:p w:rsidR="007228CC" w:rsidRPr="00054588" w:rsidP="0071223F">
      <w:pPr>
        <w:snapToGrid w:val="0"/>
        <w:spacing w:line="360" w:lineRule="auto"/>
        <w:ind w:firstLine="420" w:firstLineChars="200"/>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rPr>
        <w:t>查阅方式：投资者可在营业时间免费查阅，也可按工本费购买复印件。</w:t>
      </w:r>
    </w:p>
    <w:p w:rsidR="007228CC" w:rsidRPr="00054588" w:rsidP="0071223F">
      <w:pPr>
        <w:snapToGrid w:val="0"/>
        <w:spacing w:line="360" w:lineRule="auto"/>
        <w:ind w:left="480"/>
        <w:rPr>
          <w:rFonts w:asciiTheme="minorEastAsia" w:eastAsiaTheme="minorEastAsia" w:hAnsiTheme="minorEastAsia"/>
          <w:color w:val="000000" w:themeColor="text1"/>
          <w:szCs w:val="21"/>
        </w:rPr>
      </w:pPr>
    </w:p>
    <w:p w:rsidR="00F04093" w:rsidRPr="00054588" w:rsidP="0071223F">
      <w:pPr>
        <w:snapToGrid w:val="0"/>
        <w:spacing w:line="360" w:lineRule="auto"/>
        <w:ind w:left="480"/>
        <w:rPr>
          <w:rFonts w:asciiTheme="minorEastAsia" w:eastAsiaTheme="minorEastAsia" w:hAnsiTheme="minorEastAsia"/>
          <w:color w:val="000000" w:themeColor="text1"/>
          <w:szCs w:val="21"/>
        </w:rPr>
      </w:pPr>
    </w:p>
    <w:p w:rsidR="00F04093" w:rsidRPr="00054588" w:rsidP="0071223F">
      <w:pPr>
        <w:snapToGrid w:val="0"/>
        <w:spacing w:line="360" w:lineRule="auto"/>
        <w:ind w:left="480"/>
        <w:jc w:val="right"/>
        <w:rPr>
          <w:rFonts w:asciiTheme="minorEastAsia" w:eastAsiaTheme="minorEastAsia" w:hAnsiTheme="minorEastAsia"/>
          <w:color w:val="000000" w:themeColor="text1"/>
          <w:szCs w:val="21"/>
        </w:rPr>
      </w:pPr>
      <w:r w:rsidRPr="00054588">
        <w:rPr>
          <w:rFonts w:asciiTheme="minorEastAsia" w:eastAsiaTheme="minorEastAsia" w:hAnsiTheme="minorEastAsia" w:hint="eastAsia"/>
          <w:color w:val="000000" w:themeColor="text1"/>
          <w:szCs w:val="21"/>
        </w:rPr>
        <w:t>易方达基金管理有限公司</w:t>
      </w:r>
    </w:p>
    <w:p w:rsidR="00DE4B5E" w:rsidRPr="00054588" w:rsidP="002A71F6">
      <w:pPr>
        <w:snapToGrid w:val="0"/>
        <w:spacing w:line="360" w:lineRule="auto"/>
        <w:ind w:right="420"/>
        <w:jc w:val="right"/>
        <w:rPr>
          <w:rFonts w:asciiTheme="minorEastAsia" w:eastAsiaTheme="minorEastAsia" w:hAnsiTheme="minorEastAsia"/>
          <w:color w:val="000000" w:themeColor="text1"/>
        </w:rPr>
      </w:pPr>
      <w:r w:rsidRPr="00054588">
        <w:rPr>
          <w:rFonts w:asciiTheme="minorEastAsia" w:eastAsiaTheme="minorEastAsia" w:hAnsiTheme="minorEastAsia"/>
          <w:color w:val="000000" w:themeColor="text1"/>
        </w:rPr>
        <w:t>2022年12月3</w:t>
      </w:r>
      <w:r w:rsidRPr="00054588" w:rsidR="00054588">
        <w:rPr>
          <w:rFonts w:asciiTheme="minorEastAsia" w:eastAsiaTheme="minorEastAsia" w:hAnsiTheme="minorEastAsia"/>
          <w:color w:val="000000" w:themeColor="text1"/>
        </w:rPr>
        <w:t>1</w:t>
      </w:r>
      <w:r w:rsidRPr="00054588">
        <w:rPr>
          <w:rFonts w:asciiTheme="minorEastAsia" w:eastAsiaTheme="minorEastAsia" w:hAnsiTheme="minorEastAsia"/>
          <w:color w:val="000000" w:themeColor="text1"/>
        </w:rPr>
        <w:t>日</w:t>
      </w:r>
    </w:p>
    <w:sectPr w:rsidSect="00DE4B5E">
      <w:pgSz w:w="11906" w:h="16838" w:code="9"/>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1B05" w:rsidP="00DE4B5E">
    <w:pPr>
      <w:pStyle w:val="Footer"/>
      <w:framePr w:wrap="around" w:vAnchor="text" w:hAnchor="margin" w:xAlign="center" w:y="1"/>
      <w:ind w:firstLine="360"/>
      <w:rPr>
        <w:rStyle w:val="PageNumber"/>
      </w:rPr>
    </w:pPr>
    <w:r>
      <w:rPr>
        <w:rStyle w:val="PageNumber"/>
      </w:rPr>
      <w:fldChar w:fldCharType="begin"/>
    </w:r>
    <w:r>
      <w:rPr>
        <w:rStyle w:val="PageNumber"/>
      </w:rPr>
      <w:instrText xml:space="preserve">PAGE  </w:instrText>
    </w:r>
    <w:r>
      <w:rPr>
        <w:rStyle w:val="Char"/>
      </w:rPr>
      <w:fldChar w:fldCharType="separate"/>
    </w:r>
    <w:r>
      <w:rPr>
        <w:rStyle w:val="Char"/>
      </w:rPr>
      <w:fldChar w:fldCharType="end"/>
    </w:r>
  </w:p>
  <w:p w:rsidR="00A41B05" w:rsidP="00DE4B5E">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1B05" w:rsidP="00DE4B5E">
    <w:pPr>
      <w:pStyle w:val="Footer"/>
      <w:tabs>
        <w:tab w:val="left" w:pos="4440"/>
        <w:tab w:val="clear" w:pos="8306"/>
      </w:tabs>
      <w:ind w:firstLine="3980" w:firstLineChars="2211"/>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1B05" w:rsidP="00DE4B5E">
    <w:pPr>
      <w:pStyle w:val="Footer"/>
      <w:ind w:firstLine="4140" w:firstLineChars="230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1B05" w:rsidP="006523F7">
    <w:pPr>
      <w:pStyle w:val="Footer"/>
      <w:framePr w:h="256" w:hRule="exact" w:wrap="around" w:vAnchor="text" w:hAnchor="page" w:x="5611" w:y="-34"/>
      <w:ind w:firstLine="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106</w:t>
    </w:r>
    <w:r>
      <w:rPr>
        <w:rStyle w:val="PageNumber"/>
      </w:rPr>
      <w:fldChar w:fldCharType="end"/>
    </w:r>
  </w:p>
  <w:p w:rsidR="00A41B05" w:rsidRPr="006523F7" w:rsidP="006523F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1B05" w:rsidP="00DE4B5E">
    <w:pPr>
      <w:pStyle w:val="Footer"/>
      <w:framePr w:wrap="around" w:vAnchor="text" w:hAnchor="margin" w:xAlign="center" w:y="1"/>
      <w:ind w:firstLine="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A41B05" w:rsidP="00DE4B5E">
    <w:pPr>
      <w:pStyle w:val="Footer"/>
      <w:ind w:firstLine="4140" w:firstLineChars="230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1B05" w:rsidP="00DE4B5E">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1B05" w:rsidRPr="00244240" w:rsidP="00244240">
    <w:pPr>
      <w:pStyle w:val="Header"/>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1B05" w:rsidRPr="002A7F91" w:rsidP="002A7F91">
    <w:pPr>
      <w:pStyle w:val="Header"/>
      <w:pBdr>
        <w:bottom w:val="none" w:sz="0" w:space="0" w:color="auto"/>
      </w:pBdr>
      <w:ind w:firstLine="360"/>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DA78B9"/>
    <w:multiLevelType w:val="hybridMultilevel"/>
    <w:tmpl w:val="FEA6D152"/>
    <w:lvl w:ilvl="0">
      <w:start w:val="1"/>
      <w:numFmt w:val="lowerLetter"/>
      <w:lvlText w:val="%1)"/>
      <w:lvlJc w:val="left"/>
      <w:pPr>
        <w:tabs>
          <w:tab w:val="num" w:pos="960"/>
        </w:tabs>
        <w:ind w:left="960" w:hanging="420"/>
      </w:pPr>
    </w:lvl>
    <w:lvl w:ilvl="1" w:tentative="1">
      <w:start w:val="1"/>
      <w:numFmt w:val="lowerLetter"/>
      <w:lvlText w:val="%2)"/>
      <w:lvlJc w:val="left"/>
      <w:pPr>
        <w:tabs>
          <w:tab w:val="num" w:pos="1380"/>
        </w:tabs>
        <w:ind w:left="1380" w:hanging="420"/>
      </w:pPr>
    </w:lvl>
    <w:lvl w:ilvl="2" w:tentative="1">
      <w:start w:val="1"/>
      <w:numFmt w:val="lowerRoman"/>
      <w:lvlText w:val="%3."/>
      <w:lvlJc w:val="right"/>
      <w:pPr>
        <w:tabs>
          <w:tab w:val="num" w:pos="1800"/>
        </w:tabs>
        <w:ind w:left="1800" w:hanging="420"/>
      </w:pPr>
    </w:lvl>
    <w:lvl w:ilvl="3" w:tentative="1">
      <w:start w:val="1"/>
      <w:numFmt w:val="decimal"/>
      <w:lvlText w:val="%4."/>
      <w:lvlJc w:val="left"/>
      <w:pPr>
        <w:tabs>
          <w:tab w:val="num" w:pos="2220"/>
        </w:tabs>
        <w:ind w:left="2220" w:hanging="420"/>
      </w:pPr>
    </w:lvl>
    <w:lvl w:ilvl="4" w:tentative="1">
      <w:start w:val="1"/>
      <w:numFmt w:val="lowerLetter"/>
      <w:lvlText w:val="%5)"/>
      <w:lvlJc w:val="left"/>
      <w:pPr>
        <w:tabs>
          <w:tab w:val="num" w:pos="2640"/>
        </w:tabs>
        <w:ind w:left="2640" w:hanging="420"/>
      </w:pPr>
    </w:lvl>
    <w:lvl w:ilvl="5" w:tentative="1">
      <w:start w:val="1"/>
      <w:numFmt w:val="lowerRoman"/>
      <w:lvlText w:val="%6."/>
      <w:lvlJc w:val="right"/>
      <w:pPr>
        <w:tabs>
          <w:tab w:val="num" w:pos="3060"/>
        </w:tabs>
        <w:ind w:left="3060" w:hanging="420"/>
      </w:pPr>
    </w:lvl>
    <w:lvl w:ilvl="6" w:tentative="1">
      <w:start w:val="1"/>
      <w:numFmt w:val="decimal"/>
      <w:lvlText w:val="%7."/>
      <w:lvlJc w:val="left"/>
      <w:pPr>
        <w:tabs>
          <w:tab w:val="num" w:pos="3480"/>
        </w:tabs>
        <w:ind w:left="3480" w:hanging="420"/>
      </w:pPr>
    </w:lvl>
    <w:lvl w:ilvl="7" w:tentative="1">
      <w:start w:val="1"/>
      <w:numFmt w:val="lowerLetter"/>
      <w:lvlText w:val="%8)"/>
      <w:lvlJc w:val="left"/>
      <w:pPr>
        <w:tabs>
          <w:tab w:val="num" w:pos="3900"/>
        </w:tabs>
        <w:ind w:left="3900" w:hanging="420"/>
      </w:pPr>
    </w:lvl>
    <w:lvl w:ilvl="8" w:tentative="1">
      <w:start w:val="1"/>
      <w:numFmt w:val="lowerRoman"/>
      <w:lvlText w:val="%9."/>
      <w:lvlJc w:val="right"/>
      <w:pPr>
        <w:tabs>
          <w:tab w:val="num" w:pos="4320"/>
        </w:tabs>
        <w:ind w:left="4320" w:hanging="420"/>
      </w:pPr>
    </w:lvl>
  </w:abstractNum>
  <w:abstractNum w:abstractNumId="1">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Heading4"/>
      <w:suff w:val="nothing"/>
      <w:lvlJc w:val="left"/>
      <w:pPr>
        <w:ind w:left="851" w:firstLine="0"/>
      </w:pPr>
      <w:rPr>
        <w:rFonts w:hint="eastAsia"/>
      </w:rPr>
    </w:lvl>
    <w:lvl w:ilvl="4">
      <w:start w:val="1"/>
      <w:numFmt w:val="none"/>
      <w:pStyle w:val="Heading5"/>
      <w:suff w:val="nothing"/>
      <w:lvlJc w:val="left"/>
      <w:pPr>
        <w:ind w:left="851" w:firstLine="0"/>
      </w:pPr>
      <w:rPr>
        <w:rFonts w:hint="eastAsia"/>
      </w:rPr>
    </w:lvl>
    <w:lvl w:ilvl="5">
      <w:start w:val="1"/>
      <w:numFmt w:val="none"/>
      <w:pStyle w:val="Heading6"/>
      <w:suff w:val="nothing"/>
      <w:lvlJc w:val="left"/>
      <w:pPr>
        <w:ind w:left="851" w:firstLine="0"/>
      </w:pPr>
      <w:rPr>
        <w:rFonts w:hint="eastAsia"/>
      </w:rPr>
    </w:lvl>
    <w:lvl w:ilvl="6">
      <w:start w:val="1"/>
      <w:numFmt w:val="none"/>
      <w:pStyle w:val="Heading7"/>
      <w:suff w:val="nothing"/>
      <w:lvlJc w:val="left"/>
      <w:pPr>
        <w:ind w:left="851" w:firstLine="0"/>
      </w:pPr>
      <w:rPr>
        <w:rFonts w:hint="eastAsia"/>
      </w:rPr>
    </w:lvl>
    <w:lvl w:ilvl="7">
      <w:start w:val="1"/>
      <w:numFmt w:val="none"/>
      <w:pStyle w:val="Heading8"/>
      <w:suff w:val="nothing"/>
      <w:lvlJc w:val="left"/>
      <w:pPr>
        <w:ind w:left="851" w:firstLine="0"/>
      </w:pPr>
      <w:rPr>
        <w:rFonts w:hint="eastAsia"/>
      </w:rPr>
    </w:lvl>
    <w:lvl w:ilvl="8">
      <w:start w:val="1"/>
      <w:numFmt w:val="none"/>
      <w:pStyle w:val="Heading9"/>
      <w:suff w:val="nothing"/>
      <w:lvlJc w:val="left"/>
      <w:pPr>
        <w:ind w:left="851" w:firstLine="0"/>
      </w:pPr>
      <w:rPr>
        <w:rFonts w:hint="eastAsia"/>
      </w:rPr>
    </w:lvl>
  </w:abstractNum>
  <w:abstractNum w:abstractNumId="2">
    <w:nsid w:val="456C7310"/>
    <w:multiLevelType w:val="hybridMultilevel"/>
    <w:tmpl w:val="2EC46E02"/>
    <w:lvl w:ilvl="0">
      <w:start w:val="1"/>
      <w:numFmt w:val="japaneseCounting"/>
      <w:pStyle w:val="TOC6"/>
      <w:lvlText w:val="%1、"/>
      <w:lvlJc w:val="left"/>
      <w:pPr>
        <w:tabs>
          <w:tab w:val="num" w:pos="720"/>
        </w:tabs>
        <w:ind w:left="720" w:hanging="72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3">
    <w:nsid w:val="4B385D0F"/>
    <w:multiLevelType w:val="hybridMultilevel"/>
    <w:tmpl w:val="36E8BDCC"/>
    <w:lvl w:ilvl="0">
      <w:start w:val="1"/>
      <w:numFmt w:val="japaneseCounting"/>
      <w:lvlText w:val="（%1）"/>
      <w:lvlJc w:val="left"/>
      <w:pPr>
        <w:tabs>
          <w:tab w:val="num" w:pos="720"/>
        </w:tabs>
        <w:ind w:left="720" w:hanging="720"/>
      </w:pPr>
      <w:rPr>
        <w:rFonts w:hint="eastAsia"/>
      </w:rPr>
    </w:lvl>
    <w:lvl w:ilvl="1">
      <w:start w:val="1"/>
      <w:numFmt w:val="decimal"/>
      <w:pStyle w:val="CharCharCharCharCharCharChar"/>
      <w:lvlText w:val="%2、"/>
      <w:lvlJc w:val="left"/>
      <w:pPr>
        <w:tabs>
          <w:tab w:val="num" w:pos="780"/>
        </w:tabs>
        <w:ind w:left="780" w:hanging="360"/>
      </w:pPr>
      <w:rPr>
        <w:rFonts w:hint="eastAsia"/>
      </w:r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4">
    <w:nsid w:val="5D2C2F22"/>
    <w:multiLevelType w:val="hybridMultilevel"/>
    <w:tmpl w:val="8AE85736"/>
    <w:lvl w:ilvl="0">
      <w:start w:val="1"/>
      <w:numFmt w:val="chineseCountingThousand"/>
      <w:lvlText w:val="%1、"/>
      <w:lvlJc w:val="left"/>
      <w:pPr>
        <w:tabs>
          <w:tab w:val="num" w:pos="2798"/>
        </w:tabs>
        <w:ind w:left="2798" w:hanging="896"/>
      </w:pPr>
      <w:rPr>
        <w:rFonts w:asciiTheme="minorEastAsia" w:eastAsiaTheme="minorEastAsia" w:hAnsiTheme="minorEastAsia" w:hint="eastAsia"/>
        <w:b/>
        <w:i w:val="0"/>
        <w:sz w:val="32"/>
        <w:szCs w:val="32"/>
      </w:rPr>
    </w:lvl>
    <w:lvl w:ilvl="1">
      <w:start w:val="1"/>
      <w:numFmt w:val="decimal"/>
      <w:lvlText w:val="%2."/>
      <w:lvlJc w:val="left"/>
      <w:pPr>
        <w:tabs>
          <w:tab w:val="num" w:pos="643"/>
        </w:tabs>
        <w:ind w:left="1063" w:firstLine="0"/>
      </w:pPr>
      <w:rPr>
        <w:rFonts w:ascii="宋体" w:eastAsia="宋体" w:hAnsi="宋体" w:hint="eastAsia"/>
        <w:b w:val="0"/>
        <w:i w:val="0"/>
        <w:sz w:val="21"/>
        <w:szCs w:val="21"/>
      </w:rPr>
    </w:lvl>
    <w:lvl w:ilvl="2" w:tentative="1">
      <w:start w:val="1"/>
      <w:numFmt w:val="lowerRoman"/>
      <w:lvlText w:val="%3."/>
      <w:lvlJc w:val="right"/>
      <w:pPr>
        <w:tabs>
          <w:tab w:val="num" w:pos="1903"/>
        </w:tabs>
        <w:ind w:left="1903" w:hanging="420"/>
      </w:pPr>
    </w:lvl>
    <w:lvl w:ilvl="3" w:tentative="1">
      <w:start w:val="1"/>
      <w:numFmt w:val="decimal"/>
      <w:lvlText w:val="%4."/>
      <w:lvlJc w:val="left"/>
      <w:pPr>
        <w:tabs>
          <w:tab w:val="num" w:pos="2323"/>
        </w:tabs>
        <w:ind w:left="2323" w:hanging="420"/>
      </w:pPr>
    </w:lvl>
    <w:lvl w:ilvl="4" w:tentative="1">
      <w:start w:val="1"/>
      <w:numFmt w:val="lowerLetter"/>
      <w:lvlText w:val="%5)"/>
      <w:lvlJc w:val="left"/>
      <w:pPr>
        <w:tabs>
          <w:tab w:val="num" w:pos="2743"/>
        </w:tabs>
        <w:ind w:left="2743" w:hanging="420"/>
      </w:pPr>
    </w:lvl>
    <w:lvl w:ilvl="5" w:tentative="1">
      <w:start w:val="1"/>
      <w:numFmt w:val="lowerRoman"/>
      <w:lvlText w:val="%6."/>
      <w:lvlJc w:val="right"/>
      <w:pPr>
        <w:tabs>
          <w:tab w:val="num" w:pos="3163"/>
        </w:tabs>
        <w:ind w:left="3163" w:hanging="420"/>
      </w:pPr>
    </w:lvl>
    <w:lvl w:ilvl="6" w:tentative="1">
      <w:start w:val="1"/>
      <w:numFmt w:val="decimal"/>
      <w:lvlText w:val="%7."/>
      <w:lvlJc w:val="left"/>
      <w:pPr>
        <w:tabs>
          <w:tab w:val="num" w:pos="3583"/>
        </w:tabs>
        <w:ind w:left="3583" w:hanging="420"/>
      </w:pPr>
    </w:lvl>
    <w:lvl w:ilvl="7" w:tentative="1">
      <w:start w:val="1"/>
      <w:numFmt w:val="lowerLetter"/>
      <w:lvlText w:val="%8)"/>
      <w:lvlJc w:val="left"/>
      <w:pPr>
        <w:tabs>
          <w:tab w:val="num" w:pos="4003"/>
        </w:tabs>
        <w:ind w:left="4003" w:hanging="420"/>
      </w:pPr>
    </w:lvl>
    <w:lvl w:ilvl="8" w:tentative="1">
      <w:start w:val="1"/>
      <w:numFmt w:val="lowerRoman"/>
      <w:lvlText w:val="%9."/>
      <w:lvlJc w:val="right"/>
      <w:pPr>
        <w:tabs>
          <w:tab w:val="num" w:pos="4423"/>
        </w:tabs>
        <w:ind w:left="4423" w:hanging="420"/>
      </w:pPr>
    </w:lvl>
  </w:abstractNum>
  <w:abstractNum w:abstractNumId="5">
    <w:nsid w:val="615E22BF"/>
    <w:multiLevelType w:val="hybridMultilevel"/>
    <w:tmpl w:val="8AE85736"/>
    <w:lvl w:ilvl="0">
      <w:start w:val="1"/>
      <w:numFmt w:val="chineseCountingThousand"/>
      <w:lvlText w:val="%1、"/>
      <w:lvlJc w:val="left"/>
      <w:pPr>
        <w:tabs>
          <w:tab w:val="num" w:pos="2798"/>
        </w:tabs>
        <w:ind w:left="2798" w:hanging="896"/>
      </w:pPr>
      <w:rPr>
        <w:rFonts w:asciiTheme="minorEastAsia" w:eastAsiaTheme="minorEastAsia" w:hAnsiTheme="minorEastAsia" w:hint="eastAsia"/>
        <w:b/>
        <w:i w:val="0"/>
        <w:sz w:val="32"/>
        <w:szCs w:val="32"/>
      </w:rPr>
    </w:lvl>
    <w:lvl w:ilvl="1">
      <w:start w:val="1"/>
      <w:numFmt w:val="decimal"/>
      <w:lvlText w:val="%2."/>
      <w:lvlJc w:val="left"/>
      <w:pPr>
        <w:tabs>
          <w:tab w:val="num" w:pos="643"/>
        </w:tabs>
        <w:ind w:left="1063" w:firstLine="0"/>
      </w:pPr>
      <w:rPr>
        <w:rFonts w:ascii="宋体" w:eastAsia="宋体" w:hAnsi="宋体" w:hint="eastAsia"/>
        <w:b w:val="0"/>
        <w:i w:val="0"/>
        <w:sz w:val="21"/>
        <w:szCs w:val="21"/>
      </w:rPr>
    </w:lvl>
    <w:lvl w:ilvl="2" w:tentative="1">
      <w:start w:val="1"/>
      <w:numFmt w:val="lowerRoman"/>
      <w:lvlText w:val="%3."/>
      <w:lvlJc w:val="right"/>
      <w:pPr>
        <w:tabs>
          <w:tab w:val="num" w:pos="1903"/>
        </w:tabs>
        <w:ind w:left="1903" w:hanging="420"/>
      </w:pPr>
    </w:lvl>
    <w:lvl w:ilvl="3" w:tentative="1">
      <w:start w:val="1"/>
      <w:numFmt w:val="decimal"/>
      <w:lvlText w:val="%4."/>
      <w:lvlJc w:val="left"/>
      <w:pPr>
        <w:tabs>
          <w:tab w:val="num" w:pos="2323"/>
        </w:tabs>
        <w:ind w:left="2323" w:hanging="420"/>
      </w:pPr>
    </w:lvl>
    <w:lvl w:ilvl="4" w:tentative="1">
      <w:start w:val="1"/>
      <w:numFmt w:val="lowerLetter"/>
      <w:lvlText w:val="%5)"/>
      <w:lvlJc w:val="left"/>
      <w:pPr>
        <w:tabs>
          <w:tab w:val="num" w:pos="2743"/>
        </w:tabs>
        <w:ind w:left="2743" w:hanging="420"/>
      </w:pPr>
    </w:lvl>
    <w:lvl w:ilvl="5" w:tentative="1">
      <w:start w:val="1"/>
      <w:numFmt w:val="lowerRoman"/>
      <w:lvlText w:val="%6."/>
      <w:lvlJc w:val="right"/>
      <w:pPr>
        <w:tabs>
          <w:tab w:val="num" w:pos="3163"/>
        </w:tabs>
        <w:ind w:left="3163" w:hanging="420"/>
      </w:pPr>
    </w:lvl>
    <w:lvl w:ilvl="6" w:tentative="1">
      <w:start w:val="1"/>
      <w:numFmt w:val="decimal"/>
      <w:lvlText w:val="%7."/>
      <w:lvlJc w:val="left"/>
      <w:pPr>
        <w:tabs>
          <w:tab w:val="num" w:pos="3583"/>
        </w:tabs>
        <w:ind w:left="3583" w:hanging="420"/>
      </w:pPr>
    </w:lvl>
    <w:lvl w:ilvl="7" w:tentative="1">
      <w:start w:val="1"/>
      <w:numFmt w:val="lowerLetter"/>
      <w:lvlText w:val="%8)"/>
      <w:lvlJc w:val="left"/>
      <w:pPr>
        <w:tabs>
          <w:tab w:val="num" w:pos="4003"/>
        </w:tabs>
        <w:ind w:left="4003" w:hanging="420"/>
      </w:pPr>
    </w:lvl>
    <w:lvl w:ilvl="8" w:tentative="1">
      <w:start w:val="1"/>
      <w:numFmt w:val="lowerRoman"/>
      <w:lvlText w:val="%9."/>
      <w:lvlJc w:val="right"/>
      <w:pPr>
        <w:tabs>
          <w:tab w:val="num" w:pos="4423"/>
        </w:tabs>
        <w:ind w:left="4423" w:hanging="420"/>
      </w:pPr>
    </w:lvl>
  </w:abstractNum>
  <w:abstractNum w:abstractNumId="6">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Heading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7">
    <w:nsid w:val="6B2C5760"/>
    <w:multiLevelType w:val="hybridMultilevel"/>
    <w:tmpl w:val="C1F8E55E"/>
    <w:lvl w:ilvl="0">
      <w:start w:val="1"/>
      <w:numFmt w:val="decimal"/>
      <w:lvlText w:val="（%1）"/>
      <w:lvlJc w:val="left"/>
      <w:pPr>
        <w:tabs>
          <w:tab w:val="num" w:pos="960"/>
        </w:tabs>
        <w:ind w:left="960" w:hanging="420"/>
      </w:pPr>
      <w:rPr>
        <w:rFonts w:hint="eastAsia"/>
      </w:rPr>
    </w:lvl>
    <w:lvl w:ilvl="1" w:tentative="1">
      <w:start w:val="1"/>
      <w:numFmt w:val="lowerLetter"/>
      <w:lvlText w:val="%2)"/>
      <w:lvlJc w:val="left"/>
      <w:pPr>
        <w:tabs>
          <w:tab w:val="num" w:pos="1380"/>
        </w:tabs>
        <w:ind w:left="1380" w:hanging="420"/>
      </w:pPr>
    </w:lvl>
    <w:lvl w:ilvl="2" w:tentative="1">
      <w:start w:val="1"/>
      <w:numFmt w:val="lowerRoman"/>
      <w:lvlText w:val="%3."/>
      <w:lvlJc w:val="right"/>
      <w:pPr>
        <w:tabs>
          <w:tab w:val="num" w:pos="1800"/>
        </w:tabs>
        <w:ind w:left="1800" w:hanging="420"/>
      </w:pPr>
    </w:lvl>
    <w:lvl w:ilvl="3" w:tentative="1">
      <w:start w:val="1"/>
      <w:numFmt w:val="decimal"/>
      <w:lvlText w:val="%4."/>
      <w:lvlJc w:val="left"/>
      <w:pPr>
        <w:tabs>
          <w:tab w:val="num" w:pos="2220"/>
        </w:tabs>
        <w:ind w:left="2220" w:hanging="420"/>
      </w:pPr>
    </w:lvl>
    <w:lvl w:ilvl="4" w:tentative="1">
      <w:start w:val="1"/>
      <w:numFmt w:val="lowerLetter"/>
      <w:lvlText w:val="%5)"/>
      <w:lvlJc w:val="left"/>
      <w:pPr>
        <w:tabs>
          <w:tab w:val="num" w:pos="2640"/>
        </w:tabs>
        <w:ind w:left="2640" w:hanging="420"/>
      </w:pPr>
    </w:lvl>
    <w:lvl w:ilvl="5" w:tentative="1">
      <w:start w:val="1"/>
      <w:numFmt w:val="lowerRoman"/>
      <w:lvlText w:val="%6."/>
      <w:lvlJc w:val="right"/>
      <w:pPr>
        <w:tabs>
          <w:tab w:val="num" w:pos="3060"/>
        </w:tabs>
        <w:ind w:left="3060" w:hanging="420"/>
      </w:pPr>
    </w:lvl>
    <w:lvl w:ilvl="6" w:tentative="1">
      <w:start w:val="1"/>
      <w:numFmt w:val="decimal"/>
      <w:lvlText w:val="%7."/>
      <w:lvlJc w:val="left"/>
      <w:pPr>
        <w:tabs>
          <w:tab w:val="num" w:pos="3480"/>
        </w:tabs>
        <w:ind w:left="3480" w:hanging="420"/>
      </w:pPr>
    </w:lvl>
    <w:lvl w:ilvl="7" w:tentative="1">
      <w:start w:val="1"/>
      <w:numFmt w:val="lowerLetter"/>
      <w:lvlText w:val="%8)"/>
      <w:lvlJc w:val="left"/>
      <w:pPr>
        <w:tabs>
          <w:tab w:val="num" w:pos="3900"/>
        </w:tabs>
        <w:ind w:left="3900" w:hanging="420"/>
      </w:pPr>
    </w:lvl>
    <w:lvl w:ilvl="8" w:tentative="1">
      <w:start w:val="1"/>
      <w:numFmt w:val="lowerRoman"/>
      <w:lvlText w:val="%9."/>
      <w:lvlJc w:val="right"/>
      <w:pPr>
        <w:tabs>
          <w:tab w:val="num" w:pos="4320"/>
        </w:tabs>
        <w:ind w:left="4320" w:hanging="420"/>
      </w:pPr>
    </w:lvl>
  </w:abstractNum>
  <w:abstractNum w:abstractNumId="8">
    <w:nsid w:val="77B4748A"/>
    <w:multiLevelType w:val="hybridMultilevel"/>
    <w:tmpl w:val="F8465510"/>
    <w:lvl w:ilvl="0">
      <w:start w:val="1"/>
      <w:numFmt w:val="decimal"/>
      <w:lvlText w:val="%1."/>
      <w:lvlJc w:val="left"/>
      <w:pPr>
        <w:tabs>
          <w:tab w:val="num" w:pos="780"/>
        </w:tabs>
        <w:ind w:left="420" w:firstLine="0"/>
      </w:pPr>
      <w:rPr>
        <w:rFonts w:hint="eastAsia"/>
      </w:rPr>
    </w:lvl>
    <w:lvl w:ilvl="1">
      <w:start w:val="1"/>
      <w:numFmt w:val="decimal"/>
      <w:lvlText w:val="（%2）"/>
      <w:lvlJc w:val="left"/>
      <w:pPr>
        <w:tabs>
          <w:tab w:val="num" w:pos="851"/>
        </w:tabs>
        <w:ind w:left="851" w:hanging="567"/>
      </w:pPr>
      <w:rPr>
        <w:rFonts w:hint="eastAsia"/>
        <w:lang w:val="en-US"/>
      </w:rPr>
    </w:lvl>
    <w:lvl w:ilvl="2">
      <w:start w:val="1"/>
      <w:numFmt w:val="decimal"/>
      <w:lvlText w:val="%3、"/>
      <w:lvlJc w:val="left"/>
      <w:pPr>
        <w:tabs>
          <w:tab w:val="num" w:pos="1200"/>
        </w:tabs>
        <w:ind w:left="1200" w:hanging="360"/>
      </w:pPr>
      <w:rPr>
        <w:rFonts w:hint="default"/>
      </w:rPr>
    </w:lvl>
    <w:lvl w:ilvl="3">
      <w:start w:val="1"/>
      <w:numFmt w:val="decimal"/>
      <w:lvlText w:val="(%4)"/>
      <w:lvlJc w:val="left"/>
      <w:pPr>
        <w:ind w:left="1620" w:hanging="360"/>
      </w:pPr>
      <w:rPr>
        <w:rFonts w:hint="default"/>
      </w:r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num w:numId="1">
    <w:abstractNumId w:val="1"/>
  </w:num>
  <w:num w:numId="2">
    <w:abstractNumId w:val="6"/>
  </w:num>
  <w:num w:numId="3">
    <w:abstractNumId w:val="3"/>
  </w:num>
  <w:num w:numId="4">
    <w:abstractNumId w:val="8"/>
  </w:num>
  <w:num w:numId="5">
    <w:abstractNumId w:val="0"/>
  </w:num>
  <w:num w:numId="6">
    <w:abstractNumId w:val="7"/>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bordersDoNotSurroundHeader/>
  <w:bordersDoNotSurroundFooter/>
  <w:proofState w:grammar="clean"/>
  <w:defaultTabStop w:val="420"/>
  <w:drawingGridHorizontalSpacing w:val="105"/>
  <w:drawingGridVerticalSpacing w:val="44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7228CC"/>
    <w:rsid w:val="00004831"/>
    <w:rsid w:val="0000708C"/>
    <w:rsid w:val="000113D5"/>
    <w:rsid w:val="00017511"/>
    <w:rsid w:val="000213BA"/>
    <w:rsid w:val="0002206F"/>
    <w:rsid w:val="000228A1"/>
    <w:rsid w:val="00022A05"/>
    <w:rsid w:val="00022BC6"/>
    <w:rsid w:val="00023C43"/>
    <w:rsid w:val="00024C47"/>
    <w:rsid w:val="000269CC"/>
    <w:rsid w:val="00026B6C"/>
    <w:rsid w:val="00030C70"/>
    <w:rsid w:val="000329F7"/>
    <w:rsid w:val="0003509A"/>
    <w:rsid w:val="00035F7F"/>
    <w:rsid w:val="0003682F"/>
    <w:rsid w:val="0004031C"/>
    <w:rsid w:val="000412A6"/>
    <w:rsid w:val="000430CB"/>
    <w:rsid w:val="0004571D"/>
    <w:rsid w:val="000469EE"/>
    <w:rsid w:val="00053FBA"/>
    <w:rsid w:val="00054588"/>
    <w:rsid w:val="00060058"/>
    <w:rsid w:val="00061625"/>
    <w:rsid w:val="00065CF9"/>
    <w:rsid w:val="000701FA"/>
    <w:rsid w:val="000723B2"/>
    <w:rsid w:val="000726FD"/>
    <w:rsid w:val="00073547"/>
    <w:rsid w:val="00075369"/>
    <w:rsid w:val="0007593B"/>
    <w:rsid w:val="0007669D"/>
    <w:rsid w:val="000849E7"/>
    <w:rsid w:val="00092927"/>
    <w:rsid w:val="00094303"/>
    <w:rsid w:val="00094712"/>
    <w:rsid w:val="0009692F"/>
    <w:rsid w:val="000969D4"/>
    <w:rsid w:val="000A7749"/>
    <w:rsid w:val="000C2537"/>
    <w:rsid w:val="000D067E"/>
    <w:rsid w:val="000D0F2C"/>
    <w:rsid w:val="000D37F8"/>
    <w:rsid w:val="000D3D73"/>
    <w:rsid w:val="000D6C92"/>
    <w:rsid w:val="000D7868"/>
    <w:rsid w:val="000D7AD3"/>
    <w:rsid w:val="000E7832"/>
    <w:rsid w:val="000F326B"/>
    <w:rsid w:val="001015EA"/>
    <w:rsid w:val="001037EA"/>
    <w:rsid w:val="001040F3"/>
    <w:rsid w:val="00107B19"/>
    <w:rsid w:val="00110E5A"/>
    <w:rsid w:val="00112087"/>
    <w:rsid w:val="00112DD1"/>
    <w:rsid w:val="00114951"/>
    <w:rsid w:val="00114C69"/>
    <w:rsid w:val="00117524"/>
    <w:rsid w:val="0012005A"/>
    <w:rsid w:val="001215C3"/>
    <w:rsid w:val="00132215"/>
    <w:rsid w:val="001363DB"/>
    <w:rsid w:val="001366A8"/>
    <w:rsid w:val="00137845"/>
    <w:rsid w:val="001477B3"/>
    <w:rsid w:val="001534AF"/>
    <w:rsid w:val="00154B54"/>
    <w:rsid w:val="0015674A"/>
    <w:rsid w:val="00162B98"/>
    <w:rsid w:val="00171D73"/>
    <w:rsid w:val="00175DC9"/>
    <w:rsid w:val="00183EB1"/>
    <w:rsid w:val="00190AB7"/>
    <w:rsid w:val="00192419"/>
    <w:rsid w:val="001949B1"/>
    <w:rsid w:val="001A3F39"/>
    <w:rsid w:val="001A6D0C"/>
    <w:rsid w:val="001A7501"/>
    <w:rsid w:val="001C0E9D"/>
    <w:rsid w:val="001C1A95"/>
    <w:rsid w:val="001C3F5B"/>
    <w:rsid w:val="001C4F83"/>
    <w:rsid w:val="001C58C6"/>
    <w:rsid w:val="001D16B5"/>
    <w:rsid w:val="001D3F5B"/>
    <w:rsid w:val="001D550B"/>
    <w:rsid w:val="001E0AED"/>
    <w:rsid w:val="001E4DE9"/>
    <w:rsid w:val="001E7E66"/>
    <w:rsid w:val="001F38E1"/>
    <w:rsid w:val="001F5ACF"/>
    <w:rsid w:val="001F6233"/>
    <w:rsid w:val="0020042F"/>
    <w:rsid w:val="0020077B"/>
    <w:rsid w:val="00202A44"/>
    <w:rsid w:val="00203888"/>
    <w:rsid w:val="00207CC3"/>
    <w:rsid w:val="002100B3"/>
    <w:rsid w:val="0021144C"/>
    <w:rsid w:val="0021179B"/>
    <w:rsid w:val="0022028B"/>
    <w:rsid w:val="00220D38"/>
    <w:rsid w:val="00223301"/>
    <w:rsid w:val="00227B04"/>
    <w:rsid w:val="00234E1D"/>
    <w:rsid w:val="00235681"/>
    <w:rsid w:val="0023622A"/>
    <w:rsid w:val="00236E5B"/>
    <w:rsid w:val="00237826"/>
    <w:rsid w:val="002413DA"/>
    <w:rsid w:val="00242404"/>
    <w:rsid w:val="00244240"/>
    <w:rsid w:val="00245CB9"/>
    <w:rsid w:val="00254691"/>
    <w:rsid w:val="00254895"/>
    <w:rsid w:val="00257667"/>
    <w:rsid w:val="00260647"/>
    <w:rsid w:val="002615D1"/>
    <w:rsid w:val="00265058"/>
    <w:rsid w:val="00271F5B"/>
    <w:rsid w:val="00273EFD"/>
    <w:rsid w:val="00276BDF"/>
    <w:rsid w:val="00280D43"/>
    <w:rsid w:val="00283308"/>
    <w:rsid w:val="00285CF9"/>
    <w:rsid w:val="00286A23"/>
    <w:rsid w:val="002921FD"/>
    <w:rsid w:val="00296976"/>
    <w:rsid w:val="00296E47"/>
    <w:rsid w:val="002A0418"/>
    <w:rsid w:val="002A11D4"/>
    <w:rsid w:val="002A1D61"/>
    <w:rsid w:val="002A2A0A"/>
    <w:rsid w:val="002A64EB"/>
    <w:rsid w:val="002A71F6"/>
    <w:rsid w:val="002A7F91"/>
    <w:rsid w:val="002B1010"/>
    <w:rsid w:val="002B1D70"/>
    <w:rsid w:val="002B3053"/>
    <w:rsid w:val="002B3771"/>
    <w:rsid w:val="002C242F"/>
    <w:rsid w:val="002C3325"/>
    <w:rsid w:val="002D3A57"/>
    <w:rsid w:val="002D62DB"/>
    <w:rsid w:val="002D774A"/>
    <w:rsid w:val="002E7772"/>
    <w:rsid w:val="002F240D"/>
    <w:rsid w:val="002F2F3F"/>
    <w:rsid w:val="002F3CDE"/>
    <w:rsid w:val="002F5612"/>
    <w:rsid w:val="002F59EC"/>
    <w:rsid w:val="002F737C"/>
    <w:rsid w:val="002F762F"/>
    <w:rsid w:val="00300BCF"/>
    <w:rsid w:val="00301E1C"/>
    <w:rsid w:val="00302693"/>
    <w:rsid w:val="003042C2"/>
    <w:rsid w:val="003043E4"/>
    <w:rsid w:val="003056CC"/>
    <w:rsid w:val="003138BA"/>
    <w:rsid w:val="003138C5"/>
    <w:rsid w:val="00315A1F"/>
    <w:rsid w:val="00326CFD"/>
    <w:rsid w:val="00330A19"/>
    <w:rsid w:val="003365A3"/>
    <w:rsid w:val="00340DA6"/>
    <w:rsid w:val="003449DE"/>
    <w:rsid w:val="00350BF0"/>
    <w:rsid w:val="00361CC0"/>
    <w:rsid w:val="00367CD8"/>
    <w:rsid w:val="00371EA1"/>
    <w:rsid w:val="003837A5"/>
    <w:rsid w:val="00384A77"/>
    <w:rsid w:val="003873F6"/>
    <w:rsid w:val="003931F2"/>
    <w:rsid w:val="0039748F"/>
    <w:rsid w:val="00397746"/>
    <w:rsid w:val="003A24BE"/>
    <w:rsid w:val="003A5838"/>
    <w:rsid w:val="003A6DCF"/>
    <w:rsid w:val="003A727F"/>
    <w:rsid w:val="003B404D"/>
    <w:rsid w:val="003B5FC1"/>
    <w:rsid w:val="003B6F04"/>
    <w:rsid w:val="003C24CF"/>
    <w:rsid w:val="003D0305"/>
    <w:rsid w:val="003D38EB"/>
    <w:rsid w:val="003E4FC4"/>
    <w:rsid w:val="003F253C"/>
    <w:rsid w:val="003F2F59"/>
    <w:rsid w:val="003F3D6A"/>
    <w:rsid w:val="003F46FF"/>
    <w:rsid w:val="003F62EC"/>
    <w:rsid w:val="00401C0B"/>
    <w:rsid w:val="0040503A"/>
    <w:rsid w:val="00407B9C"/>
    <w:rsid w:val="00421465"/>
    <w:rsid w:val="00425732"/>
    <w:rsid w:val="00426437"/>
    <w:rsid w:val="00427542"/>
    <w:rsid w:val="004277C6"/>
    <w:rsid w:val="004304DE"/>
    <w:rsid w:val="00437DEA"/>
    <w:rsid w:val="00442398"/>
    <w:rsid w:val="00443025"/>
    <w:rsid w:val="00446E46"/>
    <w:rsid w:val="00451364"/>
    <w:rsid w:val="00455CF6"/>
    <w:rsid w:val="0045722A"/>
    <w:rsid w:val="0046010A"/>
    <w:rsid w:val="0046200D"/>
    <w:rsid w:val="00462FB9"/>
    <w:rsid w:val="004654CB"/>
    <w:rsid w:val="00466837"/>
    <w:rsid w:val="004772EC"/>
    <w:rsid w:val="00480880"/>
    <w:rsid w:val="0048210B"/>
    <w:rsid w:val="00483119"/>
    <w:rsid w:val="004853A1"/>
    <w:rsid w:val="004903CE"/>
    <w:rsid w:val="00491B41"/>
    <w:rsid w:val="00491CC0"/>
    <w:rsid w:val="0049423F"/>
    <w:rsid w:val="004A481B"/>
    <w:rsid w:val="004B2782"/>
    <w:rsid w:val="004B45EA"/>
    <w:rsid w:val="004C4A9B"/>
    <w:rsid w:val="004C6E82"/>
    <w:rsid w:val="004E0CDB"/>
    <w:rsid w:val="004E26E8"/>
    <w:rsid w:val="004E41A1"/>
    <w:rsid w:val="004F0411"/>
    <w:rsid w:val="004F66AC"/>
    <w:rsid w:val="004F772B"/>
    <w:rsid w:val="005025A4"/>
    <w:rsid w:val="005148EC"/>
    <w:rsid w:val="005217D7"/>
    <w:rsid w:val="005259D6"/>
    <w:rsid w:val="00530605"/>
    <w:rsid w:val="0053208A"/>
    <w:rsid w:val="005368FC"/>
    <w:rsid w:val="00547F70"/>
    <w:rsid w:val="005517FF"/>
    <w:rsid w:val="00553C9C"/>
    <w:rsid w:val="005550B3"/>
    <w:rsid w:val="00555F7B"/>
    <w:rsid w:val="005570E1"/>
    <w:rsid w:val="0056245E"/>
    <w:rsid w:val="005671B4"/>
    <w:rsid w:val="00575E02"/>
    <w:rsid w:val="0058036C"/>
    <w:rsid w:val="005812EC"/>
    <w:rsid w:val="005921B7"/>
    <w:rsid w:val="0059528E"/>
    <w:rsid w:val="005A4EA0"/>
    <w:rsid w:val="005B2687"/>
    <w:rsid w:val="005B42E8"/>
    <w:rsid w:val="005B6370"/>
    <w:rsid w:val="005C0C27"/>
    <w:rsid w:val="005C0C73"/>
    <w:rsid w:val="005C2266"/>
    <w:rsid w:val="005C227D"/>
    <w:rsid w:val="005C228C"/>
    <w:rsid w:val="005C25A2"/>
    <w:rsid w:val="005C25B4"/>
    <w:rsid w:val="005C5AF9"/>
    <w:rsid w:val="005D023C"/>
    <w:rsid w:val="005D4CA4"/>
    <w:rsid w:val="005D6939"/>
    <w:rsid w:val="005E04E3"/>
    <w:rsid w:val="005E0AC1"/>
    <w:rsid w:val="005E3CF4"/>
    <w:rsid w:val="005F2C3B"/>
    <w:rsid w:val="006001E9"/>
    <w:rsid w:val="00604D2D"/>
    <w:rsid w:val="0060613C"/>
    <w:rsid w:val="0061227C"/>
    <w:rsid w:val="00616ECD"/>
    <w:rsid w:val="00632835"/>
    <w:rsid w:val="006343E1"/>
    <w:rsid w:val="006378D3"/>
    <w:rsid w:val="006408BE"/>
    <w:rsid w:val="00645F2A"/>
    <w:rsid w:val="00647085"/>
    <w:rsid w:val="006472BD"/>
    <w:rsid w:val="006523F7"/>
    <w:rsid w:val="00653C43"/>
    <w:rsid w:val="00655FC9"/>
    <w:rsid w:val="0066203E"/>
    <w:rsid w:val="00662322"/>
    <w:rsid w:val="00662889"/>
    <w:rsid w:val="006634BB"/>
    <w:rsid w:val="00665E69"/>
    <w:rsid w:val="00672C27"/>
    <w:rsid w:val="00673839"/>
    <w:rsid w:val="00675299"/>
    <w:rsid w:val="006826CB"/>
    <w:rsid w:val="00683564"/>
    <w:rsid w:val="00683AB5"/>
    <w:rsid w:val="00684B43"/>
    <w:rsid w:val="00685A2C"/>
    <w:rsid w:val="00696051"/>
    <w:rsid w:val="006A0258"/>
    <w:rsid w:val="006A10DF"/>
    <w:rsid w:val="006A240D"/>
    <w:rsid w:val="006A281C"/>
    <w:rsid w:val="006A33FC"/>
    <w:rsid w:val="006A5EB9"/>
    <w:rsid w:val="006B3760"/>
    <w:rsid w:val="006B380A"/>
    <w:rsid w:val="006C065F"/>
    <w:rsid w:val="006C1FBA"/>
    <w:rsid w:val="006C2EB8"/>
    <w:rsid w:val="006C5C1A"/>
    <w:rsid w:val="006C69CC"/>
    <w:rsid w:val="006C742B"/>
    <w:rsid w:val="006D11BB"/>
    <w:rsid w:val="006E6978"/>
    <w:rsid w:val="006E6C12"/>
    <w:rsid w:val="006F062D"/>
    <w:rsid w:val="006F4F59"/>
    <w:rsid w:val="006F5A55"/>
    <w:rsid w:val="00702AAD"/>
    <w:rsid w:val="0071223F"/>
    <w:rsid w:val="007147E6"/>
    <w:rsid w:val="00714EB9"/>
    <w:rsid w:val="007157AE"/>
    <w:rsid w:val="007228CC"/>
    <w:rsid w:val="007240D0"/>
    <w:rsid w:val="00726D8A"/>
    <w:rsid w:val="00726F51"/>
    <w:rsid w:val="0073006E"/>
    <w:rsid w:val="00730CCC"/>
    <w:rsid w:val="00731CC3"/>
    <w:rsid w:val="00737A69"/>
    <w:rsid w:val="00741868"/>
    <w:rsid w:val="00743825"/>
    <w:rsid w:val="0074639E"/>
    <w:rsid w:val="00750098"/>
    <w:rsid w:val="00750E71"/>
    <w:rsid w:val="00752B70"/>
    <w:rsid w:val="00753FD6"/>
    <w:rsid w:val="007561A0"/>
    <w:rsid w:val="0076156D"/>
    <w:rsid w:val="0076315C"/>
    <w:rsid w:val="00763A38"/>
    <w:rsid w:val="00767D56"/>
    <w:rsid w:val="0077387C"/>
    <w:rsid w:val="0077407F"/>
    <w:rsid w:val="007800D1"/>
    <w:rsid w:val="00782687"/>
    <w:rsid w:val="00790D1B"/>
    <w:rsid w:val="00790ED9"/>
    <w:rsid w:val="00795B37"/>
    <w:rsid w:val="007A1498"/>
    <w:rsid w:val="007A2B86"/>
    <w:rsid w:val="007B3D65"/>
    <w:rsid w:val="007B3E8F"/>
    <w:rsid w:val="007B540A"/>
    <w:rsid w:val="007B6DFE"/>
    <w:rsid w:val="007C3B09"/>
    <w:rsid w:val="007D1E51"/>
    <w:rsid w:val="007D2567"/>
    <w:rsid w:val="007D7FFD"/>
    <w:rsid w:val="007E44DC"/>
    <w:rsid w:val="007F2D1F"/>
    <w:rsid w:val="007F41F4"/>
    <w:rsid w:val="007F55A0"/>
    <w:rsid w:val="007F62FA"/>
    <w:rsid w:val="007F6B48"/>
    <w:rsid w:val="007F6FE2"/>
    <w:rsid w:val="00804C21"/>
    <w:rsid w:val="00805C7B"/>
    <w:rsid w:val="00806EAC"/>
    <w:rsid w:val="0080763C"/>
    <w:rsid w:val="00811D3D"/>
    <w:rsid w:val="00812E48"/>
    <w:rsid w:val="008137CA"/>
    <w:rsid w:val="0081438E"/>
    <w:rsid w:val="008154CB"/>
    <w:rsid w:val="0081558F"/>
    <w:rsid w:val="00820337"/>
    <w:rsid w:val="00822BE3"/>
    <w:rsid w:val="00832809"/>
    <w:rsid w:val="00832907"/>
    <w:rsid w:val="00833169"/>
    <w:rsid w:val="0083325B"/>
    <w:rsid w:val="0084126D"/>
    <w:rsid w:val="00841FFC"/>
    <w:rsid w:val="00842B92"/>
    <w:rsid w:val="00843442"/>
    <w:rsid w:val="008516FD"/>
    <w:rsid w:val="00851736"/>
    <w:rsid w:val="008525FE"/>
    <w:rsid w:val="00853A38"/>
    <w:rsid w:val="008551DE"/>
    <w:rsid w:val="0085556F"/>
    <w:rsid w:val="00861FDF"/>
    <w:rsid w:val="00863EAE"/>
    <w:rsid w:val="00866D94"/>
    <w:rsid w:val="00866DDA"/>
    <w:rsid w:val="00870FCD"/>
    <w:rsid w:val="00872AB7"/>
    <w:rsid w:val="00881171"/>
    <w:rsid w:val="00894609"/>
    <w:rsid w:val="008A2CDD"/>
    <w:rsid w:val="008A3118"/>
    <w:rsid w:val="008A3783"/>
    <w:rsid w:val="008A44A5"/>
    <w:rsid w:val="008A7802"/>
    <w:rsid w:val="008A7EF1"/>
    <w:rsid w:val="008B03AC"/>
    <w:rsid w:val="008C20E1"/>
    <w:rsid w:val="008D22FF"/>
    <w:rsid w:val="008D2A66"/>
    <w:rsid w:val="008D424F"/>
    <w:rsid w:val="008D5662"/>
    <w:rsid w:val="008E2A21"/>
    <w:rsid w:val="008E4F53"/>
    <w:rsid w:val="008E7F51"/>
    <w:rsid w:val="008F6991"/>
    <w:rsid w:val="008F7273"/>
    <w:rsid w:val="00903C06"/>
    <w:rsid w:val="00903C5A"/>
    <w:rsid w:val="0090547C"/>
    <w:rsid w:val="00911E3E"/>
    <w:rsid w:val="00912B69"/>
    <w:rsid w:val="0091443B"/>
    <w:rsid w:val="009160E1"/>
    <w:rsid w:val="00916141"/>
    <w:rsid w:val="00920C8B"/>
    <w:rsid w:val="0092630D"/>
    <w:rsid w:val="00927A0B"/>
    <w:rsid w:val="009314DE"/>
    <w:rsid w:val="00935629"/>
    <w:rsid w:val="00941EC8"/>
    <w:rsid w:val="0094246A"/>
    <w:rsid w:val="00942D08"/>
    <w:rsid w:val="00943BC2"/>
    <w:rsid w:val="009475A1"/>
    <w:rsid w:val="0094778B"/>
    <w:rsid w:val="009520C0"/>
    <w:rsid w:val="00952A59"/>
    <w:rsid w:val="00953818"/>
    <w:rsid w:val="00953CDF"/>
    <w:rsid w:val="009576CA"/>
    <w:rsid w:val="00963ADD"/>
    <w:rsid w:val="00970934"/>
    <w:rsid w:val="00973C2B"/>
    <w:rsid w:val="00974217"/>
    <w:rsid w:val="00980ADE"/>
    <w:rsid w:val="00980BCB"/>
    <w:rsid w:val="0098422A"/>
    <w:rsid w:val="009861F0"/>
    <w:rsid w:val="00986F16"/>
    <w:rsid w:val="00991279"/>
    <w:rsid w:val="00991849"/>
    <w:rsid w:val="00991AEB"/>
    <w:rsid w:val="009945FE"/>
    <w:rsid w:val="009964A8"/>
    <w:rsid w:val="009A140C"/>
    <w:rsid w:val="009A1EA6"/>
    <w:rsid w:val="009A707A"/>
    <w:rsid w:val="009B0370"/>
    <w:rsid w:val="009B0C75"/>
    <w:rsid w:val="009B5D1A"/>
    <w:rsid w:val="009D0C00"/>
    <w:rsid w:val="009D2370"/>
    <w:rsid w:val="009D304B"/>
    <w:rsid w:val="009E05B7"/>
    <w:rsid w:val="009E191B"/>
    <w:rsid w:val="009E1B1E"/>
    <w:rsid w:val="009E2F7B"/>
    <w:rsid w:val="009E3591"/>
    <w:rsid w:val="009E4515"/>
    <w:rsid w:val="009E5C13"/>
    <w:rsid w:val="00A00E79"/>
    <w:rsid w:val="00A021CD"/>
    <w:rsid w:val="00A0556B"/>
    <w:rsid w:val="00A07D11"/>
    <w:rsid w:val="00A11F41"/>
    <w:rsid w:val="00A138B5"/>
    <w:rsid w:val="00A2641D"/>
    <w:rsid w:val="00A273B9"/>
    <w:rsid w:val="00A30AFF"/>
    <w:rsid w:val="00A30DE2"/>
    <w:rsid w:val="00A31886"/>
    <w:rsid w:val="00A34BD1"/>
    <w:rsid w:val="00A40933"/>
    <w:rsid w:val="00A41241"/>
    <w:rsid w:val="00A41B05"/>
    <w:rsid w:val="00A43511"/>
    <w:rsid w:val="00A45ACB"/>
    <w:rsid w:val="00A4622F"/>
    <w:rsid w:val="00A501CF"/>
    <w:rsid w:val="00A514D6"/>
    <w:rsid w:val="00A52DEC"/>
    <w:rsid w:val="00A617DA"/>
    <w:rsid w:val="00A61D6E"/>
    <w:rsid w:val="00A621E9"/>
    <w:rsid w:val="00A70A32"/>
    <w:rsid w:val="00A74CD8"/>
    <w:rsid w:val="00A808B9"/>
    <w:rsid w:val="00A80EA0"/>
    <w:rsid w:val="00A913DD"/>
    <w:rsid w:val="00A939EB"/>
    <w:rsid w:val="00A93D2B"/>
    <w:rsid w:val="00A947CD"/>
    <w:rsid w:val="00A9489D"/>
    <w:rsid w:val="00A970EC"/>
    <w:rsid w:val="00AA0B1C"/>
    <w:rsid w:val="00AA0EC8"/>
    <w:rsid w:val="00AA1083"/>
    <w:rsid w:val="00AA175D"/>
    <w:rsid w:val="00AA4EBE"/>
    <w:rsid w:val="00AA4F26"/>
    <w:rsid w:val="00AB43F9"/>
    <w:rsid w:val="00AD13E7"/>
    <w:rsid w:val="00AD16F6"/>
    <w:rsid w:val="00AD5B8A"/>
    <w:rsid w:val="00AE4321"/>
    <w:rsid w:val="00AE5095"/>
    <w:rsid w:val="00AE51EF"/>
    <w:rsid w:val="00AE7BE4"/>
    <w:rsid w:val="00AE7D92"/>
    <w:rsid w:val="00AF0F43"/>
    <w:rsid w:val="00B02418"/>
    <w:rsid w:val="00B02B2E"/>
    <w:rsid w:val="00B05B0D"/>
    <w:rsid w:val="00B07F5C"/>
    <w:rsid w:val="00B11E6E"/>
    <w:rsid w:val="00B23424"/>
    <w:rsid w:val="00B253AC"/>
    <w:rsid w:val="00B30899"/>
    <w:rsid w:val="00B30EC7"/>
    <w:rsid w:val="00B314A4"/>
    <w:rsid w:val="00B43765"/>
    <w:rsid w:val="00B47054"/>
    <w:rsid w:val="00B507A6"/>
    <w:rsid w:val="00B510C7"/>
    <w:rsid w:val="00B55E85"/>
    <w:rsid w:val="00B62605"/>
    <w:rsid w:val="00B65184"/>
    <w:rsid w:val="00B67530"/>
    <w:rsid w:val="00B72058"/>
    <w:rsid w:val="00B722D3"/>
    <w:rsid w:val="00B76E36"/>
    <w:rsid w:val="00B82AF4"/>
    <w:rsid w:val="00B850EA"/>
    <w:rsid w:val="00B86DC8"/>
    <w:rsid w:val="00B87A23"/>
    <w:rsid w:val="00B943AA"/>
    <w:rsid w:val="00B961D4"/>
    <w:rsid w:val="00BA0ADC"/>
    <w:rsid w:val="00BA1324"/>
    <w:rsid w:val="00BA29E1"/>
    <w:rsid w:val="00BB2142"/>
    <w:rsid w:val="00BB4FEC"/>
    <w:rsid w:val="00BB5F9C"/>
    <w:rsid w:val="00BC04CB"/>
    <w:rsid w:val="00BC1804"/>
    <w:rsid w:val="00BC3915"/>
    <w:rsid w:val="00BC62AC"/>
    <w:rsid w:val="00BD56E1"/>
    <w:rsid w:val="00BE1C62"/>
    <w:rsid w:val="00BE2566"/>
    <w:rsid w:val="00BE4486"/>
    <w:rsid w:val="00BE5C79"/>
    <w:rsid w:val="00BE74C5"/>
    <w:rsid w:val="00BE79A3"/>
    <w:rsid w:val="00BF09FB"/>
    <w:rsid w:val="00BF3F91"/>
    <w:rsid w:val="00BF7421"/>
    <w:rsid w:val="00BF76AC"/>
    <w:rsid w:val="00C002A8"/>
    <w:rsid w:val="00C042E8"/>
    <w:rsid w:val="00C061DD"/>
    <w:rsid w:val="00C15BDA"/>
    <w:rsid w:val="00C24FDC"/>
    <w:rsid w:val="00C25C73"/>
    <w:rsid w:val="00C27F45"/>
    <w:rsid w:val="00C319D1"/>
    <w:rsid w:val="00C45C67"/>
    <w:rsid w:val="00C46BEC"/>
    <w:rsid w:val="00C54469"/>
    <w:rsid w:val="00C57E5E"/>
    <w:rsid w:val="00C609DD"/>
    <w:rsid w:val="00C6218B"/>
    <w:rsid w:val="00C62ED4"/>
    <w:rsid w:val="00C648E8"/>
    <w:rsid w:val="00C7304A"/>
    <w:rsid w:val="00C75764"/>
    <w:rsid w:val="00C763AB"/>
    <w:rsid w:val="00C8068D"/>
    <w:rsid w:val="00C83112"/>
    <w:rsid w:val="00C83E8A"/>
    <w:rsid w:val="00C93EFF"/>
    <w:rsid w:val="00CA2E4F"/>
    <w:rsid w:val="00CA3AE0"/>
    <w:rsid w:val="00CA46AA"/>
    <w:rsid w:val="00CA6FB1"/>
    <w:rsid w:val="00CB17E5"/>
    <w:rsid w:val="00CB2E1A"/>
    <w:rsid w:val="00CB6853"/>
    <w:rsid w:val="00CB7E60"/>
    <w:rsid w:val="00CC4367"/>
    <w:rsid w:val="00CD4A96"/>
    <w:rsid w:val="00CD576C"/>
    <w:rsid w:val="00CE0B17"/>
    <w:rsid w:val="00CE2F49"/>
    <w:rsid w:val="00CE5BAD"/>
    <w:rsid w:val="00CE7329"/>
    <w:rsid w:val="00CE7E09"/>
    <w:rsid w:val="00CF3CD0"/>
    <w:rsid w:val="00CF3D25"/>
    <w:rsid w:val="00CF731C"/>
    <w:rsid w:val="00D001D4"/>
    <w:rsid w:val="00D01DA5"/>
    <w:rsid w:val="00D031BC"/>
    <w:rsid w:val="00D04A37"/>
    <w:rsid w:val="00D1156D"/>
    <w:rsid w:val="00D15755"/>
    <w:rsid w:val="00D15B0F"/>
    <w:rsid w:val="00D224A3"/>
    <w:rsid w:val="00D25409"/>
    <w:rsid w:val="00D272BE"/>
    <w:rsid w:val="00D3404C"/>
    <w:rsid w:val="00D34082"/>
    <w:rsid w:val="00D34209"/>
    <w:rsid w:val="00D3485C"/>
    <w:rsid w:val="00D37961"/>
    <w:rsid w:val="00D42E92"/>
    <w:rsid w:val="00D44D81"/>
    <w:rsid w:val="00D45660"/>
    <w:rsid w:val="00D53B98"/>
    <w:rsid w:val="00D71A75"/>
    <w:rsid w:val="00D75768"/>
    <w:rsid w:val="00D75BAA"/>
    <w:rsid w:val="00D76B1E"/>
    <w:rsid w:val="00D77393"/>
    <w:rsid w:val="00D90332"/>
    <w:rsid w:val="00DA0868"/>
    <w:rsid w:val="00DA0F23"/>
    <w:rsid w:val="00DA3B14"/>
    <w:rsid w:val="00DA3D20"/>
    <w:rsid w:val="00DA71C9"/>
    <w:rsid w:val="00DA786D"/>
    <w:rsid w:val="00DB0950"/>
    <w:rsid w:val="00DB1256"/>
    <w:rsid w:val="00DB15B5"/>
    <w:rsid w:val="00DB3139"/>
    <w:rsid w:val="00DB443A"/>
    <w:rsid w:val="00DC0464"/>
    <w:rsid w:val="00DC179E"/>
    <w:rsid w:val="00DC1C25"/>
    <w:rsid w:val="00DC25FF"/>
    <w:rsid w:val="00DC2A8C"/>
    <w:rsid w:val="00DC46BC"/>
    <w:rsid w:val="00DD133B"/>
    <w:rsid w:val="00DD6F8F"/>
    <w:rsid w:val="00DE0C6F"/>
    <w:rsid w:val="00DE2D6D"/>
    <w:rsid w:val="00DE442D"/>
    <w:rsid w:val="00DE49C9"/>
    <w:rsid w:val="00DE4B5E"/>
    <w:rsid w:val="00DF28F5"/>
    <w:rsid w:val="00DF328C"/>
    <w:rsid w:val="00DF460B"/>
    <w:rsid w:val="00DF7A90"/>
    <w:rsid w:val="00E00BA5"/>
    <w:rsid w:val="00E0280B"/>
    <w:rsid w:val="00E028D5"/>
    <w:rsid w:val="00E035E7"/>
    <w:rsid w:val="00E0496F"/>
    <w:rsid w:val="00E06BF0"/>
    <w:rsid w:val="00E14652"/>
    <w:rsid w:val="00E149F2"/>
    <w:rsid w:val="00E14C4C"/>
    <w:rsid w:val="00E152A0"/>
    <w:rsid w:val="00E162D9"/>
    <w:rsid w:val="00E17C31"/>
    <w:rsid w:val="00E21266"/>
    <w:rsid w:val="00E25443"/>
    <w:rsid w:val="00E25E09"/>
    <w:rsid w:val="00E26089"/>
    <w:rsid w:val="00E26963"/>
    <w:rsid w:val="00E30201"/>
    <w:rsid w:val="00E329FF"/>
    <w:rsid w:val="00E32B5C"/>
    <w:rsid w:val="00E36230"/>
    <w:rsid w:val="00E37272"/>
    <w:rsid w:val="00E37816"/>
    <w:rsid w:val="00E42875"/>
    <w:rsid w:val="00E44589"/>
    <w:rsid w:val="00E44867"/>
    <w:rsid w:val="00E4614D"/>
    <w:rsid w:val="00E5342E"/>
    <w:rsid w:val="00E62713"/>
    <w:rsid w:val="00E62B39"/>
    <w:rsid w:val="00E65789"/>
    <w:rsid w:val="00E6592F"/>
    <w:rsid w:val="00E700E5"/>
    <w:rsid w:val="00E73084"/>
    <w:rsid w:val="00E73891"/>
    <w:rsid w:val="00E76D4F"/>
    <w:rsid w:val="00E76F7B"/>
    <w:rsid w:val="00E94B73"/>
    <w:rsid w:val="00E95EE8"/>
    <w:rsid w:val="00EA0085"/>
    <w:rsid w:val="00EA263C"/>
    <w:rsid w:val="00EA3310"/>
    <w:rsid w:val="00EB4052"/>
    <w:rsid w:val="00EB624E"/>
    <w:rsid w:val="00EC6882"/>
    <w:rsid w:val="00ED044C"/>
    <w:rsid w:val="00ED3AB0"/>
    <w:rsid w:val="00ED7CEF"/>
    <w:rsid w:val="00EE2DB9"/>
    <w:rsid w:val="00EE4189"/>
    <w:rsid w:val="00EE5917"/>
    <w:rsid w:val="00EE6509"/>
    <w:rsid w:val="00EE6BBC"/>
    <w:rsid w:val="00EF073F"/>
    <w:rsid w:val="00EF2C77"/>
    <w:rsid w:val="00EF5019"/>
    <w:rsid w:val="00EF6859"/>
    <w:rsid w:val="00F04093"/>
    <w:rsid w:val="00F103E6"/>
    <w:rsid w:val="00F154F6"/>
    <w:rsid w:val="00F15716"/>
    <w:rsid w:val="00F162DE"/>
    <w:rsid w:val="00F17515"/>
    <w:rsid w:val="00F20C4D"/>
    <w:rsid w:val="00F23D45"/>
    <w:rsid w:val="00F27A20"/>
    <w:rsid w:val="00F33DB0"/>
    <w:rsid w:val="00F33FDA"/>
    <w:rsid w:val="00F365DF"/>
    <w:rsid w:val="00F41966"/>
    <w:rsid w:val="00F42176"/>
    <w:rsid w:val="00F44357"/>
    <w:rsid w:val="00F45307"/>
    <w:rsid w:val="00F50EAE"/>
    <w:rsid w:val="00F55E0F"/>
    <w:rsid w:val="00F600E2"/>
    <w:rsid w:val="00F61968"/>
    <w:rsid w:val="00F624D3"/>
    <w:rsid w:val="00F625C0"/>
    <w:rsid w:val="00F6490A"/>
    <w:rsid w:val="00F70377"/>
    <w:rsid w:val="00F72752"/>
    <w:rsid w:val="00F83FD0"/>
    <w:rsid w:val="00F8790F"/>
    <w:rsid w:val="00F909C7"/>
    <w:rsid w:val="00F90A2C"/>
    <w:rsid w:val="00F93C69"/>
    <w:rsid w:val="00F946AA"/>
    <w:rsid w:val="00F94E4C"/>
    <w:rsid w:val="00FA0749"/>
    <w:rsid w:val="00FA0E99"/>
    <w:rsid w:val="00FA6189"/>
    <w:rsid w:val="00FB2D91"/>
    <w:rsid w:val="00FB4317"/>
    <w:rsid w:val="00FB52C8"/>
    <w:rsid w:val="00FB6F84"/>
    <w:rsid w:val="00FC0557"/>
    <w:rsid w:val="00FC271A"/>
    <w:rsid w:val="00FC358F"/>
    <w:rsid w:val="00FC4FF8"/>
    <w:rsid w:val="00FC6878"/>
    <w:rsid w:val="00FD1441"/>
    <w:rsid w:val="00FE2347"/>
    <w:rsid w:val="00FE5BF8"/>
    <w:rsid w:val="00FE66C4"/>
    <w:rsid w:val="00FF5903"/>
  </w:rsids>
  <w:docVars>
    <w:docVar w:name="KGWebUrl" w:val="http://idp.efunds.com.cn/api/v1/backend/docSyncController/downloadAnnFile.json?force=true&amp;fileName=61520221230110017%E6%98%93%E6%96%B9%E8%BE%BE%E5%A2%9E%E5%BC%BA%E5%9B%9E%E6%8A%A5%E5%80%BA%E5%88%B8%E5%9E%8B%E8%AF%81%E5%88%B8%E6%8A%95%E8%B5%84%E5%9F%BA%E9%87%91%E6%9B%B4%E6%96%B0%E7%9A%84%E6%8B%9B%E5%8B%9F%E8%AF%B4%E6%98%8E%E4%B9%A6.docx&amp;fileId=ANN_DOC_30272&amp;t=1671784363986&amp;t=1671784363986"/>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B5BA0A6B-5FD8-48FE-9A3F-7BA194DEA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498"/>
    <w:pPr>
      <w:widowControl w:val="0"/>
      <w:jc w:val="both"/>
    </w:pPr>
    <w:rPr>
      <w:rFonts w:ascii="Times New Roman" w:hAnsi="Times New Roman"/>
      <w:kern w:val="2"/>
      <w:sz w:val="21"/>
      <w:szCs w:val="24"/>
    </w:rPr>
  </w:style>
  <w:style w:type="paragraph" w:styleId="Heading1">
    <w:name w:val="heading 1"/>
    <w:aliases w:val="123321,H1,Heading 0,Heading 11,Level 1 Head,Level 1 Topic Heading,PIM 1,h1,level 1"/>
    <w:basedOn w:val="Normal"/>
    <w:next w:val="Normal"/>
    <w:link w:val="1Char"/>
    <w:qFormat/>
    <w:rsid w:val="007228CC"/>
    <w:pPr>
      <w:keepNext/>
      <w:spacing w:beforeLines="100" w:afterLines="100"/>
      <w:ind w:firstLine="200" w:firstLineChars="200"/>
      <w:jc w:val="center"/>
      <w:outlineLvl w:val="0"/>
    </w:pPr>
    <w:rPr>
      <w:rFonts w:ascii="黑体" w:eastAsia="黑体"/>
      <w:sz w:val="32"/>
      <w:szCs w:val="32"/>
    </w:rPr>
  </w:style>
  <w:style w:type="paragraph" w:styleId="Heading2">
    <w:name w:val="heading 2"/>
    <w:aliases w:val="2,2nd level,H2,Header 2,Heading 2 CCBS,Heading 2 Hidden,Level 2 Head,PIM2,h2,l2,proj2,proj21,proj210,proj211,proj212,proj22,proj221,proj23,proj231,proj24,proj241,proj25,proj251,proj26,proj261,proj27,proj271,proj28,proj281,proj29,标题 2 Char Char"/>
    <w:basedOn w:val="Normal"/>
    <w:next w:val="Normal"/>
    <w:link w:val="2Char"/>
    <w:qFormat/>
    <w:rsid w:val="007228CC"/>
    <w:pPr>
      <w:keepNext/>
      <w:keepLines/>
      <w:spacing w:beforeLines="100" w:afterLines="100"/>
      <w:ind w:firstLine="200" w:firstLineChars="200"/>
      <w:outlineLvl w:val="1"/>
    </w:pPr>
    <w:rPr>
      <w:rFonts w:ascii="Arial" w:hAnsi="Arial"/>
      <w:b/>
      <w:sz w:val="28"/>
      <w:szCs w:val="28"/>
    </w:rPr>
  </w:style>
  <w:style w:type="paragraph" w:styleId="Heading3">
    <w:name w:val="heading 3"/>
    <w:aliases w:val="3,3rd level,Bold Head,CT,Fab-3,H3,Heading 3 - old,Level 3 Head,PIM 3,bh,h3,heading 3,l3,level_3,sect1.2.3,sect1.2.31,sect1.2.311,sect1.2.312,sect1.2.32,sect1.2.33,标题 4.1.1"/>
    <w:basedOn w:val="Normal"/>
    <w:next w:val="Normal"/>
    <w:link w:val="3Char"/>
    <w:qFormat/>
    <w:rsid w:val="007228CC"/>
    <w:pPr>
      <w:numPr>
        <w:ilvl w:val="2"/>
        <w:numId w:val="2"/>
      </w:numPr>
      <w:spacing w:before="260" w:after="260" w:line="416" w:lineRule="auto"/>
      <w:outlineLvl w:val="2"/>
    </w:pPr>
    <w:rPr>
      <w:rFonts w:ascii="仿宋_GB2312" w:eastAsia="仿宋_GB2312"/>
      <w:sz w:val="24"/>
      <w:szCs w:val="20"/>
    </w:rPr>
  </w:style>
  <w:style w:type="paragraph" w:styleId="Heading4">
    <w:name w:val="heading 4"/>
    <w:basedOn w:val="Normal"/>
    <w:next w:val="Normal"/>
    <w:link w:val="4Char"/>
    <w:qFormat/>
    <w:rsid w:val="007228CC"/>
    <w:pPr>
      <w:keepNext/>
      <w:keepLines/>
      <w:numPr>
        <w:ilvl w:val="3"/>
        <w:numId w:val="1"/>
      </w:numPr>
      <w:spacing w:before="280" w:after="290" w:line="376" w:lineRule="auto"/>
      <w:outlineLvl w:val="3"/>
    </w:pPr>
    <w:rPr>
      <w:rFonts w:ascii="Arial" w:eastAsia="黑体" w:hAnsi="Arial"/>
      <w:b/>
      <w:bCs/>
      <w:sz w:val="28"/>
      <w:szCs w:val="28"/>
    </w:rPr>
  </w:style>
  <w:style w:type="paragraph" w:styleId="Heading5">
    <w:name w:val="heading 5"/>
    <w:basedOn w:val="Normal"/>
    <w:next w:val="Normal"/>
    <w:link w:val="5Char"/>
    <w:qFormat/>
    <w:rsid w:val="007228CC"/>
    <w:pPr>
      <w:keepNext/>
      <w:keepLines/>
      <w:numPr>
        <w:ilvl w:val="4"/>
        <w:numId w:val="1"/>
      </w:numPr>
      <w:spacing w:before="280" w:after="290" w:line="376" w:lineRule="auto"/>
      <w:ind w:firstLine="200" w:firstLineChars="200"/>
      <w:outlineLvl w:val="4"/>
    </w:pPr>
    <w:rPr>
      <w:b/>
      <w:bCs/>
      <w:sz w:val="28"/>
      <w:szCs w:val="28"/>
    </w:rPr>
  </w:style>
  <w:style w:type="paragraph" w:styleId="Heading6">
    <w:name w:val="heading 6"/>
    <w:basedOn w:val="Normal"/>
    <w:next w:val="Normal"/>
    <w:link w:val="6Char"/>
    <w:qFormat/>
    <w:rsid w:val="007228CC"/>
    <w:pPr>
      <w:keepNext/>
      <w:keepLines/>
      <w:numPr>
        <w:ilvl w:val="5"/>
        <w:numId w:val="1"/>
      </w:numPr>
      <w:spacing w:before="240" w:after="64" w:line="320" w:lineRule="auto"/>
      <w:ind w:firstLine="200" w:firstLineChars="200"/>
      <w:outlineLvl w:val="5"/>
    </w:pPr>
    <w:rPr>
      <w:rFonts w:ascii="Arial" w:eastAsia="黑体" w:hAnsi="Arial"/>
      <w:b/>
      <w:bCs/>
      <w:sz w:val="24"/>
    </w:rPr>
  </w:style>
  <w:style w:type="paragraph" w:styleId="Heading7">
    <w:name w:val="heading 7"/>
    <w:basedOn w:val="Normal"/>
    <w:next w:val="Normal"/>
    <w:link w:val="7Char"/>
    <w:qFormat/>
    <w:rsid w:val="007228CC"/>
    <w:pPr>
      <w:keepNext/>
      <w:keepLines/>
      <w:numPr>
        <w:ilvl w:val="6"/>
        <w:numId w:val="1"/>
      </w:numPr>
      <w:spacing w:before="240" w:after="64" w:line="320" w:lineRule="auto"/>
      <w:ind w:firstLine="200" w:firstLineChars="200"/>
      <w:outlineLvl w:val="6"/>
    </w:pPr>
    <w:rPr>
      <w:b/>
      <w:bCs/>
      <w:sz w:val="24"/>
    </w:rPr>
  </w:style>
  <w:style w:type="paragraph" w:styleId="Heading8">
    <w:name w:val="heading 8"/>
    <w:basedOn w:val="Normal"/>
    <w:next w:val="Normal"/>
    <w:link w:val="8Char"/>
    <w:qFormat/>
    <w:rsid w:val="007228CC"/>
    <w:pPr>
      <w:keepNext/>
      <w:keepLines/>
      <w:numPr>
        <w:ilvl w:val="7"/>
        <w:numId w:val="1"/>
      </w:numPr>
      <w:spacing w:before="240" w:after="64" w:line="320" w:lineRule="auto"/>
      <w:ind w:firstLine="200" w:firstLineChars="200"/>
      <w:outlineLvl w:val="7"/>
    </w:pPr>
    <w:rPr>
      <w:rFonts w:ascii="Arial" w:eastAsia="黑体" w:hAnsi="Arial"/>
      <w:sz w:val="24"/>
    </w:rPr>
  </w:style>
  <w:style w:type="paragraph" w:styleId="Heading9">
    <w:name w:val="heading 9"/>
    <w:basedOn w:val="Normal"/>
    <w:next w:val="Normal"/>
    <w:link w:val="9Char"/>
    <w:qFormat/>
    <w:rsid w:val="007228CC"/>
    <w:pPr>
      <w:keepNext/>
      <w:keepLines/>
      <w:numPr>
        <w:ilvl w:val="8"/>
        <w:numId w:val="1"/>
      </w:numPr>
      <w:spacing w:before="240" w:after="64" w:line="320" w:lineRule="auto"/>
      <w:ind w:firstLine="200" w:firstLineChars="200"/>
      <w:outlineLvl w:val="8"/>
    </w:pPr>
    <w:rPr>
      <w:rFonts w:ascii="Arial" w:eastAsia="黑体" w:hAnsi="Arial"/>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
    <w:name w:val="标题 1 Char"/>
    <w:aliases w:val="123321 Char,H1 Char,Heading 0 Char,Heading 11 Char,Level 1 Head Char,Level 1 Topic Heading Char,PIM 1 Char,h1 Char,level 1 Char"/>
    <w:basedOn w:val="DefaultParagraphFont"/>
    <w:link w:val="Heading1"/>
    <w:rsid w:val="007228CC"/>
    <w:rPr>
      <w:rFonts w:ascii="黑体" w:eastAsia="黑体" w:hAnsi="Times New Roman" w:cs="Times New Roman"/>
      <w:sz w:val="32"/>
      <w:szCs w:val="32"/>
    </w:rPr>
  </w:style>
  <w:style w:type="character" w:customStyle="1" w:styleId="2Char">
    <w:name w:val="标题 2 Char"/>
    <w:aliases w:val="2 Char,2nd level Char,H2 Char,Header 2 Char,Heading 2 CCBS Char,Heading 2 Hidden Char,Level 2 Head Char,PIM2 Char,h2 Char,l2 Char,proj2 Char,proj21 Char,proj210 Char,proj211 Char,proj212 Char,proj22 Char,proj221 Char,proj23 Char,proj231 Char"/>
    <w:basedOn w:val="DefaultParagraphFont"/>
    <w:link w:val="Heading2"/>
    <w:rsid w:val="007228CC"/>
    <w:rPr>
      <w:rFonts w:ascii="Arial" w:eastAsia="宋体" w:hAnsi="Arial" w:cs="Times New Roman"/>
      <w:b/>
      <w:sz w:val="28"/>
      <w:szCs w:val="28"/>
    </w:rPr>
  </w:style>
  <w:style w:type="character" w:customStyle="1" w:styleId="3Char">
    <w:name w:val="标题 3 Char"/>
    <w:aliases w:val="3 Char,3rd level Char,Bold Head Char,CT Char,Fab-3 Char,H3 Char,Heading 3 - old Char,Level 3 Head Char,PIM 3 Char,bh Char,h3 Char,heading 3 Char,l3 Char,level_3 Char,sect1.2.3 Char,sect1.2.31 Char,sect1.2.311 Char,sect1.2.312 Char"/>
    <w:basedOn w:val="DefaultParagraphFont"/>
    <w:link w:val="Heading3"/>
    <w:rsid w:val="007228CC"/>
    <w:rPr>
      <w:rFonts w:ascii="仿宋_GB2312" w:eastAsia="仿宋_GB2312" w:hAnsi="Times New Roman" w:cs="Times New Roman"/>
      <w:sz w:val="24"/>
      <w:szCs w:val="20"/>
    </w:rPr>
  </w:style>
  <w:style w:type="character" w:customStyle="1" w:styleId="4Char">
    <w:name w:val="标题 4 Char"/>
    <w:basedOn w:val="DefaultParagraphFont"/>
    <w:link w:val="Heading4"/>
    <w:rsid w:val="007228CC"/>
    <w:rPr>
      <w:rFonts w:ascii="Arial" w:eastAsia="黑体" w:hAnsi="Arial" w:cs="Times New Roman"/>
      <w:b/>
      <w:bCs/>
      <w:sz w:val="28"/>
      <w:szCs w:val="28"/>
    </w:rPr>
  </w:style>
  <w:style w:type="character" w:customStyle="1" w:styleId="5Char">
    <w:name w:val="标题 5 Char"/>
    <w:basedOn w:val="DefaultParagraphFont"/>
    <w:link w:val="Heading5"/>
    <w:rsid w:val="007228CC"/>
    <w:rPr>
      <w:rFonts w:ascii="Times New Roman" w:eastAsia="宋体" w:hAnsi="Times New Roman" w:cs="Times New Roman"/>
      <w:b/>
      <w:bCs/>
      <w:sz w:val="28"/>
      <w:szCs w:val="28"/>
    </w:rPr>
  </w:style>
  <w:style w:type="character" w:customStyle="1" w:styleId="6Char">
    <w:name w:val="标题 6 Char"/>
    <w:basedOn w:val="DefaultParagraphFont"/>
    <w:link w:val="Heading6"/>
    <w:rsid w:val="007228CC"/>
    <w:rPr>
      <w:rFonts w:ascii="Arial" w:eastAsia="黑体" w:hAnsi="Arial" w:cs="Times New Roman"/>
      <w:b/>
      <w:bCs/>
      <w:sz w:val="24"/>
      <w:szCs w:val="24"/>
    </w:rPr>
  </w:style>
  <w:style w:type="character" w:customStyle="1" w:styleId="7Char">
    <w:name w:val="标题 7 Char"/>
    <w:basedOn w:val="DefaultParagraphFont"/>
    <w:link w:val="Heading7"/>
    <w:rsid w:val="007228CC"/>
    <w:rPr>
      <w:rFonts w:ascii="Times New Roman" w:eastAsia="宋体" w:hAnsi="Times New Roman" w:cs="Times New Roman"/>
      <w:b/>
      <w:bCs/>
      <w:sz w:val="24"/>
      <w:szCs w:val="24"/>
    </w:rPr>
  </w:style>
  <w:style w:type="character" w:customStyle="1" w:styleId="8Char">
    <w:name w:val="标题 8 Char"/>
    <w:basedOn w:val="DefaultParagraphFont"/>
    <w:link w:val="Heading8"/>
    <w:rsid w:val="007228CC"/>
    <w:rPr>
      <w:rFonts w:ascii="Arial" w:eastAsia="黑体" w:hAnsi="Arial" w:cs="Times New Roman"/>
      <w:sz w:val="24"/>
      <w:szCs w:val="24"/>
    </w:rPr>
  </w:style>
  <w:style w:type="character" w:customStyle="1" w:styleId="9Char">
    <w:name w:val="标题 9 Char"/>
    <w:basedOn w:val="DefaultParagraphFont"/>
    <w:link w:val="Heading9"/>
    <w:rsid w:val="007228CC"/>
    <w:rPr>
      <w:rFonts w:ascii="Arial" w:eastAsia="黑体" w:hAnsi="Arial" w:cs="Times New Roman"/>
      <w:sz w:val="24"/>
      <w:szCs w:val="21"/>
    </w:rPr>
  </w:style>
  <w:style w:type="paragraph" w:customStyle="1" w:styleId="CharCharCharCharCharCharChar">
    <w:name w:val="正文文字 Char Char Char Char Char Char Char"/>
    <w:basedOn w:val="Normal"/>
    <w:next w:val="BodyText3"/>
    <w:rsid w:val="007228CC"/>
    <w:pPr>
      <w:numPr>
        <w:ilvl w:val="1"/>
        <w:numId w:val="3"/>
      </w:numPr>
      <w:spacing w:after="120"/>
    </w:pPr>
    <w:rPr>
      <w:sz w:val="16"/>
      <w:szCs w:val="16"/>
    </w:rPr>
  </w:style>
  <w:style w:type="paragraph" w:styleId="BodyText3">
    <w:name w:val="Body Text 3"/>
    <w:basedOn w:val="Normal"/>
    <w:link w:val="3Char1"/>
    <w:rsid w:val="007228CC"/>
    <w:pPr>
      <w:spacing w:after="120"/>
    </w:pPr>
    <w:rPr>
      <w:sz w:val="16"/>
      <w:szCs w:val="16"/>
    </w:rPr>
  </w:style>
  <w:style w:type="character" w:customStyle="1" w:styleId="3Char1">
    <w:name w:val="正文文本 3 Char"/>
    <w:basedOn w:val="DefaultParagraphFont"/>
    <w:link w:val="BodyText3"/>
    <w:rsid w:val="007228CC"/>
    <w:rPr>
      <w:rFonts w:ascii="Times New Roman" w:eastAsia="宋体" w:hAnsi="Times New Roman" w:cs="Times New Roman"/>
      <w:sz w:val="16"/>
      <w:szCs w:val="16"/>
    </w:rPr>
  </w:style>
  <w:style w:type="paragraph" w:styleId="TOC1">
    <w:name w:val="toc 1"/>
    <w:basedOn w:val="Normal"/>
    <w:next w:val="Normal"/>
    <w:autoRedefine/>
    <w:uiPriority w:val="39"/>
    <w:rsid w:val="007228CC"/>
    <w:pPr>
      <w:tabs>
        <w:tab w:val="left" w:pos="840"/>
        <w:tab w:val="right" w:leader="dot" w:pos="8296"/>
      </w:tabs>
      <w:jc w:val="left"/>
    </w:pPr>
    <w:rPr>
      <w:rFonts w:ascii="宋体" w:hAnsi="宋体"/>
      <w:caps/>
      <w:noProof/>
      <w:sz w:val="24"/>
      <w:szCs w:val="28"/>
    </w:rPr>
  </w:style>
  <w:style w:type="paragraph" w:styleId="TOC2">
    <w:name w:val="toc 2"/>
    <w:basedOn w:val="Normal"/>
    <w:next w:val="Normal"/>
    <w:autoRedefine/>
    <w:uiPriority w:val="39"/>
    <w:rsid w:val="007228CC"/>
    <w:pPr>
      <w:tabs>
        <w:tab w:val="left" w:pos="2100"/>
        <w:tab w:val="right" w:leader="dot" w:pos="8268"/>
      </w:tabs>
      <w:ind w:left="319" w:firstLine="734" w:leftChars="152" w:firstLineChars="348"/>
      <w:jc w:val="left"/>
    </w:pPr>
    <w:rPr>
      <w:rFonts w:ascii="宋体" w:hAnsi="宋体"/>
      <w:smallCaps/>
      <w:noProof/>
      <w:szCs w:val="20"/>
    </w:rPr>
  </w:style>
  <w:style w:type="paragraph" w:customStyle="1" w:styleId="111">
    <w:name w:val="样式 标题 1 + 段前: 1 行 段后: 1 行"/>
    <w:basedOn w:val="Heading1"/>
    <w:rsid w:val="007228CC"/>
    <w:pPr>
      <w:pageBreakBefore/>
    </w:pPr>
    <w:rPr>
      <w:szCs w:val="20"/>
    </w:rPr>
  </w:style>
  <w:style w:type="paragraph" w:customStyle="1" w:styleId="20">
    <w:name w:val="样式 首行缩进:  2 字符"/>
    <w:basedOn w:val="Normal"/>
    <w:rsid w:val="007228CC"/>
    <w:pPr>
      <w:spacing w:before="100" w:beforeAutospacing="1" w:after="100" w:afterAutospacing="1" w:line="360" w:lineRule="auto"/>
      <w:ind w:firstLine="480" w:firstLineChars="200"/>
    </w:pPr>
    <w:rPr>
      <w:szCs w:val="20"/>
    </w:rPr>
  </w:style>
  <w:style w:type="paragraph" w:styleId="Header">
    <w:name w:val="header"/>
    <w:basedOn w:val="Normal"/>
    <w:link w:val="Char"/>
    <w:uiPriority w:val="99"/>
    <w:rsid w:val="007228CC"/>
    <w:pPr>
      <w:pBdr>
        <w:bottom w:val="single" w:sz="6" w:space="1" w:color="auto"/>
      </w:pBdr>
      <w:tabs>
        <w:tab w:val="center" w:pos="4153"/>
        <w:tab w:val="right" w:pos="8306"/>
      </w:tabs>
      <w:snapToGrid w:val="0"/>
      <w:ind w:firstLine="200" w:firstLineChars="200"/>
      <w:jc w:val="center"/>
    </w:pPr>
    <w:rPr>
      <w:rFonts w:eastAsia="仿宋_GB2312"/>
      <w:sz w:val="18"/>
      <w:szCs w:val="20"/>
    </w:rPr>
  </w:style>
  <w:style w:type="character" w:customStyle="1" w:styleId="Char">
    <w:name w:val="页眉 Char"/>
    <w:basedOn w:val="DefaultParagraphFont"/>
    <w:link w:val="Header"/>
    <w:uiPriority w:val="99"/>
    <w:rsid w:val="007228CC"/>
    <w:rPr>
      <w:rFonts w:ascii="Times New Roman" w:eastAsia="仿宋_GB2312" w:hAnsi="Times New Roman" w:cs="Times New Roman"/>
      <w:sz w:val="18"/>
      <w:szCs w:val="20"/>
    </w:rPr>
  </w:style>
  <w:style w:type="character" w:styleId="PageNumber">
    <w:name w:val="page number"/>
    <w:basedOn w:val="DefaultParagraphFont"/>
    <w:rsid w:val="007228CC"/>
  </w:style>
  <w:style w:type="paragraph" w:styleId="Footer">
    <w:name w:val="footer"/>
    <w:basedOn w:val="Normal"/>
    <w:link w:val="Char0"/>
    <w:uiPriority w:val="99"/>
    <w:rsid w:val="007228CC"/>
    <w:pPr>
      <w:tabs>
        <w:tab w:val="center" w:pos="4153"/>
        <w:tab w:val="right" w:pos="8306"/>
      </w:tabs>
      <w:snapToGrid w:val="0"/>
      <w:ind w:firstLine="200" w:firstLineChars="200"/>
      <w:jc w:val="left"/>
    </w:pPr>
    <w:rPr>
      <w:rFonts w:eastAsia="仿宋_GB2312"/>
      <w:sz w:val="18"/>
      <w:szCs w:val="20"/>
    </w:rPr>
  </w:style>
  <w:style w:type="character" w:customStyle="1" w:styleId="Char0">
    <w:name w:val="页脚 Char"/>
    <w:basedOn w:val="DefaultParagraphFont"/>
    <w:link w:val="Footer"/>
    <w:uiPriority w:val="99"/>
    <w:rsid w:val="007228CC"/>
    <w:rPr>
      <w:rFonts w:ascii="Times New Roman" w:eastAsia="仿宋_GB2312" w:hAnsi="Times New Roman" w:cs="Times New Roman"/>
      <w:sz w:val="18"/>
      <w:szCs w:val="20"/>
    </w:rPr>
  </w:style>
  <w:style w:type="paragraph" w:styleId="Title">
    <w:name w:val="Title"/>
    <w:basedOn w:val="Normal"/>
    <w:link w:val="Char1"/>
    <w:qFormat/>
    <w:rsid w:val="007228CC"/>
    <w:pPr>
      <w:spacing w:before="240" w:after="60"/>
      <w:jc w:val="center"/>
      <w:outlineLvl w:val="0"/>
    </w:pPr>
    <w:rPr>
      <w:rFonts w:ascii="Arial" w:hAnsi="Arial" w:cs="Arial"/>
      <w:b/>
      <w:bCs/>
      <w:sz w:val="32"/>
      <w:szCs w:val="32"/>
    </w:rPr>
  </w:style>
  <w:style w:type="character" w:customStyle="1" w:styleId="Char1">
    <w:name w:val="标题 Char"/>
    <w:basedOn w:val="DefaultParagraphFont"/>
    <w:link w:val="Title"/>
    <w:rsid w:val="007228CC"/>
    <w:rPr>
      <w:rFonts w:ascii="Arial" w:eastAsia="宋体" w:hAnsi="Arial" w:cs="Arial"/>
      <w:b/>
      <w:bCs/>
      <w:sz w:val="32"/>
      <w:szCs w:val="32"/>
    </w:rPr>
  </w:style>
  <w:style w:type="character" w:customStyle="1" w:styleId="Char2">
    <w:name w:val="结束语 Char"/>
    <w:basedOn w:val="DefaultParagraphFont"/>
    <w:link w:val="Closing"/>
    <w:rsid w:val="007228CC"/>
    <w:rPr>
      <w:rFonts w:ascii="Times New Roman" w:eastAsia="宋体" w:hAnsi="Times New Roman" w:cs="Times New Roman"/>
      <w:szCs w:val="24"/>
    </w:rPr>
  </w:style>
  <w:style w:type="paragraph" w:styleId="Closing">
    <w:name w:val="Closing"/>
    <w:basedOn w:val="Normal"/>
    <w:link w:val="Char2"/>
    <w:rsid w:val="007228CC"/>
    <w:pPr>
      <w:ind w:left="100" w:leftChars="2100"/>
    </w:pPr>
  </w:style>
  <w:style w:type="paragraph" w:styleId="TableofFigures">
    <w:name w:val="table of figures"/>
    <w:basedOn w:val="Normal"/>
    <w:next w:val="Normal"/>
    <w:semiHidden/>
    <w:rsid w:val="007228CC"/>
    <w:pPr>
      <w:ind w:left="840" w:hanging="420" w:leftChars="200" w:hangingChars="200"/>
    </w:pPr>
  </w:style>
  <w:style w:type="paragraph" w:styleId="BodyText">
    <w:name w:val="Body Text"/>
    <w:basedOn w:val="Normal"/>
    <w:link w:val="Char3"/>
    <w:rsid w:val="007228CC"/>
    <w:pPr>
      <w:spacing w:after="120"/>
    </w:pPr>
  </w:style>
  <w:style w:type="character" w:customStyle="1" w:styleId="Char3">
    <w:name w:val="正文文本 Char"/>
    <w:basedOn w:val="DefaultParagraphFont"/>
    <w:link w:val="BodyText"/>
    <w:rsid w:val="007228CC"/>
    <w:rPr>
      <w:rFonts w:ascii="Times New Roman" w:eastAsia="宋体" w:hAnsi="Times New Roman" w:cs="Times New Roman"/>
      <w:szCs w:val="24"/>
    </w:rPr>
  </w:style>
  <w:style w:type="paragraph" w:styleId="BodyTextFirstIndent">
    <w:name w:val="Body Text First Indent"/>
    <w:basedOn w:val="BodyText"/>
    <w:link w:val="Char4"/>
    <w:rsid w:val="007228CC"/>
    <w:pPr>
      <w:ind w:firstLine="420" w:firstLineChars="100"/>
    </w:pPr>
  </w:style>
  <w:style w:type="character" w:customStyle="1" w:styleId="Char4">
    <w:name w:val="正文首行缩进 Char"/>
    <w:basedOn w:val="Char3"/>
    <w:link w:val="BodyTextFirstIndent"/>
    <w:rsid w:val="007228CC"/>
    <w:rPr>
      <w:rFonts w:ascii="Times New Roman" w:eastAsia="宋体" w:hAnsi="Times New Roman" w:cs="Times New Roman"/>
      <w:szCs w:val="24"/>
    </w:rPr>
  </w:style>
  <w:style w:type="character" w:customStyle="1" w:styleId="Char5">
    <w:name w:val="正文文本缩进 Char"/>
    <w:basedOn w:val="DefaultParagraphFont"/>
    <w:link w:val="BodyTextIndent"/>
    <w:rsid w:val="007228CC"/>
    <w:rPr>
      <w:rFonts w:ascii="Times New Roman" w:eastAsia="宋体" w:hAnsi="Times New Roman" w:cs="Times New Roman"/>
      <w:szCs w:val="24"/>
    </w:rPr>
  </w:style>
  <w:style w:type="paragraph" w:styleId="BodyTextIndent">
    <w:name w:val="Body Text Indent"/>
    <w:basedOn w:val="Normal"/>
    <w:link w:val="Char5"/>
    <w:rsid w:val="007228CC"/>
    <w:pPr>
      <w:spacing w:after="120"/>
      <w:ind w:left="420"/>
    </w:pPr>
  </w:style>
  <w:style w:type="character" w:customStyle="1" w:styleId="Char6">
    <w:name w:val="注释标题 Char"/>
    <w:basedOn w:val="DefaultParagraphFont"/>
    <w:link w:val="NoteHeading"/>
    <w:rsid w:val="007228CC"/>
    <w:rPr>
      <w:rFonts w:ascii="Times New Roman" w:eastAsia="宋体" w:hAnsi="Times New Roman" w:cs="Times New Roman"/>
      <w:szCs w:val="24"/>
    </w:rPr>
  </w:style>
  <w:style w:type="paragraph" w:styleId="NoteHeading">
    <w:name w:val="Note Heading"/>
    <w:basedOn w:val="Normal"/>
    <w:next w:val="Normal"/>
    <w:link w:val="Char6"/>
    <w:rsid w:val="007228CC"/>
    <w:pPr>
      <w:jc w:val="center"/>
    </w:pPr>
  </w:style>
  <w:style w:type="character" w:customStyle="1" w:styleId="da">
    <w:name w:val="da"/>
    <w:basedOn w:val="DefaultParagraphFont"/>
    <w:rsid w:val="007228CC"/>
  </w:style>
  <w:style w:type="paragraph" w:customStyle="1" w:styleId="a">
    <w:name w:val="特点"/>
    <w:aliases w:val="正文非缩进,段1,表正文"/>
    <w:basedOn w:val="Normal"/>
    <w:next w:val="NormalIndent"/>
    <w:rsid w:val="007228CC"/>
    <w:pPr>
      <w:ind w:firstLine="420"/>
    </w:pPr>
    <w:rPr>
      <w:szCs w:val="20"/>
    </w:rPr>
  </w:style>
  <w:style w:type="paragraph" w:styleId="NormalIndent">
    <w:name w:val="Normal Indent"/>
    <w:basedOn w:val="Normal"/>
    <w:rsid w:val="007228CC"/>
    <w:pPr>
      <w:ind w:firstLine="420"/>
    </w:pPr>
  </w:style>
  <w:style w:type="paragraph" w:styleId="BodyTextIndent3">
    <w:name w:val="Body Text Indent 3"/>
    <w:basedOn w:val="Normal"/>
    <w:link w:val="3Char2"/>
    <w:rsid w:val="007228CC"/>
    <w:pPr>
      <w:spacing w:after="120"/>
      <w:ind w:left="420"/>
    </w:pPr>
    <w:rPr>
      <w:sz w:val="16"/>
      <w:szCs w:val="16"/>
    </w:rPr>
  </w:style>
  <w:style w:type="character" w:customStyle="1" w:styleId="3Char2">
    <w:name w:val="正文文本缩进 3 Char"/>
    <w:basedOn w:val="DefaultParagraphFont"/>
    <w:link w:val="BodyTextIndent3"/>
    <w:rsid w:val="007228CC"/>
    <w:rPr>
      <w:rFonts w:ascii="Times New Roman" w:eastAsia="宋体" w:hAnsi="Times New Roman" w:cs="Times New Roman"/>
      <w:sz w:val="16"/>
      <w:szCs w:val="16"/>
    </w:rPr>
  </w:style>
  <w:style w:type="paragraph" w:styleId="PlainText">
    <w:name w:val="Plain Text"/>
    <w:basedOn w:val="Normal"/>
    <w:link w:val="Char7"/>
    <w:rsid w:val="007228CC"/>
    <w:rPr>
      <w:rFonts w:ascii="宋体" w:hAnsi="Courier New" w:cs="Courier New"/>
      <w:szCs w:val="21"/>
    </w:rPr>
  </w:style>
  <w:style w:type="character" w:customStyle="1" w:styleId="Char7">
    <w:name w:val="纯文本 Char"/>
    <w:basedOn w:val="DefaultParagraphFont"/>
    <w:link w:val="PlainText"/>
    <w:rsid w:val="007228CC"/>
    <w:rPr>
      <w:rFonts w:ascii="宋体" w:eastAsia="宋体" w:hAnsi="Courier New" w:cs="Courier New"/>
      <w:szCs w:val="21"/>
    </w:rPr>
  </w:style>
  <w:style w:type="character" w:styleId="Hyperlink">
    <w:name w:val="Hyperlink"/>
    <w:basedOn w:val="DefaultParagraphFont"/>
    <w:uiPriority w:val="99"/>
    <w:rsid w:val="007228CC"/>
    <w:rPr>
      <w:color w:val="0000FF"/>
      <w:u w:val="single"/>
    </w:rPr>
  </w:style>
  <w:style w:type="paragraph" w:styleId="BodyTextIndent2">
    <w:name w:val="Body Text Indent 2"/>
    <w:basedOn w:val="Normal"/>
    <w:link w:val="2Char1"/>
    <w:rsid w:val="007228CC"/>
    <w:pPr>
      <w:spacing w:after="120" w:line="480" w:lineRule="auto"/>
      <w:ind w:left="420"/>
    </w:pPr>
  </w:style>
  <w:style w:type="character" w:customStyle="1" w:styleId="2Char1">
    <w:name w:val="正文文本缩进 2 Char"/>
    <w:basedOn w:val="DefaultParagraphFont"/>
    <w:link w:val="BodyTextIndent2"/>
    <w:rsid w:val="007228CC"/>
    <w:rPr>
      <w:rFonts w:ascii="Times New Roman" w:eastAsia="宋体" w:hAnsi="Times New Roman" w:cs="Times New Roman"/>
      <w:szCs w:val="24"/>
    </w:rPr>
  </w:style>
  <w:style w:type="character" w:customStyle="1" w:styleId="2Char2">
    <w:name w:val="正文文本 2 Char"/>
    <w:basedOn w:val="DefaultParagraphFont"/>
    <w:link w:val="BodyText2"/>
    <w:rsid w:val="007228CC"/>
    <w:rPr>
      <w:rFonts w:ascii="Times New Roman" w:eastAsia="宋体" w:hAnsi="Times New Roman" w:cs="Times New Roman"/>
      <w:szCs w:val="24"/>
    </w:rPr>
  </w:style>
  <w:style w:type="paragraph" w:styleId="BodyText2">
    <w:name w:val="Body Text 2"/>
    <w:basedOn w:val="Normal"/>
    <w:link w:val="2Char2"/>
    <w:rsid w:val="007228CC"/>
    <w:pPr>
      <w:spacing w:after="120" w:line="480" w:lineRule="auto"/>
    </w:pPr>
  </w:style>
  <w:style w:type="character" w:customStyle="1" w:styleId="HTMLChar">
    <w:name w:val="HTML 预设格式 Char"/>
    <w:basedOn w:val="DefaultParagraphFont"/>
    <w:link w:val="HTMLPreformatted"/>
    <w:uiPriority w:val="99"/>
    <w:rsid w:val="007228CC"/>
    <w:rPr>
      <w:rFonts w:ascii="Courier New" w:eastAsia="宋体" w:hAnsi="Courier New" w:cs="Courier New"/>
      <w:sz w:val="20"/>
      <w:szCs w:val="20"/>
    </w:rPr>
  </w:style>
  <w:style w:type="paragraph" w:styleId="HTMLPreformatted">
    <w:name w:val="HTML Preformatted"/>
    <w:basedOn w:val="Normal"/>
    <w:link w:val="HTMLChar"/>
    <w:uiPriority w:val="99"/>
    <w:rsid w:val="007228CC"/>
    <w:rPr>
      <w:rFonts w:ascii="Courier New" w:hAnsi="Courier New" w:cs="Courier New"/>
      <w:sz w:val="20"/>
      <w:szCs w:val="20"/>
    </w:rPr>
  </w:style>
  <w:style w:type="paragraph" w:styleId="NormalWeb">
    <w:name w:val="Normal (Web)"/>
    <w:basedOn w:val="Normal"/>
    <w:rsid w:val="007228CC"/>
    <w:rPr>
      <w:sz w:val="24"/>
    </w:rPr>
  </w:style>
  <w:style w:type="paragraph" w:styleId="Subtitle">
    <w:name w:val="Subtitle"/>
    <w:basedOn w:val="Normal"/>
    <w:link w:val="Char8"/>
    <w:qFormat/>
    <w:rsid w:val="007228CC"/>
    <w:pPr>
      <w:spacing w:before="240" w:after="60" w:line="312" w:lineRule="auto"/>
      <w:jc w:val="center"/>
      <w:outlineLvl w:val="1"/>
    </w:pPr>
    <w:rPr>
      <w:rFonts w:ascii="Arial" w:hAnsi="Arial" w:cs="Arial"/>
      <w:b/>
      <w:bCs/>
      <w:kern w:val="28"/>
      <w:sz w:val="32"/>
      <w:szCs w:val="32"/>
    </w:rPr>
  </w:style>
  <w:style w:type="character" w:customStyle="1" w:styleId="Char8">
    <w:name w:val="副标题 Char"/>
    <w:basedOn w:val="DefaultParagraphFont"/>
    <w:link w:val="Subtitle"/>
    <w:rsid w:val="007228CC"/>
    <w:rPr>
      <w:rFonts w:ascii="Arial" w:eastAsia="宋体" w:hAnsi="Arial" w:cs="Arial"/>
      <w:b/>
      <w:bCs/>
      <w:kern w:val="28"/>
      <w:sz w:val="32"/>
      <w:szCs w:val="32"/>
    </w:rPr>
  </w:style>
  <w:style w:type="character" w:styleId="Strong">
    <w:name w:val="Strong"/>
    <w:basedOn w:val="DefaultParagraphFont"/>
    <w:qFormat/>
    <w:rsid w:val="007228CC"/>
    <w:rPr>
      <w:b/>
      <w:bCs/>
    </w:rPr>
  </w:style>
  <w:style w:type="character" w:customStyle="1" w:styleId="Char9">
    <w:name w:val="文档结构图 Char"/>
    <w:basedOn w:val="DefaultParagraphFont"/>
    <w:link w:val="DocumentMap"/>
    <w:semiHidden/>
    <w:rsid w:val="007228CC"/>
    <w:rPr>
      <w:rFonts w:ascii="Times New Roman" w:eastAsia="宋体" w:hAnsi="Times New Roman" w:cs="Times New Roman"/>
      <w:szCs w:val="24"/>
      <w:shd w:val="clear" w:color="auto" w:fill="000080"/>
    </w:rPr>
  </w:style>
  <w:style w:type="paragraph" w:styleId="DocumentMap">
    <w:name w:val="Document Map"/>
    <w:basedOn w:val="Normal"/>
    <w:link w:val="Char9"/>
    <w:semiHidden/>
    <w:rsid w:val="007228CC"/>
    <w:pPr>
      <w:shd w:val="clear" w:color="auto" w:fill="000080"/>
    </w:pPr>
  </w:style>
  <w:style w:type="character" w:customStyle="1" w:styleId="Char10">
    <w:name w:val="批注框文本 Char"/>
    <w:basedOn w:val="DefaultParagraphFont"/>
    <w:link w:val="BalloonText"/>
    <w:semiHidden/>
    <w:rsid w:val="007228CC"/>
    <w:rPr>
      <w:rFonts w:ascii="Times New Roman" w:eastAsia="宋体" w:hAnsi="Times New Roman" w:cs="Times New Roman"/>
      <w:sz w:val="18"/>
      <w:szCs w:val="18"/>
    </w:rPr>
  </w:style>
  <w:style w:type="paragraph" w:styleId="BalloonText">
    <w:name w:val="Balloon Text"/>
    <w:basedOn w:val="Normal"/>
    <w:link w:val="Char10"/>
    <w:semiHidden/>
    <w:rsid w:val="007228CC"/>
    <w:rPr>
      <w:sz w:val="18"/>
      <w:szCs w:val="18"/>
    </w:rPr>
  </w:style>
  <w:style w:type="character" w:customStyle="1" w:styleId="read">
    <w:name w:val="read"/>
    <w:basedOn w:val="DefaultParagraphFont"/>
    <w:rsid w:val="007228CC"/>
  </w:style>
  <w:style w:type="character" w:customStyle="1" w:styleId="Char11">
    <w:name w:val="批注文字 Char"/>
    <w:basedOn w:val="DefaultParagraphFont"/>
    <w:link w:val="CommentText"/>
    <w:semiHidden/>
    <w:rsid w:val="007228CC"/>
    <w:rPr>
      <w:rFonts w:ascii="Times New Roman" w:eastAsia="宋体" w:hAnsi="Times New Roman" w:cs="Times New Roman"/>
      <w:szCs w:val="24"/>
    </w:rPr>
  </w:style>
  <w:style w:type="paragraph" w:styleId="CommentText">
    <w:name w:val="annotation text"/>
    <w:basedOn w:val="Normal"/>
    <w:link w:val="Char11"/>
    <w:semiHidden/>
    <w:unhideWhenUsed/>
    <w:rsid w:val="007228CC"/>
    <w:pPr>
      <w:jc w:val="left"/>
    </w:pPr>
  </w:style>
  <w:style w:type="character" w:customStyle="1" w:styleId="Char12">
    <w:name w:val="批注主题 Char"/>
    <w:basedOn w:val="Char11"/>
    <w:link w:val="CommentSubject"/>
    <w:semiHidden/>
    <w:rsid w:val="007228CC"/>
    <w:rPr>
      <w:rFonts w:ascii="Times New Roman" w:eastAsia="宋体" w:hAnsi="Times New Roman" w:cs="Times New Roman"/>
      <w:b/>
      <w:bCs/>
      <w:szCs w:val="24"/>
    </w:rPr>
  </w:style>
  <w:style w:type="paragraph" w:styleId="CommentSubject">
    <w:name w:val="annotation subject"/>
    <w:basedOn w:val="CommentText"/>
    <w:next w:val="CommentText"/>
    <w:link w:val="Char12"/>
    <w:semiHidden/>
    <w:rsid w:val="007228CC"/>
    <w:rPr>
      <w:b/>
      <w:bCs/>
    </w:rPr>
  </w:style>
  <w:style w:type="character" w:customStyle="1" w:styleId="Char13">
    <w:name w:val="称呼 Char"/>
    <w:basedOn w:val="DefaultParagraphFont"/>
    <w:link w:val="Salutation"/>
    <w:rsid w:val="007228CC"/>
    <w:rPr>
      <w:rFonts w:ascii="Times New Roman" w:eastAsia="宋体" w:hAnsi="Times New Roman" w:cs="Times New Roman"/>
      <w:szCs w:val="24"/>
    </w:rPr>
  </w:style>
  <w:style w:type="paragraph" w:styleId="Salutation">
    <w:name w:val="Salutation"/>
    <w:basedOn w:val="Normal"/>
    <w:next w:val="Normal"/>
    <w:link w:val="Char13"/>
    <w:rsid w:val="007228CC"/>
  </w:style>
  <w:style w:type="paragraph" w:styleId="TOC6">
    <w:name w:val="toc 6"/>
    <w:basedOn w:val="Normal"/>
    <w:next w:val="Normal"/>
    <w:autoRedefine/>
    <w:uiPriority w:val="39"/>
    <w:rsid w:val="007228CC"/>
    <w:pPr>
      <w:numPr>
        <w:numId w:val="8"/>
      </w:numPr>
      <w:tabs>
        <w:tab w:val="clear" w:pos="720"/>
      </w:tabs>
      <w:ind w:left="2100" w:firstLine="0" w:leftChars="1000"/>
    </w:pPr>
  </w:style>
  <w:style w:type="character" w:customStyle="1" w:styleId="Char14">
    <w:name w:val="日期 Char"/>
    <w:basedOn w:val="DefaultParagraphFont"/>
    <w:link w:val="Date"/>
    <w:rsid w:val="007228CC"/>
    <w:rPr>
      <w:rFonts w:ascii="Times New Roman" w:eastAsia="宋体" w:hAnsi="Times New Roman" w:cs="Times New Roman"/>
      <w:szCs w:val="24"/>
    </w:rPr>
  </w:style>
  <w:style w:type="paragraph" w:styleId="Date">
    <w:name w:val="Date"/>
    <w:basedOn w:val="Normal"/>
    <w:next w:val="Normal"/>
    <w:link w:val="Char14"/>
    <w:rsid w:val="007228CC"/>
    <w:pPr>
      <w:ind w:left="100" w:leftChars="2500"/>
    </w:pPr>
  </w:style>
  <w:style w:type="character" w:customStyle="1" w:styleId="2Char3">
    <w:name w:val="正文首行缩进 2 Char"/>
    <w:basedOn w:val="Char5"/>
    <w:link w:val="BodyTextFirstIndent2"/>
    <w:rsid w:val="007228CC"/>
    <w:rPr>
      <w:rFonts w:ascii="Times New Roman" w:eastAsia="宋体" w:hAnsi="Times New Roman" w:cs="Times New Roman"/>
      <w:sz w:val="24"/>
      <w:szCs w:val="24"/>
    </w:rPr>
  </w:style>
  <w:style w:type="paragraph" w:styleId="BodyTextFirstIndent2">
    <w:name w:val="Body Text First Indent 2"/>
    <w:basedOn w:val="Normal"/>
    <w:link w:val="2Char3"/>
    <w:rsid w:val="007228CC"/>
    <w:pPr>
      <w:ind w:firstLine="200" w:firstLineChars="200"/>
    </w:pPr>
    <w:rPr>
      <w:sz w:val="24"/>
    </w:rPr>
  </w:style>
  <w:style w:type="table" w:styleId="TableGrid">
    <w:name w:val="Table Grid"/>
    <w:basedOn w:val="TableNormal"/>
    <w:uiPriority w:val="59"/>
    <w:rsid w:val="008A7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772B"/>
    <w:pPr>
      <w:ind w:firstLine="420" w:firstLineChars="200"/>
    </w:pPr>
  </w:style>
  <w:style w:type="paragraph" w:styleId="TOC3">
    <w:name w:val="toc 3"/>
    <w:basedOn w:val="Normal"/>
    <w:next w:val="Normal"/>
    <w:autoRedefine/>
    <w:uiPriority w:val="39"/>
    <w:unhideWhenUsed/>
    <w:rsid w:val="00BB4FEC"/>
    <w:pPr>
      <w:ind w:left="840" w:leftChars="400"/>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BB4FEC"/>
    <w:pPr>
      <w:ind w:left="1260" w:leftChars="60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BB4FEC"/>
    <w:pPr>
      <w:ind w:left="1680" w:leftChars="8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BB4FEC"/>
    <w:pPr>
      <w:ind w:left="2520" w:leftChars="120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BB4FEC"/>
    <w:pPr>
      <w:ind w:left="2940" w:leftChars="140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BB4FEC"/>
    <w:pPr>
      <w:ind w:left="3360" w:leftChars="1600"/>
    </w:pPr>
    <w:rPr>
      <w:rFonts w:asciiTheme="minorHAnsi" w:eastAsiaTheme="minorEastAsia" w:hAnsiTheme="minorHAnsi" w:cstheme="minorBidi"/>
      <w:szCs w:val="22"/>
    </w:rPr>
  </w:style>
  <w:style w:type="character" w:styleId="FollowedHyperlink">
    <w:name w:val="FollowedHyperlink"/>
    <w:basedOn w:val="DefaultParagraphFont"/>
    <w:uiPriority w:val="99"/>
    <w:unhideWhenUsed/>
    <w:rsid w:val="00F72752"/>
    <w:rPr>
      <w:color w:val="800080" w:themeColor="followedHyperlink"/>
      <w:u w:val="single"/>
    </w:rPr>
  </w:style>
  <w:style w:type="paragraph" w:styleId="Revision">
    <w:name w:val="Revision"/>
    <w:hidden/>
    <w:uiPriority w:val="99"/>
    <w:semiHidden/>
    <w:rsid w:val="00685A2C"/>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hyperlink" Target="http://www.efunds.com.cn"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765AC26-52B2-4F17-A923-FF0D3D970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113</Pages>
  <Words>14876</Words>
  <Characters>84795</Characters>
  <Application>Microsoft Office Word</Application>
  <DocSecurity>0</DocSecurity>
  <Lines>706</Lines>
  <Paragraphs>198</Paragraphs>
  <ScaleCrop>false</ScaleCrop>
  <Company>易方达基金管理有限公司</Company>
  <LinksUpToDate>false</LinksUpToDate>
  <CharactersWithSpaces>99473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陈红</dc:creator>
  <cp:lastModifiedBy>张艺耀</cp:lastModifiedBy>
  <cp:revision>7</cp:revision>
  <cp:lastPrinted>2012-04-13T07:47:00Z</cp:lastPrinted>
  <dcterms:created xsi:type="dcterms:W3CDTF">2022-12-23T08:37:00Z</dcterms:created>
  <dcterms:modified xsi:type="dcterms:W3CDTF">2022-12-30T11:12:00Z</dcterms:modified>
</cp:coreProperties>
</file>