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BA4B87" w:rsidRPr="005A7DE6" w:rsidP="00202C24">
      <w:pPr>
        <w:tabs>
          <w:tab w:val="left" w:pos="1890"/>
        </w:tabs>
        <w:snapToGrid w:val="0"/>
        <w:spacing w:line="360" w:lineRule="auto"/>
        <w:rPr>
          <w:rFonts w:asciiTheme="minorEastAsia" w:eastAsiaTheme="minorEastAsia" w:hAnsiTheme="minorEastAsia"/>
          <w:i/>
          <w:iCs/>
          <w:color w:val="000000" w:themeColor="text1"/>
          <w:sz w:val="28"/>
          <w:szCs w:val="28"/>
        </w:rPr>
      </w:pPr>
    </w:p>
    <w:p w:rsidR="00BA4B87" w:rsidRPr="005A7DE6" w:rsidP="00202C24">
      <w:pPr>
        <w:snapToGrid w:val="0"/>
        <w:spacing w:line="360" w:lineRule="auto"/>
        <w:ind w:firstLine="881"/>
        <w:jc w:val="center"/>
        <w:rPr>
          <w:rFonts w:asciiTheme="minorEastAsia" w:eastAsiaTheme="minorEastAsia" w:hAnsiTheme="minorEastAsia"/>
          <w:b/>
          <w:color w:val="000000" w:themeColor="text1"/>
          <w:sz w:val="44"/>
        </w:rPr>
      </w:pPr>
      <w:bookmarkStart w:id="0" w:name="_GoBack"/>
      <w:bookmarkEnd w:id="0"/>
    </w:p>
    <w:p w:rsidR="00BA4B87" w:rsidRPr="005A7DE6" w:rsidP="00202C24">
      <w:pPr>
        <w:snapToGrid w:val="0"/>
        <w:spacing w:line="360" w:lineRule="auto"/>
        <w:ind w:firstLine="881"/>
        <w:jc w:val="center"/>
        <w:rPr>
          <w:rFonts w:asciiTheme="minorEastAsia" w:eastAsiaTheme="minorEastAsia" w:hAnsiTheme="minorEastAsia"/>
          <w:b/>
          <w:color w:val="000000" w:themeColor="text1"/>
          <w:sz w:val="44"/>
        </w:rPr>
      </w:pPr>
    </w:p>
    <w:p w:rsidR="00BA4B87" w:rsidRPr="005A7DE6" w:rsidP="00202C24">
      <w:pPr>
        <w:snapToGrid w:val="0"/>
        <w:spacing w:line="360" w:lineRule="auto"/>
        <w:ind w:firstLine="881"/>
        <w:jc w:val="center"/>
        <w:rPr>
          <w:rFonts w:asciiTheme="minorEastAsia" w:eastAsiaTheme="minorEastAsia" w:hAnsiTheme="minorEastAsia"/>
          <w:b/>
          <w:color w:val="000000" w:themeColor="text1"/>
          <w:sz w:val="44"/>
        </w:rPr>
      </w:pPr>
    </w:p>
    <w:p w:rsidR="00202C24" w:rsidRPr="005A7DE6" w:rsidP="00202C24">
      <w:pPr>
        <w:snapToGrid w:val="0"/>
        <w:spacing w:line="360" w:lineRule="auto"/>
        <w:ind w:firstLine="881"/>
        <w:jc w:val="center"/>
        <w:rPr>
          <w:rFonts w:asciiTheme="minorEastAsia" w:eastAsiaTheme="minorEastAsia" w:hAnsiTheme="minorEastAsia"/>
          <w:b/>
          <w:color w:val="000000" w:themeColor="text1"/>
          <w:sz w:val="44"/>
        </w:rPr>
      </w:pPr>
    </w:p>
    <w:p w:rsidR="00BA4B87" w:rsidRPr="005A7DE6" w:rsidP="00202C24">
      <w:pPr>
        <w:snapToGrid w:val="0"/>
        <w:spacing w:line="360" w:lineRule="auto"/>
        <w:jc w:val="center"/>
        <w:rPr>
          <w:rFonts w:asciiTheme="minorEastAsia" w:eastAsiaTheme="minorEastAsia" w:hAnsiTheme="minorEastAsia"/>
          <w:b/>
          <w:color w:val="000000" w:themeColor="text1"/>
          <w:sz w:val="44"/>
        </w:rPr>
      </w:pPr>
      <w:r w:rsidRPr="005A7DE6">
        <w:rPr>
          <w:rFonts w:asciiTheme="minorEastAsia" w:eastAsiaTheme="minorEastAsia" w:hAnsiTheme="minorEastAsia"/>
          <w:b/>
          <w:color w:val="000000" w:themeColor="text1"/>
          <w:sz w:val="44"/>
        </w:rPr>
        <w:t>易方达</w:t>
      </w:r>
      <w:r w:rsidRPr="005A7DE6" w:rsidR="00746A7E">
        <w:rPr>
          <w:rFonts w:asciiTheme="minorEastAsia" w:eastAsiaTheme="minorEastAsia" w:hAnsiTheme="minorEastAsia"/>
          <w:b/>
          <w:bCs/>
          <w:color w:val="000000" w:themeColor="text1"/>
          <w:sz w:val="44"/>
        </w:rPr>
        <w:t>纯债</w:t>
      </w:r>
      <w:r w:rsidRPr="005A7DE6">
        <w:rPr>
          <w:rFonts w:asciiTheme="minorEastAsia" w:eastAsiaTheme="minorEastAsia" w:hAnsiTheme="minorEastAsia"/>
          <w:b/>
          <w:bCs/>
          <w:color w:val="000000" w:themeColor="text1"/>
          <w:sz w:val="44"/>
        </w:rPr>
        <w:t>债券型证券投资基金</w:t>
      </w:r>
    </w:p>
    <w:p w:rsidR="00BA4B87" w:rsidRPr="005A7DE6" w:rsidP="00202C24">
      <w:pPr>
        <w:snapToGrid w:val="0"/>
        <w:spacing w:line="360" w:lineRule="auto"/>
        <w:jc w:val="center"/>
        <w:rPr>
          <w:rFonts w:asciiTheme="minorEastAsia" w:eastAsiaTheme="minorEastAsia" w:hAnsiTheme="minorEastAsia"/>
          <w:b/>
          <w:color w:val="000000" w:themeColor="text1"/>
          <w:sz w:val="44"/>
        </w:rPr>
      </w:pPr>
      <w:r w:rsidRPr="005A7DE6">
        <w:rPr>
          <w:rFonts w:asciiTheme="minorEastAsia" w:eastAsiaTheme="minorEastAsia" w:hAnsiTheme="minorEastAsia" w:hint="eastAsia"/>
          <w:b/>
          <w:color w:val="000000" w:themeColor="text1"/>
          <w:sz w:val="44"/>
        </w:rPr>
        <w:t>更新的</w:t>
      </w:r>
      <w:r w:rsidRPr="005A7DE6">
        <w:rPr>
          <w:rFonts w:asciiTheme="minorEastAsia" w:eastAsiaTheme="minorEastAsia" w:hAnsiTheme="minorEastAsia"/>
          <w:b/>
          <w:color w:val="000000" w:themeColor="text1"/>
          <w:sz w:val="44"/>
        </w:rPr>
        <w:t>招募说明书</w:t>
      </w:r>
    </w:p>
    <w:p w:rsidR="00BA4B87" w:rsidRPr="005A7DE6" w:rsidP="00202C24">
      <w:pPr>
        <w:snapToGrid w:val="0"/>
        <w:spacing w:line="360" w:lineRule="auto"/>
        <w:ind w:left="1680" w:firstLine="181" w:leftChars="800"/>
        <w:rPr>
          <w:rFonts w:asciiTheme="minorEastAsia" w:eastAsiaTheme="minorEastAsia" w:hAnsiTheme="minorEastAsia"/>
          <w:color w:val="000000" w:themeColor="text1"/>
          <w:sz w:val="30"/>
          <w:szCs w:val="30"/>
        </w:rPr>
      </w:pPr>
    </w:p>
    <w:p w:rsidR="00992FE4" w:rsidRPr="005A7DE6" w:rsidP="00523FFA">
      <w:pPr>
        <w:tabs>
          <w:tab w:val="left" w:pos="4517"/>
        </w:tabs>
        <w:snapToGrid w:val="0"/>
        <w:spacing w:line="360" w:lineRule="auto"/>
        <w:ind w:left="1680" w:firstLine="181" w:leftChars="800"/>
        <w:rPr>
          <w:rFonts w:asciiTheme="minorEastAsia" w:eastAsiaTheme="minorEastAsia" w:hAnsiTheme="minorEastAsia"/>
          <w:color w:val="000000" w:themeColor="text1"/>
          <w:sz w:val="30"/>
          <w:szCs w:val="30"/>
        </w:rPr>
      </w:pPr>
      <w:r w:rsidRPr="005A7DE6">
        <w:rPr>
          <w:rFonts w:asciiTheme="minorEastAsia" w:eastAsiaTheme="minorEastAsia" w:hAnsiTheme="minorEastAsia"/>
          <w:color w:val="000000" w:themeColor="text1"/>
          <w:sz w:val="30"/>
          <w:szCs w:val="30"/>
        </w:rPr>
        <w:tab/>
      </w:r>
    </w:p>
    <w:p w:rsidR="00BA4B87" w:rsidRPr="005A7DE6" w:rsidP="00202C24">
      <w:pPr>
        <w:snapToGrid w:val="0"/>
        <w:spacing w:line="360" w:lineRule="auto"/>
        <w:ind w:left="1680" w:leftChars="800"/>
        <w:rPr>
          <w:rFonts w:asciiTheme="minorEastAsia" w:eastAsiaTheme="minorEastAsia" w:hAnsiTheme="minorEastAsia"/>
          <w:color w:val="000000" w:themeColor="text1"/>
          <w:sz w:val="30"/>
          <w:szCs w:val="30"/>
        </w:rPr>
      </w:pPr>
    </w:p>
    <w:p w:rsidR="00BA4B87" w:rsidRPr="005A7DE6" w:rsidP="00202C24">
      <w:pPr>
        <w:snapToGrid w:val="0"/>
        <w:spacing w:line="360" w:lineRule="auto"/>
        <w:ind w:left="1680" w:leftChars="800"/>
        <w:rPr>
          <w:rFonts w:asciiTheme="minorEastAsia" w:eastAsiaTheme="minorEastAsia" w:hAnsiTheme="minorEastAsia"/>
          <w:color w:val="000000" w:themeColor="text1"/>
          <w:sz w:val="30"/>
          <w:szCs w:val="30"/>
        </w:rPr>
      </w:pPr>
    </w:p>
    <w:p w:rsidR="00BA4B87" w:rsidRPr="005A7DE6" w:rsidP="00202C24">
      <w:pPr>
        <w:snapToGrid w:val="0"/>
        <w:spacing w:line="360" w:lineRule="auto"/>
        <w:ind w:left="1680" w:leftChars="800"/>
        <w:rPr>
          <w:rFonts w:asciiTheme="minorEastAsia" w:eastAsiaTheme="minorEastAsia" w:hAnsiTheme="minorEastAsia"/>
          <w:color w:val="000000" w:themeColor="text1"/>
          <w:sz w:val="30"/>
          <w:szCs w:val="30"/>
        </w:rPr>
      </w:pPr>
    </w:p>
    <w:p w:rsidR="009C7B8E" w:rsidRPr="005A7DE6" w:rsidP="00202C24">
      <w:pPr>
        <w:snapToGrid w:val="0"/>
        <w:spacing w:line="360" w:lineRule="auto"/>
        <w:ind w:left="1680" w:leftChars="800"/>
        <w:rPr>
          <w:rFonts w:asciiTheme="minorEastAsia" w:eastAsiaTheme="minorEastAsia" w:hAnsiTheme="minorEastAsia"/>
          <w:color w:val="000000" w:themeColor="text1"/>
          <w:sz w:val="30"/>
          <w:szCs w:val="30"/>
        </w:rPr>
      </w:pPr>
    </w:p>
    <w:p w:rsidR="00BA4B87" w:rsidRPr="005A7DE6" w:rsidP="00202C24">
      <w:pPr>
        <w:snapToGrid w:val="0"/>
        <w:spacing w:line="360" w:lineRule="auto"/>
        <w:ind w:left="1680" w:leftChars="800"/>
        <w:rPr>
          <w:rFonts w:asciiTheme="minorEastAsia" w:eastAsiaTheme="minorEastAsia" w:hAnsiTheme="minorEastAsia"/>
          <w:color w:val="000000" w:themeColor="text1"/>
          <w:sz w:val="30"/>
          <w:szCs w:val="30"/>
        </w:rPr>
      </w:pPr>
    </w:p>
    <w:p w:rsidR="00202C24" w:rsidRPr="005A7DE6" w:rsidP="00202C24">
      <w:pPr>
        <w:snapToGrid w:val="0"/>
        <w:spacing w:line="360" w:lineRule="auto"/>
        <w:ind w:left="1680" w:leftChars="800"/>
        <w:rPr>
          <w:rFonts w:asciiTheme="minorEastAsia" w:eastAsiaTheme="minorEastAsia" w:hAnsiTheme="minorEastAsia"/>
          <w:color w:val="000000" w:themeColor="text1"/>
          <w:sz w:val="30"/>
          <w:szCs w:val="30"/>
        </w:rPr>
      </w:pPr>
    </w:p>
    <w:p w:rsidR="00BA4B87" w:rsidRPr="005A7DE6" w:rsidP="00202C24">
      <w:pPr>
        <w:snapToGrid w:val="0"/>
        <w:spacing w:line="360" w:lineRule="auto"/>
        <w:ind w:left="1678" w:hanging="237" w:leftChars="686" w:hangingChars="74"/>
        <w:rPr>
          <w:rFonts w:asciiTheme="minorEastAsia" w:eastAsiaTheme="minorEastAsia" w:hAnsiTheme="minorEastAsia"/>
          <w:b/>
          <w:color w:val="000000" w:themeColor="text1"/>
          <w:sz w:val="32"/>
          <w:szCs w:val="32"/>
        </w:rPr>
      </w:pPr>
      <w:r w:rsidRPr="005A7DE6">
        <w:rPr>
          <w:rFonts w:asciiTheme="minorEastAsia" w:eastAsiaTheme="minorEastAsia" w:hAnsiTheme="minorEastAsia"/>
          <w:b/>
          <w:color w:val="000000" w:themeColor="text1"/>
          <w:sz w:val="32"/>
          <w:szCs w:val="32"/>
        </w:rPr>
        <w:t>基金管理人：易方达基金管理有限公司</w:t>
      </w:r>
    </w:p>
    <w:p w:rsidR="00BA4B87" w:rsidRPr="005A7DE6" w:rsidP="00202C24">
      <w:pPr>
        <w:snapToGrid w:val="0"/>
        <w:spacing w:line="360" w:lineRule="auto"/>
        <w:ind w:left="1438" w:leftChars="685"/>
        <w:rPr>
          <w:rFonts w:asciiTheme="minorEastAsia" w:eastAsiaTheme="minorEastAsia" w:hAnsiTheme="minorEastAsia"/>
          <w:b/>
          <w:color w:val="000000" w:themeColor="text1"/>
          <w:sz w:val="32"/>
          <w:szCs w:val="32"/>
        </w:rPr>
      </w:pPr>
      <w:r w:rsidRPr="005A7DE6">
        <w:rPr>
          <w:rFonts w:asciiTheme="minorEastAsia" w:eastAsiaTheme="minorEastAsia" w:hAnsiTheme="minorEastAsia"/>
          <w:b/>
          <w:color w:val="000000" w:themeColor="text1"/>
          <w:sz w:val="32"/>
          <w:szCs w:val="32"/>
        </w:rPr>
        <w:t>基金托管人：</w:t>
      </w:r>
      <w:r w:rsidRPr="005A7DE6" w:rsidR="00746A7E">
        <w:rPr>
          <w:rFonts w:asciiTheme="minorEastAsia" w:eastAsiaTheme="minorEastAsia" w:hAnsiTheme="minorEastAsia"/>
          <w:b/>
          <w:color w:val="000000" w:themeColor="text1"/>
          <w:sz w:val="32"/>
          <w:szCs w:val="32"/>
        </w:rPr>
        <w:t>招商银行</w:t>
      </w:r>
      <w:r w:rsidRPr="005A7DE6">
        <w:rPr>
          <w:rFonts w:asciiTheme="minorEastAsia" w:eastAsiaTheme="minorEastAsia" w:hAnsiTheme="minorEastAsia"/>
          <w:b/>
          <w:color w:val="000000" w:themeColor="text1"/>
          <w:sz w:val="32"/>
          <w:szCs w:val="32"/>
        </w:rPr>
        <w:t>股份有限公司</w:t>
      </w:r>
    </w:p>
    <w:p w:rsidR="00BA4B87" w:rsidRPr="005A7DE6" w:rsidP="00202C24">
      <w:pPr>
        <w:snapToGrid w:val="0"/>
        <w:spacing w:line="360" w:lineRule="auto"/>
        <w:ind w:firstLine="561"/>
        <w:rPr>
          <w:rFonts w:asciiTheme="minorEastAsia" w:eastAsiaTheme="minorEastAsia" w:hAnsiTheme="minorEastAsia"/>
          <w:b/>
          <w:color w:val="000000" w:themeColor="text1"/>
          <w:sz w:val="24"/>
        </w:rPr>
      </w:pPr>
    </w:p>
    <w:p w:rsidR="004B3500" w:rsidRPr="005A7DE6" w:rsidP="00202C24">
      <w:pPr>
        <w:snapToGrid w:val="0"/>
        <w:spacing w:line="360" w:lineRule="auto"/>
        <w:ind w:firstLine="561"/>
        <w:jc w:val="center"/>
        <w:rPr>
          <w:rFonts w:asciiTheme="minorEastAsia" w:eastAsiaTheme="minorEastAsia" w:hAnsiTheme="minorEastAsia"/>
          <w:b/>
          <w:color w:val="000000" w:themeColor="text1"/>
          <w:sz w:val="28"/>
          <w:szCs w:val="28"/>
        </w:rPr>
      </w:pPr>
      <w:r>
        <w:rPr>
          <w:b/>
          <w:sz w:val="28"/>
        </w:rPr>
        <w:t>二〇二二年十二月</w:t>
      </w:r>
    </w:p>
    <w:p w:rsidR="00B14F20" w:rsidRPr="005A7DE6" w:rsidP="00202C24">
      <w:pPr>
        <w:snapToGrid w:val="0"/>
        <w:spacing w:line="360" w:lineRule="auto"/>
        <w:ind w:firstLine="561"/>
        <w:jc w:val="center"/>
        <w:rPr>
          <w:rFonts w:asciiTheme="minorEastAsia" w:eastAsiaTheme="minorEastAsia" w:hAnsiTheme="minorEastAsia"/>
          <w:b/>
          <w:color w:val="000000" w:themeColor="text1"/>
          <w:sz w:val="28"/>
          <w:szCs w:val="28"/>
        </w:rPr>
      </w:pPr>
    </w:p>
    <w:p w:rsidR="00BA4B87" w:rsidRPr="005A7DE6" w:rsidP="00DF52C4">
      <w:pPr>
        <w:snapToGrid w:val="0"/>
        <w:spacing w:line="360" w:lineRule="auto"/>
        <w:jc w:val="center"/>
        <w:rPr>
          <w:rFonts w:asciiTheme="minorEastAsia" w:eastAsiaTheme="minorEastAsia" w:hAnsiTheme="minorEastAsia"/>
          <w:b/>
          <w:color w:val="000000" w:themeColor="text1"/>
          <w:sz w:val="28"/>
          <w:szCs w:val="28"/>
        </w:rPr>
      </w:pPr>
      <w:r w:rsidRPr="005A7DE6">
        <w:rPr>
          <w:rFonts w:asciiTheme="minorEastAsia" w:eastAsiaTheme="minorEastAsia" w:hAnsiTheme="minorEastAsia"/>
          <w:b/>
          <w:color w:val="000000" w:themeColor="text1"/>
          <w:sz w:val="28"/>
          <w:szCs w:val="28"/>
        </w:rPr>
        <w:t>重要提示</w:t>
      </w:r>
    </w:p>
    <w:p w:rsidR="00BA4B87" w:rsidRPr="005A7DE6" w:rsidP="00202C24">
      <w:pPr>
        <w:pStyle w:val="PlainText"/>
        <w:adjustRightInd w:val="0"/>
        <w:snapToGrid w:val="0"/>
        <w:spacing w:line="360" w:lineRule="auto"/>
        <w:ind w:firstLine="422"/>
        <w:textAlignment w:val="baseline"/>
        <w:rPr>
          <w:rFonts w:asciiTheme="minorEastAsia" w:eastAsiaTheme="minorEastAsia" w:hAnsiTheme="minorEastAsia"/>
          <w:b/>
          <w:color w:val="000000" w:themeColor="text1"/>
          <w:kern w:val="0"/>
          <w:sz w:val="21"/>
        </w:rPr>
      </w:pPr>
      <w:r w:rsidRPr="005A7DE6">
        <w:rPr>
          <w:rFonts w:asciiTheme="minorEastAsia" w:eastAsiaTheme="minorEastAsia" w:hAnsiTheme="minorEastAsia"/>
          <w:b/>
          <w:color w:val="000000" w:themeColor="text1"/>
          <w:kern w:val="0"/>
          <w:sz w:val="21"/>
        </w:rPr>
        <w:t>本基金根据</w:t>
      </w:r>
      <w:r w:rsidRPr="005A7DE6" w:rsidR="00EB0832">
        <w:rPr>
          <w:rFonts w:asciiTheme="minorEastAsia" w:eastAsiaTheme="minorEastAsia" w:hAnsiTheme="minorEastAsia"/>
          <w:b/>
          <w:color w:val="000000" w:themeColor="text1"/>
          <w:kern w:val="0"/>
          <w:sz w:val="21"/>
        </w:rPr>
        <w:t>201</w:t>
      </w:r>
      <w:r w:rsidRPr="005A7DE6" w:rsidR="00EB0832">
        <w:rPr>
          <w:rFonts w:asciiTheme="minorEastAsia" w:eastAsiaTheme="minorEastAsia" w:hAnsiTheme="minorEastAsia" w:hint="eastAsia"/>
          <w:b/>
          <w:color w:val="000000" w:themeColor="text1"/>
          <w:kern w:val="0"/>
          <w:sz w:val="21"/>
        </w:rPr>
        <w:t>2</w:t>
      </w:r>
      <w:r w:rsidRPr="005A7DE6" w:rsidR="00461ADF">
        <w:rPr>
          <w:rFonts w:asciiTheme="minorEastAsia" w:eastAsiaTheme="minorEastAsia" w:hAnsiTheme="minorEastAsia"/>
          <w:b/>
          <w:color w:val="000000" w:themeColor="text1"/>
          <w:kern w:val="0"/>
          <w:sz w:val="21"/>
        </w:rPr>
        <w:t>年</w:t>
      </w:r>
      <w:r w:rsidRPr="005A7DE6" w:rsidR="00EB0832">
        <w:rPr>
          <w:rFonts w:asciiTheme="minorEastAsia" w:eastAsiaTheme="minorEastAsia" w:hAnsiTheme="minorEastAsia" w:hint="eastAsia"/>
          <w:b/>
          <w:color w:val="000000" w:themeColor="text1"/>
          <w:kern w:val="0"/>
          <w:sz w:val="21"/>
        </w:rPr>
        <w:t>3</w:t>
      </w:r>
      <w:r w:rsidRPr="005A7DE6">
        <w:rPr>
          <w:rFonts w:asciiTheme="minorEastAsia" w:eastAsiaTheme="minorEastAsia" w:hAnsiTheme="minorEastAsia"/>
          <w:b/>
          <w:color w:val="000000" w:themeColor="text1"/>
          <w:kern w:val="0"/>
          <w:sz w:val="21"/>
        </w:rPr>
        <w:t>月</w:t>
      </w:r>
      <w:r w:rsidRPr="005A7DE6" w:rsidR="00EB0832">
        <w:rPr>
          <w:rFonts w:asciiTheme="minorEastAsia" w:eastAsiaTheme="minorEastAsia" w:hAnsiTheme="minorEastAsia" w:hint="eastAsia"/>
          <w:b/>
          <w:color w:val="000000" w:themeColor="text1"/>
          <w:kern w:val="0"/>
          <w:sz w:val="21"/>
        </w:rPr>
        <w:t>9</w:t>
      </w:r>
      <w:r w:rsidRPr="005A7DE6">
        <w:rPr>
          <w:rFonts w:asciiTheme="minorEastAsia" w:eastAsiaTheme="minorEastAsia" w:hAnsiTheme="minorEastAsia"/>
          <w:b/>
          <w:color w:val="000000" w:themeColor="text1"/>
          <w:kern w:val="0"/>
          <w:sz w:val="21"/>
        </w:rPr>
        <w:t>日中国证券监督管理委员会《关于核准</w:t>
      </w:r>
      <w:r w:rsidRPr="005A7DE6" w:rsidR="00E96DFD">
        <w:rPr>
          <w:rFonts w:asciiTheme="minorEastAsia" w:eastAsiaTheme="minorEastAsia" w:hAnsiTheme="minorEastAsia"/>
          <w:b/>
          <w:color w:val="000000" w:themeColor="text1"/>
          <w:kern w:val="0"/>
          <w:sz w:val="21"/>
        </w:rPr>
        <w:t>易方达纯债债券型证券投资基金</w:t>
      </w:r>
      <w:r w:rsidRPr="005A7DE6">
        <w:rPr>
          <w:rFonts w:asciiTheme="minorEastAsia" w:eastAsiaTheme="minorEastAsia" w:hAnsiTheme="minorEastAsia"/>
          <w:b/>
          <w:color w:val="000000" w:themeColor="text1"/>
          <w:kern w:val="0"/>
          <w:sz w:val="21"/>
        </w:rPr>
        <w:t>募集的批复》</w:t>
      </w:r>
      <w:r w:rsidRPr="005A7DE6" w:rsidR="005B19FC">
        <w:rPr>
          <w:rFonts w:asciiTheme="minorEastAsia" w:eastAsiaTheme="minorEastAsia" w:hAnsiTheme="minorEastAsia"/>
          <w:b/>
          <w:color w:val="000000" w:themeColor="text1"/>
          <w:kern w:val="0"/>
          <w:sz w:val="21"/>
        </w:rPr>
        <w:t>（</w:t>
      </w:r>
      <w:r w:rsidRPr="005A7DE6">
        <w:rPr>
          <w:rFonts w:asciiTheme="minorEastAsia" w:eastAsiaTheme="minorEastAsia" w:hAnsiTheme="minorEastAsia"/>
          <w:b/>
          <w:color w:val="000000" w:themeColor="text1"/>
          <w:kern w:val="0"/>
          <w:sz w:val="21"/>
        </w:rPr>
        <w:t>证监许可</w:t>
      </w:r>
      <w:r w:rsidRPr="005A7DE6" w:rsidR="00AE04B3">
        <w:rPr>
          <w:rFonts w:asciiTheme="minorEastAsia" w:eastAsiaTheme="minorEastAsia" w:hAnsiTheme="minorEastAsia" w:hint="eastAsia"/>
          <w:b/>
          <w:color w:val="000000" w:themeColor="text1"/>
          <w:kern w:val="0"/>
          <w:sz w:val="21"/>
        </w:rPr>
        <w:t>[</w:t>
      </w:r>
      <w:r w:rsidRPr="005A7DE6" w:rsidR="00EB0832">
        <w:rPr>
          <w:rFonts w:asciiTheme="minorEastAsia" w:eastAsiaTheme="minorEastAsia" w:hAnsiTheme="minorEastAsia"/>
          <w:b/>
          <w:color w:val="000000" w:themeColor="text1"/>
          <w:kern w:val="0"/>
          <w:sz w:val="21"/>
        </w:rPr>
        <w:t>2012</w:t>
      </w:r>
      <w:r w:rsidRPr="005A7DE6" w:rsidR="00AE04B3">
        <w:rPr>
          <w:rFonts w:asciiTheme="minorEastAsia" w:eastAsiaTheme="minorEastAsia" w:hAnsiTheme="minorEastAsia" w:hint="eastAsia"/>
          <w:b/>
          <w:color w:val="000000" w:themeColor="text1"/>
          <w:kern w:val="0"/>
          <w:sz w:val="21"/>
        </w:rPr>
        <w:t>]</w:t>
      </w:r>
      <w:r w:rsidRPr="005A7DE6" w:rsidR="00EB0832">
        <w:rPr>
          <w:rFonts w:asciiTheme="minorEastAsia" w:eastAsiaTheme="minorEastAsia" w:hAnsiTheme="minorEastAsia"/>
          <w:b/>
          <w:color w:val="000000" w:themeColor="text1"/>
          <w:kern w:val="0"/>
          <w:sz w:val="21"/>
        </w:rPr>
        <w:t>303</w:t>
      </w:r>
      <w:r w:rsidRPr="005A7DE6">
        <w:rPr>
          <w:rFonts w:asciiTheme="minorEastAsia" w:eastAsiaTheme="minorEastAsia" w:hAnsiTheme="minorEastAsia"/>
          <w:b/>
          <w:color w:val="000000" w:themeColor="text1"/>
          <w:kern w:val="0"/>
          <w:sz w:val="21"/>
        </w:rPr>
        <w:t>号</w:t>
      </w:r>
      <w:r w:rsidRPr="005A7DE6" w:rsidR="005B19FC">
        <w:rPr>
          <w:rFonts w:asciiTheme="minorEastAsia" w:eastAsiaTheme="minorEastAsia" w:hAnsiTheme="minorEastAsia"/>
          <w:b/>
          <w:color w:val="000000" w:themeColor="text1"/>
          <w:kern w:val="0"/>
          <w:sz w:val="21"/>
        </w:rPr>
        <w:t>）</w:t>
      </w:r>
      <w:r w:rsidRPr="005A7DE6">
        <w:rPr>
          <w:rFonts w:asciiTheme="minorEastAsia" w:eastAsiaTheme="minorEastAsia" w:hAnsiTheme="minorEastAsia"/>
          <w:b/>
          <w:color w:val="000000" w:themeColor="text1"/>
          <w:kern w:val="0"/>
          <w:sz w:val="21"/>
        </w:rPr>
        <w:t>和</w:t>
      </w:r>
      <w:r w:rsidRPr="005A7DE6" w:rsidR="00EB0832">
        <w:rPr>
          <w:rFonts w:asciiTheme="minorEastAsia" w:eastAsiaTheme="minorEastAsia" w:hAnsiTheme="minorEastAsia"/>
          <w:b/>
          <w:color w:val="000000" w:themeColor="text1"/>
          <w:kern w:val="0"/>
          <w:sz w:val="21"/>
        </w:rPr>
        <w:t>201</w:t>
      </w:r>
      <w:r w:rsidRPr="005A7DE6" w:rsidR="00EB0832">
        <w:rPr>
          <w:rFonts w:asciiTheme="minorEastAsia" w:eastAsiaTheme="minorEastAsia" w:hAnsiTheme="minorEastAsia" w:hint="eastAsia"/>
          <w:b/>
          <w:color w:val="000000" w:themeColor="text1"/>
          <w:kern w:val="0"/>
          <w:sz w:val="21"/>
        </w:rPr>
        <w:t>2</w:t>
      </w:r>
      <w:r w:rsidRPr="005A7DE6" w:rsidR="00461ADF">
        <w:rPr>
          <w:rFonts w:asciiTheme="minorEastAsia" w:eastAsiaTheme="minorEastAsia" w:hAnsiTheme="minorEastAsia"/>
          <w:b/>
          <w:color w:val="000000" w:themeColor="text1"/>
          <w:kern w:val="0"/>
          <w:sz w:val="21"/>
        </w:rPr>
        <w:t>年</w:t>
      </w:r>
      <w:r w:rsidRPr="005A7DE6" w:rsidR="00EB0832">
        <w:rPr>
          <w:rFonts w:asciiTheme="minorEastAsia" w:eastAsiaTheme="minorEastAsia" w:hAnsiTheme="minorEastAsia" w:hint="eastAsia"/>
          <w:b/>
          <w:color w:val="000000" w:themeColor="text1"/>
          <w:kern w:val="0"/>
          <w:sz w:val="21"/>
        </w:rPr>
        <w:t>3</w:t>
      </w:r>
      <w:r w:rsidRPr="005A7DE6">
        <w:rPr>
          <w:rFonts w:asciiTheme="minorEastAsia" w:eastAsiaTheme="minorEastAsia" w:hAnsiTheme="minorEastAsia"/>
          <w:b/>
          <w:color w:val="000000" w:themeColor="text1"/>
          <w:kern w:val="0"/>
          <w:sz w:val="21"/>
        </w:rPr>
        <w:t>月</w:t>
      </w:r>
      <w:r w:rsidRPr="005A7DE6" w:rsidR="00EB0832">
        <w:rPr>
          <w:rFonts w:asciiTheme="minorEastAsia" w:eastAsiaTheme="minorEastAsia" w:hAnsiTheme="minorEastAsia" w:hint="eastAsia"/>
          <w:b/>
          <w:color w:val="000000" w:themeColor="text1"/>
          <w:kern w:val="0"/>
          <w:sz w:val="21"/>
        </w:rPr>
        <w:t>15</w:t>
      </w:r>
      <w:r w:rsidRPr="005A7DE6">
        <w:rPr>
          <w:rFonts w:asciiTheme="minorEastAsia" w:eastAsiaTheme="minorEastAsia" w:hAnsiTheme="minorEastAsia"/>
          <w:b/>
          <w:color w:val="000000" w:themeColor="text1"/>
          <w:kern w:val="0"/>
          <w:sz w:val="21"/>
        </w:rPr>
        <w:t>日《关于</w:t>
      </w:r>
      <w:r w:rsidRPr="005A7DE6" w:rsidR="00E96DFD">
        <w:rPr>
          <w:rFonts w:asciiTheme="minorEastAsia" w:eastAsiaTheme="minorEastAsia" w:hAnsiTheme="minorEastAsia"/>
          <w:b/>
          <w:color w:val="000000" w:themeColor="text1"/>
          <w:kern w:val="0"/>
          <w:sz w:val="21"/>
        </w:rPr>
        <w:t>易方达纯债债券型证券投资基金</w:t>
      </w:r>
      <w:r w:rsidRPr="005A7DE6">
        <w:rPr>
          <w:rFonts w:asciiTheme="minorEastAsia" w:eastAsiaTheme="minorEastAsia" w:hAnsiTheme="minorEastAsia"/>
          <w:b/>
          <w:color w:val="000000" w:themeColor="text1"/>
          <w:kern w:val="0"/>
          <w:sz w:val="21"/>
        </w:rPr>
        <w:t>募集时间安排的确认函》</w:t>
      </w:r>
      <w:r w:rsidRPr="005A7DE6" w:rsidR="005B19FC">
        <w:rPr>
          <w:rFonts w:asciiTheme="minorEastAsia" w:eastAsiaTheme="minorEastAsia" w:hAnsiTheme="minorEastAsia"/>
          <w:b/>
          <w:color w:val="000000" w:themeColor="text1"/>
          <w:kern w:val="0"/>
          <w:sz w:val="21"/>
        </w:rPr>
        <w:t>（</w:t>
      </w:r>
      <w:r w:rsidRPr="005A7DE6">
        <w:rPr>
          <w:rFonts w:asciiTheme="minorEastAsia" w:eastAsiaTheme="minorEastAsia" w:hAnsiTheme="minorEastAsia"/>
          <w:b/>
          <w:color w:val="000000" w:themeColor="text1"/>
          <w:kern w:val="0"/>
          <w:sz w:val="21"/>
        </w:rPr>
        <w:t>基金部函</w:t>
      </w:r>
      <w:r w:rsidRPr="005A7DE6" w:rsidR="00E24E2B">
        <w:rPr>
          <w:rFonts w:asciiTheme="minorEastAsia" w:eastAsiaTheme="minorEastAsia" w:hAnsiTheme="minorEastAsia"/>
          <w:b/>
          <w:color w:val="000000" w:themeColor="text1"/>
          <w:kern w:val="0"/>
          <w:sz w:val="21"/>
        </w:rPr>
        <w:t>[2012]143</w:t>
      </w:r>
      <w:r w:rsidRPr="005A7DE6">
        <w:rPr>
          <w:rFonts w:asciiTheme="minorEastAsia" w:eastAsiaTheme="minorEastAsia" w:hAnsiTheme="minorEastAsia"/>
          <w:b/>
          <w:color w:val="000000" w:themeColor="text1"/>
          <w:kern w:val="0"/>
          <w:sz w:val="21"/>
        </w:rPr>
        <w:t>号</w:t>
      </w:r>
      <w:r w:rsidRPr="005A7DE6" w:rsidR="005B19FC">
        <w:rPr>
          <w:rFonts w:asciiTheme="minorEastAsia" w:eastAsiaTheme="minorEastAsia" w:hAnsiTheme="minorEastAsia"/>
          <w:b/>
          <w:color w:val="000000" w:themeColor="text1"/>
          <w:kern w:val="0"/>
          <w:sz w:val="21"/>
        </w:rPr>
        <w:t>）</w:t>
      </w:r>
      <w:r w:rsidRPr="005A7DE6">
        <w:rPr>
          <w:rFonts w:asciiTheme="minorEastAsia" w:eastAsiaTheme="minorEastAsia" w:hAnsiTheme="minorEastAsia"/>
          <w:b/>
          <w:color w:val="000000" w:themeColor="text1"/>
          <w:kern w:val="0"/>
          <w:sz w:val="21"/>
        </w:rPr>
        <w:t>的核准，进行募集。</w:t>
      </w:r>
      <w:r w:rsidRPr="005A7DE6" w:rsidR="00D82850">
        <w:rPr>
          <w:rFonts w:asciiTheme="minorEastAsia" w:eastAsiaTheme="minorEastAsia" w:hAnsiTheme="minorEastAsia" w:hint="eastAsia"/>
          <w:b/>
          <w:color w:val="000000" w:themeColor="text1"/>
          <w:kern w:val="0"/>
          <w:sz w:val="21"/>
        </w:rPr>
        <w:t>本基金基金合同于2012年5月3日正式生效。</w:t>
      </w:r>
    </w:p>
    <w:p w:rsidR="00BA4B87" w:rsidRPr="005A7DE6" w:rsidP="00202C24">
      <w:pPr>
        <w:pStyle w:val="PlainText"/>
        <w:adjustRightInd w:val="0"/>
        <w:snapToGrid w:val="0"/>
        <w:spacing w:line="360" w:lineRule="auto"/>
        <w:ind w:firstLine="422"/>
        <w:textAlignment w:val="baseline"/>
        <w:rPr>
          <w:rFonts w:asciiTheme="minorEastAsia" w:eastAsiaTheme="minorEastAsia" w:hAnsiTheme="minorEastAsia"/>
          <w:b/>
          <w:color w:val="000000" w:themeColor="text1"/>
          <w:kern w:val="0"/>
          <w:sz w:val="21"/>
        </w:rPr>
      </w:pPr>
      <w:r w:rsidRPr="005A7DE6">
        <w:rPr>
          <w:rFonts w:asciiTheme="minorEastAsia" w:eastAsiaTheme="minorEastAsia" w:hAnsiTheme="minorEastAsia"/>
          <w:b/>
          <w:color w:val="000000" w:themeColor="text1"/>
          <w:kern w:val="0"/>
          <w:sz w:val="21"/>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p>
    <w:p w:rsidR="00BA4B87" w:rsidRPr="005A7DE6" w:rsidP="00202C24">
      <w:pPr>
        <w:pStyle w:val="PlainText"/>
        <w:adjustRightInd w:val="0"/>
        <w:snapToGrid w:val="0"/>
        <w:spacing w:line="360" w:lineRule="auto"/>
        <w:ind w:firstLine="422"/>
        <w:textAlignment w:val="baseline"/>
        <w:rPr>
          <w:rFonts w:asciiTheme="minorEastAsia" w:eastAsiaTheme="minorEastAsia" w:hAnsiTheme="minorEastAsia"/>
          <w:b/>
          <w:color w:val="000000" w:themeColor="text1"/>
          <w:kern w:val="0"/>
          <w:sz w:val="21"/>
        </w:rPr>
      </w:pPr>
      <w:r w:rsidRPr="005A7DE6">
        <w:rPr>
          <w:rFonts w:asciiTheme="minorEastAsia" w:eastAsiaTheme="minorEastAsia" w:hAnsiTheme="minorEastAsia"/>
          <w:b/>
          <w:color w:val="000000" w:themeColor="text1"/>
          <w:kern w:val="0"/>
          <w:sz w:val="21"/>
        </w:rPr>
        <w:t>基金管理人依照恪尽职守、诚实信用、谨慎勤勉的原则管理和运用基金财产，但不保证基金一定盈利，也不保证最低收益。</w:t>
      </w:r>
    </w:p>
    <w:p w:rsidR="00BA4B87" w:rsidRPr="005A7DE6" w:rsidP="00202C24">
      <w:pPr>
        <w:pStyle w:val="PlainText"/>
        <w:adjustRightInd w:val="0"/>
        <w:snapToGrid w:val="0"/>
        <w:spacing w:line="360" w:lineRule="auto"/>
        <w:ind w:firstLine="422"/>
        <w:textAlignment w:val="baseline"/>
        <w:rPr>
          <w:rFonts w:asciiTheme="minorEastAsia" w:eastAsiaTheme="minorEastAsia" w:hAnsiTheme="minorEastAsia"/>
          <w:b/>
          <w:color w:val="000000" w:themeColor="text1"/>
          <w:kern w:val="0"/>
          <w:sz w:val="21"/>
        </w:rPr>
      </w:pPr>
      <w:r w:rsidRPr="005A7DE6">
        <w:rPr>
          <w:rFonts w:asciiTheme="minorEastAsia" w:eastAsiaTheme="minorEastAsia" w:hAnsiTheme="minorEastAsia"/>
          <w:b/>
          <w:color w:val="000000" w:themeColor="text1"/>
          <w:kern w:val="0"/>
          <w:sz w:val="21"/>
        </w:rPr>
        <w:t>本基金主要投资于固定收益</w:t>
      </w:r>
      <w:r w:rsidRPr="005A7DE6" w:rsidR="005E7A25">
        <w:rPr>
          <w:rFonts w:asciiTheme="minorEastAsia" w:eastAsiaTheme="minorEastAsia" w:hAnsiTheme="minorEastAsia"/>
          <w:b/>
          <w:color w:val="000000" w:themeColor="text1"/>
          <w:kern w:val="0"/>
          <w:sz w:val="21"/>
        </w:rPr>
        <w:t>类资产</w:t>
      </w:r>
      <w:r w:rsidRPr="005A7DE6">
        <w:rPr>
          <w:rFonts w:asciiTheme="minorEastAsia" w:eastAsiaTheme="minorEastAsia" w:hAnsiTheme="minorEastAsia"/>
          <w:b/>
          <w:color w:val="000000" w:themeColor="text1"/>
          <w:kern w:val="0"/>
          <w:sz w:val="21"/>
        </w:rPr>
        <w:t>并</w:t>
      </w:r>
      <w:r w:rsidRPr="005A7DE6" w:rsidR="005E7A25">
        <w:rPr>
          <w:rFonts w:asciiTheme="minorEastAsia" w:eastAsiaTheme="minorEastAsia" w:hAnsiTheme="minorEastAsia"/>
          <w:b/>
          <w:color w:val="000000" w:themeColor="text1"/>
          <w:kern w:val="0"/>
          <w:sz w:val="21"/>
        </w:rPr>
        <w:t>不直接在二级市场买入股票、权证等权益类资产，也不参与一级市场新股申购和新股增发</w:t>
      </w:r>
      <w:r w:rsidRPr="005A7DE6">
        <w:rPr>
          <w:rFonts w:asciiTheme="minorEastAsia" w:eastAsiaTheme="minorEastAsia" w:hAnsiTheme="minorEastAsia"/>
          <w:b/>
          <w:color w:val="000000" w:themeColor="text1"/>
          <w:kern w:val="0"/>
          <w:sz w:val="21"/>
        </w:rPr>
        <w:t>，</w:t>
      </w:r>
      <w:r w:rsidRPr="005A7DE6" w:rsidR="004872AA">
        <w:rPr>
          <w:rFonts w:asciiTheme="minorEastAsia" w:eastAsiaTheme="minorEastAsia" w:hAnsiTheme="minorEastAsia"/>
          <w:b/>
          <w:color w:val="000000" w:themeColor="text1"/>
          <w:kern w:val="0"/>
          <w:sz w:val="21"/>
        </w:rPr>
        <w:t>同时不参与可转换债券投资</w:t>
      </w:r>
      <w:r w:rsidRPr="005A7DE6" w:rsidR="00EA58FD">
        <w:rPr>
          <w:rFonts w:asciiTheme="minorEastAsia" w:eastAsiaTheme="minorEastAsia" w:hAnsiTheme="minorEastAsia"/>
          <w:b/>
          <w:color w:val="000000" w:themeColor="text1"/>
          <w:kern w:val="0"/>
          <w:sz w:val="21"/>
        </w:rPr>
        <w:t>。</w:t>
      </w:r>
      <w:r w:rsidRPr="005A7DE6" w:rsidR="008D4032">
        <w:rPr>
          <w:rFonts w:asciiTheme="minorEastAsia" w:eastAsiaTheme="minorEastAsia" w:hAnsiTheme="minorEastAsia"/>
          <w:b/>
          <w:color w:val="000000" w:themeColor="text1"/>
          <w:kern w:val="0"/>
          <w:sz w:val="21"/>
        </w:rPr>
        <w:t>投资人</w:t>
      </w:r>
      <w:r w:rsidRPr="005A7DE6">
        <w:rPr>
          <w:rFonts w:asciiTheme="minorEastAsia" w:eastAsiaTheme="minorEastAsia" w:hAnsiTheme="minorEastAsia"/>
          <w:b/>
          <w:color w:val="000000" w:themeColor="text1"/>
          <w:kern w:val="0"/>
          <w:sz w:val="21"/>
        </w:rPr>
        <w:t>在投资本基金前，</w:t>
      </w:r>
      <w:r w:rsidRPr="005A7DE6" w:rsidR="00727C68">
        <w:rPr>
          <w:rFonts w:asciiTheme="minorEastAsia" w:eastAsiaTheme="minorEastAsia" w:hAnsiTheme="minorEastAsia" w:hint="eastAsia"/>
          <w:b/>
          <w:color w:val="000000" w:themeColor="text1"/>
          <w:kern w:val="0"/>
          <w:sz w:val="21"/>
        </w:rPr>
        <w:t>请认真阅读本基金的招募说明书、基金合同和基金产品资料概要等信息披露文件，</w:t>
      </w:r>
      <w:r w:rsidRPr="005A7DE6">
        <w:rPr>
          <w:rFonts w:asciiTheme="minorEastAsia" w:eastAsiaTheme="minorEastAsia" w:hAnsiTheme="minorEastAsia"/>
          <w:b/>
          <w:color w:val="000000" w:themeColor="text1"/>
          <w:kern w:val="0"/>
          <w:sz w:val="21"/>
        </w:rPr>
        <w:t>充分了解本基金的产品特性，并承担基金投资中出现的各类风险。投资本基金可能遇到的风险包括：利率风险，本基金持有的信用品种违约带来的信用风险，等等；基金运作风险，包括由于基金投资人连续大量赎回基金产生的流动性风险</w:t>
      </w:r>
      <w:r w:rsidRPr="005A7DE6" w:rsidR="00C700D2">
        <w:rPr>
          <w:rFonts w:asciiTheme="minorEastAsia" w:eastAsiaTheme="minorEastAsia" w:hAnsiTheme="minorEastAsia" w:hint="eastAsia"/>
          <w:b/>
          <w:color w:val="000000" w:themeColor="text1"/>
          <w:kern w:val="0"/>
          <w:sz w:val="21"/>
        </w:rPr>
        <w:t>（包括但不限于特定投资标的流动性较差风险、巨额赎回风险、启用摆动定价或侧袋机制等流动性风险管理工具带来的风险等）</w:t>
      </w:r>
      <w:r w:rsidRPr="005A7DE6">
        <w:rPr>
          <w:rFonts w:asciiTheme="minorEastAsia" w:eastAsiaTheme="minorEastAsia" w:hAnsiTheme="minorEastAsia"/>
          <w:b/>
          <w:color w:val="000000" w:themeColor="text1"/>
          <w:kern w:val="0"/>
          <w:sz w:val="21"/>
        </w:rPr>
        <w:t>，基金管理人在基金管理运作过程中产生的基金管理风险，</w:t>
      </w:r>
      <w:r w:rsidRPr="005A7DE6" w:rsidR="003E4BB2">
        <w:rPr>
          <w:rFonts w:asciiTheme="minorEastAsia" w:eastAsiaTheme="minorEastAsia" w:hAnsiTheme="minorEastAsia" w:hint="eastAsia"/>
          <w:b/>
          <w:bCs/>
          <w:color w:val="000000" w:themeColor="text1"/>
          <w:kern w:val="0"/>
          <w:sz w:val="21"/>
        </w:rPr>
        <w:t>本基金法律文件中涉及基金风险特征的表述与销售机构对基金的风险评级可能不一致的风险及其他风险</w:t>
      </w:r>
      <w:r w:rsidRPr="005A7DE6">
        <w:rPr>
          <w:rFonts w:asciiTheme="minorEastAsia" w:eastAsiaTheme="minorEastAsia" w:hAnsiTheme="minorEastAsia"/>
          <w:b/>
          <w:color w:val="000000" w:themeColor="text1"/>
          <w:kern w:val="0"/>
          <w:sz w:val="21"/>
        </w:rPr>
        <w:t>。此外，本基金以</w:t>
      </w:r>
      <w:r w:rsidRPr="005A7DE6">
        <w:rPr>
          <w:rFonts w:asciiTheme="minorEastAsia" w:eastAsiaTheme="minorEastAsia" w:hAnsiTheme="minorEastAsia"/>
          <w:b/>
          <w:color w:val="000000" w:themeColor="text1"/>
          <w:kern w:val="0"/>
          <w:sz w:val="21"/>
        </w:rPr>
        <w:t>1</w:t>
      </w:r>
      <w:r w:rsidRPr="005A7DE6">
        <w:rPr>
          <w:rFonts w:asciiTheme="minorEastAsia" w:eastAsiaTheme="minorEastAsia" w:hAnsiTheme="minorEastAsia"/>
          <w:b/>
          <w:color w:val="000000" w:themeColor="text1"/>
          <w:kern w:val="0"/>
          <w:sz w:val="21"/>
        </w:rPr>
        <w:t>元初始面值进行募集，在市场波动等因素的影响下，存在单位份额净值跌破</w:t>
      </w:r>
      <w:r w:rsidRPr="005A7DE6">
        <w:rPr>
          <w:rFonts w:asciiTheme="minorEastAsia" w:eastAsiaTheme="minorEastAsia" w:hAnsiTheme="minorEastAsia"/>
          <w:b/>
          <w:color w:val="000000" w:themeColor="text1"/>
          <w:kern w:val="0"/>
          <w:sz w:val="21"/>
        </w:rPr>
        <w:t>1</w:t>
      </w:r>
      <w:r w:rsidRPr="005A7DE6">
        <w:rPr>
          <w:rFonts w:asciiTheme="minorEastAsia" w:eastAsiaTheme="minorEastAsia" w:hAnsiTheme="minorEastAsia"/>
          <w:b/>
          <w:color w:val="000000" w:themeColor="text1"/>
          <w:kern w:val="0"/>
          <w:sz w:val="21"/>
        </w:rPr>
        <w:t>元初始面值的风险。</w:t>
      </w:r>
    </w:p>
    <w:p w:rsidR="00BA4B87" w:rsidRPr="005A7DE6" w:rsidP="00202C24">
      <w:pPr>
        <w:pStyle w:val="PlainText"/>
        <w:adjustRightInd w:val="0"/>
        <w:snapToGrid w:val="0"/>
        <w:spacing w:line="360" w:lineRule="auto"/>
        <w:ind w:firstLine="422"/>
        <w:textAlignment w:val="baseline"/>
        <w:rPr>
          <w:rFonts w:asciiTheme="minorEastAsia" w:eastAsiaTheme="minorEastAsia" w:hAnsiTheme="minorEastAsia"/>
          <w:b/>
          <w:color w:val="000000" w:themeColor="text1"/>
          <w:kern w:val="0"/>
          <w:sz w:val="21"/>
        </w:rPr>
      </w:pPr>
      <w:r w:rsidRPr="005A7DE6">
        <w:rPr>
          <w:rFonts w:asciiTheme="minorEastAsia" w:eastAsiaTheme="minorEastAsia" w:hAnsiTheme="minorEastAsia"/>
          <w:b/>
          <w:color w:val="000000" w:themeColor="text1"/>
          <w:kern w:val="0"/>
          <w:sz w:val="21"/>
        </w:rPr>
        <w:t>基金不同于银行储蓄，基金</w:t>
      </w:r>
      <w:r w:rsidRPr="005A7DE6" w:rsidR="008D4032">
        <w:rPr>
          <w:rFonts w:asciiTheme="minorEastAsia" w:eastAsiaTheme="minorEastAsia" w:hAnsiTheme="minorEastAsia"/>
          <w:b/>
          <w:color w:val="000000" w:themeColor="text1"/>
          <w:kern w:val="0"/>
          <w:sz w:val="21"/>
        </w:rPr>
        <w:t>投资人</w:t>
      </w:r>
      <w:r w:rsidRPr="005A7DE6">
        <w:rPr>
          <w:rFonts w:asciiTheme="minorEastAsia" w:eastAsiaTheme="minorEastAsia" w:hAnsiTheme="minorEastAsia"/>
          <w:b/>
          <w:color w:val="000000" w:themeColor="text1"/>
          <w:kern w:val="0"/>
          <w:sz w:val="21"/>
        </w:rPr>
        <w:t>有可能获得较高的收益，也有可能损失本金。投资有风险，</w:t>
      </w:r>
      <w:r w:rsidRPr="005A7DE6" w:rsidR="008D4032">
        <w:rPr>
          <w:rFonts w:asciiTheme="minorEastAsia" w:eastAsiaTheme="minorEastAsia" w:hAnsiTheme="minorEastAsia"/>
          <w:b/>
          <w:color w:val="000000" w:themeColor="text1"/>
          <w:kern w:val="0"/>
          <w:sz w:val="21"/>
        </w:rPr>
        <w:t>投资人</w:t>
      </w:r>
      <w:r w:rsidRPr="005A7DE6">
        <w:rPr>
          <w:rFonts w:asciiTheme="minorEastAsia" w:eastAsiaTheme="minorEastAsia" w:hAnsiTheme="minorEastAsia"/>
          <w:b/>
          <w:color w:val="000000" w:themeColor="text1"/>
          <w:kern w:val="0"/>
          <w:sz w:val="21"/>
        </w:rPr>
        <w:t>在进行投资决策前，请仔细阅读本基金的《招募说明书》及《基金合同》。</w:t>
      </w:r>
    </w:p>
    <w:p w:rsidR="00BA4B87" w:rsidRPr="005A7DE6" w:rsidP="00202C24">
      <w:pPr>
        <w:pStyle w:val="PlainText"/>
        <w:adjustRightInd w:val="0"/>
        <w:snapToGrid w:val="0"/>
        <w:spacing w:line="360" w:lineRule="auto"/>
        <w:ind w:firstLine="422"/>
        <w:textAlignment w:val="baseline"/>
        <w:rPr>
          <w:rFonts w:asciiTheme="minorEastAsia" w:eastAsiaTheme="minorEastAsia" w:hAnsiTheme="minorEastAsia"/>
          <w:b/>
          <w:color w:val="000000" w:themeColor="text1"/>
          <w:kern w:val="0"/>
          <w:sz w:val="21"/>
        </w:rPr>
      </w:pPr>
      <w:r w:rsidRPr="005A7DE6">
        <w:rPr>
          <w:rFonts w:asciiTheme="minorEastAsia" w:eastAsiaTheme="minorEastAsia" w:hAnsiTheme="minorEastAsia" w:hint="eastAsia"/>
          <w:b/>
          <w:color w:val="000000" w:themeColor="text1"/>
          <w:kern w:val="0"/>
          <w:sz w:val="21"/>
        </w:rPr>
        <w:t>基金的过往业绩并不预示其未来表现。</w:t>
      </w:r>
    </w:p>
    <w:p w:rsidR="0013590C" w:rsidRPr="005A7DE6" w:rsidP="00202C24">
      <w:pPr>
        <w:pStyle w:val="PlainText"/>
        <w:adjustRightInd w:val="0"/>
        <w:snapToGrid w:val="0"/>
        <w:spacing w:line="360" w:lineRule="auto"/>
        <w:ind w:firstLine="422"/>
        <w:textAlignment w:val="baseline"/>
        <w:rPr>
          <w:rFonts w:asciiTheme="minorEastAsia" w:eastAsiaTheme="minorEastAsia" w:hAnsiTheme="minorEastAsia"/>
          <w:b/>
          <w:color w:val="000000" w:themeColor="text1"/>
          <w:kern w:val="0"/>
          <w:sz w:val="21"/>
        </w:rPr>
      </w:pPr>
      <w:r>
        <w:rPr>
          <w:b/>
          <w:sz w:val="21"/>
        </w:rPr>
        <w:t>本基金有关财务数据截止日为</w:t>
      </w:r>
      <w:r>
        <w:rPr>
          <w:b/>
          <w:sz w:val="21"/>
        </w:rPr>
        <w:t>2022</w:t>
      </w:r>
      <w:r>
        <w:rPr>
          <w:b/>
          <w:sz w:val="21"/>
        </w:rPr>
        <w:t>年</w:t>
      </w:r>
      <w:r>
        <w:rPr>
          <w:b/>
          <w:sz w:val="21"/>
        </w:rPr>
        <w:t>9</w:t>
      </w:r>
      <w:r>
        <w:rPr>
          <w:b/>
          <w:sz w:val="21"/>
        </w:rPr>
        <w:t>月</w:t>
      </w:r>
      <w:r>
        <w:rPr>
          <w:b/>
          <w:sz w:val="21"/>
        </w:rPr>
        <w:t>30</w:t>
      </w:r>
      <w:r>
        <w:rPr>
          <w:b/>
          <w:sz w:val="21"/>
        </w:rPr>
        <w:t>日，净值表现截止日为</w:t>
      </w:r>
      <w:r>
        <w:rPr>
          <w:b/>
          <w:sz w:val="21"/>
        </w:rPr>
        <w:t>2021</w:t>
      </w:r>
      <w:r>
        <w:rPr>
          <w:b/>
          <w:sz w:val="21"/>
        </w:rPr>
        <w:t>年</w:t>
      </w:r>
      <w:r>
        <w:rPr>
          <w:b/>
          <w:sz w:val="21"/>
        </w:rPr>
        <w:t>12</w:t>
      </w:r>
      <w:r>
        <w:rPr>
          <w:b/>
          <w:sz w:val="21"/>
        </w:rPr>
        <w:t>月</w:t>
      </w:r>
      <w:r>
        <w:rPr>
          <w:b/>
          <w:sz w:val="21"/>
        </w:rPr>
        <w:t>31</w:t>
      </w:r>
      <w:r>
        <w:rPr>
          <w:b/>
          <w:sz w:val="21"/>
        </w:rPr>
        <w:t>日，主要人员情况截止日为</w:t>
      </w:r>
      <w:r>
        <w:rPr>
          <w:b/>
          <w:sz w:val="21"/>
        </w:rPr>
        <w:t>2022</w:t>
      </w:r>
      <w:r>
        <w:rPr>
          <w:b/>
          <w:sz w:val="21"/>
        </w:rPr>
        <w:t>年</w:t>
      </w:r>
      <w:r>
        <w:rPr>
          <w:b/>
          <w:sz w:val="21"/>
        </w:rPr>
        <w:t>12</w:t>
      </w:r>
      <w:r>
        <w:rPr>
          <w:b/>
          <w:sz w:val="21"/>
        </w:rPr>
        <w:t>月</w:t>
      </w:r>
      <w:r w:rsidR="00AF345C">
        <w:rPr>
          <w:rFonts w:hint="eastAsia"/>
          <w:b/>
          <w:sz w:val="21"/>
        </w:rPr>
        <w:t>3</w:t>
      </w:r>
      <w:r w:rsidR="00AF345C">
        <w:rPr>
          <w:b/>
          <w:sz w:val="21"/>
        </w:rPr>
        <w:t>0</w:t>
      </w:r>
      <w:r>
        <w:rPr>
          <w:b/>
          <w:sz w:val="21"/>
        </w:rPr>
        <w:t>日，除非另有说明，本招募说明书其他所载内容截止日为</w:t>
      </w:r>
      <w:r>
        <w:rPr>
          <w:b/>
          <w:sz w:val="21"/>
        </w:rPr>
        <w:t>2022</w:t>
      </w:r>
      <w:r>
        <w:rPr>
          <w:b/>
          <w:sz w:val="21"/>
        </w:rPr>
        <w:t>年</w:t>
      </w:r>
      <w:r>
        <w:rPr>
          <w:b/>
          <w:sz w:val="21"/>
        </w:rPr>
        <w:t>11</w:t>
      </w:r>
      <w:r>
        <w:rPr>
          <w:b/>
          <w:sz w:val="21"/>
        </w:rPr>
        <w:t>月</w:t>
      </w:r>
      <w:r>
        <w:rPr>
          <w:b/>
          <w:sz w:val="21"/>
        </w:rPr>
        <w:t>16</w:t>
      </w:r>
      <w:r>
        <w:rPr>
          <w:b/>
          <w:sz w:val="21"/>
        </w:rPr>
        <w:t>日。（本报告中财</w:t>
      </w:r>
      <w:r>
        <w:rPr>
          <w:b/>
          <w:sz w:val="21"/>
        </w:rPr>
        <w:t>务数据未经审计）</w:t>
      </w:r>
    </w:p>
    <w:p w:rsidR="00F226B9" w:rsidRPr="005A7DE6" w:rsidP="00202C24">
      <w:pPr>
        <w:snapToGrid w:val="0"/>
        <w:spacing w:line="360" w:lineRule="auto"/>
        <w:ind w:firstLine="480"/>
        <w:rPr>
          <w:rFonts w:asciiTheme="minorEastAsia" w:eastAsiaTheme="minorEastAsia" w:hAnsiTheme="minorEastAsia"/>
          <w:b/>
          <w:color w:val="000000" w:themeColor="text1"/>
          <w:szCs w:val="21"/>
        </w:rPr>
        <w:sectPr>
          <w:headerReference w:type="even" r:id="rId5"/>
          <w:headerReference w:type="default" r:id="rId6"/>
          <w:footerReference w:type="even" r:id="rId7"/>
          <w:footerReference w:type="default" r:id="rId8"/>
          <w:headerReference w:type="first" r:id="rId9"/>
          <w:footerReference w:type="first" r:id="rId10"/>
          <w:pgSz w:w="11906" w:h="16838" w:code="9"/>
          <w:pgMar w:top="1701" w:right="1814" w:bottom="1701" w:left="1814" w:header="1134" w:footer="1247" w:gutter="0"/>
          <w:pgNumType w:fmt="upperRoman" w:start="1"/>
          <w:cols w:space="720"/>
          <w:docGrid w:type="lines" w:linePitch="447"/>
        </w:sectPr>
      </w:pPr>
    </w:p>
    <w:p w:rsidR="00BA4B87" w:rsidRPr="005A7DE6" w:rsidP="00202C24">
      <w:pPr>
        <w:snapToGrid w:val="0"/>
        <w:spacing w:line="360" w:lineRule="auto"/>
        <w:ind w:firstLine="561"/>
        <w:jc w:val="center"/>
        <w:rPr>
          <w:rFonts w:asciiTheme="minorEastAsia" w:eastAsiaTheme="minorEastAsia" w:hAnsiTheme="minorEastAsia"/>
          <w:color w:val="000000" w:themeColor="text1"/>
          <w:sz w:val="28"/>
          <w:szCs w:val="28"/>
        </w:rPr>
      </w:pPr>
      <w:r w:rsidRPr="005A7DE6">
        <w:rPr>
          <w:rFonts w:asciiTheme="minorEastAsia" w:eastAsiaTheme="minorEastAsia" w:hAnsiTheme="minorEastAsia"/>
          <w:color w:val="000000" w:themeColor="text1"/>
          <w:sz w:val="28"/>
          <w:szCs w:val="28"/>
        </w:rPr>
        <w:t>目录</w:t>
      </w:r>
    </w:p>
    <w:p w:rsidR="00BA4B87" w:rsidRPr="005A7DE6" w:rsidP="00202C24">
      <w:pPr>
        <w:adjustRightInd w:val="0"/>
        <w:snapToGrid w:val="0"/>
        <w:spacing w:line="360" w:lineRule="auto"/>
        <w:ind w:firstLine="480"/>
        <w:jc w:val="center"/>
        <w:rPr>
          <w:rFonts w:asciiTheme="minorEastAsia" w:eastAsiaTheme="minorEastAsia" w:hAnsiTheme="minorEastAsia"/>
          <w:color w:val="000000" w:themeColor="text1"/>
        </w:rPr>
      </w:pPr>
    </w:p>
    <w:p w:rsidR="00700E3B">
      <w:pPr>
        <w:pStyle w:val="TOC1"/>
        <w:rPr>
          <w:rFonts w:asciiTheme="minorHAnsi" w:eastAsiaTheme="minorEastAsia" w:hAnsiTheme="minorHAnsi" w:cstheme="minorBidi"/>
          <w:caps w:val="0"/>
          <w:color w:val="auto"/>
          <w:sz w:val="21"/>
          <w:szCs w:val="22"/>
        </w:rPr>
      </w:pPr>
      <w:r w:rsidRPr="005A7DE6">
        <w:rPr>
          <w:rStyle w:val="Hyperlink"/>
          <w:rFonts w:asciiTheme="minorEastAsia" w:eastAsiaTheme="minorEastAsia" w:hAnsiTheme="minorEastAsia"/>
          <w:color w:val="000000" w:themeColor="text1"/>
          <w:u w:val="none"/>
        </w:rPr>
        <w:fldChar w:fldCharType="begin"/>
      </w:r>
      <w:r w:rsidRPr="005A7DE6" w:rsidR="00BA4B87">
        <w:rPr>
          <w:rStyle w:val="Hyperlink"/>
          <w:rFonts w:asciiTheme="minorEastAsia" w:eastAsiaTheme="minorEastAsia" w:hAnsiTheme="minorEastAsia"/>
          <w:color w:val="000000" w:themeColor="text1"/>
          <w:u w:val="none"/>
        </w:rPr>
        <w:instrText xml:space="preserve"> TOC \o "1-3" \h \z \u </w:instrText>
      </w:r>
      <w:r w:rsidRPr="005A7DE6">
        <w:rPr>
          <w:rStyle w:val="Hyperlink"/>
          <w:rFonts w:asciiTheme="minorEastAsia" w:eastAsiaTheme="minorEastAsia" w:hAnsiTheme="minorEastAsia"/>
          <w:color w:val="000000" w:themeColor="text1"/>
          <w:u w:val="none"/>
        </w:rPr>
        <w:fldChar w:fldCharType="separate"/>
      </w:r>
      <w:hyperlink w:anchor="_Toc94172375" w:history="1">
        <w:r w:rsidRPr="00976B6A">
          <w:rPr>
            <w:rStyle w:val="Hyperlink"/>
            <w:rFonts w:asciiTheme="minorEastAsia" w:hAnsiTheme="minorEastAsia" w:hint="eastAsia"/>
            <w:b/>
          </w:rPr>
          <w:t>一、绪言</w:t>
        </w:r>
        <w:r>
          <w:rPr>
            <w:webHidden/>
          </w:rPr>
          <w:tab/>
        </w:r>
        <w:r>
          <w:rPr>
            <w:webHidden/>
          </w:rPr>
          <w:fldChar w:fldCharType="begin"/>
        </w:r>
        <w:r>
          <w:rPr>
            <w:webHidden/>
          </w:rPr>
          <w:instrText xml:space="preserve"> PAGEREF _Toc94172375 \h </w:instrText>
        </w:r>
        <w:r>
          <w:rPr>
            <w:webHidden/>
          </w:rPr>
          <w:fldChar w:fldCharType="separate"/>
        </w:r>
        <w:r w:rsidR="00AF345C">
          <w:rPr>
            <w:webHidden/>
          </w:rPr>
          <w:t>1</w:t>
        </w:r>
        <w:r>
          <w:rPr>
            <w:webHidden/>
          </w:rPr>
          <w:fldChar w:fldCharType="end"/>
        </w:r>
      </w:hyperlink>
    </w:p>
    <w:p w:rsidR="00700E3B">
      <w:pPr>
        <w:pStyle w:val="TOC1"/>
        <w:rPr>
          <w:rFonts w:asciiTheme="minorHAnsi" w:eastAsiaTheme="minorEastAsia" w:hAnsiTheme="minorHAnsi" w:cstheme="minorBidi"/>
          <w:caps w:val="0"/>
          <w:color w:val="auto"/>
          <w:sz w:val="21"/>
          <w:szCs w:val="22"/>
        </w:rPr>
      </w:pPr>
      <w:hyperlink w:anchor="_Toc94172376" w:history="1">
        <w:r w:rsidRPr="00976B6A">
          <w:rPr>
            <w:rStyle w:val="Hyperlink"/>
            <w:rFonts w:asciiTheme="minorEastAsia" w:hAnsiTheme="minorEastAsia" w:hint="eastAsia"/>
            <w:b/>
          </w:rPr>
          <w:t>二、释义</w:t>
        </w:r>
        <w:r>
          <w:rPr>
            <w:webHidden/>
          </w:rPr>
          <w:tab/>
        </w:r>
        <w:r>
          <w:rPr>
            <w:webHidden/>
          </w:rPr>
          <w:fldChar w:fldCharType="begin"/>
        </w:r>
        <w:r>
          <w:rPr>
            <w:webHidden/>
          </w:rPr>
          <w:instrText xml:space="preserve"> PAGEREF _Toc94172376 \h </w:instrText>
        </w:r>
        <w:r>
          <w:rPr>
            <w:webHidden/>
          </w:rPr>
          <w:fldChar w:fldCharType="separate"/>
        </w:r>
        <w:r w:rsidR="00AF345C">
          <w:rPr>
            <w:webHidden/>
          </w:rPr>
          <w:t>2</w:t>
        </w:r>
        <w:r>
          <w:rPr>
            <w:webHidden/>
          </w:rPr>
          <w:fldChar w:fldCharType="end"/>
        </w:r>
      </w:hyperlink>
    </w:p>
    <w:p w:rsidR="00700E3B">
      <w:pPr>
        <w:pStyle w:val="TOC1"/>
        <w:rPr>
          <w:rFonts w:asciiTheme="minorHAnsi" w:eastAsiaTheme="minorEastAsia" w:hAnsiTheme="minorHAnsi" w:cstheme="minorBidi"/>
          <w:caps w:val="0"/>
          <w:color w:val="auto"/>
          <w:sz w:val="21"/>
          <w:szCs w:val="22"/>
        </w:rPr>
      </w:pPr>
      <w:hyperlink w:anchor="_Toc94172377" w:history="1">
        <w:r w:rsidRPr="00976B6A">
          <w:rPr>
            <w:rStyle w:val="Hyperlink"/>
            <w:rFonts w:asciiTheme="minorEastAsia" w:hAnsiTheme="minorEastAsia" w:hint="eastAsia"/>
            <w:b/>
          </w:rPr>
          <w:t>三、基金管理人</w:t>
        </w:r>
        <w:r>
          <w:rPr>
            <w:webHidden/>
          </w:rPr>
          <w:tab/>
        </w:r>
        <w:r>
          <w:rPr>
            <w:webHidden/>
          </w:rPr>
          <w:fldChar w:fldCharType="begin"/>
        </w:r>
        <w:r>
          <w:rPr>
            <w:webHidden/>
          </w:rPr>
          <w:instrText xml:space="preserve"> PAGEREF _Toc94172377 </w:instrText>
        </w:r>
        <w:r>
          <w:rPr>
            <w:webHidden/>
          </w:rPr>
          <w:instrText xml:space="preserve">\h </w:instrText>
        </w:r>
        <w:r>
          <w:rPr>
            <w:webHidden/>
          </w:rPr>
          <w:fldChar w:fldCharType="separate"/>
        </w:r>
        <w:r w:rsidR="00AF345C">
          <w:rPr>
            <w:webHidden/>
          </w:rPr>
          <w:t>6</w:t>
        </w:r>
        <w:r>
          <w:rPr>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378" w:history="1">
        <w:r w:rsidRPr="00976B6A">
          <w:rPr>
            <w:rStyle w:val="Hyperlink"/>
            <w:rFonts w:asciiTheme="minorEastAsia" w:hAnsiTheme="minorEastAsia" w:hint="eastAsia"/>
            <w:bCs/>
            <w:noProof/>
            <w:kern w:val="0"/>
          </w:rPr>
          <w:t>（一）基金管理人基本情况</w:t>
        </w:r>
        <w:r>
          <w:rPr>
            <w:noProof/>
            <w:webHidden/>
          </w:rPr>
          <w:tab/>
        </w:r>
        <w:r>
          <w:rPr>
            <w:noProof/>
            <w:webHidden/>
          </w:rPr>
          <w:fldChar w:fldCharType="begin"/>
        </w:r>
        <w:r>
          <w:rPr>
            <w:noProof/>
            <w:webHidden/>
          </w:rPr>
          <w:instrText xml:space="preserve"> PAGEREF _Toc94172378 \h </w:instrText>
        </w:r>
        <w:r>
          <w:rPr>
            <w:noProof/>
            <w:webHidden/>
          </w:rPr>
          <w:fldChar w:fldCharType="separate"/>
        </w:r>
        <w:r w:rsidR="00AF345C">
          <w:rPr>
            <w:noProof/>
            <w:webHidden/>
          </w:rPr>
          <w:t>6</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379" w:history="1">
        <w:r w:rsidRPr="00976B6A">
          <w:rPr>
            <w:rStyle w:val="Hyperlink"/>
            <w:rFonts w:asciiTheme="minorEastAsia" w:hAnsiTheme="minorEastAsia" w:hint="eastAsia"/>
            <w:bCs/>
            <w:noProof/>
            <w:kern w:val="0"/>
          </w:rPr>
          <w:t>（二）</w:t>
        </w:r>
        <w:r w:rsidRPr="00976B6A">
          <w:rPr>
            <w:rStyle w:val="Hyperlink"/>
            <w:rFonts w:asciiTheme="minorEastAsia" w:hAnsiTheme="minorEastAsia" w:hint="eastAsia"/>
            <w:bCs/>
            <w:noProof/>
          </w:rPr>
          <w:t>主要人员情况</w:t>
        </w:r>
        <w:r>
          <w:rPr>
            <w:noProof/>
            <w:webHidden/>
          </w:rPr>
          <w:tab/>
        </w:r>
        <w:r>
          <w:rPr>
            <w:noProof/>
            <w:webHidden/>
          </w:rPr>
          <w:fldChar w:fldCharType="begin"/>
        </w:r>
        <w:r>
          <w:rPr>
            <w:noProof/>
            <w:webHidden/>
          </w:rPr>
          <w:instrText xml:space="preserve"> PAGEREF _Toc94172379 \h </w:instrText>
        </w:r>
        <w:r>
          <w:rPr>
            <w:noProof/>
            <w:webHidden/>
          </w:rPr>
          <w:fldChar w:fldCharType="separate"/>
        </w:r>
        <w:r w:rsidR="00AF345C">
          <w:rPr>
            <w:noProof/>
            <w:webHidden/>
          </w:rPr>
          <w:t>6</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380" w:history="1">
        <w:r w:rsidRPr="00976B6A">
          <w:rPr>
            <w:rStyle w:val="Hyperlink"/>
            <w:rFonts w:asciiTheme="minorEastAsia" w:hAnsiTheme="minorEastAsia" w:hint="eastAsia"/>
            <w:bCs/>
            <w:noProof/>
          </w:rPr>
          <w:t>（三）基金管理人的职责</w:t>
        </w:r>
        <w:r>
          <w:rPr>
            <w:noProof/>
            <w:webHidden/>
          </w:rPr>
          <w:tab/>
        </w:r>
        <w:r>
          <w:rPr>
            <w:noProof/>
            <w:webHidden/>
          </w:rPr>
          <w:fldChar w:fldCharType="begin"/>
        </w:r>
        <w:r>
          <w:rPr>
            <w:noProof/>
            <w:webHidden/>
          </w:rPr>
          <w:instrText xml:space="preserve"> PAGEREF _Toc94172380 \h </w:instrText>
        </w:r>
        <w:r>
          <w:rPr>
            <w:noProof/>
            <w:webHidden/>
          </w:rPr>
          <w:fldChar w:fldCharType="separate"/>
        </w:r>
        <w:r w:rsidR="00AF345C">
          <w:rPr>
            <w:noProof/>
            <w:webHidden/>
          </w:rPr>
          <w:t>14</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381" w:history="1">
        <w:r w:rsidRPr="00976B6A">
          <w:rPr>
            <w:rStyle w:val="Hyperlink"/>
            <w:rFonts w:asciiTheme="minorEastAsia" w:hAnsiTheme="minorEastAsia" w:hint="eastAsia"/>
            <w:bCs/>
            <w:noProof/>
          </w:rPr>
          <w:t>（四）基金管理人的承诺</w:t>
        </w:r>
        <w:r>
          <w:rPr>
            <w:noProof/>
            <w:webHidden/>
          </w:rPr>
          <w:tab/>
        </w:r>
        <w:r>
          <w:rPr>
            <w:noProof/>
            <w:webHidden/>
          </w:rPr>
          <w:fldChar w:fldCharType="begin"/>
        </w:r>
        <w:r>
          <w:rPr>
            <w:noProof/>
            <w:webHidden/>
          </w:rPr>
          <w:instrText xml:space="preserve"> PAGEREF _</w:instrText>
        </w:r>
        <w:r>
          <w:rPr>
            <w:noProof/>
            <w:webHidden/>
          </w:rPr>
          <w:instrText xml:space="preserve">Toc94172381 \h </w:instrText>
        </w:r>
        <w:r>
          <w:rPr>
            <w:noProof/>
            <w:webHidden/>
          </w:rPr>
          <w:fldChar w:fldCharType="separate"/>
        </w:r>
        <w:r w:rsidR="00AF345C">
          <w:rPr>
            <w:noProof/>
            <w:webHidden/>
          </w:rPr>
          <w:t>14</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382" w:history="1">
        <w:r w:rsidRPr="00976B6A">
          <w:rPr>
            <w:rStyle w:val="Hyperlink"/>
            <w:rFonts w:asciiTheme="minorEastAsia" w:hAnsiTheme="minorEastAsia" w:hint="eastAsia"/>
            <w:bCs/>
            <w:noProof/>
          </w:rPr>
          <w:t>（五）基金管理人的内部控制制度</w:t>
        </w:r>
        <w:r>
          <w:rPr>
            <w:noProof/>
            <w:webHidden/>
          </w:rPr>
          <w:tab/>
        </w:r>
        <w:r>
          <w:rPr>
            <w:noProof/>
            <w:webHidden/>
          </w:rPr>
          <w:fldChar w:fldCharType="begin"/>
        </w:r>
        <w:r>
          <w:rPr>
            <w:noProof/>
            <w:webHidden/>
          </w:rPr>
          <w:instrText xml:space="preserve"> PAGEREF _Toc94172382 \h </w:instrText>
        </w:r>
        <w:r>
          <w:rPr>
            <w:noProof/>
            <w:webHidden/>
          </w:rPr>
          <w:fldChar w:fldCharType="separate"/>
        </w:r>
        <w:r w:rsidR="00AF345C">
          <w:rPr>
            <w:noProof/>
            <w:webHidden/>
          </w:rPr>
          <w:t>15</w:t>
        </w:r>
        <w:r>
          <w:rPr>
            <w:noProof/>
            <w:webHidden/>
          </w:rPr>
          <w:fldChar w:fldCharType="end"/>
        </w:r>
      </w:hyperlink>
    </w:p>
    <w:p w:rsidR="00700E3B">
      <w:pPr>
        <w:pStyle w:val="TOC1"/>
        <w:rPr>
          <w:rFonts w:asciiTheme="minorHAnsi" w:eastAsiaTheme="minorEastAsia" w:hAnsiTheme="minorHAnsi" w:cstheme="minorBidi"/>
          <w:caps w:val="0"/>
          <w:color w:val="auto"/>
          <w:sz w:val="21"/>
          <w:szCs w:val="22"/>
        </w:rPr>
      </w:pPr>
      <w:hyperlink w:anchor="_Toc94172383" w:history="1">
        <w:r w:rsidRPr="00976B6A">
          <w:rPr>
            <w:rStyle w:val="Hyperlink"/>
            <w:rFonts w:asciiTheme="minorEastAsia" w:hAnsiTheme="minorEastAsia" w:hint="eastAsia"/>
            <w:b/>
          </w:rPr>
          <w:t>四、基金托管人</w:t>
        </w:r>
        <w:r>
          <w:rPr>
            <w:webHidden/>
          </w:rPr>
          <w:tab/>
        </w:r>
        <w:r>
          <w:rPr>
            <w:webHidden/>
          </w:rPr>
          <w:fldChar w:fldCharType="begin"/>
        </w:r>
        <w:r>
          <w:rPr>
            <w:webHidden/>
          </w:rPr>
          <w:instrText xml:space="preserve"> PAGEREF _Toc94172383 \h </w:instrText>
        </w:r>
        <w:r>
          <w:rPr>
            <w:webHidden/>
          </w:rPr>
          <w:fldChar w:fldCharType="separate"/>
        </w:r>
        <w:r w:rsidR="00AF345C">
          <w:rPr>
            <w:webHidden/>
          </w:rPr>
          <w:t>19</w:t>
        </w:r>
        <w:r>
          <w:rPr>
            <w:webHidden/>
          </w:rPr>
          <w:fldChar w:fldCharType="end"/>
        </w:r>
      </w:hyperlink>
    </w:p>
    <w:p w:rsidR="00700E3B">
      <w:pPr>
        <w:pStyle w:val="TOC1"/>
        <w:rPr>
          <w:rFonts w:asciiTheme="minorHAnsi" w:eastAsiaTheme="minorEastAsia" w:hAnsiTheme="minorHAnsi" w:cstheme="minorBidi"/>
          <w:caps w:val="0"/>
          <w:color w:val="auto"/>
          <w:sz w:val="21"/>
          <w:szCs w:val="22"/>
        </w:rPr>
      </w:pPr>
      <w:hyperlink w:anchor="_Toc94172384" w:history="1">
        <w:r w:rsidRPr="00976B6A">
          <w:rPr>
            <w:rStyle w:val="Hyperlink"/>
            <w:rFonts w:asciiTheme="minorEastAsia" w:hAnsiTheme="minorEastAsia" w:hint="eastAsia"/>
            <w:b/>
          </w:rPr>
          <w:t>五、相关服务机构</w:t>
        </w:r>
        <w:r>
          <w:rPr>
            <w:webHidden/>
          </w:rPr>
          <w:tab/>
        </w:r>
        <w:r>
          <w:rPr>
            <w:webHidden/>
          </w:rPr>
          <w:fldChar w:fldCharType="begin"/>
        </w:r>
        <w:r>
          <w:rPr>
            <w:webHidden/>
          </w:rPr>
          <w:instrText xml:space="preserve"> PAGEREF _Toc94172384 \h </w:instrText>
        </w:r>
        <w:r>
          <w:rPr>
            <w:webHidden/>
          </w:rPr>
          <w:fldChar w:fldCharType="separate"/>
        </w:r>
        <w:r w:rsidR="00AF345C">
          <w:rPr>
            <w:webHidden/>
          </w:rPr>
          <w:t>25</w:t>
        </w:r>
        <w:r>
          <w:rPr>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385" w:history="1">
        <w:r w:rsidRPr="00976B6A">
          <w:rPr>
            <w:rStyle w:val="Hyperlink"/>
            <w:rFonts w:asciiTheme="minorEastAsia" w:hAnsiTheme="minorEastAsia" w:hint="eastAsia"/>
            <w:noProof/>
          </w:rPr>
          <w:t>（一）基金份额销售机构</w:t>
        </w:r>
        <w:r>
          <w:rPr>
            <w:noProof/>
            <w:webHidden/>
          </w:rPr>
          <w:tab/>
        </w:r>
        <w:r>
          <w:rPr>
            <w:noProof/>
            <w:webHidden/>
          </w:rPr>
          <w:fldChar w:fldCharType="begin"/>
        </w:r>
        <w:r>
          <w:rPr>
            <w:noProof/>
            <w:webHidden/>
          </w:rPr>
          <w:instrText xml:space="preserve"> PAGEREF _Toc94172385 \h </w:instrText>
        </w:r>
        <w:r>
          <w:rPr>
            <w:noProof/>
            <w:webHidden/>
          </w:rPr>
          <w:fldChar w:fldCharType="separate"/>
        </w:r>
        <w:r w:rsidR="00AF345C">
          <w:rPr>
            <w:noProof/>
            <w:webHidden/>
          </w:rPr>
          <w:t>25</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386" w:history="1">
        <w:r w:rsidRPr="00976B6A">
          <w:rPr>
            <w:rStyle w:val="Hyperlink"/>
            <w:rFonts w:asciiTheme="minorEastAsia" w:hAnsiTheme="minorEastAsia" w:hint="eastAsia"/>
            <w:noProof/>
          </w:rPr>
          <w:t>（二）基金注册登记机构</w:t>
        </w:r>
        <w:r>
          <w:rPr>
            <w:noProof/>
            <w:webHidden/>
          </w:rPr>
          <w:tab/>
        </w:r>
        <w:r>
          <w:rPr>
            <w:noProof/>
            <w:webHidden/>
          </w:rPr>
          <w:fldChar w:fldCharType="begin"/>
        </w:r>
        <w:r>
          <w:rPr>
            <w:noProof/>
            <w:webHidden/>
          </w:rPr>
          <w:instrText xml:space="preserve"> PAGEREF _Toc94172386 \h </w:instrText>
        </w:r>
        <w:r>
          <w:rPr>
            <w:noProof/>
            <w:webHidden/>
          </w:rPr>
          <w:fldChar w:fldCharType="separate"/>
        </w:r>
        <w:r w:rsidR="00AF345C">
          <w:rPr>
            <w:noProof/>
            <w:webHidden/>
          </w:rPr>
          <w:t>25</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387" w:history="1">
        <w:r w:rsidRPr="00976B6A">
          <w:rPr>
            <w:rStyle w:val="Hyperlink"/>
            <w:rFonts w:asciiTheme="minorEastAsia" w:hAnsiTheme="minorEastAsia" w:hint="eastAsia"/>
            <w:noProof/>
          </w:rPr>
          <w:t>（三）律师事务所和经办律师</w:t>
        </w:r>
        <w:r>
          <w:rPr>
            <w:noProof/>
            <w:webHidden/>
          </w:rPr>
          <w:tab/>
        </w:r>
        <w:r>
          <w:rPr>
            <w:noProof/>
            <w:webHidden/>
          </w:rPr>
          <w:fldChar w:fldCharType="begin"/>
        </w:r>
        <w:r>
          <w:rPr>
            <w:noProof/>
            <w:webHidden/>
          </w:rPr>
          <w:instrText xml:space="preserve"> PAGEREF _Toc94172387 \h </w:instrText>
        </w:r>
        <w:r>
          <w:rPr>
            <w:noProof/>
            <w:webHidden/>
          </w:rPr>
          <w:fldChar w:fldCharType="separate"/>
        </w:r>
        <w:r w:rsidR="00AF345C">
          <w:rPr>
            <w:noProof/>
            <w:webHidden/>
          </w:rPr>
          <w:t>25</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388" w:history="1">
        <w:r w:rsidRPr="00976B6A">
          <w:rPr>
            <w:rStyle w:val="Hyperlink"/>
            <w:rFonts w:asciiTheme="minorEastAsia" w:hAnsiTheme="minorEastAsia" w:hint="eastAsia"/>
            <w:noProof/>
          </w:rPr>
          <w:t>（四）会计师事务所和经办注册会计师</w:t>
        </w:r>
        <w:r>
          <w:rPr>
            <w:noProof/>
            <w:webHidden/>
          </w:rPr>
          <w:tab/>
        </w:r>
        <w:r>
          <w:rPr>
            <w:noProof/>
            <w:webHidden/>
          </w:rPr>
          <w:fldChar w:fldCharType="begin"/>
        </w:r>
        <w:r>
          <w:rPr>
            <w:noProof/>
            <w:webHidden/>
          </w:rPr>
          <w:instrText xml:space="preserve"> PAGEREF _Toc94172388 \h </w:instrText>
        </w:r>
        <w:r>
          <w:rPr>
            <w:noProof/>
            <w:webHidden/>
          </w:rPr>
          <w:fldChar w:fldCharType="separate"/>
        </w:r>
        <w:r w:rsidR="00AF345C">
          <w:rPr>
            <w:noProof/>
            <w:webHidden/>
          </w:rPr>
          <w:t>26</w:t>
        </w:r>
        <w:r>
          <w:rPr>
            <w:noProof/>
            <w:webHidden/>
          </w:rPr>
          <w:fldChar w:fldCharType="end"/>
        </w:r>
      </w:hyperlink>
    </w:p>
    <w:p w:rsidR="00700E3B">
      <w:pPr>
        <w:pStyle w:val="TOC1"/>
        <w:rPr>
          <w:rFonts w:asciiTheme="minorHAnsi" w:eastAsiaTheme="minorEastAsia" w:hAnsiTheme="minorHAnsi" w:cstheme="minorBidi"/>
          <w:caps w:val="0"/>
          <w:color w:val="auto"/>
          <w:sz w:val="21"/>
          <w:szCs w:val="22"/>
        </w:rPr>
      </w:pPr>
      <w:hyperlink w:anchor="_Toc94172389" w:history="1">
        <w:r w:rsidRPr="00976B6A">
          <w:rPr>
            <w:rStyle w:val="Hyperlink"/>
            <w:rFonts w:asciiTheme="minorEastAsia" w:hAnsiTheme="minorEastAsia" w:hint="eastAsia"/>
            <w:b/>
          </w:rPr>
          <w:t>六、基金的募集</w:t>
        </w:r>
        <w:r>
          <w:rPr>
            <w:webHidden/>
          </w:rPr>
          <w:tab/>
        </w:r>
        <w:r>
          <w:rPr>
            <w:webHidden/>
          </w:rPr>
          <w:fldChar w:fldCharType="begin"/>
        </w:r>
        <w:r>
          <w:rPr>
            <w:webHidden/>
          </w:rPr>
          <w:instrText xml:space="preserve"> PAGEREF _Toc94172389 \h </w:instrText>
        </w:r>
        <w:r>
          <w:rPr>
            <w:webHidden/>
          </w:rPr>
          <w:fldChar w:fldCharType="separate"/>
        </w:r>
        <w:r w:rsidR="00AF345C">
          <w:rPr>
            <w:webHidden/>
          </w:rPr>
          <w:t>27</w:t>
        </w:r>
        <w:r>
          <w:rPr>
            <w:webHidden/>
          </w:rPr>
          <w:fldChar w:fldCharType="end"/>
        </w:r>
      </w:hyperlink>
    </w:p>
    <w:p w:rsidR="00700E3B">
      <w:pPr>
        <w:pStyle w:val="TOC1"/>
        <w:rPr>
          <w:rFonts w:asciiTheme="minorHAnsi" w:eastAsiaTheme="minorEastAsia" w:hAnsiTheme="minorHAnsi" w:cstheme="minorBidi"/>
          <w:caps w:val="0"/>
          <w:color w:val="auto"/>
          <w:sz w:val="21"/>
          <w:szCs w:val="22"/>
        </w:rPr>
      </w:pPr>
      <w:hyperlink w:anchor="_Toc94172390" w:history="1">
        <w:r w:rsidRPr="00976B6A">
          <w:rPr>
            <w:rStyle w:val="Hyperlink"/>
            <w:rFonts w:asciiTheme="minorEastAsia" w:hAnsiTheme="minorEastAsia" w:hint="eastAsia"/>
            <w:b/>
          </w:rPr>
          <w:t>七、基金合同的生效</w:t>
        </w:r>
        <w:r>
          <w:rPr>
            <w:webHidden/>
          </w:rPr>
          <w:tab/>
        </w:r>
        <w:r>
          <w:rPr>
            <w:webHidden/>
          </w:rPr>
          <w:fldChar w:fldCharType="begin"/>
        </w:r>
        <w:r>
          <w:rPr>
            <w:webHidden/>
          </w:rPr>
          <w:instrText xml:space="preserve"> PAGEREF _Toc941</w:instrText>
        </w:r>
        <w:r>
          <w:rPr>
            <w:webHidden/>
          </w:rPr>
          <w:instrText xml:space="preserve">72390 \h </w:instrText>
        </w:r>
        <w:r>
          <w:rPr>
            <w:webHidden/>
          </w:rPr>
          <w:fldChar w:fldCharType="separate"/>
        </w:r>
        <w:r w:rsidR="00AF345C">
          <w:rPr>
            <w:webHidden/>
          </w:rPr>
          <w:t>28</w:t>
        </w:r>
        <w:r>
          <w:rPr>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391" w:history="1">
        <w:r w:rsidRPr="00976B6A">
          <w:rPr>
            <w:rStyle w:val="Hyperlink"/>
            <w:rFonts w:asciiTheme="minorEastAsia" w:hAnsiTheme="minorEastAsia" w:hint="eastAsia"/>
            <w:bCs/>
            <w:noProof/>
          </w:rPr>
          <w:t>（一）基金合同的生效</w:t>
        </w:r>
        <w:r>
          <w:rPr>
            <w:noProof/>
            <w:webHidden/>
          </w:rPr>
          <w:tab/>
        </w:r>
        <w:r>
          <w:rPr>
            <w:noProof/>
            <w:webHidden/>
          </w:rPr>
          <w:fldChar w:fldCharType="begin"/>
        </w:r>
        <w:r>
          <w:rPr>
            <w:noProof/>
            <w:webHidden/>
          </w:rPr>
          <w:instrText xml:space="preserve"> PAGEREF _Toc94172391 \h </w:instrText>
        </w:r>
        <w:r>
          <w:rPr>
            <w:noProof/>
            <w:webHidden/>
          </w:rPr>
          <w:fldChar w:fldCharType="separate"/>
        </w:r>
        <w:r w:rsidR="00AF345C">
          <w:rPr>
            <w:noProof/>
            <w:webHidden/>
          </w:rPr>
          <w:t>28</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392" w:history="1">
        <w:r w:rsidRPr="00976B6A">
          <w:rPr>
            <w:rStyle w:val="Hyperlink"/>
            <w:rFonts w:asciiTheme="minorEastAsia" w:hAnsiTheme="minorEastAsia" w:hint="eastAsia"/>
            <w:bCs/>
            <w:noProof/>
          </w:rPr>
          <w:t>（二）基金存续期内的基金份额持有人数量和资金额</w:t>
        </w:r>
        <w:r>
          <w:rPr>
            <w:noProof/>
            <w:webHidden/>
          </w:rPr>
          <w:tab/>
        </w:r>
        <w:r>
          <w:rPr>
            <w:noProof/>
            <w:webHidden/>
          </w:rPr>
          <w:fldChar w:fldCharType="begin"/>
        </w:r>
        <w:r>
          <w:rPr>
            <w:noProof/>
            <w:webHidden/>
          </w:rPr>
          <w:instrText xml:space="preserve"> PAGEREF _Toc94172392 \h </w:instrText>
        </w:r>
        <w:r>
          <w:rPr>
            <w:noProof/>
            <w:webHidden/>
          </w:rPr>
          <w:fldChar w:fldCharType="separate"/>
        </w:r>
        <w:r w:rsidR="00AF345C">
          <w:rPr>
            <w:noProof/>
            <w:webHidden/>
          </w:rPr>
          <w:t>28</w:t>
        </w:r>
        <w:r>
          <w:rPr>
            <w:noProof/>
            <w:webHidden/>
          </w:rPr>
          <w:fldChar w:fldCharType="end"/>
        </w:r>
      </w:hyperlink>
    </w:p>
    <w:p w:rsidR="00700E3B">
      <w:pPr>
        <w:pStyle w:val="TOC1"/>
        <w:rPr>
          <w:rFonts w:asciiTheme="minorHAnsi" w:eastAsiaTheme="minorEastAsia" w:hAnsiTheme="minorHAnsi" w:cstheme="minorBidi"/>
          <w:caps w:val="0"/>
          <w:color w:val="auto"/>
          <w:sz w:val="21"/>
          <w:szCs w:val="22"/>
        </w:rPr>
      </w:pPr>
      <w:hyperlink w:anchor="_Toc94172393" w:history="1">
        <w:r w:rsidRPr="00976B6A">
          <w:rPr>
            <w:rStyle w:val="Hyperlink"/>
            <w:rFonts w:asciiTheme="minorEastAsia" w:hAnsiTheme="minorEastAsia" w:hint="eastAsia"/>
            <w:b/>
          </w:rPr>
          <w:t>八、基金份额的申购、赎回</w:t>
        </w:r>
        <w:r>
          <w:rPr>
            <w:webHidden/>
          </w:rPr>
          <w:tab/>
        </w:r>
        <w:r>
          <w:rPr>
            <w:webHidden/>
          </w:rPr>
          <w:fldChar w:fldCharType="begin"/>
        </w:r>
        <w:r>
          <w:rPr>
            <w:webHidden/>
          </w:rPr>
          <w:instrText xml:space="preserve"> PAGEREF _Toc94172393 \h </w:instrText>
        </w:r>
        <w:r>
          <w:rPr>
            <w:webHidden/>
          </w:rPr>
          <w:fldChar w:fldCharType="separate"/>
        </w:r>
        <w:r w:rsidR="00AF345C">
          <w:rPr>
            <w:webHidden/>
          </w:rPr>
          <w:t>29</w:t>
        </w:r>
        <w:r>
          <w:rPr>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394" w:history="1">
        <w:r w:rsidRPr="00976B6A">
          <w:rPr>
            <w:rStyle w:val="Hyperlink"/>
            <w:rFonts w:asciiTheme="minorEastAsia" w:hAnsiTheme="minorEastAsia" w:hint="eastAsia"/>
            <w:bCs/>
            <w:noProof/>
          </w:rPr>
          <w:t>（一）基金投资人范围</w:t>
        </w:r>
        <w:r>
          <w:rPr>
            <w:noProof/>
            <w:webHidden/>
          </w:rPr>
          <w:tab/>
        </w:r>
        <w:r>
          <w:rPr>
            <w:noProof/>
            <w:webHidden/>
          </w:rPr>
          <w:fldChar w:fldCharType="begin"/>
        </w:r>
        <w:r>
          <w:rPr>
            <w:noProof/>
            <w:webHidden/>
          </w:rPr>
          <w:instrText xml:space="preserve"> PAGEREF _Toc94172394 \h </w:instrText>
        </w:r>
        <w:r>
          <w:rPr>
            <w:noProof/>
            <w:webHidden/>
          </w:rPr>
          <w:fldChar w:fldCharType="separate"/>
        </w:r>
        <w:r w:rsidR="00AF345C">
          <w:rPr>
            <w:noProof/>
            <w:webHidden/>
          </w:rPr>
          <w:t>29</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395" w:history="1">
        <w:r w:rsidRPr="00976B6A">
          <w:rPr>
            <w:rStyle w:val="Hyperlink"/>
            <w:rFonts w:asciiTheme="minorEastAsia" w:hAnsiTheme="minorEastAsia" w:hint="eastAsia"/>
            <w:bCs/>
            <w:noProof/>
          </w:rPr>
          <w:t>（二）申购与赎回的场所</w:t>
        </w:r>
        <w:r>
          <w:rPr>
            <w:noProof/>
            <w:webHidden/>
          </w:rPr>
          <w:tab/>
        </w:r>
        <w:r>
          <w:rPr>
            <w:noProof/>
            <w:webHidden/>
          </w:rPr>
          <w:fldChar w:fldCharType="begin"/>
        </w:r>
        <w:r>
          <w:rPr>
            <w:noProof/>
            <w:webHidden/>
          </w:rPr>
          <w:instrText xml:space="preserve"> PAGEREF _Toc94172395 \h </w:instrText>
        </w:r>
        <w:r>
          <w:rPr>
            <w:noProof/>
            <w:webHidden/>
          </w:rPr>
          <w:fldChar w:fldCharType="separate"/>
        </w:r>
        <w:r w:rsidR="00AF345C">
          <w:rPr>
            <w:noProof/>
            <w:webHidden/>
          </w:rPr>
          <w:t>29</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396" w:history="1">
        <w:r w:rsidRPr="00976B6A">
          <w:rPr>
            <w:rStyle w:val="Hyperlink"/>
            <w:rFonts w:asciiTheme="minorEastAsia" w:hAnsiTheme="minorEastAsia" w:hint="eastAsia"/>
            <w:bCs/>
            <w:noProof/>
          </w:rPr>
          <w:t>（三）申购与赎回办理的开放日及时间</w:t>
        </w:r>
        <w:r>
          <w:rPr>
            <w:noProof/>
            <w:webHidden/>
          </w:rPr>
          <w:tab/>
        </w:r>
        <w:r>
          <w:rPr>
            <w:noProof/>
            <w:webHidden/>
          </w:rPr>
          <w:fldChar w:fldCharType="begin"/>
        </w:r>
        <w:r>
          <w:rPr>
            <w:noProof/>
            <w:webHidden/>
          </w:rPr>
          <w:instrText xml:space="preserve"> PAGEREF _Toc94172396 \h </w:instrText>
        </w:r>
        <w:r>
          <w:rPr>
            <w:noProof/>
            <w:webHidden/>
          </w:rPr>
          <w:fldChar w:fldCharType="separate"/>
        </w:r>
        <w:r w:rsidR="00AF345C">
          <w:rPr>
            <w:noProof/>
            <w:webHidden/>
          </w:rPr>
          <w:t>29</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397" w:history="1">
        <w:r w:rsidRPr="00976B6A">
          <w:rPr>
            <w:rStyle w:val="Hyperlink"/>
            <w:rFonts w:asciiTheme="minorEastAsia" w:hAnsiTheme="minorEastAsia" w:hint="eastAsia"/>
            <w:bCs/>
            <w:noProof/>
          </w:rPr>
          <w:t>（四）申购与赎回的原则</w:t>
        </w:r>
        <w:r>
          <w:rPr>
            <w:noProof/>
            <w:webHidden/>
          </w:rPr>
          <w:tab/>
        </w:r>
        <w:r>
          <w:rPr>
            <w:noProof/>
            <w:webHidden/>
          </w:rPr>
          <w:fldChar w:fldCharType="begin"/>
        </w:r>
        <w:r>
          <w:rPr>
            <w:noProof/>
            <w:webHidden/>
          </w:rPr>
          <w:instrText xml:space="preserve"> PAGEREF _Toc94172397 \h </w:instrText>
        </w:r>
        <w:r>
          <w:rPr>
            <w:noProof/>
            <w:webHidden/>
          </w:rPr>
          <w:fldChar w:fldCharType="separate"/>
        </w:r>
        <w:r w:rsidR="00AF345C">
          <w:rPr>
            <w:noProof/>
            <w:webHidden/>
          </w:rPr>
          <w:t>29</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398" w:history="1">
        <w:r w:rsidRPr="00976B6A">
          <w:rPr>
            <w:rStyle w:val="Hyperlink"/>
            <w:rFonts w:asciiTheme="minorEastAsia" w:hAnsiTheme="minorEastAsia" w:hint="eastAsia"/>
            <w:bCs/>
            <w:noProof/>
          </w:rPr>
          <w:t>（五）申购与赎回的程序</w:t>
        </w:r>
        <w:r>
          <w:rPr>
            <w:noProof/>
            <w:webHidden/>
          </w:rPr>
          <w:tab/>
        </w:r>
        <w:r>
          <w:rPr>
            <w:noProof/>
            <w:webHidden/>
          </w:rPr>
          <w:fldChar w:fldCharType="begin"/>
        </w:r>
        <w:r>
          <w:rPr>
            <w:noProof/>
            <w:webHidden/>
          </w:rPr>
          <w:instrText xml:space="preserve"> PAGEREF _</w:instrText>
        </w:r>
        <w:r>
          <w:rPr>
            <w:noProof/>
            <w:webHidden/>
          </w:rPr>
          <w:instrText xml:space="preserve">Toc94172398 \h </w:instrText>
        </w:r>
        <w:r>
          <w:rPr>
            <w:noProof/>
            <w:webHidden/>
          </w:rPr>
          <w:fldChar w:fldCharType="separate"/>
        </w:r>
        <w:r w:rsidR="00AF345C">
          <w:rPr>
            <w:noProof/>
            <w:webHidden/>
          </w:rPr>
          <w:t>29</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399" w:history="1">
        <w:r w:rsidRPr="00976B6A">
          <w:rPr>
            <w:rStyle w:val="Hyperlink"/>
            <w:rFonts w:asciiTheme="minorEastAsia" w:hAnsiTheme="minorEastAsia" w:hint="eastAsia"/>
            <w:bCs/>
            <w:noProof/>
          </w:rPr>
          <w:t>（六）申购与赎回的数额限制</w:t>
        </w:r>
        <w:r>
          <w:rPr>
            <w:noProof/>
            <w:webHidden/>
          </w:rPr>
          <w:tab/>
        </w:r>
        <w:r>
          <w:rPr>
            <w:noProof/>
            <w:webHidden/>
          </w:rPr>
          <w:fldChar w:fldCharType="begin"/>
        </w:r>
        <w:r>
          <w:rPr>
            <w:noProof/>
            <w:webHidden/>
          </w:rPr>
          <w:instrText xml:space="preserve"> PAGEREF _Toc94172399 \h </w:instrText>
        </w:r>
        <w:r>
          <w:rPr>
            <w:noProof/>
            <w:webHidden/>
          </w:rPr>
          <w:fldChar w:fldCharType="separate"/>
        </w:r>
        <w:r w:rsidR="00AF345C">
          <w:rPr>
            <w:noProof/>
            <w:webHidden/>
          </w:rPr>
          <w:t>30</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00" w:history="1">
        <w:r w:rsidRPr="00976B6A">
          <w:rPr>
            <w:rStyle w:val="Hyperlink"/>
            <w:rFonts w:asciiTheme="minorEastAsia" w:hAnsiTheme="minorEastAsia" w:hint="eastAsia"/>
            <w:bCs/>
            <w:noProof/>
          </w:rPr>
          <w:t>（七）基金的申购费和赎回费</w:t>
        </w:r>
        <w:r>
          <w:rPr>
            <w:noProof/>
            <w:webHidden/>
          </w:rPr>
          <w:tab/>
        </w:r>
        <w:r>
          <w:rPr>
            <w:noProof/>
            <w:webHidden/>
          </w:rPr>
          <w:fldChar w:fldCharType="begin"/>
        </w:r>
        <w:r>
          <w:rPr>
            <w:noProof/>
            <w:webHidden/>
          </w:rPr>
          <w:instrText xml:space="preserve"> PAGEREF _Toc94172400 \h </w:instrText>
        </w:r>
        <w:r>
          <w:rPr>
            <w:noProof/>
            <w:webHidden/>
          </w:rPr>
          <w:fldChar w:fldCharType="separate"/>
        </w:r>
        <w:r w:rsidR="00AF345C">
          <w:rPr>
            <w:noProof/>
            <w:webHidden/>
          </w:rPr>
          <w:t>31</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01" w:history="1">
        <w:r w:rsidRPr="00976B6A">
          <w:rPr>
            <w:rStyle w:val="Hyperlink"/>
            <w:rFonts w:asciiTheme="minorEastAsia" w:hAnsiTheme="minorEastAsia" w:hint="eastAsia"/>
            <w:bCs/>
            <w:noProof/>
          </w:rPr>
          <w:t>（八）申购和赎回的数额和价格</w:t>
        </w:r>
        <w:r>
          <w:rPr>
            <w:noProof/>
            <w:webHidden/>
          </w:rPr>
          <w:tab/>
        </w:r>
        <w:r>
          <w:rPr>
            <w:noProof/>
            <w:webHidden/>
          </w:rPr>
          <w:fldChar w:fldCharType="begin"/>
        </w:r>
        <w:r>
          <w:rPr>
            <w:noProof/>
            <w:webHidden/>
          </w:rPr>
          <w:instrText xml:space="preserve"> PAGEREF _Toc94172401 \h </w:instrText>
        </w:r>
        <w:r>
          <w:rPr>
            <w:noProof/>
            <w:webHidden/>
          </w:rPr>
          <w:fldChar w:fldCharType="separate"/>
        </w:r>
        <w:r w:rsidR="00AF345C">
          <w:rPr>
            <w:noProof/>
            <w:webHidden/>
          </w:rPr>
          <w:t>32</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02" w:history="1">
        <w:r w:rsidRPr="00976B6A">
          <w:rPr>
            <w:rStyle w:val="Hyperlink"/>
            <w:rFonts w:asciiTheme="minorEastAsia" w:hAnsiTheme="minorEastAsia" w:hint="eastAsia"/>
            <w:bCs/>
            <w:noProof/>
          </w:rPr>
          <w:t>（九）申购与赎回的注册登记</w:t>
        </w:r>
        <w:r>
          <w:rPr>
            <w:noProof/>
            <w:webHidden/>
          </w:rPr>
          <w:tab/>
        </w:r>
        <w:r>
          <w:rPr>
            <w:noProof/>
            <w:webHidden/>
          </w:rPr>
          <w:fldChar w:fldCharType="begin"/>
        </w:r>
        <w:r>
          <w:rPr>
            <w:noProof/>
            <w:webHidden/>
          </w:rPr>
          <w:instrText xml:space="preserve"> PAGEREF _Toc94172402 \h </w:instrText>
        </w:r>
        <w:r>
          <w:rPr>
            <w:noProof/>
            <w:webHidden/>
          </w:rPr>
          <w:fldChar w:fldCharType="separate"/>
        </w:r>
        <w:r w:rsidR="00AF345C">
          <w:rPr>
            <w:noProof/>
            <w:webHidden/>
          </w:rPr>
          <w:t>34</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03" w:history="1">
        <w:r w:rsidRPr="00976B6A">
          <w:rPr>
            <w:rStyle w:val="Hyperlink"/>
            <w:rFonts w:asciiTheme="minorEastAsia" w:hAnsiTheme="minorEastAsia" w:hint="eastAsia"/>
            <w:bCs/>
            <w:noProof/>
          </w:rPr>
          <w:t>（十）巨额赎回的认定及处理方式</w:t>
        </w:r>
        <w:r>
          <w:rPr>
            <w:noProof/>
            <w:webHidden/>
          </w:rPr>
          <w:tab/>
        </w:r>
        <w:r>
          <w:rPr>
            <w:noProof/>
            <w:webHidden/>
          </w:rPr>
          <w:fldChar w:fldCharType="begin"/>
        </w:r>
        <w:r>
          <w:rPr>
            <w:noProof/>
            <w:webHidden/>
          </w:rPr>
          <w:instrText xml:space="preserve"> PAGEREF _Toc94172403 \h </w:instrText>
        </w:r>
        <w:r>
          <w:rPr>
            <w:noProof/>
            <w:webHidden/>
          </w:rPr>
          <w:fldChar w:fldCharType="separate"/>
        </w:r>
        <w:r w:rsidR="00AF345C">
          <w:rPr>
            <w:noProof/>
            <w:webHidden/>
          </w:rPr>
          <w:t>34</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04" w:history="1">
        <w:r w:rsidRPr="00976B6A">
          <w:rPr>
            <w:rStyle w:val="Hyperlink"/>
            <w:rFonts w:asciiTheme="minorEastAsia" w:hAnsiTheme="minorEastAsia" w:hint="eastAsia"/>
            <w:bCs/>
            <w:noProof/>
          </w:rPr>
          <w:t>（十一）拒绝或暂停申购、暂停赎回的情形及处理</w:t>
        </w:r>
        <w:r>
          <w:rPr>
            <w:noProof/>
            <w:webHidden/>
          </w:rPr>
          <w:tab/>
        </w:r>
        <w:r>
          <w:rPr>
            <w:noProof/>
            <w:webHidden/>
          </w:rPr>
          <w:fldChar w:fldCharType="begin"/>
        </w:r>
        <w:r>
          <w:rPr>
            <w:noProof/>
            <w:webHidden/>
          </w:rPr>
          <w:instrText xml:space="preserve"> PAGEREF _Toc94172404 \h </w:instrText>
        </w:r>
        <w:r>
          <w:rPr>
            <w:noProof/>
            <w:webHidden/>
          </w:rPr>
          <w:fldChar w:fldCharType="separate"/>
        </w:r>
        <w:r w:rsidR="00AF345C">
          <w:rPr>
            <w:noProof/>
            <w:webHidden/>
          </w:rPr>
          <w:t>35</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05" w:history="1">
        <w:r w:rsidRPr="00976B6A">
          <w:rPr>
            <w:rStyle w:val="Hyperlink"/>
            <w:rFonts w:asciiTheme="minorEastAsia" w:hAnsiTheme="minorEastAsia" w:hint="eastAsia"/>
            <w:bCs/>
            <w:noProof/>
          </w:rPr>
          <w:t>（十二）实施侧袋机制期间本基金的申购与赎回</w:t>
        </w:r>
        <w:r>
          <w:rPr>
            <w:noProof/>
            <w:webHidden/>
          </w:rPr>
          <w:tab/>
        </w:r>
        <w:r>
          <w:rPr>
            <w:noProof/>
            <w:webHidden/>
          </w:rPr>
          <w:fldChar w:fldCharType="begin"/>
        </w:r>
        <w:r>
          <w:rPr>
            <w:noProof/>
            <w:webHidden/>
          </w:rPr>
          <w:instrText xml:space="preserve"> PAGEREF _Toc94172405 \h </w:instrText>
        </w:r>
        <w:r>
          <w:rPr>
            <w:noProof/>
            <w:webHidden/>
          </w:rPr>
          <w:fldChar w:fldCharType="separate"/>
        </w:r>
        <w:r w:rsidR="00AF345C">
          <w:rPr>
            <w:noProof/>
            <w:webHidden/>
          </w:rPr>
          <w:t>37</w:t>
        </w:r>
        <w:r>
          <w:rPr>
            <w:noProof/>
            <w:webHidden/>
          </w:rPr>
          <w:fldChar w:fldCharType="end"/>
        </w:r>
      </w:hyperlink>
    </w:p>
    <w:p w:rsidR="00700E3B">
      <w:pPr>
        <w:pStyle w:val="TOC1"/>
        <w:rPr>
          <w:rFonts w:asciiTheme="minorHAnsi" w:eastAsiaTheme="minorEastAsia" w:hAnsiTheme="minorHAnsi" w:cstheme="minorBidi"/>
          <w:caps w:val="0"/>
          <w:color w:val="auto"/>
          <w:sz w:val="21"/>
          <w:szCs w:val="22"/>
        </w:rPr>
      </w:pPr>
      <w:hyperlink w:anchor="_Toc94172406" w:history="1">
        <w:r w:rsidRPr="00976B6A">
          <w:rPr>
            <w:rStyle w:val="Hyperlink"/>
            <w:rFonts w:asciiTheme="minorEastAsia" w:hAnsiTheme="minorEastAsia" w:hint="eastAsia"/>
            <w:b/>
          </w:rPr>
          <w:t>九、基金转换</w:t>
        </w:r>
        <w:r>
          <w:rPr>
            <w:webHidden/>
          </w:rPr>
          <w:tab/>
        </w:r>
        <w:r>
          <w:rPr>
            <w:webHidden/>
          </w:rPr>
          <w:fldChar w:fldCharType="begin"/>
        </w:r>
        <w:r>
          <w:rPr>
            <w:webHidden/>
          </w:rPr>
          <w:instrText xml:space="preserve"> PAGEREF _Toc94172406 \h </w:instrText>
        </w:r>
        <w:r>
          <w:rPr>
            <w:webHidden/>
          </w:rPr>
          <w:fldChar w:fldCharType="separate"/>
        </w:r>
        <w:r w:rsidR="00AF345C">
          <w:rPr>
            <w:webHidden/>
          </w:rPr>
          <w:t>38</w:t>
        </w:r>
        <w:r>
          <w:rPr>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07" w:history="1">
        <w:r w:rsidRPr="00976B6A">
          <w:rPr>
            <w:rStyle w:val="Hyperlink"/>
            <w:rFonts w:asciiTheme="minorEastAsia" w:hAnsiTheme="minorEastAsia" w:hint="eastAsia"/>
            <w:bCs/>
            <w:noProof/>
          </w:rPr>
          <w:t>（一）基金转换开始日及时间</w:t>
        </w:r>
        <w:r>
          <w:rPr>
            <w:noProof/>
            <w:webHidden/>
          </w:rPr>
          <w:tab/>
        </w:r>
        <w:r>
          <w:rPr>
            <w:noProof/>
            <w:webHidden/>
          </w:rPr>
          <w:fldChar w:fldCharType="begin"/>
        </w:r>
        <w:r>
          <w:rPr>
            <w:noProof/>
            <w:webHidden/>
          </w:rPr>
          <w:instrText xml:space="preserve"> PAGEREF _Toc94172407 \h </w:instrText>
        </w:r>
        <w:r>
          <w:rPr>
            <w:noProof/>
            <w:webHidden/>
          </w:rPr>
          <w:fldChar w:fldCharType="separate"/>
        </w:r>
        <w:r w:rsidR="00AF345C">
          <w:rPr>
            <w:noProof/>
            <w:webHidden/>
          </w:rPr>
          <w:t>38</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08" w:history="1">
        <w:r w:rsidRPr="00976B6A">
          <w:rPr>
            <w:rStyle w:val="Hyperlink"/>
            <w:rFonts w:asciiTheme="minorEastAsia" w:hAnsiTheme="minorEastAsia" w:hint="eastAsia"/>
            <w:bCs/>
            <w:noProof/>
          </w:rPr>
          <w:t>（二）基金转换的原则</w:t>
        </w:r>
        <w:r>
          <w:rPr>
            <w:noProof/>
            <w:webHidden/>
          </w:rPr>
          <w:tab/>
        </w:r>
        <w:r>
          <w:rPr>
            <w:noProof/>
            <w:webHidden/>
          </w:rPr>
          <w:fldChar w:fldCharType="begin"/>
        </w:r>
        <w:r>
          <w:rPr>
            <w:noProof/>
            <w:webHidden/>
          </w:rPr>
          <w:instrText xml:space="preserve"> PAGEREF _Toc94172408 \h </w:instrText>
        </w:r>
        <w:r>
          <w:rPr>
            <w:noProof/>
            <w:webHidden/>
          </w:rPr>
          <w:fldChar w:fldCharType="separate"/>
        </w:r>
        <w:r w:rsidR="00AF345C">
          <w:rPr>
            <w:noProof/>
            <w:webHidden/>
          </w:rPr>
          <w:t>38</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09" w:history="1">
        <w:r w:rsidRPr="00976B6A">
          <w:rPr>
            <w:rStyle w:val="Hyperlink"/>
            <w:rFonts w:asciiTheme="minorEastAsia" w:hAnsiTheme="minorEastAsia" w:hint="eastAsia"/>
            <w:bCs/>
            <w:noProof/>
          </w:rPr>
          <w:t>（三）基金转换的程序</w:t>
        </w:r>
        <w:r>
          <w:rPr>
            <w:noProof/>
            <w:webHidden/>
          </w:rPr>
          <w:tab/>
        </w:r>
        <w:r>
          <w:rPr>
            <w:noProof/>
            <w:webHidden/>
          </w:rPr>
          <w:fldChar w:fldCharType="begin"/>
        </w:r>
        <w:r>
          <w:rPr>
            <w:noProof/>
            <w:webHidden/>
          </w:rPr>
          <w:instrText xml:space="preserve"> PAGEREF _T</w:instrText>
        </w:r>
        <w:r>
          <w:rPr>
            <w:noProof/>
            <w:webHidden/>
          </w:rPr>
          <w:instrText xml:space="preserve">oc94172409 \h </w:instrText>
        </w:r>
        <w:r>
          <w:rPr>
            <w:noProof/>
            <w:webHidden/>
          </w:rPr>
          <w:fldChar w:fldCharType="separate"/>
        </w:r>
        <w:r w:rsidR="00AF345C">
          <w:rPr>
            <w:noProof/>
            <w:webHidden/>
          </w:rPr>
          <w:t>38</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10" w:history="1">
        <w:r w:rsidRPr="00976B6A">
          <w:rPr>
            <w:rStyle w:val="Hyperlink"/>
            <w:rFonts w:asciiTheme="minorEastAsia" w:hAnsiTheme="minorEastAsia" w:hint="eastAsia"/>
            <w:bCs/>
            <w:noProof/>
          </w:rPr>
          <w:t>（四）基金转换的份额限制</w:t>
        </w:r>
        <w:r>
          <w:rPr>
            <w:noProof/>
            <w:webHidden/>
          </w:rPr>
          <w:tab/>
        </w:r>
        <w:r>
          <w:rPr>
            <w:noProof/>
            <w:webHidden/>
          </w:rPr>
          <w:fldChar w:fldCharType="begin"/>
        </w:r>
        <w:r>
          <w:rPr>
            <w:noProof/>
            <w:webHidden/>
          </w:rPr>
          <w:instrText xml:space="preserve"> PAGEREF _Toc94172410 \h </w:instrText>
        </w:r>
        <w:r>
          <w:rPr>
            <w:noProof/>
            <w:webHidden/>
          </w:rPr>
          <w:fldChar w:fldCharType="separate"/>
        </w:r>
        <w:r w:rsidR="00AF345C">
          <w:rPr>
            <w:noProof/>
            <w:webHidden/>
          </w:rPr>
          <w:t>39</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11" w:history="1">
        <w:r w:rsidRPr="00976B6A">
          <w:rPr>
            <w:rStyle w:val="Hyperlink"/>
            <w:rFonts w:asciiTheme="minorEastAsia" w:hAnsiTheme="minorEastAsia" w:hint="eastAsia"/>
            <w:bCs/>
            <w:noProof/>
          </w:rPr>
          <w:t>（五）基金转换费率</w:t>
        </w:r>
        <w:r>
          <w:rPr>
            <w:noProof/>
            <w:webHidden/>
          </w:rPr>
          <w:tab/>
        </w:r>
        <w:r>
          <w:rPr>
            <w:noProof/>
            <w:webHidden/>
          </w:rPr>
          <w:fldChar w:fldCharType="begin"/>
        </w:r>
        <w:r>
          <w:rPr>
            <w:noProof/>
            <w:webHidden/>
          </w:rPr>
          <w:instrText xml:space="preserve"> PAGEREF _Toc94172411 \h </w:instrText>
        </w:r>
        <w:r>
          <w:rPr>
            <w:noProof/>
            <w:webHidden/>
          </w:rPr>
          <w:fldChar w:fldCharType="separate"/>
        </w:r>
        <w:r w:rsidR="00AF345C">
          <w:rPr>
            <w:noProof/>
            <w:webHidden/>
          </w:rPr>
          <w:t>39</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12" w:history="1">
        <w:r w:rsidRPr="00976B6A">
          <w:rPr>
            <w:rStyle w:val="Hyperlink"/>
            <w:rFonts w:asciiTheme="minorEastAsia" w:hAnsiTheme="minorEastAsia" w:hint="eastAsia"/>
            <w:bCs/>
            <w:noProof/>
          </w:rPr>
          <w:t>（六）基金转换份额的计算方式</w:t>
        </w:r>
        <w:r>
          <w:rPr>
            <w:noProof/>
            <w:webHidden/>
          </w:rPr>
          <w:tab/>
        </w:r>
        <w:r>
          <w:rPr>
            <w:noProof/>
            <w:webHidden/>
          </w:rPr>
          <w:fldChar w:fldCharType="begin"/>
        </w:r>
        <w:r>
          <w:rPr>
            <w:noProof/>
            <w:webHidden/>
          </w:rPr>
          <w:instrText xml:space="preserve"> PAGEREF _Toc94172412 \h </w:instrText>
        </w:r>
        <w:r>
          <w:rPr>
            <w:noProof/>
            <w:webHidden/>
          </w:rPr>
          <w:fldChar w:fldCharType="separate"/>
        </w:r>
        <w:r w:rsidR="00AF345C">
          <w:rPr>
            <w:noProof/>
            <w:webHidden/>
          </w:rPr>
          <w:t>39</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13" w:history="1">
        <w:r w:rsidRPr="00976B6A">
          <w:rPr>
            <w:rStyle w:val="Hyperlink"/>
            <w:rFonts w:asciiTheme="minorEastAsia" w:hAnsiTheme="minorEastAsia" w:hint="eastAsia"/>
            <w:bCs/>
            <w:noProof/>
          </w:rPr>
          <w:t>（七）基金转换的注册登记</w:t>
        </w:r>
        <w:r>
          <w:rPr>
            <w:noProof/>
            <w:webHidden/>
          </w:rPr>
          <w:tab/>
        </w:r>
        <w:r>
          <w:rPr>
            <w:noProof/>
            <w:webHidden/>
          </w:rPr>
          <w:fldChar w:fldCharType="begin"/>
        </w:r>
        <w:r>
          <w:rPr>
            <w:noProof/>
            <w:webHidden/>
          </w:rPr>
          <w:instrText xml:space="preserve"> PAGEREF _Toc94172413 \h </w:instrText>
        </w:r>
        <w:r>
          <w:rPr>
            <w:noProof/>
            <w:webHidden/>
          </w:rPr>
          <w:fldChar w:fldCharType="separate"/>
        </w:r>
        <w:r w:rsidR="00AF345C">
          <w:rPr>
            <w:noProof/>
            <w:webHidden/>
          </w:rPr>
          <w:t>41</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14" w:history="1">
        <w:r w:rsidRPr="00976B6A">
          <w:rPr>
            <w:rStyle w:val="Hyperlink"/>
            <w:rFonts w:asciiTheme="minorEastAsia" w:hAnsiTheme="minorEastAsia" w:hint="eastAsia"/>
            <w:bCs/>
            <w:noProof/>
          </w:rPr>
          <w:t>（八）基金转换与巨额赎回</w:t>
        </w:r>
        <w:r>
          <w:rPr>
            <w:noProof/>
            <w:webHidden/>
          </w:rPr>
          <w:tab/>
        </w:r>
        <w:r>
          <w:rPr>
            <w:noProof/>
            <w:webHidden/>
          </w:rPr>
          <w:fldChar w:fldCharType="begin"/>
        </w:r>
        <w:r>
          <w:rPr>
            <w:noProof/>
            <w:webHidden/>
          </w:rPr>
          <w:instrText xml:space="preserve"> PAGERE</w:instrText>
        </w:r>
        <w:r>
          <w:rPr>
            <w:noProof/>
            <w:webHidden/>
          </w:rPr>
          <w:instrText xml:space="preserve">F _Toc94172414 \h </w:instrText>
        </w:r>
        <w:r>
          <w:rPr>
            <w:noProof/>
            <w:webHidden/>
          </w:rPr>
          <w:fldChar w:fldCharType="separate"/>
        </w:r>
        <w:r w:rsidR="00AF345C">
          <w:rPr>
            <w:noProof/>
            <w:webHidden/>
          </w:rPr>
          <w:t>41</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15" w:history="1">
        <w:r w:rsidRPr="00976B6A">
          <w:rPr>
            <w:rStyle w:val="Hyperlink"/>
            <w:rFonts w:asciiTheme="minorEastAsia" w:hAnsiTheme="minorEastAsia" w:hint="eastAsia"/>
            <w:bCs/>
            <w:noProof/>
          </w:rPr>
          <w:t>（九）暂停基金转换的情形</w:t>
        </w:r>
        <w:r>
          <w:rPr>
            <w:noProof/>
            <w:webHidden/>
          </w:rPr>
          <w:tab/>
        </w:r>
        <w:r>
          <w:rPr>
            <w:noProof/>
            <w:webHidden/>
          </w:rPr>
          <w:fldChar w:fldCharType="begin"/>
        </w:r>
        <w:r>
          <w:rPr>
            <w:noProof/>
            <w:webHidden/>
          </w:rPr>
          <w:instrText xml:space="preserve"> PAGEREF _Toc94172415 \h </w:instrText>
        </w:r>
        <w:r>
          <w:rPr>
            <w:noProof/>
            <w:webHidden/>
          </w:rPr>
          <w:fldChar w:fldCharType="separate"/>
        </w:r>
        <w:r w:rsidR="00AF345C">
          <w:rPr>
            <w:noProof/>
            <w:webHidden/>
          </w:rPr>
          <w:t>41</w:t>
        </w:r>
        <w:r>
          <w:rPr>
            <w:noProof/>
            <w:webHidden/>
          </w:rPr>
          <w:fldChar w:fldCharType="end"/>
        </w:r>
      </w:hyperlink>
    </w:p>
    <w:p w:rsidR="00700E3B">
      <w:pPr>
        <w:pStyle w:val="TOC1"/>
        <w:rPr>
          <w:rFonts w:asciiTheme="minorHAnsi" w:eastAsiaTheme="minorEastAsia" w:hAnsiTheme="minorHAnsi" w:cstheme="minorBidi"/>
          <w:caps w:val="0"/>
          <w:color w:val="auto"/>
          <w:sz w:val="21"/>
          <w:szCs w:val="22"/>
        </w:rPr>
      </w:pPr>
      <w:hyperlink w:anchor="_Toc94172416" w:history="1">
        <w:r w:rsidRPr="00976B6A">
          <w:rPr>
            <w:rStyle w:val="Hyperlink"/>
            <w:rFonts w:asciiTheme="minorEastAsia" w:hAnsiTheme="minorEastAsia" w:hint="eastAsia"/>
            <w:b/>
          </w:rPr>
          <w:t>十、基金的转托管、非交易过户、冻结与解冻</w:t>
        </w:r>
        <w:r>
          <w:rPr>
            <w:webHidden/>
          </w:rPr>
          <w:tab/>
        </w:r>
        <w:r>
          <w:rPr>
            <w:webHidden/>
          </w:rPr>
          <w:fldChar w:fldCharType="begin"/>
        </w:r>
        <w:r>
          <w:rPr>
            <w:webHidden/>
          </w:rPr>
          <w:instrText xml:space="preserve"> PAGEREF _Toc94172416 \h </w:instrText>
        </w:r>
        <w:r>
          <w:rPr>
            <w:webHidden/>
          </w:rPr>
          <w:fldChar w:fldCharType="separate"/>
        </w:r>
        <w:r w:rsidR="00AF345C">
          <w:rPr>
            <w:webHidden/>
          </w:rPr>
          <w:t>43</w:t>
        </w:r>
        <w:r>
          <w:rPr>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17" w:history="1">
        <w:r w:rsidRPr="00976B6A">
          <w:rPr>
            <w:rStyle w:val="Hyperlink"/>
            <w:rFonts w:asciiTheme="minorEastAsia" w:hAnsiTheme="minorEastAsia" w:hint="eastAsia"/>
            <w:bCs/>
            <w:noProof/>
          </w:rPr>
          <w:t>（一）基金的转托管</w:t>
        </w:r>
        <w:r>
          <w:rPr>
            <w:noProof/>
            <w:webHidden/>
          </w:rPr>
          <w:tab/>
        </w:r>
        <w:r>
          <w:rPr>
            <w:noProof/>
            <w:webHidden/>
          </w:rPr>
          <w:fldChar w:fldCharType="begin"/>
        </w:r>
        <w:r>
          <w:rPr>
            <w:noProof/>
            <w:webHidden/>
          </w:rPr>
          <w:instrText xml:space="preserve"> PAGEREF _Toc94172417 \h </w:instrText>
        </w:r>
        <w:r>
          <w:rPr>
            <w:noProof/>
            <w:webHidden/>
          </w:rPr>
          <w:fldChar w:fldCharType="separate"/>
        </w:r>
        <w:r w:rsidR="00AF345C">
          <w:rPr>
            <w:noProof/>
            <w:webHidden/>
          </w:rPr>
          <w:t>43</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18" w:history="1">
        <w:r w:rsidRPr="00976B6A">
          <w:rPr>
            <w:rStyle w:val="Hyperlink"/>
            <w:rFonts w:asciiTheme="minorEastAsia" w:hAnsiTheme="minorEastAsia" w:hint="eastAsia"/>
            <w:bCs/>
            <w:noProof/>
          </w:rPr>
          <w:t>（二）基金的非交易过户</w:t>
        </w:r>
        <w:r>
          <w:rPr>
            <w:noProof/>
            <w:webHidden/>
          </w:rPr>
          <w:tab/>
        </w:r>
        <w:r>
          <w:rPr>
            <w:noProof/>
            <w:webHidden/>
          </w:rPr>
          <w:fldChar w:fldCharType="begin"/>
        </w:r>
        <w:r>
          <w:rPr>
            <w:noProof/>
            <w:webHidden/>
          </w:rPr>
          <w:instrText xml:space="preserve"> PAGEREF _To</w:instrText>
        </w:r>
        <w:r>
          <w:rPr>
            <w:noProof/>
            <w:webHidden/>
          </w:rPr>
          <w:instrText xml:space="preserve">c94172418 \h </w:instrText>
        </w:r>
        <w:r>
          <w:rPr>
            <w:noProof/>
            <w:webHidden/>
          </w:rPr>
          <w:fldChar w:fldCharType="separate"/>
        </w:r>
        <w:r w:rsidR="00AF345C">
          <w:rPr>
            <w:noProof/>
            <w:webHidden/>
          </w:rPr>
          <w:t>43</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19" w:history="1">
        <w:r w:rsidRPr="00976B6A">
          <w:rPr>
            <w:rStyle w:val="Hyperlink"/>
            <w:rFonts w:asciiTheme="minorEastAsia" w:hAnsiTheme="minorEastAsia" w:hint="eastAsia"/>
            <w:bCs/>
            <w:noProof/>
          </w:rPr>
          <w:t>（三）基金的冻结与解冻</w:t>
        </w:r>
        <w:r>
          <w:rPr>
            <w:noProof/>
            <w:webHidden/>
          </w:rPr>
          <w:tab/>
        </w:r>
        <w:r>
          <w:rPr>
            <w:noProof/>
            <w:webHidden/>
          </w:rPr>
          <w:fldChar w:fldCharType="begin"/>
        </w:r>
        <w:r>
          <w:rPr>
            <w:noProof/>
            <w:webHidden/>
          </w:rPr>
          <w:instrText xml:space="preserve"> PAGEREF _Toc94172419 \h </w:instrText>
        </w:r>
        <w:r>
          <w:rPr>
            <w:noProof/>
            <w:webHidden/>
          </w:rPr>
          <w:fldChar w:fldCharType="separate"/>
        </w:r>
        <w:r w:rsidR="00AF345C">
          <w:rPr>
            <w:noProof/>
            <w:webHidden/>
          </w:rPr>
          <w:t>43</w:t>
        </w:r>
        <w:r>
          <w:rPr>
            <w:noProof/>
            <w:webHidden/>
          </w:rPr>
          <w:fldChar w:fldCharType="end"/>
        </w:r>
      </w:hyperlink>
    </w:p>
    <w:p w:rsidR="00700E3B">
      <w:pPr>
        <w:pStyle w:val="TOC1"/>
        <w:rPr>
          <w:rFonts w:asciiTheme="minorHAnsi" w:eastAsiaTheme="minorEastAsia" w:hAnsiTheme="minorHAnsi" w:cstheme="minorBidi"/>
          <w:caps w:val="0"/>
          <w:color w:val="auto"/>
          <w:sz w:val="21"/>
          <w:szCs w:val="22"/>
        </w:rPr>
      </w:pPr>
      <w:hyperlink w:anchor="_Toc94172420" w:history="1">
        <w:r w:rsidRPr="00976B6A">
          <w:rPr>
            <w:rStyle w:val="Hyperlink"/>
            <w:rFonts w:asciiTheme="minorEastAsia" w:hAnsiTheme="minorEastAsia" w:hint="eastAsia"/>
            <w:b/>
          </w:rPr>
          <w:t>十一、基</w:t>
        </w:r>
        <w:r w:rsidRPr="00976B6A">
          <w:rPr>
            <w:rStyle w:val="Hyperlink"/>
            <w:rFonts w:asciiTheme="minorEastAsia" w:hAnsiTheme="minorEastAsia" w:hint="eastAsia"/>
            <w:b/>
          </w:rPr>
          <w:t>金的投资</w:t>
        </w:r>
        <w:r>
          <w:rPr>
            <w:webHidden/>
          </w:rPr>
          <w:tab/>
        </w:r>
        <w:r>
          <w:rPr>
            <w:webHidden/>
          </w:rPr>
          <w:fldChar w:fldCharType="begin"/>
        </w:r>
        <w:r>
          <w:rPr>
            <w:webHidden/>
          </w:rPr>
          <w:instrText xml:space="preserve"> PAGEREF _Toc94172420 \h </w:instrText>
        </w:r>
        <w:r>
          <w:rPr>
            <w:webHidden/>
          </w:rPr>
          <w:fldChar w:fldCharType="separate"/>
        </w:r>
        <w:r w:rsidR="00AF345C">
          <w:rPr>
            <w:webHidden/>
          </w:rPr>
          <w:t>44</w:t>
        </w:r>
        <w:r>
          <w:rPr>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21" w:history="1">
        <w:r w:rsidRPr="00976B6A">
          <w:rPr>
            <w:rStyle w:val="Hyperlink"/>
            <w:rFonts w:asciiTheme="minorEastAsia" w:hAnsiTheme="minorEastAsia" w:hint="eastAsia"/>
            <w:noProof/>
          </w:rPr>
          <w:t>（一）投资目标</w:t>
        </w:r>
        <w:r>
          <w:rPr>
            <w:noProof/>
            <w:webHidden/>
          </w:rPr>
          <w:tab/>
        </w:r>
        <w:r>
          <w:rPr>
            <w:noProof/>
            <w:webHidden/>
          </w:rPr>
          <w:fldChar w:fldCharType="begin"/>
        </w:r>
        <w:r>
          <w:rPr>
            <w:noProof/>
            <w:webHidden/>
          </w:rPr>
          <w:instrText xml:space="preserve"> PAGEREF _Toc94172421 \h </w:instrText>
        </w:r>
        <w:r>
          <w:rPr>
            <w:noProof/>
            <w:webHidden/>
          </w:rPr>
          <w:fldChar w:fldCharType="separate"/>
        </w:r>
        <w:r w:rsidR="00AF345C">
          <w:rPr>
            <w:noProof/>
            <w:webHidden/>
          </w:rPr>
          <w:t>44</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22" w:history="1">
        <w:r w:rsidRPr="00976B6A">
          <w:rPr>
            <w:rStyle w:val="Hyperlink"/>
            <w:rFonts w:asciiTheme="minorEastAsia" w:hAnsiTheme="minorEastAsia" w:hint="eastAsia"/>
            <w:noProof/>
          </w:rPr>
          <w:t>（二）投资范围</w:t>
        </w:r>
        <w:r>
          <w:rPr>
            <w:noProof/>
            <w:webHidden/>
          </w:rPr>
          <w:tab/>
        </w:r>
        <w:r>
          <w:rPr>
            <w:noProof/>
            <w:webHidden/>
          </w:rPr>
          <w:fldChar w:fldCharType="begin"/>
        </w:r>
        <w:r>
          <w:rPr>
            <w:noProof/>
            <w:webHidden/>
          </w:rPr>
          <w:instrText xml:space="preserve"> PAGEREF _Toc94172422 \h </w:instrText>
        </w:r>
        <w:r>
          <w:rPr>
            <w:noProof/>
            <w:webHidden/>
          </w:rPr>
          <w:fldChar w:fldCharType="separate"/>
        </w:r>
        <w:r w:rsidR="00AF345C">
          <w:rPr>
            <w:noProof/>
            <w:webHidden/>
          </w:rPr>
          <w:t>44</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23" w:history="1">
        <w:r w:rsidRPr="00976B6A">
          <w:rPr>
            <w:rStyle w:val="Hyperlink"/>
            <w:rFonts w:asciiTheme="minorEastAsia" w:hAnsiTheme="minorEastAsia" w:hint="eastAsia"/>
            <w:noProof/>
          </w:rPr>
          <w:t>（三）投资策略</w:t>
        </w:r>
        <w:r>
          <w:rPr>
            <w:noProof/>
            <w:webHidden/>
          </w:rPr>
          <w:tab/>
        </w:r>
        <w:r>
          <w:rPr>
            <w:noProof/>
            <w:webHidden/>
          </w:rPr>
          <w:fldChar w:fldCharType="begin"/>
        </w:r>
        <w:r>
          <w:rPr>
            <w:noProof/>
            <w:webHidden/>
          </w:rPr>
          <w:instrText xml:space="preserve"> PAGEREF _Toc94172</w:instrText>
        </w:r>
        <w:r>
          <w:rPr>
            <w:noProof/>
            <w:webHidden/>
          </w:rPr>
          <w:instrText xml:space="preserve">423 \h </w:instrText>
        </w:r>
        <w:r>
          <w:rPr>
            <w:noProof/>
            <w:webHidden/>
          </w:rPr>
          <w:fldChar w:fldCharType="separate"/>
        </w:r>
        <w:r w:rsidR="00AF345C">
          <w:rPr>
            <w:noProof/>
            <w:webHidden/>
          </w:rPr>
          <w:t>44</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24" w:history="1">
        <w:r w:rsidRPr="00976B6A">
          <w:rPr>
            <w:rStyle w:val="Hyperlink"/>
            <w:rFonts w:asciiTheme="minorEastAsia" w:hAnsiTheme="minorEastAsia" w:hint="eastAsia"/>
            <w:noProof/>
          </w:rPr>
          <w:t>（四）业绩比较基准</w:t>
        </w:r>
        <w:r>
          <w:rPr>
            <w:noProof/>
            <w:webHidden/>
          </w:rPr>
          <w:tab/>
        </w:r>
        <w:r>
          <w:rPr>
            <w:noProof/>
            <w:webHidden/>
          </w:rPr>
          <w:fldChar w:fldCharType="begin"/>
        </w:r>
        <w:r>
          <w:rPr>
            <w:noProof/>
            <w:webHidden/>
          </w:rPr>
          <w:instrText xml:space="preserve"> PAGEREF _Toc94172424 \h </w:instrText>
        </w:r>
        <w:r>
          <w:rPr>
            <w:noProof/>
            <w:webHidden/>
          </w:rPr>
          <w:fldChar w:fldCharType="separate"/>
        </w:r>
        <w:r w:rsidR="00AF345C">
          <w:rPr>
            <w:noProof/>
            <w:webHidden/>
          </w:rPr>
          <w:t>45</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25" w:history="1">
        <w:r w:rsidRPr="00976B6A">
          <w:rPr>
            <w:rStyle w:val="Hyperlink"/>
            <w:rFonts w:asciiTheme="minorEastAsia" w:hAnsiTheme="minorEastAsia" w:hint="eastAsia"/>
            <w:noProof/>
          </w:rPr>
          <w:t>（五）风险收益特征</w:t>
        </w:r>
        <w:r>
          <w:rPr>
            <w:noProof/>
            <w:webHidden/>
          </w:rPr>
          <w:tab/>
        </w:r>
        <w:r>
          <w:rPr>
            <w:noProof/>
            <w:webHidden/>
          </w:rPr>
          <w:fldChar w:fldCharType="begin"/>
        </w:r>
        <w:r>
          <w:rPr>
            <w:noProof/>
            <w:webHidden/>
          </w:rPr>
          <w:instrText xml:space="preserve"> P</w:instrText>
        </w:r>
        <w:r>
          <w:rPr>
            <w:noProof/>
            <w:webHidden/>
          </w:rPr>
          <w:instrText xml:space="preserve">AGEREF _Toc94172425 \h </w:instrText>
        </w:r>
        <w:r>
          <w:rPr>
            <w:noProof/>
            <w:webHidden/>
          </w:rPr>
          <w:fldChar w:fldCharType="separate"/>
        </w:r>
        <w:r w:rsidR="00AF345C">
          <w:rPr>
            <w:noProof/>
            <w:webHidden/>
          </w:rPr>
          <w:t>46</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26" w:history="1">
        <w:r w:rsidRPr="00976B6A">
          <w:rPr>
            <w:rStyle w:val="Hyperlink"/>
            <w:rFonts w:asciiTheme="minorEastAsia" w:hAnsiTheme="minorEastAsia" w:hint="eastAsia"/>
            <w:noProof/>
          </w:rPr>
          <w:t>（六）投资决策</w:t>
        </w:r>
        <w:r>
          <w:rPr>
            <w:noProof/>
            <w:webHidden/>
          </w:rPr>
          <w:tab/>
        </w:r>
        <w:r>
          <w:rPr>
            <w:noProof/>
            <w:webHidden/>
          </w:rPr>
          <w:fldChar w:fldCharType="begin"/>
        </w:r>
        <w:r>
          <w:rPr>
            <w:noProof/>
            <w:webHidden/>
          </w:rPr>
          <w:instrText xml:space="preserve"> PAGEREF _Toc94172426 \h </w:instrText>
        </w:r>
        <w:r>
          <w:rPr>
            <w:noProof/>
            <w:webHidden/>
          </w:rPr>
          <w:fldChar w:fldCharType="separate"/>
        </w:r>
        <w:r w:rsidR="00AF345C">
          <w:rPr>
            <w:noProof/>
            <w:webHidden/>
          </w:rPr>
          <w:t>46</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27" w:history="1">
        <w:r w:rsidRPr="00976B6A">
          <w:rPr>
            <w:rStyle w:val="Hyperlink"/>
            <w:rFonts w:asciiTheme="minorEastAsia" w:hAnsiTheme="minorEastAsia" w:hint="eastAsia"/>
            <w:noProof/>
          </w:rPr>
          <w:t>（七）投资禁止行为与限制</w:t>
        </w:r>
        <w:r>
          <w:rPr>
            <w:noProof/>
            <w:webHidden/>
          </w:rPr>
          <w:tab/>
        </w:r>
        <w:r>
          <w:rPr>
            <w:noProof/>
            <w:webHidden/>
          </w:rPr>
          <w:fldChar w:fldCharType="begin"/>
        </w:r>
        <w:r>
          <w:rPr>
            <w:noProof/>
            <w:webHidden/>
          </w:rPr>
          <w:instrText xml:space="preserve"> PAGEREF _Toc94172427 \h </w:instrText>
        </w:r>
        <w:r>
          <w:rPr>
            <w:noProof/>
            <w:webHidden/>
          </w:rPr>
          <w:fldChar w:fldCharType="separate"/>
        </w:r>
        <w:r w:rsidR="00AF345C">
          <w:rPr>
            <w:noProof/>
            <w:webHidden/>
          </w:rPr>
          <w:t>46</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28" w:history="1">
        <w:r w:rsidRPr="00976B6A">
          <w:rPr>
            <w:rStyle w:val="Hyperlink"/>
            <w:rFonts w:asciiTheme="minorEastAsia" w:hAnsiTheme="minorEastAsia" w:hint="eastAsia"/>
            <w:noProof/>
          </w:rPr>
          <w:t>（八）投资组合比例调整</w:t>
        </w:r>
        <w:r>
          <w:rPr>
            <w:noProof/>
            <w:webHidden/>
          </w:rPr>
          <w:tab/>
        </w:r>
        <w:r>
          <w:rPr>
            <w:noProof/>
            <w:webHidden/>
          </w:rPr>
          <w:fldChar w:fldCharType="begin"/>
        </w:r>
        <w:r>
          <w:rPr>
            <w:noProof/>
            <w:webHidden/>
          </w:rPr>
          <w:instrText xml:space="preserve"> PAGEREF</w:instrText>
        </w:r>
        <w:r>
          <w:rPr>
            <w:noProof/>
            <w:webHidden/>
          </w:rPr>
          <w:instrText xml:space="preserve"> _Toc94172428 \h </w:instrText>
        </w:r>
        <w:r>
          <w:rPr>
            <w:noProof/>
            <w:webHidden/>
          </w:rPr>
          <w:fldChar w:fldCharType="separate"/>
        </w:r>
        <w:r w:rsidR="00AF345C">
          <w:rPr>
            <w:noProof/>
            <w:webHidden/>
          </w:rPr>
          <w:t>48</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29" w:history="1">
        <w:r w:rsidRPr="00976B6A">
          <w:rPr>
            <w:rStyle w:val="Hyperlink"/>
            <w:rFonts w:asciiTheme="minorEastAsia" w:hAnsiTheme="minorEastAsia" w:hint="eastAsia"/>
            <w:noProof/>
            <w:kern w:val="0"/>
          </w:rPr>
          <w:t>（九）基金的融资、融券</w:t>
        </w:r>
        <w:r>
          <w:rPr>
            <w:noProof/>
            <w:webHidden/>
          </w:rPr>
          <w:tab/>
        </w:r>
        <w:r>
          <w:rPr>
            <w:noProof/>
            <w:webHidden/>
          </w:rPr>
          <w:fldChar w:fldCharType="begin"/>
        </w:r>
        <w:r>
          <w:rPr>
            <w:noProof/>
            <w:webHidden/>
          </w:rPr>
          <w:instrText xml:space="preserve"> PAGEREF _Toc94172429 \h </w:instrText>
        </w:r>
        <w:r>
          <w:rPr>
            <w:noProof/>
            <w:webHidden/>
          </w:rPr>
          <w:fldChar w:fldCharType="separate"/>
        </w:r>
        <w:r w:rsidR="00AF345C">
          <w:rPr>
            <w:noProof/>
            <w:webHidden/>
          </w:rPr>
          <w:t>48</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30" w:history="1">
        <w:r w:rsidRPr="00976B6A">
          <w:rPr>
            <w:rStyle w:val="Hyperlink"/>
            <w:rFonts w:asciiTheme="minorEastAsia" w:hAnsiTheme="minorEastAsia" w:hint="eastAsia"/>
            <w:bCs/>
            <w:noProof/>
            <w:kern w:val="0"/>
          </w:rPr>
          <w:t>（十）基金管理人代表基金行使债权人权利的处理原则及方法</w:t>
        </w:r>
        <w:r>
          <w:rPr>
            <w:noProof/>
            <w:webHidden/>
          </w:rPr>
          <w:tab/>
        </w:r>
        <w:r>
          <w:rPr>
            <w:noProof/>
            <w:webHidden/>
          </w:rPr>
          <w:fldChar w:fldCharType="begin"/>
        </w:r>
        <w:r>
          <w:rPr>
            <w:noProof/>
            <w:webHidden/>
          </w:rPr>
          <w:instrText xml:space="preserve"> PAGEREF _Toc94172430 \h </w:instrText>
        </w:r>
        <w:r>
          <w:rPr>
            <w:noProof/>
            <w:webHidden/>
          </w:rPr>
          <w:fldChar w:fldCharType="separate"/>
        </w:r>
        <w:r w:rsidR="00AF345C">
          <w:rPr>
            <w:noProof/>
            <w:webHidden/>
          </w:rPr>
          <w:t>48</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31" w:history="1">
        <w:r w:rsidRPr="00976B6A">
          <w:rPr>
            <w:rStyle w:val="Hyperlink"/>
            <w:rFonts w:asciiTheme="minorEastAsia" w:hAnsiTheme="minorEastAsia" w:hint="eastAsia"/>
            <w:bCs/>
            <w:noProof/>
            <w:kern w:val="0"/>
          </w:rPr>
          <w:t>（十一）侧袋机制的实施和投资运作安排</w:t>
        </w:r>
        <w:r>
          <w:rPr>
            <w:noProof/>
            <w:webHidden/>
          </w:rPr>
          <w:tab/>
        </w:r>
        <w:r>
          <w:rPr>
            <w:noProof/>
            <w:webHidden/>
          </w:rPr>
          <w:fldChar w:fldCharType="begin"/>
        </w:r>
        <w:r>
          <w:rPr>
            <w:noProof/>
            <w:webHidden/>
          </w:rPr>
          <w:instrText xml:space="preserve"> PAGEREF _Toc94172431 \h </w:instrText>
        </w:r>
        <w:r>
          <w:rPr>
            <w:noProof/>
            <w:webHidden/>
          </w:rPr>
          <w:fldChar w:fldCharType="separate"/>
        </w:r>
        <w:r w:rsidR="00AF345C">
          <w:rPr>
            <w:noProof/>
            <w:webHidden/>
          </w:rPr>
          <w:t>48</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32" w:history="1">
        <w:r w:rsidRPr="00976B6A">
          <w:rPr>
            <w:rStyle w:val="Hyperlink"/>
            <w:rFonts w:asciiTheme="minorEastAsia" w:hAnsiTheme="minorEastAsia" w:hint="eastAsia"/>
            <w:bCs/>
            <w:noProof/>
            <w:kern w:val="0"/>
          </w:rPr>
          <w:t>（十二）基金投资组合报告</w:t>
        </w:r>
        <w:r w:rsidRPr="00976B6A">
          <w:rPr>
            <w:rStyle w:val="Hyperlink"/>
            <w:rFonts w:asciiTheme="minorEastAsia" w:hAnsiTheme="minorEastAsia" w:hint="eastAsia"/>
            <w:noProof/>
          </w:rPr>
          <w:t>（未经审计）</w:t>
        </w:r>
        <w:r>
          <w:rPr>
            <w:noProof/>
            <w:webHidden/>
          </w:rPr>
          <w:tab/>
        </w:r>
        <w:r>
          <w:rPr>
            <w:noProof/>
            <w:webHidden/>
          </w:rPr>
          <w:fldChar w:fldCharType="begin"/>
        </w:r>
        <w:r>
          <w:rPr>
            <w:noProof/>
            <w:webHidden/>
          </w:rPr>
          <w:instrText xml:space="preserve"> PAGEREF _Toc94172432 \h </w:instrText>
        </w:r>
        <w:r>
          <w:rPr>
            <w:noProof/>
            <w:webHidden/>
          </w:rPr>
          <w:fldChar w:fldCharType="separate"/>
        </w:r>
        <w:r w:rsidR="00AF345C">
          <w:rPr>
            <w:noProof/>
            <w:webHidden/>
          </w:rPr>
          <w:t>48</w:t>
        </w:r>
        <w:r>
          <w:rPr>
            <w:noProof/>
            <w:webHidden/>
          </w:rPr>
          <w:fldChar w:fldCharType="end"/>
        </w:r>
      </w:hyperlink>
    </w:p>
    <w:p w:rsidR="00700E3B">
      <w:pPr>
        <w:pStyle w:val="TOC1"/>
        <w:rPr>
          <w:rFonts w:asciiTheme="minorHAnsi" w:eastAsiaTheme="minorEastAsia" w:hAnsiTheme="minorHAnsi" w:cstheme="minorBidi"/>
          <w:caps w:val="0"/>
          <w:color w:val="auto"/>
          <w:sz w:val="21"/>
          <w:szCs w:val="22"/>
        </w:rPr>
      </w:pPr>
      <w:hyperlink w:anchor="_Toc94172433" w:history="1">
        <w:r w:rsidRPr="00976B6A">
          <w:rPr>
            <w:rStyle w:val="Hyperlink"/>
            <w:rFonts w:asciiTheme="minorEastAsia" w:hAnsiTheme="minorEastAsia" w:hint="eastAsia"/>
            <w:b/>
          </w:rPr>
          <w:t>十二、基金的业绩</w:t>
        </w:r>
        <w:r>
          <w:rPr>
            <w:webHidden/>
          </w:rPr>
          <w:tab/>
        </w:r>
        <w:r>
          <w:rPr>
            <w:webHidden/>
          </w:rPr>
          <w:fldChar w:fldCharType="begin"/>
        </w:r>
        <w:r>
          <w:rPr>
            <w:webHidden/>
          </w:rPr>
          <w:instrText xml:space="preserve"> PAGE</w:instrText>
        </w:r>
        <w:r>
          <w:rPr>
            <w:webHidden/>
          </w:rPr>
          <w:instrText xml:space="preserve">REF _Toc94172433 \h </w:instrText>
        </w:r>
        <w:r>
          <w:rPr>
            <w:webHidden/>
          </w:rPr>
          <w:fldChar w:fldCharType="separate"/>
        </w:r>
        <w:r w:rsidR="00AF345C">
          <w:rPr>
            <w:webHidden/>
          </w:rPr>
          <w:t>52</w:t>
        </w:r>
        <w:r>
          <w:rPr>
            <w:webHidden/>
          </w:rPr>
          <w:fldChar w:fldCharType="end"/>
        </w:r>
      </w:hyperlink>
    </w:p>
    <w:p w:rsidR="00700E3B">
      <w:pPr>
        <w:pStyle w:val="TOC1"/>
        <w:rPr>
          <w:rFonts w:asciiTheme="minorHAnsi" w:eastAsiaTheme="minorEastAsia" w:hAnsiTheme="minorHAnsi" w:cstheme="minorBidi"/>
          <w:caps w:val="0"/>
          <w:color w:val="auto"/>
          <w:sz w:val="21"/>
          <w:szCs w:val="22"/>
        </w:rPr>
      </w:pPr>
      <w:hyperlink w:anchor="_Toc94172434" w:history="1">
        <w:r w:rsidRPr="00976B6A">
          <w:rPr>
            <w:rStyle w:val="Hyperlink"/>
            <w:rFonts w:asciiTheme="minorEastAsia" w:hAnsiTheme="minorEastAsia" w:hint="eastAsia"/>
            <w:b/>
          </w:rPr>
          <w:t>十三、基金的财产</w:t>
        </w:r>
        <w:r>
          <w:rPr>
            <w:webHidden/>
          </w:rPr>
          <w:tab/>
        </w:r>
        <w:r>
          <w:rPr>
            <w:webHidden/>
          </w:rPr>
          <w:fldChar w:fldCharType="begin"/>
        </w:r>
        <w:r>
          <w:rPr>
            <w:webHidden/>
          </w:rPr>
          <w:instrText xml:space="preserve"> PAGEREF _Toc94172434 \h </w:instrText>
        </w:r>
        <w:r>
          <w:rPr>
            <w:webHidden/>
          </w:rPr>
          <w:fldChar w:fldCharType="separate"/>
        </w:r>
        <w:r w:rsidR="00AF345C">
          <w:rPr>
            <w:webHidden/>
          </w:rPr>
          <w:t>55</w:t>
        </w:r>
        <w:r>
          <w:rPr>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35" w:history="1">
        <w:r w:rsidRPr="00976B6A">
          <w:rPr>
            <w:rStyle w:val="Hyperlink"/>
            <w:rFonts w:asciiTheme="minorEastAsia" w:hAnsiTheme="minorEastAsia" w:hint="eastAsia"/>
            <w:noProof/>
          </w:rPr>
          <w:t>（一）基金资产总值</w:t>
        </w:r>
        <w:r>
          <w:rPr>
            <w:noProof/>
            <w:webHidden/>
          </w:rPr>
          <w:tab/>
        </w:r>
        <w:r>
          <w:rPr>
            <w:noProof/>
            <w:webHidden/>
          </w:rPr>
          <w:fldChar w:fldCharType="begin"/>
        </w:r>
        <w:r>
          <w:rPr>
            <w:noProof/>
            <w:webHidden/>
          </w:rPr>
          <w:instrText xml:space="preserve"> PAGEREF _Toc94172435 \h </w:instrText>
        </w:r>
        <w:r>
          <w:rPr>
            <w:noProof/>
            <w:webHidden/>
          </w:rPr>
          <w:fldChar w:fldCharType="separate"/>
        </w:r>
        <w:r w:rsidR="00AF345C">
          <w:rPr>
            <w:noProof/>
            <w:webHidden/>
          </w:rPr>
          <w:t>55</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36" w:history="1">
        <w:r w:rsidRPr="00976B6A">
          <w:rPr>
            <w:rStyle w:val="Hyperlink"/>
            <w:rFonts w:asciiTheme="minorEastAsia" w:hAnsiTheme="minorEastAsia" w:hint="eastAsia"/>
            <w:noProof/>
          </w:rPr>
          <w:t>（二）基金资产净值</w:t>
        </w:r>
        <w:r>
          <w:rPr>
            <w:noProof/>
            <w:webHidden/>
          </w:rPr>
          <w:tab/>
        </w:r>
        <w:r>
          <w:rPr>
            <w:noProof/>
            <w:webHidden/>
          </w:rPr>
          <w:fldChar w:fldCharType="begin"/>
        </w:r>
        <w:r>
          <w:rPr>
            <w:noProof/>
            <w:webHidden/>
          </w:rPr>
          <w:instrText xml:space="preserve"> PAGEREF _Toc94172436 \h </w:instrText>
        </w:r>
        <w:r>
          <w:rPr>
            <w:noProof/>
            <w:webHidden/>
          </w:rPr>
          <w:fldChar w:fldCharType="separate"/>
        </w:r>
        <w:r w:rsidR="00AF345C">
          <w:rPr>
            <w:noProof/>
            <w:webHidden/>
          </w:rPr>
          <w:t>55</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37" w:history="1">
        <w:r w:rsidRPr="00976B6A">
          <w:rPr>
            <w:rStyle w:val="Hyperlink"/>
            <w:rFonts w:asciiTheme="minorEastAsia" w:hAnsiTheme="minorEastAsia" w:hint="eastAsia"/>
            <w:noProof/>
          </w:rPr>
          <w:t>（三）基金财产的账户</w:t>
        </w:r>
        <w:r>
          <w:rPr>
            <w:noProof/>
            <w:webHidden/>
          </w:rPr>
          <w:tab/>
        </w:r>
        <w:r>
          <w:rPr>
            <w:noProof/>
            <w:webHidden/>
          </w:rPr>
          <w:fldChar w:fldCharType="begin"/>
        </w:r>
        <w:r>
          <w:rPr>
            <w:noProof/>
            <w:webHidden/>
          </w:rPr>
          <w:instrText xml:space="preserve"> PAGEREF _Toc</w:instrText>
        </w:r>
        <w:r>
          <w:rPr>
            <w:noProof/>
            <w:webHidden/>
          </w:rPr>
          <w:instrText xml:space="preserve">94172437 \h </w:instrText>
        </w:r>
        <w:r>
          <w:rPr>
            <w:noProof/>
            <w:webHidden/>
          </w:rPr>
          <w:fldChar w:fldCharType="separate"/>
        </w:r>
        <w:r w:rsidR="00AF345C">
          <w:rPr>
            <w:noProof/>
            <w:webHidden/>
          </w:rPr>
          <w:t>55</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38" w:history="1">
        <w:r w:rsidRPr="00976B6A">
          <w:rPr>
            <w:rStyle w:val="Hyperlink"/>
            <w:rFonts w:asciiTheme="minorEastAsia" w:hAnsiTheme="minorEastAsia" w:hint="eastAsia"/>
            <w:noProof/>
          </w:rPr>
          <w:t>（四）基金财产的处分</w:t>
        </w:r>
        <w:r>
          <w:rPr>
            <w:noProof/>
            <w:webHidden/>
          </w:rPr>
          <w:tab/>
        </w:r>
        <w:r>
          <w:rPr>
            <w:noProof/>
            <w:webHidden/>
          </w:rPr>
          <w:fldChar w:fldCharType="begin"/>
        </w:r>
        <w:r>
          <w:rPr>
            <w:noProof/>
            <w:webHidden/>
          </w:rPr>
          <w:instrText xml:space="preserve"> PAGEREF _Toc94172438 \h </w:instrText>
        </w:r>
        <w:r>
          <w:rPr>
            <w:noProof/>
            <w:webHidden/>
          </w:rPr>
          <w:fldChar w:fldCharType="separate"/>
        </w:r>
        <w:r w:rsidR="00AF345C">
          <w:rPr>
            <w:noProof/>
            <w:webHidden/>
          </w:rPr>
          <w:t>55</w:t>
        </w:r>
        <w:r>
          <w:rPr>
            <w:noProof/>
            <w:webHidden/>
          </w:rPr>
          <w:fldChar w:fldCharType="end"/>
        </w:r>
      </w:hyperlink>
    </w:p>
    <w:p w:rsidR="00700E3B">
      <w:pPr>
        <w:pStyle w:val="TOC1"/>
        <w:rPr>
          <w:rFonts w:asciiTheme="minorHAnsi" w:eastAsiaTheme="minorEastAsia" w:hAnsiTheme="minorHAnsi" w:cstheme="minorBidi"/>
          <w:caps w:val="0"/>
          <w:color w:val="auto"/>
          <w:sz w:val="21"/>
          <w:szCs w:val="22"/>
        </w:rPr>
      </w:pPr>
      <w:hyperlink w:anchor="_Toc94172439" w:history="1">
        <w:r w:rsidRPr="00976B6A">
          <w:rPr>
            <w:rStyle w:val="Hyperlink"/>
            <w:rFonts w:asciiTheme="minorEastAsia" w:hAnsiTheme="minorEastAsia" w:hint="eastAsia"/>
            <w:b/>
          </w:rPr>
          <w:t>十四、基</w:t>
        </w:r>
        <w:r w:rsidRPr="00976B6A">
          <w:rPr>
            <w:rStyle w:val="Hyperlink"/>
            <w:rFonts w:asciiTheme="minorEastAsia" w:hAnsiTheme="minorEastAsia" w:hint="eastAsia"/>
            <w:b/>
          </w:rPr>
          <w:t>金资产的估值</w:t>
        </w:r>
        <w:r>
          <w:rPr>
            <w:webHidden/>
          </w:rPr>
          <w:tab/>
        </w:r>
        <w:r>
          <w:rPr>
            <w:webHidden/>
          </w:rPr>
          <w:fldChar w:fldCharType="begin"/>
        </w:r>
        <w:r>
          <w:rPr>
            <w:webHidden/>
          </w:rPr>
          <w:instrText xml:space="preserve"> PAGEREF _Toc94172439 \h </w:instrText>
        </w:r>
        <w:r>
          <w:rPr>
            <w:webHidden/>
          </w:rPr>
          <w:fldChar w:fldCharType="separate"/>
        </w:r>
        <w:r w:rsidR="00AF345C">
          <w:rPr>
            <w:webHidden/>
          </w:rPr>
          <w:t>56</w:t>
        </w:r>
        <w:r>
          <w:rPr>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40" w:history="1">
        <w:r w:rsidRPr="00976B6A">
          <w:rPr>
            <w:rStyle w:val="Hyperlink"/>
            <w:rFonts w:asciiTheme="minorEastAsia" w:hAnsiTheme="minorEastAsia" w:hint="eastAsia"/>
            <w:noProof/>
          </w:rPr>
          <w:t>（一）估值目的</w:t>
        </w:r>
        <w:r>
          <w:rPr>
            <w:noProof/>
            <w:webHidden/>
          </w:rPr>
          <w:tab/>
        </w:r>
        <w:r>
          <w:rPr>
            <w:noProof/>
            <w:webHidden/>
          </w:rPr>
          <w:fldChar w:fldCharType="begin"/>
        </w:r>
        <w:r>
          <w:rPr>
            <w:noProof/>
            <w:webHidden/>
          </w:rPr>
          <w:instrText xml:space="preserve"> PAGEREF _Toc94172440 \h </w:instrText>
        </w:r>
        <w:r>
          <w:rPr>
            <w:noProof/>
            <w:webHidden/>
          </w:rPr>
          <w:fldChar w:fldCharType="separate"/>
        </w:r>
        <w:r w:rsidR="00AF345C">
          <w:rPr>
            <w:noProof/>
            <w:webHidden/>
          </w:rPr>
          <w:t>56</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41" w:history="1">
        <w:r w:rsidRPr="00976B6A">
          <w:rPr>
            <w:rStyle w:val="Hyperlink"/>
            <w:rFonts w:asciiTheme="minorEastAsia" w:hAnsiTheme="minorEastAsia" w:hint="eastAsia"/>
            <w:noProof/>
          </w:rPr>
          <w:t>（二）估值日</w:t>
        </w:r>
        <w:r>
          <w:rPr>
            <w:noProof/>
            <w:webHidden/>
          </w:rPr>
          <w:tab/>
        </w:r>
        <w:r>
          <w:rPr>
            <w:noProof/>
            <w:webHidden/>
          </w:rPr>
          <w:fldChar w:fldCharType="begin"/>
        </w:r>
        <w:r>
          <w:rPr>
            <w:noProof/>
            <w:webHidden/>
          </w:rPr>
          <w:instrText xml:space="preserve"> PAGEREF _Toc94172441 \h </w:instrText>
        </w:r>
        <w:r>
          <w:rPr>
            <w:noProof/>
            <w:webHidden/>
          </w:rPr>
          <w:fldChar w:fldCharType="separate"/>
        </w:r>
        <w:r w:rsidR="00AF345C">
          <w:rPr>
            <w:noProof/>
            <w:webHidden/>
          </w:rPr>
          <w:t>56</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42" w:history="1">
        <w:r w:rsidRPr="00976B6A">
          <w:rPr>
            <w:rStyle w:val="Hyperlink"/>
            <w:rFonts w:asciiTheme="minorEastAsia" w:hAnsiTheme="minorEastAsia" w:hint="eastAsia"/>
            <w:noProof/>
          </w:rPr>
          <w:t>（三）估值方法</w:t>
        </w:r>
        <w:r>
          <w:rPr>
            <w:noProof/>
            <w:webHidden/>
          </w:rPr>
          <w:tab/>
        </w:r>
        <w:r>
          <w:rPr>
            <w:noProof/>
            <w:webHidden/>
          </w:rPr>
          <w:fldChar w:fldCharType="begin"/>
        </w:r>
        <w:r>
          <w:rPr>
            <w:noProof/>
            <w:webHidden/>
          </w:rPr>
          <w:instrText xml:space="preserve"> PAGEREF _Toc94172</w:instrText>
        </w:r>
        <w:r>
          <w:rPr>
            <w:noProof/>
            <w:webHidden/>
          </w:rPr>
          <w:instrText xml:space="preserve">442 \h </w:instrText>
        </w:r>
        <w:r>
          <w:rPr>
            <w:noProof/>
            <w:webHidden/>
          </w:rPr>
          <w:fldChar w:fldCharType="separate"/>
        </w:r>
        <w:r w:rsidR="00AF345C">
          <w:rPr>
            <w:noProof/>
            <w:webHidden/>
          </w:rPr>
          <w:t>56</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43" w:history="1">
        <w:r w:rsidRPr="00976B6A">
          <w:rPr>
            <w:rStyle w:val="Hyperlink"/>
            <w:rFonts w:asciiTheme="minorEastAsia" w:hAnsiTheme="minorEastAsia" w:hint="eastAsia"/>
            <w:noProof/>
          </w:rPr>
          <w:t>（四）估值对象</w:t>
        </w:r>
        <w:r>
          <w:rPr>
            <w:noProof/>
            <w:webHidden/>
          </w:rPr>
          <w:tab/>
        </w:r>
        <w:r>
          <w:rPr>
            <w:noProof/>
            <w:webHidden/>
          </w:rPr>
          <w:fldChar w:fldCharType="begin"/>
        </w:r>
        <w:r>
          <w:rPr>
            <w:noProof/>
            <w:webHidden/>
          </w:rPr>
          <w:instrText xml:space="preserve"> PAGEREF _Toc94172443 \h </w:instrText>
        </w:r>
        <w:r>
          <w:rPr>
            <w:noProof/>
            <w:webHidden/>
          </w:rPr>
          <w:fldChar w:fldCharType="separate"/>
        </w:r>
        <w:r w:rsidR="00AF345C">
          <w:rPr>
            <w:noProof/>
            <w:webHidden/>
          </w:rPr>
          <w:t>57</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44" w:history="1">
        <w:r w:rsidRPr="00976B6A">
          <w:rPr>
            <w:rStyle w:val="Hyperlink"/>
            <w:rFonts w:asciiTheme="minorEastAsia" w:hAnsiTheme="minorEastAsia" w:hint="eastAsia"/>
            <w:noProof/>
          </w:rPr>
          <w:t>（五）估值程序</w:t>
        </w:r>
        <w:r>
          <w:rPr>
            <w:noProof/>
            <w:webHidden/>
          </w:rPr>
          <w:tab/>
        </w:r>
        <w:r>
          <w:rPr>
            <w:noProof/>
            <w:webHidden/>
          </w:rPr>
          <w:fldChar w:fldCharType="begin"/>
        </w:r>
        <w:r>
          <w:rPr>
            <w:noProof/>
            <w:webHidden/>
          </w:rPr>
          <w:instrText xml:space="preserve"> PAGER</w:instrText>
        </w:r>
        <w:r>
          <w:rPr>
            <w:noProof/>
            <w:webHidden/>
          </w:rPr>
          <w:instrText xml:space="preserve">EF _Toc94172444 \h </w:instrText>
        </w:r>
        <w:r>
          <w:rPr>
            <w:noProof/>
            <w:webHidden/>
          </w:rPr>
          <w:fldChar w:fldCharType="separate"/>
        </w:r>
        <w:r w:rsidR="00AF345C">
          <w:rPr>
            <w:noProof/>
            <w:webHidden/>
          </w:rPr>
          <w:t>57</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45" w:history="1">
        <w:r w:rsidRPr="00976B6A">
          <w:rPr>
            <w:rStyle w:val="Hyperlink"/>
            <w:rFonts w:asciiTheme="minorEastAsia" w:hAnsiTheme="minorEastAsia" w:hint="eastAsia"/>
            <w:noProof/>
          </w:rPr>
          <w:t>（六）估值错误的处理</w:t>
        </w:r>
        <w:r>
          <w:rPr>
            <w:noProof/>
            <w:webHidden/>
          </w:rPr>
          <w:tab/>
        </w:r>
        <w:r>
          <w:rPr>
            <w:noProof/>
            <w:webHidden/>
          </w:rPr>
          <w:fldChar w:fldCharType="begin"/>
        </w:r>
        <w:r>
          <w:rPr>
            <w:noProof/>
            <w:webHidden/>
          </w:rPr>
          <w:instrText xml:space="preserve"> PAGEREF _Toc94172445 \h </w:instrText>
        </w:r>
        <w:r>
          <w:rPr>
            <w:noProof/>
            <w:webHidden/>
          </w:rPr>
          <w:fldChar w:fldCharType="separate"/>
        </w:r>
        <w:r w:rsidR="00AF345C">
          <w:rPr>
            <w:noProof/>
            <w:webHidden/>
          </w:rPr>
          <w:t>57</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46" w:history="1">
        <w:r w:rsidRPr="00976B6A">
          <w:rPr>
            <w:rStyle w:val="Hyperlink"/>
            <w:rFonts w:asciiTheme="minorEastAsia" w:hAnsiTheme="minorEastAsia" w:hint="eastAsia"/>
            <w:noProof/>
          </w:rPr>
          <w:t>（七）暂停估值的情形</w:t>
        </w:r>
        <w:r>
          <w:rPr>
            <w:noProof/>
            <w:webHidden/>
          </w:rPr>
          <w:tab/>
        </w:r>
        <w:r>
          <w:rPr>
            <w:noProof/>
            <w:webHidden/>
          </w:rPr>
          <w:fldChar w:fldCharType="begin"/>
        </w:r>
        <w:r>
          <w:rPr>
            <w:noProof/>
            <w:webHidden/>
          </w:rPr>
          <w:instrText xml:space="preserve"> PAGEREF _Toc94172446 \h </w:instrText>
        </w:r>
        <w:r>
          <w:rPr>
            <w:noProof/>
            <w:webHidden/>
          </w:rPr>
          <w:fldChar w:fldCharType="separate"/>
        </w:r>
        <w:r w:rsidR="00AF345C">
          <w:rPr>
            <w:noProof/>
            <w:webHidden/>
          </w:rPr>
          <w:t>59</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47" w:history="1">
        <w:r w:rsidRPr="00976B6A">
          <w:rPr>
            <w:rStyle w:val="Hyperlink"/>
            <w:rFonts w:asciiTheme="minorEastAsia" w:hAnsiTheme="minorEastAsia" w:hint="eastAsia"/>
            <w:noProof/>
          </w:rPr>
          <w:t>（八）基金净值的确认</w:t>
        </w:r>
        <w:r>
          <w:rPr>
            <w:noProof/>
            <w:webHidden/>
          </w:rPr>
          <w:tab/>
        </w:r>
        <w:r>
          <w:rPr>
            <w:noProof/>
            <w:webHidden/>
          </w:rPr>
          <w:fldChar w:fldCharType="begin"/>
        </w:r>
        <w:r>
          <w:rPr>
            <w:noProof/>
            <w:webHidden/>
          </w:rPr>
          <w:instrText xml:space="preserve"> PAGEREF _T</w:instrText>
        </w:r>
        <w:r>
          <w:rPr>
            <w:noProof/>
            <w:webHidden/>
          </w:rPr>
          <w:instrText xml:space="preserve">oc94172447 \h </w:instrText>
        </w:r>
        <w:r>
          <w:rPr>
            <w:noProof/>
            <w:webHidden/>
          </w:rPr>
          <w:fldChar w:fldCharType="separate"/>
        </w:r>
        <w:r w:rsidR="00AF345C">
          <w:rPr>
            <w:noProof/>
            <w:webHidden/>
          </w:rPr>
          <w:t>59</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48" w:history="1">
        <w:r w:rsidRPr="00976B6A">
          <w:rPr>
            <w:rStyle w:val="Hyperlink"/>
            <w:rFonts w:asciiTheme="minorEastAsia" w:hAnsiTheme="minorEastAsia" w:hint="eastAsia"/>
            <w:noProof/>
          </w:rPr>
          <w:t>（九）特殊情况的处理</w:t>
        </w:r>
        <w:r>
          <w:rPr>
            <w:noProof/>
            <w:webHidden/>
          </w:rPr>
          <w:tab/>
        </w:r>
        <w:r>
          <w:rPr>
            <w:noProof/>
            <w:webHidden/>
          </w:rPr>
          <w:fldChar w:fldCharType="begin"/>
        </w:r>
        <w:r>
          <w:rPr>
            <w:noProof/>
            <w:webHidden/>
          </w:rPr>
          <w:instrText xml:space="preserve"> PAGEREF _Toc94172448 \h </w:instrText>
        </w:r>
        <w:r>
          <w:rPr>
            <w:noProof/>
            <w:webHidden/>
          </w:rPr>
          <w:fldChar w:fldCharType="separate"/>
        </w:r>
        <w:r w:rsidR="00AF345C">
          <w:rPr>
            <w:noProof/>
            <w:webHidden/>
          </w:rPr>
          <w:t>59</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49" w:history="1">
        <w:r w:rsidRPr="00976B6A">
          <w:rPr>
            <w:rStyle w:val="Hyperlink"/>
            <w:rFonts w:asciiTheme="minorEastAsia" w:hAnsiTheme="minorEastAsia" w:hint="eastAsia"/>
            <w:noProof/>
          </w:rPr>
          <w:t>（十</w:t>
        </w:r>
        <w:r w:rsidRPr="00976B6A">
          <w:rPr>
            <w:rStyle w:val="Hyperlink"/>
            <w:rFonts w:asciiTheme="minorEastAsia" w:hAnsiTheme="minorEastAsia" w:hint="eastAsia"/>
            <w:noProof/>
          </w:rPr>
          <w:t>）实施侧袋机制期间的基金资产估值</w:t>
        </w:r>
        <w:r>
          <w:rPr>
            <w:noProof/>
            <w:webHidden/>
          </w:rPr>
          <w:tab/>
        </w:r>
        <w:r>
          <w:rPr>
            <w:noProof/>
            <w:webHidden/>
          </w:rPr>
          <w:fldChar w:fldCharType="begin"/>
        </w:r>
        <w:r>
          <w:rPr>
            <w:noProof/>
            <w:webHidden/>
          </w:rPr>
          <w:instrText xml:space="preserve"> PAGEREF _Toc94172449 \h </w:instrText>
        </w:r>
        <w:r>
          <w:rPr>
            <w:noProof/>
            <w:webHidden/>
          </w:rPr>
          <w:fldChar w:fldCharType="separate"/>
        </w:r>
        <w:r w:rsidR="00AF345C">
          <w:rPr>
            <w:noProof/>
            <w:webHidden/>
          </w:rPr>
          <w:t>60</w:t>
        </w:r>
        <w:r>
          <w:rPr>
            <w:noProof/>
            <w:webHidden/>
          </w:rPr>
          <w:fldChar w:fldCharType="end"/>
        </w:r>
      </w:hyperlink>
    </w:p>
    <w:p w:rsidR="00700E3B">
      <w:pPr>
        <w:pStyle w:val="TOC1"/>
        <w:rPr>
          <w:rFonts w:asciiTheme="minorHAnsi" w:eastAsiaTheme="minorEastAsia" w:hAnsiTheme="minorHAnsi" w:cstheme="minorBidi"/>
          <w:caps w:val="0"/>
          <w:color w:val="auto"/>
          <w:sz w:val="21"/>
          <w:szCs w:val="22"/>
        </w:rPr>
      </w:pPr>
      <w:hyperlink w:anchor="_Toc94172450" w:history="1">
        <w:r w:rsidRPr="00976B6A">
          <w:rPr>
            <w:rStyle w:val="Hyperlink"/>
            <w:rFonts w:asciiTheme="minorEastAsia" w:hAnsiTheme="minorEastAsia" w:hint="eastAsia"/>
            <w:b/>
          </w:rPr>
          <w:t>十五、基金的收益分配</w:t>
        </w:r>
        <w:r>
          <w:rPr>
            <w:webHidden/>
          </w:rPr>
          <w:tab/>
        </w:r>
        <w:r>
          <w:rPr>
            <w:webHidden/>
          </w:rPr>
          <w:fldChar w:fldCharType="begin"/>
        </w:r>
        <w:r>
          <w:rPr>
            <w:webHidden/>
          </w:rPr>
          <w:instrText xml:space="preserve"> PAGEREF _Toc94172450 \h </w:instrText>
        </w:r>
        <w:r>
          <w:rPr>
            <w:webHidden/>
          </w:rPr>
          <w:fldChar w:fldCharType="separate"/>
        </w:r>
        <w:r w:rsidR="00AF345C">
          <w:rPr>
            <w:webHidden/>
          </w:rPr>
          <w:t>61</w:t>
        </w:r>
        <w:r>
          <w:rPr>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51" w:history="1">
        <w:r w:rsidRPr="00976B6A">
          <w:rPr>
            <w:rStyle w:val="Hyperlink"/>
            <w:rFonts w:asciiTheme="minorEastAsia" w:hAnsiTheme="minorEastAsia" w:hint="eastAsia"/>
            <w:noProof/>
          </w:rPr>
          <w:t>（一）基金利润的构成</w:t>
        </w:r>
        <w:r>
          <w:rPr>
            <w:noProof/>
            <w:webHidden/>
          </w:rPr>
          <w:tab/>
        </w:r>
        <w:r>
          <w:rPr>
            <w:noProof/>
            <w:webHidden/>
          </w:rPr>
          <w:fldChar w:fldCharType="begin"/>
        </w:r>
        <w:r>
          <w:rPr>
            <w:noProof/>
            <w:webHidden/>
          </w:rPr>
          <w:instrText xml:space="preserve"> PAGEREF _Toc94172451 \h </w:instrText>
        </w:r>
        <w:r>
          <w:rPr>
            <w:noProof/>
            <w:webHidden/>
          </w:rPr>
          <w:fldChar w:fldCharType="separate"/>
        </w:r>
        <w:r w:rsidR="00AF345C">
          <w:rPr>
            <w:noProof/>
            <w:webHidden/>
          </w:rPr>
          <w:t>61</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52" w:history="1">
        <w:r w:rsidRPr="00976B6A">
          <w:rPr>
            <w:rStyle w:val="Hyperlink"/>
            <w:rFonts w:asciiTheme="minorEastAsia" w:hAnsiTheme="minorEastAsia" w:hint="eastAsia"/>
            <w:noProof/>
          </w:rPr>
          <w:t>（二）基金可供分配利润</w:t>
        </w:r>
        <w:r>
          <w:rPr>
            <w:noProof/>
            <w:webHidden/>
          </w:rPr>
          <w:tab/>
        </w:r>
        <w:r>
          <w:rPr>
            <w:noProof/>
            <w:webHidden/>
          </w:rPr>
          <w:fldChar w:fldCharType="begin"/>
        </w:r>
        <w:r>
          <w:rPr>
            <w:noProof/>
            <w:webHidden/>
          </w:rPr>
          <w:instrText xml:space="preserve"> PAGEREF _</w:instrText>
        </w:r>
        <w:r>
          <w:rPr>
            <w:noProof/>
            <w:webHidden/>
          </w:rPr>
          <w:instrText xml:space="preserve">Toc94172452 \h </w:instrText>
        </w:r>
        <w:r>
          <w:rPr>
            <w:noProof/>
            <w:webHidden/>
          </w:rPr>
          <w:fldChar w:fldCharType="separate"/>
        </w:r>
        <w:r w:rsidR="00AF345C">
          <w:rPr>
            <w:noProof/>
            <w:webHidden/>
          </w:rPr>
          <w:t>61</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53" w:history="1">
        <w:r w:rsidRPr="00976B6A">
          <w:rPr>
            <w:rStyle w:val="Hyperlink"/>
            <w:rFonts w:asciiTheme="minorEastAsia" w:hAnsiTheme="minorEastAsia" w:hint="eastAsia"/>
            <w:noProof/>
          </w:rPr>
          <w:t>（三）收益分配原则</w:t>
        </w:r>
        <w:r>
          <w:rPr>
            <w:noProof/>
            <w:webHidden/>
          </w:rPr>
          <w:tab/>
        </w:r>
        <w:r>
          <w:rPr>
            <w:noProof/>
            <w:webHidden/>
          </w:rPr>
          <w:fldChar w:fldCharType="begin"/>
        </w:r>
        <w:r>
          <w:rPr>
            <w:noProof/>
            <w:webHidden/>
          </w:rPr>
          <w:instrText xml:space="preserve"> PAGEREF _Toc94172453 \h </w:instrText>
        </w:r>
        <w:r>
          <w:rPr>
            <w:noProof/>
            <w:webHidden/>
          </w:rPr>
          <w:fldChar w:fldCharType="separate"/>
        </w:r>
        <w:r w:rsidR="00AF345C">
          <w:rPr>
            <w:noProof/>
            <w:webHidden/>
          </w:rPr>
          <w:t>61</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54" w:history="1">
        <w:r w:rsidRPr="00976B6A">
          <w:rPr>
            <w:rStyle w:val="Hyperlink"/>
            <w:rFonts w:asciiTheme="minorEastAsia" w:hAnsiTheme="minorEastAsia" w:hint="eastAsia"/>
            <w:noProof/>
          </w:rPr>
          <w:t>（四）收</w:t>
        </w:r>
        <w:r w:rsidRPr="00976B6A">
          <w:rPr>
            <w:rStyle w:val="Hyperlink"/>
            <w:rFonts w:asciiTheme="minorEastAsia" w:hAnsiTheme="minorEastAsia" w:hint="eastAsia"/>
            <w:noProof/>
          </w:rPr>
          <w:t>益分配方案</w:t>
        </w:r>
        <w:r>
          <w:rPr>
            <w:noProof/>
            <w:webHidden/>
          </w:rPr>
          <w:tab/>
        </w:r>
        <w:r>
          <w:rPr>
            <w:noProof/>
            <w:webHidden/>
          </w:rPr>
          <w:fldChar w:fldCharType="begin"/>
        </w:r>
        <w:r>
          <w:rPr>
            <w:noProof/>
            <w:webHidden/>
          </w:rPr>
          <w:instrText xml:space="preserve"> PAGEREF _Toc94172454 \h </w:instrText>
        </w:r>
        <w:r>
          <w:rPr>
            <w:noProof/>
            <w:webHidden/>
          </w:rPr>
          <w:fldChar w:fldCharType="separate"/>
        </w:r>
        <w:r w:rsidR="00AF345C">
          <w:rPr>
            <w:noProof/>
            <w:webHidden/>
          </w:rPr>
          <w:t>61</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55" w:history="1">
        <w:r w:rsidRPr="00976B6A">
          <w:rPr>
            <w:rStyle w:val="Hyperlink"/>
            <w:rFonts w:asciiTheme="minorEastAsia" w:hAnsiTheme="minorEastAsia" w:hint="eastAsia"/>
            <w:noProof/>
          </w:rPr>
          <w:t>（五）收益分配方案的确定、公告与实施</w:t>
        </w:r>
        <w:r>
          <w:rPr>
            <w:noProof/>
            <w:webHidden/>
          </w:rPr>
          <w:tab/>
        </w:r>
        <w:r>
          <w:rPr>
            <w:noProof/>
            <w:webHidden/>
          </w:rPr>
          <w:fldChar w:fldCharType="begin"/>
        </w:r>
        <w:r>
          <w:rPr>
            <w:noProof/>
            <w:webHidden/>
          </w:rPr>
          <w:instrText xml:space="preserve"> PAGEREF _Toc94172455 \h </w:instrText>
        </w:r>
        <w:r>
          <w:rPr>
            <w:noProof/>
            <w:webHidden/>
          </w:rPr>
          <w:fldChar w:fldCharType="separate"/>
        </w:r>
        <w:r w:rsidR="00AF345C">
          <w:rPr>
            <w:noProof/>
            <w:webHidden/>
          </w:rPr>
          <w:t>61</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56" w:history="1">
        <w:r w:rsidRPr="00976B6A">
          <w:rPr>
            <w:rStyle w:val="Hyperlink"/>
            <w:rFonts w:asciiTheme="minorEastAsia" w:hAnsiTheme="minorEastAsia" w:hint="eastAsia"/>
            <w:noProof/>
          </w:rPr>
          <w:t>（六）收益分配中发生的费用</w:t>
        </w:r>
        <w:r>
          <w:rPr>
            <w:noProof/>
            <w:webHidden/>
          </w:rPr>
          <w:tab/>
        </w:r>
        <w:r>
          <w:rPr>
            <w:noProof/>
            <w:webHidden/>
          </w:rPr>
          <w:fldChar w:fldCharType="begin"/>
        </w:r>
        <w:r>
          <w:rPr>
            <w:noProof/>
            <w:webHidden/>
          </w:rPr>
          <w:instrText xml:space="preserve"> PAGEREF _Toc94172456 \h </w:instrText>
        </w:r>
        <w:r>
          <w:rPr>
            <w:noProof/>
            <w:webHidden/>
          </w:rPr>
          <w:fldChar w:fldCharType="separate"/>
        </w:r>
        <w:r w:rsidR="00AF345C">
          <w:rPr>
            <w:noProof/>
            <w:webHidden/>
          </w:rPr>
          <w:t>62</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57" w:history="1">
        <w:r w:rsidRPr="00976B6A">
          <w:rPr>
            <w:rStyle w:val="Hyperlink"/>
            <w:rFonts w:asciiTheme="minorEastAsia" w:hAnsiTheme="minorEastAsia" w:hint="eastAsia"/>
            <w:noProof/>
          </w:rPr>
          <w:t>（七）实施侧袋机制期间的收益分配</w:t>
        </w:r>
        <w:r>
          <w:rPr>
            <w:noProof/>
            <w:webHidden/>
          </w:rPr>
          <w:tab/>
        </w:r>
        <w:r>
          <w:rPr>
            <w:noProof/>
            <w:webHidden/>
          </w:rPr>
          <w:fldChar w:fldCharType="begin"/>
        </w:r>
        <w:r>
          <w:rPr>
            <w:noProof/>
            <w:webHidden/>
          </w:rPr>
          <w:instrText xml:space="preserve"> PAGEREF _Toc94172457 \h </w:instrText>
        </w:r>
        <w:r>
          <w:rPr>
            <w:noProof/>
            <w:webHidden/>
          </w:rPr>
          <w:fldChar w:fldCharType="separate"/>
        </w:r>
        <w:r w:rsidR="00AF345C">
          <w:rPr>
            <w:noProof/>
            <w:webHidden/>
          </w:rPr>
          <w:t>62</w:t>
        </w:r>
        <w:r>
          <w:rPr>
            <w:noProof/>
            <w:webHidden/>
          </w:rPr>
          <w:fldChar w:fldCharType="end"/>
        </w:r>
      </w:hyperlink>
    </w:p>
    <w:p w:rsidR="00700E3B">
      <w:pPr>
        <w:pStyle w:val="TOC1"/>
        <w:rPr>
          <w:rFonts w:asciiTheme="minorHAnsi" w:eastAsiaTheme="minorEastAsia" w:hAnsiTheme="minorHAnsi" w:cstheme="minorBidi"/>
          <w:caps w:val="0"/>
          <w:color w:val="auto"/>
          <w:sz w:val="21"/>
          <w:szCs w:val="22"/>
        </w:rPr>
      </w:pPr>
      <w:hyperlink w:anchor="_Toc94172458" w:history="1">
        <w:r w:rsidRPr="00976B6A">
          <w:rPr>
            <w:rStyle w:val="Hyperlink"/>
            <w:rFonts w:asciiTheme="minorEastAsia" w:hAnsiTheme="minorEastAsia" w:hint="eastAsia"/>
            <w:b/>
          </w:rPr>
          <w:t>十六、基金的费用与税收</w:t>
        </w:r>
        <w:r>
          <w:rPr>
            <w:webHidden/>
          </w:rPr>
          <w:tab/>
        </w:r>
        <w:r>
          <w:rPr>
            <w:webHidden/>
          </w:rPr>
          <w:fldChar w:fldCharType="begin"/>
        </w:r>
        <w:r>
          <w:rPr>
            <w:webHidden/>
          </w:rPr>
          <w:instrText xml:space="preserve"> PAGEREF _Toc94172458 \h </w:instrText>
        </w:r>
        <w:r>
          <w:rPr>
            <w:webHidden/>
          </w:rPr>
          <w:fldChar w:fldCharType="separate"/>
        </w:r>
        <w:r w:rsidR="00AF345C">
          <w:rPr>
            <w:webHidden/>
          </w:rPr>
          <w:t>63</w:t>
        </w:r>
        <w:r>
          <w:rPr>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59" w:history="1">
        <w:r w:rsidRPr="00976B6A">
          <w:rPr>
            <w:rStyle w:val="Hyperlink"/>
            <w:rFonts w:asciiTheme="minorEastAsia" w:hAnsiTheme="minorEastAsia" w:hint="eastAsia"/>
            <w:noProof/>
          </w:rPr>
          <w:t>（一）与基金运作相关的费用</w:t>
        </w:r>
        <w:r>
          <w:rPr>
            <w:noProof/>
            <w:webHidden/>
          </w:rPr>
          <w:tab/>
        </w:r>
        <w:r>
          <w:rPr>
            <w:noProof/>
            <w:webHidden/>
          </w:rPr>
          <w:fldChar w:fldCharType="begin"/>
        </w:r>
        <w:r>
          <w:rPr>
            <w:noProof/>
            <w:webHidden/>
          </w:rPr>
          <w:instrText xml:space="preserve"> PAGEREF _Toc94172459 \h </w:instrText>
        </w:r>
        <w:r>
          <w:rPr>
            <w:noProof/>
            <w:webHidden/>
          </w:rPr>
          <w:fldChar w:fldCharType="separate"/>
        </w:r>
        <w:r w:rsidR="00AF345C">
          <w:rPr>
            <w:noProof/>
            <w:webHidden/>
          </w:rPr>
          <w:t>63</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60" w:history="1">
        <w:r w:rsidRPr="00976B6A">
          <w:rPr>
            <w:rStyle w:val="Hyperlink"/>
            <w:rFonts w:asciiTheme="minorEastAsia" w:hAnsiTheme="minorEastAsia" w:hint="eastAsia"/>
            <w:noProof/>
          </w:rPr>
          <w:t>（二）与基金销售相关的费用</w:t>
        </w:r>
        <w:r>
          <w:rPr>
            <w:noProof/>
            <w:webHidden/>
          </w:rPr>
          <w:tab/>
        </w:r>
        <w:r>
          <w:rPr>
            <w:noProof/>
            <w:webHidden/>
          </w:rPr>
          <w:fldChar w:fldCharType="begin"/>
        </w:r>
        <w:r>
          <w:rPr>
            <w:noProof/>
            <w:webHidden/>
          </w:rPr>
          <w:instrText xml:space="preserve"> PAGEREF _Toc94172460 \h </w:instrText>
        </w:r>
        <w:r>
          <w:rPr>
            <w:noProof/>
            <w:webHidden/>
          </w:rPr>
          <w:fldChar w:fldCharType="separate"/>
        </w:r>
        <w:r w:rsidR="00AF345C">
          <w:rPr>
            <w:noProof/>
            <w:webHidden/>
          </w:rPr>
          <w:t>64</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61" w:history="1">
        <w:r w:rsidRPr="00976B6A">
          <w:rPr>
            <w:rStyle w:val="Hyperlink"/>
            <w:rFonts w:asciiTheme="minorEastAsia" w:hAnsiTheme="minorEastAsia" w:hint="eastAsia"/>
            <w:noProof/>
          </w:rPr>
          <w:t>（三）实施侧袋机制期间的基金费用</w:t>
        </w:r>
        <w:r>
          <w:rPr>
            <w:noProof/>
            <w:webHidden/>
          </w:rPr>
          <w:tab/>
        </w:r>
        <w:r>
          <w:rPr>
            <w:noProof/>
            <w:webHidden/>
          </w:rPr>
          <w:fldChar w:fldCharType="begin"/>
        </w:r>
        <w:r>
          <w:rPr>
            <w:noProof/>
            <w:webHidden/>
          </w:rPr>
          <w:instrText xml:space="preserve"> PAGEREF _Toc94172461 \h </w:instrText>
        </w:r>
        <w:r>
          <w:rPr>
            <w:noProof/>
            <w:webHidden/>
          </w:rPr>
          <w:fldChar w:fldCharType="separate"/>
        </w:r>
        <w:r w:rsidR="00AF345C">
          <w:rPr>
            <w:noProof/>
            <w:webHidden/>
          </w:rPr>
          <w:t>65</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62" w:history="1">
        <w:r w:rsidRPr="00976B6A">
          <w:rPr>
            <w:rStyle w:val="Hyperlink"/>
            <w:rFonts w:asciiTheme="minorEastAsia" w:hAnsiTheme="minorEastAsia" w:hint="eastAsia"/>
            <w:noProof/>
          </w:rPr>
          <w:t>（四）税收</w:t>
        </w:r>
        <w:r>
          <w:rPr>
            <w:noProof/>
            <w:webHidden/>
          </w:rPr>
          <w:tab/>
        </w:r>
        <w:r>
          <w:rPr>
            <w:noProof/>
            <w:webHidden/>
          </w:rPr>
          <w:fldChar w:fldCharType="begin"/>
        </w:r>
        <w:r>
          <w:rPr>
            <w:noProof/>
            <w:webHidden/>
          </w:rPr>
          <w:instrText xml:space="preserve"> PAGEREF _</w:instrText>
        </w:r>
        <w:r>
          <w:rPr>
            <w:noProof/>
            <w:webHidden/>
          </w:rPr>
          <w:instrText xml:space="preserve">Toc94172462 \h </w:instrText>
        </w:r>
        <w:r>
          <w:rPr>
            <w:noProof/>
            <w:webHidden/>
          </w:rPr>
          <w:fldChar w:fldCharType="separate"/>
        </w:r>
        <w:r w:rsidR="00AF345C">
          <w:rPr>
            <w:noProof/>
            <w:webHidden/>
          </w:rPr>
          <w:t>65</w:t>
        </w:r>
        <w:r>
          <w:rPr>
            <w:noProof/>
            <w:webHidden/>
          </w:rPr>
          <w:fldChar w:fldCharType="end"/>
        </w:r>
      </w:hyperlink>
    </w:p>
    <w:p w:rsidR="00700E3B">
      <w:pPr>
        <w:pStyle w:val="TOC1"/>
        <w:rPr>
          <w:rFonts w:asciiTheme="minorHAnsi" w:eastAsiaTheme="minorEastAsia" w:hAnsiTheme="minorHAnsi" w:cstheme="minorBidi"/>
          <w:caps w:val="0"/>
          <w:color w:val="auto"/>
          <w:sz w:val="21"/>
          <w:szCs w:val="22"/>
        </w:rPr>
      </w:pPr>
      <w:hyperlink w:anchor="_Toc94172463" w:history="1">
        <w:r w:rsidRPr="00976B6A">
          <w:rPr>
            <w:rStyle w:val="Hyperlink"/>
            <w:rFonts w:asciiTheme="minorEastAsia" w:hAnsiTheme="minorEastAsia" w:hint="eastAsia"/>
            <w:b/>
          </w:rPr>
          <w:t>十七、基金的会计与审计</w:t>
        </w:r>
        <w:r>
          <w:rPr>
            <w:webHidden/>
          </w:rPr>
          <w:tab/>
        </w:r>
        <w:r>
          <w:rPr>
            <w:webHidden/>
          </w:rPr>
          <w:fldChar w:fldCharType="begin"/>
        </w:r>
        <w:r>
          <w:rPr>
            <w:webHidden/>
          </w:rPr>
          <w:instrText xml:space="preserve"> PAGEREF _Toc94172463 \h </w:instrText>
        </w:r>
        <w:r>
          <w:rPr>
            <w:webHidden/>
          </w:rPr>
          <w:fldChar w:fldCharType="separate"/>
        </w:r>
        <w:r w:rsidR="00AF345C">
          <w:rPr>
            <w:webHidden/>
          </w:rPr>
          <w:t>66</w:t>
        </w:r>
        <w:r>
          <w:rPr>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64" w:history="1">
        <w:r w:rsidRPr="00976B6A">
          <w:rPr>
            <w:rStyle w:val="Hyperlink"/>
            <w:rFonts w:asciiTheme="minorEastAsia" w:hAnsiTheme="minorEastAsia" w:hint="eastAsia"/>
            <w:noProof/>
          </w:rPr>
          <w:t>（一）基金会计政策</w:t>
        </w:r>
        <w:r>
          <w:rPr>
            <w:noProof/>
            <w:webHidden/>
          </w:rPr>
          <w:tab/>
        </w:r>
        <w:r>
          <w:rPr>
            <w:noProof/>
            <w:webHidden/>
          </w:rPr>
          <w:fldChar w:fldCharType="begin"/>
        </w:r>
        <w:r>
          <w:rPr>
            <w:noProof/>
            <w:webHidden/>
          </w:rPr>
          <w:instrText xml:space="preserve"> PAGEREF _Toc94172464 \h </w:instrText>
        </w:r>
        <w:r>
          <w:rPr>
            <w:noProof/>
            <w:webHidden/>
          </w:rPr>
          <w:fldChar w:fldCharType="separate"/>
        </w:r>
        <w:r w:rsidR="00AF345C">
          <w:rPr>
            <w:noProof/>
            <w:webHidden/>
          </w:rPr>
          <w:t>66</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65" w:history="1">
        <w:r w:rsidRPr="00976B6A">
          <w:rPr>
            <w:rStyle w:val="Hyperlink"/>
            <w:rFonts w:asciiTheme="minorEastAsia" w:hAnsiTheme="minorEastAsia" w:hint="eastAsia"/>
            <w:noProof/>
          </w:rPr>
          <w:t>（二）基金审计</w:t>
        </w:r>
        <w:r>
          <w:rPr>
            <w:noProof/>
            <w:webHidden/>
          </w:rPr>
          <w:tab/>
        </w:r>
        <w:r>
          <w:rPr>
            <w:noProof/>
            <w:webHidden/>
          </w:rPr>
          <w:fldChar w:fldCharType="begin"/>
        </w:r>
        <w:r>
          <w:rPr>
            <w:noProof/>
            <w:webHidden/>
          </w:rPr>
          <w:instrText xml:space="preserve"> PAGEREF _Toc94172465 \h </w:instrText>
        </w:r>
        <w:r>
          <w:rPr>
            <w:noProof/>
            <w:webHidden/>
          </w:rPr>
          <w:fldChar w:fldCharType="separate"/>
        </w:r>
        <w:r w:rsidR="00AF345C">
          <w:rPr>
            <w:noProof/>
            <w:webHidden/>
          </w:rPr>
          <w:t>66</w:t>
        </w:r>
        <w:r>
          <w:rPr>
            <w:noProof/>
            <w:webHidden/>
          </w:rPr>
          <w:fldChar w:fldCharType="end"/>
        </w:r>
      </w:hyperlink>
    </w:p>
    <w:p w:rsidR="00700E3B">
      <w:pPr>
        <w:pStyle w:val="TOC1"/>
        <w:rPr>
          <w:rFonts w:asciiTheme="minorHAnsi" w:eastAsiaTheme="minorEastAsia" w:hAnsiTheme="minorHAnsi" w:cstheme="minorBidi"/>
          <w:caps w:val="0"/>
          <w:color w:val="auto"/>
          <w:sz w:val="21"/>
          <w:szCs w:val="22"/>
        </w:rPr>
      </w:pPr>
      <w:hyperlink w:anchor="_Toc94172466" w:history="1">
        <w:r w:rsidRPr="00976B6A">
          <w:rPr>
            <w:rStyle w:val="Hyperlink"/>
            <w:rFonts w:asciiTheme="minorEastAsia" w:hAnsiTheme="minorEastAsia" w:hint="eastAsia"/>
            <w:b/>
          </w:rPr>
          <w:t>十八、基金的信息披露</w:t>
        </w:r>
        <w:r>
          <w:rPr>
            <w:webHidden/>
          </w:rPr>
          <w:tab/>
        </w:r>
        <w:r>
          <w:rPr>
            <w:webHidden/>
          </w:rPr>
          <w:fldChar w:fldCharType="begin"/>
        </w:r>
        <w:r>
          <w:rPr>
            <w:webHidden/>
          </w:rPr>
          <w:instrText xml:space="preserve"> PAGEREF _Toc94</w:instrText>
        </w:r>
        <w:r>
          <w:rPr>
            <w:webHidden/>
          </w:rPr>
          <w:instrText xml:space="preserve">172466 \h </w:instrText>
        </w:r>
        <w:r>
          <w:rPr>
            <w:webHidden/>
          </w:rPr>
          <w:fldChar w:fldCharType="separate"/>
        </w:r>
        <w:r w:rsidR="00AF345C">
          <w:rPr>
            <w:webHidden/>
          </w:rPr>
          <w:t>67</w:t>
        </w:r>
        <w:r>
          <w:rPr>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67" w:history="1">
        <w:r w:rsidRPr="00976B6A">
          <w:rPr>
            <w:rStyle w:val="Hyperlink"/>
            <w:rFonts w:asciiTheme="minorEastAsia" w:hAnsiTheme="minorEastAsia" w:hint="eastAsia"/>
            <w:noProof/>
          </w:rPr>
          <w:t>（一）信息披露的形式</w:t>
        </w:r>
        <w:r>
          <w:rPr>
            <w:noProof/>
            <w:webHidden/>
          </w:rPr>
          <w:tab/>
        </w:r>
        <w:r>
          <w:rPr>
            <w:noProof/>
            <w:webHidden/>
          </w:rPr>
          <w:fldChar w:fldCharType="begin"/>
        </w:r>
        <w:r>
          <w:rPr>
            <w:noProof/>
            <w:webHidden/>
          </w:rPr>
          <w:instrText xml:space="preserve"> PAGEREF _Toc94172467 \h </w:instrText>
        </w:r>
        <w:r>
          <w:rPr>
            <w:noProof/>
            <w:webHidden/>
          </w:rPr>
          <w:fldChar w:fldCharType="separate"/>
        </w:r>
        <w:r w:rsidR="00AF345C">
          <w:rPr>
            <w:noProof/>
            <w:webHidden/>
          </w:rPr>
          <w:t>67</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68" w:history="1">
        <w:r w:rsidRPr="00976B6A">
          <w:rPr>
            <w:rStyle w:val="Hyperlink"/>
            <w:rFonts w:asciiTheme="minorEastAsia" w:hAnsiTheme="minorEastAsia" w:hint="eastAsia"/>
            <w:noProof/>
          </w:rPr>
          <w:t>（二）信息披</w:t>
        </w:r>
        <w:r w:rsidRPr="00976B6A">
          <w:rPr>
            <w:rStyle w:val="Hyperlink"/>
            <w:rFonts w:asciiTheme="minorEastAsia" w:hAnsiTheme="minorEastAsia" w:hint="eastAsia"/>
            <w:noProof/>
          </w:rPr>
          <w:t>露的种类、披露时间和披露形式</w:t>
        </w:r>
        <w:r>
          <w:rPr>
            <w:noProof/>
            <w:webHidden/>
          </w:rPr>
          <w:tab/>
        </w:r>
        <w:r>
          <w:rPr>
            <w:noProof/>
            <w:webHidden/>
          </w:rPr>
          <w:fldChar w:fldCharType="begin"/>
        </w:r>
        <w:r>
          <w:rPr>
            <w:noProof/>
            <w:webHidden/>
          </w:rPr>
          <w:instrText xml:space="preserve"> PAGEREF _Toc94172468 \h </w:instrText>
        </w:r>
        <w:r>
          <w:rPr>
            <w:noProof/>
            <w:webHidden/>
          </w:rPr>
          <w:fldChar w:fldCharType="separate"/>
        </w:r>
        <w:r w:rsidR="00AF345C">
          <w:rPr>
            <w:noProof/>
            <w:webHidden/>
          </w:rPr>
          <w:t>67</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69" w:history="1">
        <w:r w:rsidRPr="00976B6A">
          <w:rPr>
            <w:rStyle w:val="Hyperlink"/>
            <w:rFonts w:asciiTheme="minorEastAsia" w:hAnsiTheme="minorEastAsia" w:hint="eastAsia"/>
            <w:noProof/>
          </w:rPr>
          <w:t>（三）信息披露文件的存放与查阅</w:t>
        </w:r>
        <w:r>
          <w:rPr>
            <w:noProof/>
            <w:webHidden/>
          </w:rPr>
          <w:tab/>
        </w:r>
        <w:r>
          <w:rPr>
            <w:noProof/>
            <w:webHidden/>
          </w:rPr>
          <w:fldChar w:fldCharType="begin"/>
        </w:r>
        <w:r>
          <w:rPr>
            <w:noProof/>
            <w:webHidden/>
          </w:rPr>
          <w:instrText xml:space="preserve"> PAGEREF _Toc94172469 \h </w:instrText>
        </w:r>
        <w:r>
          <w:rPr>
            <w:noProof/>
            <w:webHidden/>
          </w:rPr>
          <w:fldChar w:fldCharType="separate"/>
        </w:r>
        <w:r w:rsidR="00AF345C">
          <w:rPr>
            <w:noProof/>
            <w:webHidden/>
          </w:rPr>
          <w:t>71</w:t>
        </w:r>
        <w:r>
          <w:rPr>
            <w:noProof/>
            <w:webHidden/>
          </w:rPr>
          <w:fldChar w:fldCharType="end"/>
        </w:r>
      </w:hyperlink>
    </w:p>
    <w:p w:rsidR="00700E3B">
      <w:pPr>
        <w:pStyle w:val="TOC1"/>
        <w:rPr>
          <w:rFonts w:asciiTheme="minorHAnsi" w:eastAsiaTheme="minorEastAsia" w:hAnsiTheme="minorHAnsi" w:cstheme="minorBidi"/>
          <w:caps w:val="0"/>
          <w:color w:val="auto"/>
          <w:sz w:val="21"/>
          <w:szCs w:val="22"/>
        </w:rPr>
      </w:pPr>
      <w:hyperlink w:anchor="_Toc94172470" w:history="1">
        <w:r w:rsidRPr="00976B6A">
          <w:rPr>
            <w:rStyle w:val="Hyperlink"/>
            <w:rFonts w:asciiTheme="minorEastAsia" w:hAnsiTheme="minorEastAsia" w:hint="eastAsia"/>
          </w:rPr>
          <w:t>十九、侧袋机制</w:t>
        </w:r>
        <w:r>
          <w:rPr>
            <w:webHidden/>
          </w:rPr>
          <w:tab/>
        </w:r>
        <w:r>
          <w:rPr>
            <w:webHidden/>
          </w:rPr>
          <w:fldChar w:fldCharType="begin"/>
        </w:r>
        <w:r>
          <w:rPr>
            <w:webHidden/>
          </w:rPr>
          <w:instrText xml:space="preserve"> PAGEREF _Toc94172470 \h </w:instrText>
        </w:r>
        <w:r>
          <w:rPr>
            <w:webHidden/>
          </w:rPr>
          <w:fldChar w:fldCharType="separate"/>
        </w:r>
        <w:r w:rsidR="00AF345C">
          <w:rPr>
            <w:webHidden/>
          </w:rPr>
          <w:t>72</w:t>
        </w:r>
        <w:r>
          <w:rPr>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71" w:history="1">
        <w:r w:rsidRPr="00976B6A">
          <w:rPr>
            <w:rStyle w:val="Hyperlink"/>
            <w:rFonts w:asciiTheme="minorEastAsia" w:hAnsiTheme="minorEastAsia" w:hint="eastAsia"/>
            <w:bCs/>
            <w:noProof/>
          </w:rPr>
          <w:t>（一）侧袋机制的实施条件和程序</w:t>
        </w:r>
        <w:r>
          <w:rPr>
            <w:noProof/>
            <w:webHidden/>
          </w:rPr>
          <w:tab/>
        </w:r>
        <w:r>
          <w:rPr>
            <w:noProof/>
            <w:webHidden/>
          </w:rPr>
          <w:fldChar w:fldCharType="begin"/>
        </w:r>
        <w:r>
          <w:rPr>
            <w:noProof/>
            <w:webHidden/>
          </w:rPr>
          <w:instrText xml:space="preserve"> PAGEREF _</w:instrText>
        </w:r>
        <w:r>
          <w:rPr>
            <w:noProof/>
            <w:webHidden/>
          </w:rPr>
          <w:instrText xml:space="preserve">Toc94172471 \h </w:instrText>
        </w:r>
        <w:r>
          <w:rPr>
            <w:noProof/>
            <w:webHidden/>
          </w:rPr>
          <w:fldChar w:fldCharType="separate"/>
        </w:r>
        <w:r w:rsidR="00AF345C">
          <w:rPr>
            <w:noProof/>
            <w:webHidden/>
          </w:rPr>
          <w:t>72</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72" w:history="1">
        <w:r w:rsidRPr="00976B6A">
          <w:rPr>
            <w:rStyle w:val="Hyperlink"/>
            <w:rFonts w:asciiTheme="minorEastAsia" w:hAnsiTheme="minorEastAsia" w:hint="eastAsia"/>
            <w:bCs/>
            <w:noProof/>
          </w:rPr>
          <w:t>（二）实施侧袋机制期间基金份额的申购与赎回</w:t>
        </w:r>
        <w:r>
          <w:rPr>
            <w:noProof/>
            <w:webHidden/>
          </w:rPr>
          <w:tab/>
        </w:r>
        <w:r>
          <w:rPr>
            <w:noProof/>
            <w:webHidden/>
          </w:rPr>
          <w:fldChar w:fldCharType="begin"/>
        </w:r>
        <w:r>
          <w:rPr>
            <w:noProof/>
            <w:webHidden/>
          </w:rPr>
          <w:instrText xml:space="preserve"> PAGEREF _Toc94172472 \h </w:instrText>
        </w:r>
        <w:r>
          <w:rPr>
            <w:noProof/>
            <w:webHidden/>
          </w:rPr>
          <w:fldChar w:fldCharType="separate"/>
        </w:r>
        <w:r w:rsidR="00AF345C">
          <w:rPr>
            <w:noProof/>
            <w:webHidden/>
          </w:rPr>
          <w:t>72</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73" w:history="1">
        <w:r w:rsidRPr="00976B6A">
          <w:rPr>
            <w:rStyle w:val="Hyperlink"/>
            <w:rFonts w:asciiTheme="minorEastAsia" w:hAnsiTheme="minorEastAsia" w:hint="eastAsia"/>
            <w:bCs/>
            <w:noProof/>
          </w:rPr>
          <w:t>（三）实施侧袋机制期间的基金投资</w:t>
        </w:r>
        <w:r>
          <w:rPr>
            <w:noProof/>
            <w:webHidden/>
          </w:rPr>
          <w:tab/>
        </w:r>
        <w:r>
          <w:rPr>
            <w:noProof/>
            <w:webHidden/>
          </w:rPr>
          <w:fldChar w:fldCharType="begin"/>
        </w:r>
        <w:r>
          <w:rPr>
            <w:noProof/>
            <w:webHidden/>
          </w:rPr>
          <w:instrText xml:space="preserve"> PAGEREF _Toc94172473 \h </w:instrText>
        </w:r>
        <w:r>
          <w:rPr>
            <w:noProof/>
            <w:webHidden/>
          </w:rPr>
          <w:fldChar w:fldCharType="separate"/>
        </w:r>
        <w:r w:rsidR="00AF345C">
          <w:rPr>
            <w:noProof/>
            <w:webHidden/>
          </w:rPr>
          <w:t>72</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74" w:history="1">
        <w:r w:rsidRPr="00976B6A">
          <w:rPr>
            <w:rStyle w:val="Hyperlink"/>
            <w:rFonts w:asciiTheme="minorEastAsia" w:hAnsiTheme="minorEastAsia" w:hint="eastAsia"/>
            <w:bCs/>
            <w:noProof/>
          </w:rPr>
          <w:t>（四）侧袋账户中特定资产的处置变现和支付</w:t>
        </w:r>
        <w:r>
          <w:rPr>
            <w:noProof/>
            <w:webHidden/>
          </w:rPr>
          <w:tab/>
        </w:r>
        <w:r>
          <w:rPr>
            <w:noProof/>
            <w:webHidden/>
          </w:rPr>
          <w:fldChar w:fldCharType="begin"/>
        </w:r>
        <w:r>
          <w:rPr>
            <w:noProof/>
            <w:webHidden/>
          </w:rPr>
          <w:instrText xml:space="preserve"> PAGEREF _Toc94172474 \h </w:instrText>
        </w:r>
        <w:r>
          <w:rPr>
            <w:noProof/>
            <w:webHidden/>
          </w:rPr>
          <w:fldChar w:fldCharType="separate"/>
        </w:r>
        <w:r w:rsidR="00AF345C">
          <w:rPr>
            <w:noProof/>
            <w:webHidden/>
          </w:rPr>
          <w:t>72</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75" w:history="1">
        <w:r w:rsidRPr="00976B6A">
          <w:rPr>
            <w:rStyle w:val="Hyperlink"/>
            <w:rFonts w:asciiTheme="minorEastAsia" w:hAnsiTheme="minorEastAsia" w:hint="eastAsia"/>
            <w:bCs/>
            <w:noProof/>
          </w:rPr>
          <w:t>（五）侧袋机制的信息披露</w:t>
        </w:r>
        <w:r>
          <w:rPr>
            <w:noProof/>
            <w:webHidden/>
          </w:rPr>
          <w:tab/>
        </w:r>
        <w:r>
          <w:rPr>
            <w:noProof/>
            <w:webHidden/>
          </w:rPr>
          <w:fldChar w:fldCharType="begin"/>
        </w:r>
        <w:r>
          <w:rPr>
            <w:noProof/>
            <w:webHidden/>
          </w:rPr>
          <w:instrText xml:space="preserve"> PAGEREF _Toc94172475 \h </w:instrText>
        </w:r>
        <w:r>
          <w:rPr>
            <w:noProof/>
            <w:webHidden/>
          </w:rPr>
          <w:fldChar w:fldCharType="separate"/>
        </w:r>
        <w:r w:rsidR="00AF345C">
          <w:rPr>
            <w:noProof/>
            <w:webHidden/>
          </w:rPr>
          <w:t>73</w:t>
        </w:r>
        <w:r>
          <w:rPr>
            <w:noProof/>
            <w:webHidden/>
          </w:rPr>
          <w:fldChar w:fldCharType="end"/>
        </w:r>
      </w:hyperlink>
    </w:p>
    <w:p w:rsidR="00700E3B">
      <w:pPr>
        <w:pStyle w:val="TOC1"/>
        <w:rPr>
          <w:rFonts w:asciiTheme="minorHAnsi" w:eastAsiaTheme="minorEastAsia" w:hAnsiTheme="minorHAnsi" w:cstheme="minorBidi"/>
          <w:caps w:val="0"/>
          <w:color w:val="auto"/>
          <w:sz w:val="21"/>
          <w:szCs w:val="22"/>
        </w:rPr>
      </w:pPr>
      <w:hyperlink w:anchor="_Toc94172476" w:history="1">
        <w:r w:rsidRPr="00976B6A">
          <w:rPr>
            <w:rStyle w:val="Hyperlink"/>
            <w:rFonts w:asciiTheme="minorEastAsia" w:hAnsiTheme="minorEastAsia" w:hint="eastAsia"/>
            <w:b/>
          </w:rPr>
          <w:t>二十、风险揭示</w:t>
        </w:r>
        <w:r>
          <w:rPr>
            <w:webHidden/>
          </w:rPr>
          <w:tab/>
        </w:r>
        <w:r>
          <w:rPr>
            <w:webHidden/>
          </w:rPr>
          <w:fldChar w:fldCharType="begin"/>
        </w:r>
        <w:r>
          <w:rPr>
            <w:webHidden/>
          </w:rPr>
          <w:instrText xml:space="preserve"> PAGEREF _Toc94172476 \h </w:instrText>
        </w:r>
        <w:r>
          <w:rPr>
            <w:webHidden/>
          </w:rPr>
          <w:fldChar w:fldCharType="separate"/>
        </w:r>
        <w:r w:rsidR="00AF345C">
          <w:rPr>
            <w:webHidden/>
          </w:rPr>
          <w:t>74</w:t>
        </w:r>
        <w:r>
          <w:rPr>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77" w:history="1">
        <w:r w:rsidRPr="00976B6A">
          <w:rPr>
            <w:rStyle w:val="Hyperlink"/>
            <w:rFonts w:asciiTheme="minorEastAsia" w:hAnsiTheme="minorEastAsia" w:hint="eastAsia"/>
            <w:noProof/>
          </w:rPr>
          <w:t>（一）市场风险</w:t>
        </w:r>
        <w:r>
          <w:rPr>
            <w:noProof/>
            <w:webHidden/>
          </w:rPr>
          <w:tab/>
        </w:r>
        <w:r>
          <w:rPr>
            <w:noProof/>
            <w:webHidden/>
          </w:rPr>
          <w:fldChar w:fldCharType="begin"/>
        </w:r>
        <w:r>
          <w:rPr>
            <w:noProof/>
            <w:webHidden/>
          </w:rPr>
          <w:instrText xml:space="preserve"> PAGEREF _Toc94172477 \h </w:instrText>
        </w:r>
        <w:r>
          <w:rPr>
            <w:noProof/>
            <w:webHidden/>
          </w:rPr>
          <w:fldChar w:fldCharType="separate"/>
        </w:r>
        <w:r w:rsidR="00AF345C">
          <w:rPr>
            <w:noProof/>
            <w:webHidden/>
          </w:rPr>
          <w:t>74</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78" w:history="1">
        <w:r w:rsidRPr="00976B6A">
          <w:rPr>
            <w:rStyle w:val="Hyperlink"/>
            <w:rFonts w:asciiTheme="minorEastAsia" w:hAnsiTheme="minorEastAsia" w:hint="eastAsia"/>
            <w:noProof/>
          </w:rPr>
          <w:t>（二）管理风险</w:t>
        </w:r>
        <w:r>
          <w:rPr>
            <w:noProof/>
            <w:webHidden/>
          </w:rPr>
          <w:tab/>
        </w:r>
        <w:r>
          <w:rPr>
            <w:noProof/>
            <w:webHidden/>
          </w:rPr>
          <w:fldChar w:fldCharType="begin"/>
        </w:r>
        <w:r>
          <w:rPr>
            <w:noProof/>
            <w:webHidden/>
          </w:rPr>
          <w:instrText xml:space="preserve"> PAGEREF _Toc94172478 \h </w:instrText>
        </w:r>
        <w:r>
          <w:rPr>
            <w:noProof/>
            <w:webHidden/>
          </w:rPr>
          <w:fldChar w:fldCharType="separate"/>
        </w:r>
        <w:r w:rsidR="00AF345C">
          <w:rPr>
            <w:noProof/>
            <w:webHidden/>
          </w:rPr>
          <w:t>74</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79" w:history="1">
        <w:r w:rsidRPr="00976B6A">
          <w:rPr>
            <w:rStyle w:val="Hyperlink"/>
            <w:rFonts w:asciiTheme="minorEastAsia" w:hAnsiTheme="minorEastAsia" w:hint="eastAsia"/>
            <w:noProof/>
          </w:rPr>
          <w:t>（三）流动性风险</w:t>
        </w:r>
        <w:r>
          <w:rPr>
            <w:noProof/>
            <w:webHidden/>
          </w:rPr>
          <w:tab/>
        </w:r>
        <w:r>
          <w:rPr>
            <w:noProof/>
            <w:webHidden/>
          </w:rPr>
          <w:fldChar w:fldCharType="begin"/>
        </w:r>
        <w:r>
          <w:rPr>
            <w:noProof/>
            <w:webHidden/>
          </w:rPr>
          <w:instrText xml:space="preserve"> PAGEREF _Toc9417</w:instrText>
        </w:r>
        <w:r>
          <w:rPr>
            <w:noProof/>
            <w:webHidden/>
          </w:rPr>
          <w:instrText xml:space="preserve">2479 \h </w:instrText>
        </w:r>
        <w:r>
          <w:rPr>
            <w:noProof/>
            <w:webHidden/>
          </w:rPr>
          <w:fldChar w:fldCharType="separate"/>
        </w:r>
        <w:r w:rsidR="00AF345C">
          <w:rPr>
            <w:noProof/>
            <w:webHidden/>
          </w:rPr>
          <w:t>75</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80" w:history="1">
        <w:r w:rsidRPr="00976B6A">
          <w:rPr>
            <w:rStyle w:val="Hyperlink"/>
            <w:rFonts w:asciiTheme="minorEastAsia" w:hAnsiTheme="minorEastAsia" w:hint="eastAsia"/>
            <w:noProof/>
          </w:rPr>
          <w:t>（四）特有风险</w:t>
        </w:r>
        <w:r>
          <w:rPr>
            <w:noProof/>
            <w:webHidden/>
          </w:rPr>
          <w:tab/>
        </w:r>
        <w:r>
          <w:rPr>
            <w:noProof/>
            <w:webHidden/>
          </w:rPr>
          <w:fldChar w:fldCharType="begin"/>
        </w:r>
        <w:r>
          <w:rPr>
            <w:noProof/>
            <w:webHidden/>
          </w:rPr>
          <w:instrText xml:space="preserve"> PAGEREF _Toc94172480 \h </w:instrText>
        </w:r>
        <w:r>
          <w:rPr>
            <w:noProof/>
            <w:webHidden/>
          </w:rPr>
          <w:fldChar w:fldCharType="separate"/>
        </w:r>
        <w:r w:rsidR="00AF345C">
          <w:rPr>
            <w:noProof/>
            <w:webHidden/>
          </w:rPr>
          <w:t>76</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81" w:history="1">
        <w:r w:rsidRPr="00976B6A">
          <w:rPr>
            <w:rStyle w:val="Hyperlink"/>
            <w:rFonts w:asciiTheme="minorEastAsia" w:hAnsiTheme="minorEastAsia" w:hint="eastAsia"/>
            <w:noProof/>
          </w:rPr>
          <w:t>（五）本基金法律文件中涉</w:t>
        </w:r>
        <w:r w:rsidRPr="00976B6A">
          <w:rPr>
            <w:rStyle w:val="Hyperlink"/>
            <w:rFonts w:asciiTheme="minorEastAsia" w:hAnsiTheme="minorEastAsia" w:hint="eastAsia"/>
            <w:noProof/>
          </w:rPr>
          <w:t>及基金风险特征的表述与销售机构对基金的风险评级可能不一致的风险</w:t>
        </w:r>
        <w:r>
          <w:rPr>
            <w:noProof/>
            <w:webHidden/>
          </w:rPr>
          <w:tab/>
        </w:r>
        <w:r>
          <w:rPr>
            <w:noProof/>
            <w:webHidden/>
          </w:rPr>
          <w:fldChar w:fldCharType="begin"/>
        </w:r>
        <w:r>
          <w:rPr>
            <w:noProof/>
            <w:webHidden/>
          </w:rPr>
          <w:instrText xml:space="preserve"> PAGEREF _Toc94172481 \h </w:instrText>
        </w:r>
        <w:r>
          <w:rPr>
            <w:noProof/>
            <w:webHidden/>
          </w:rPr>
          <w:fldChar w:fldCharType="separate"/>
        </w:r>
        <w:r w:rsidR="00AF345C">
          <w:rPr>
            <w:noProof/>
            <w:webHidden/>
          </w:rPr>
          <w:t>76</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82" w:history="1">
        <w:r w:rsidRPr="00976B6A">
          <w:rPr>
            <w:rStyle w:val="Hyperlink"/>
            <w:rFonts w:asciiTheme="minorEastAsia" w:hAnsiTheme="minorEastAsia" w:hint="eastAsia"/>
            <w:noProof/>
          </w:rPr>
          <w:t>（六）其他风险</w:t>
        </w:r>
        <w:r>
          <w:rPr>
            <w:noProof/>
            <w:webHidden/>
          </w:rPr>
          <w:tab/>
        </w:r>
        <w:r>
          <w:rPr>
            <w:noProof/>
            <w:webHidden/>
          </w:rPr>
          <w:fldChar w:fldCharType="begin"/>
        </w:r>
        <w:r>
          <w:rPr>
            <w:noProof/>
            <w:webHidden/>
          </w:rPr>
          <w:instrText xml:space="preserve"> PAGEREF _Toc94172482 \h </w:instrText>
        </w:r>
        <w:r>
          <w:rPr>
            <w:noProof/>
            <w:webHidden/>
          </w:rPr>
          <w:fldChar w:fldCharType="separate"/>
        </w:r>
        <w:r w:rsidR="00AF345C">
          <w:rPr>
            <w:noProof/>
            <w:webHidden/>
          </w:rPr>
          <w:t>77</w:t>
        </w:r>
        <w:r>
          <w:rPr>
            <w:noProof/>
            <w:webHidden/>
          </w:rPr>
          <w:fldChar w:fldCharType="end"/>
        </w:r>
      </w:hyperlink>
    </w:p>
    <w:p w:rsidR="00700E3B">
      <w:pPr>
        <w:pStyle w:val="TOC1"/>
        <w:rPr>
          <w:rFonts w:asciiTheme="minorHAnsi" w:eastAsiaTheme="minorEastAsia" w:hAnsiTheme="minorHAnsi" w:cstheme="minorBidi"/>
          <w:caps w:val="0"/>
          <w:color w:val="auto"/>
          <w:sz w:val="21"/>
          <w:szCs w:val="22"/>
        </w:rPr>
      </w:pPr>
      <w:hyperlink w:anchor="_Toc94172483" w:history="1">
        <w:r w:rsidRPr="00976B6A">
          <w:rPr>
            <w:rStyle w:val="Hyperlink"/>
            <w:rFonts w:asciiTheme="minorEastAsia" w:hAnsiTheme="minorEastAsia" w:hint="eastAsia"/>
            <w:b/>
          </w:rPr>
          <w:t>二十一、基金合同的变更、终止与基金财产的清算</w:t>
        </w:r>
        <w:r>
          <w:rPr>
            <w:webHidden/>
          </w:rPr>
          <w:tab/>
        </w:r>
        <w:r>
          <w:rPr>
            <w:webHidden/>
          </w:rPr>
          <w:fldChar w:fldCharType="begin"/>
        </w:r>
        <w:r>
          <w:rPr>
            <w:webHidden/>
          </w:rPr>
          <w:instrText xml:space="preserve"> PAGEREF _Toc94172483 \h </w:instrText>
        </w:r>
        <w:r>
          <w:rPr>
            <w:webHidden/>
          </w:rPr>
          <w:fldChar w:fldCharType="separate"/>
        </w:r>
        <w:r w:rsidR="00AF345C">
          <w:rPr>
            <w:webHidden/>
          </w:rPr>
          <w:t>78</w:t>
        </w:r>
        <w:r>
          <w:rPr>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84" w:history="1">
        <w:r w:rsidRPr="00976B6A">
          <w:rPr>
            <w:rStyle w:val="Hyperlink"/>
            <w:rFonts w:asciiTheme="minorEastAsia" w:hAnsiTheme="minorEastAsia" w:hint="eastAsia"/>
            <w:noProof/>
          </w:rPr>
          <w:t>（一）基金合同的变更</w:t>
        </w:r>
        <w:r>
          <w:rPr>
            <w:noProof/>
            <w:webHidden/>
          </w:rPr>
          <w:tab/>
        </w:r>
        <w:r>
          <w:rPr>
            <w:noProof/>
            <w:webHidden/>
          </w:rPr>
          <w:fldChar w:fldCharType="begin"/>
        </w:r>
        <w:r>
          <w:rPr>
            <w:noProof/>
            <w:webHidden/>
          </w:rPr>
          <w:instrText xml:space="preserve"> PAGEREF _Toc94172484 \h </w:instrText>
        </w:r>
        <w:r>
          <w:rPr>
            <w:noProof/>
            <w:webHidden/>
          </w:rPr>
          <w:fldChar w:fldCharType="separate"/>
        </w:r>
        <w:r w:rsidR="00AF345C">
          <w:rPr>
            <w:noProof/>
            <w:webHidden/>
          </w:rPr>
          <w:t>78</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85" w:history="1">
        <w:r w:rsidRPr="00976B6A">
          <w:rPr>
            <w:rStyle w:val="Hyperlink"/>
            <w:rFonts w:asciiTheme="minorEastAsia" w:hAnsiTheme="minorEastAsia" w:hint="eastAsia"/>
            <w:noProof/>
          </w:rPr>
          <w:t>（二）基金合同的终止</w:t>
        </w:r>
        <w:r>
          <w:rPr>
            <w:noProof/>
            <w:webHidden/>
          </w:rPr>
          <w:tab/>
        </w:r>
        <w:r>
          <w:rPr>
            <w:noProof/>
            <w:webHidden/>
          </w:rPr>
          <w:fldChar w:fldCharType="begin"/>
        </w:r>
        <w:r>
          <w:rPr>
            <w:noProof/>
            <w:webHidden/>
          </w:rPr>
          <w:instrText xml:space="preserve"> PAGEREF _T</w:instrText>
        </w:r>
        <w:r>
          <w:rPr>
            <w:noProof/>
            <w:webHidden/>
          </w:rPr>
          <w:instrText xml:space="preserve">oc94172485 \h </w:instrText>
        </w:r>
        <w:r>
          <w:rPr>
            <w:noProof/>
            <w:webHidden/>
          </w:rPr>
          <w:fldChar w:fldCharType="separate"/>
        </w:r>
        <w:r w:rsidR="00AF345C">
          <w:rPr>
            <w:noProof/>
            <w:webHidden/>
          </w:rPr>
          <w:t>78</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86" w:history="1">
        <w:r w:rsidRPr="00976B6A">
          <w:rPr>
            <w:rStyle w:val="Hyperlink"/>
            <w:rFonts w:asciiTheme="minorEastAsia" w:hAnsiTheme="minorEastAsia" w:hint="eastAsia"/>
            <w:noProof/>
          </w:rPr>
          <w:t>（三）基金财产的清算</w:t>
        </w:r>
        <w:r>
          <w:rPr>
            <w:noProof/>
            <w:webHidden/>
          </w:rPr>
          <w:tab/>
        </w:r>
        <w:r>
          <w:rPr>
            <w:noProof/>
            <w:webHidden/>
          </w:rPr>
          <w:fldChar w:fldCharType="begin"/>
        </w:r>
        <w:r>
          <w:rPr>
            <w:noProof/>
            <w:webHidden/>
          </w:rPr>
          <w:instrText xml:space="preserve"> PAGEREF _Toc94172486 \h </w:instrText>
        </w:r>
        <w:r>
          <w:rPr>
            <w:noProof/>
            <w:webHidden/>
          </w:rPr>
          <w:fldChar w:fldCharType="separate"/>
        </w:r>
        <w:r w:rsidR="00AF345C">
          <w:rPr>
            <w:noProof/>
            <w:webHidden/>
          </w:rPr>
          <w:t>79</w:t>
        </w:r>
        <w:r>
          <w:rPr>
            <w:noProof/>
            <w:webHidden/>
          </w:rPr>
          <w:fldChar w:fldCharType="end"/>
        </w:r>
      </w:hyperlink>
    </w:p>
    <w:p w:rsidR="00700E3B">
      <w:pPr>
        <w:pStyle w:val="TOC1"/>
        <w:rPr>
          <w:rFonts w:asciiTheme="minorHAnsi" w:eastAsiaTheme="minorEastAsia" w:hAnsiTheme="minorHAnsi" w:cstheme="minorBidi"/>
          <w:caps w:val="0"/>
          <w:color w:val="auto"/>
          <w:sz w:val="21"/>
          <w:szCs w:val="22"/>
        </w:rPr>
      </w:pPr>
      <w:hyperlink w:anchor="_Toc94172487" w:history="1">
        <w:r w:rsidRPr="00976B6A">
          <w:rPr>
            <w:rStyle w:val="Hyperlink"/>
            <w:rFonts w:asciiTheme="minorEastAsia" w:hAnsiTheme="minorEastAsia" w:hint="eastAsia"/>
            <w:b/>
          </w:rPr>
          <w:t>二十二、基金合同的内容摘要</w:t>
        </w:r>
        <w:r>
          <w:rPr>
            <w:webHidden/>
          </w:rPr>
          <w:tab/>
        </w:r>
        <w:r>
          <w:rPr>
            <w:webHidden/>
          </w:rPr>
          <w:fldChar w:fldCharType="begin"/>
        </w:r>
        <w:r>
          <w:rPr>
            <w:webHidden/>
          </w:rPr>
          <w:instrText xml:space="preserve"> PAGEREF _Toc94172487 \h </w:instrText>
        </w:r>
        <w:r>
          <w:rPr>
            <w:webHidden/>
          </w:rPr>
          <w:fldChar w:fldCharType="separate"/>
        </w:r>
        <w:r w:rsidR="00AF345C">
          <w:rPr>
            <w:webHidden/>
          </w:rPr>
          <w:t>81</w:t>
        </w:r>
        <w:r>
          <w:rPr>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88" w:history="1">
        <w:r w:rsidRPr="00976B6A">
          <w:rPr>
            <w:rStyle w:val="Hyperlink"/>
            <w:rFonts w:asciiTheme="minorEastAsia" w:hAnsiTheme="minorEastAsia" w:hint="eastAsia"/>
            <w:bCs/>
            <w:noProof/>
          </w:rPr>
          <w:t>（一）基金管理人的权利和义务</w:t>
        </w:r>
        <w:r>
          <w:rPr>
            <w:noProof/>
            <w:webHidden/>
          </w:rPr>
          <w:tab/>
        </w:r>
        <w:r>
          <w:rPr>
            <w:noProof/>
            <w:webHidden/>
          </w:rPr>
          <w:fldChar w:fldCharType="begin"/>
        </w:r>
        <w:r>
          <w:rPr>
            <w:noProof/>
            <w:webHidden/>
          </w:rPr>
          <w:instrText xml:space="preserve"> PAGEREF _Toc94172488 \h </w:instrText>
        </w:r>
        <w:r>
          <w:rPr>
            <w:noProof/>
            <w:webHidden/>
          </w:rPr>
          <w:fldChar w:fldCharType="separate"/>
        </w:r>
        <w:r w:rsidR="00AF345C">
          <w:rPr>
            <w:noProof/>
            <w:webHidden/>
          </w:rPr>
          <w:t>81</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89" w:history="1">
        <w:r w:rsidRPr="00976B6A">
          <w:rPr>
            <w:rStyle w:val="Hyperlink"/>
            <w:rFonts w:asciiTheme="minorEastAsia" w:hAnsiTheme="minorEastAsia" w:hint="eastAsia"/>
            <w:bCs/>
            <w:noProof/>
          </w:rPr>
          <w:t>（二）基金托管人的权利和义务</w:t>
        </w:r>
        <w:r>
          <w:rPr>
            <w:noProof/>
            <w:webHidden/>
          </w:rPr>
          <w:tab/>
        </w:r>
        <w:r>
          <w:rPr>
            <w:noProof/>
            <w:webHidden/>
          </w:rPr>
          <w:fldChar w:fldCharType="begin"/>
        </w:r>
        <w:r>
          <w:rPr>
            <w:noProof/>
            <w:webHidden/>
          </w:rPr>
          <w:instrText xml:space="preserve"> PAGEREF _Toc94172489 \h </w:instrText>
        </w:r>
        <w:r>
          <w:rPr>
            <w:noProof/>
            <w:webHidden/>
          </w:rPr>
          <w:fldChar w:fldCharType="separate"/>
        </w:r>
        <w:r w:rsidR="00AF345C">
          <w:rPr>
            <w:noProof/>
            <w:webHidden/>
          </w:rPr>
          <w:t>83</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90" w:history="1">
        <w:r w:rsidRPr="00976B6A">
          <w:rPr>
            <w:rStyle w:val="Hyperlink"/>
            <w:rFonts w:asciiTheme="minorEastAsia" w:hAnsiTheme="minorEastAsia" w:hint="eastAsia"/>
            <w:bCs/>
            <w:noProof/>
          </w:rPr>
          <w:t>（三）基金份额持有人的权利和义务</w:t>
        </w:r>
        <w:r>
          <w:rPr>
            <w:noProof/>
            <w:webHidden/>
          </w:rPr>
          <w:tab/>
        </w:r>
        <w:r>
          <w:rPr>
            <w:noProof/>
            <w:webHidden/>
          </w:rPr>
          <w:fldChar w:fldCharType="begin"/>
        </w:r>
        <w:r>
          <w:rPr>
            <w:noProof/>
            <w:webHidden/>
          </w:rPr>
          <w:instrText xml:space="preserve"> PAGEREF _Toc94172490 \h </w:instrText>
        </w:r>
        <w:r>
          <w:rPr>
            <w:noProof/>
            <w:webHidden/>
          </w:rPr>
          <w:fldChar w:fldCharType="separate"/>
        </w:r>
        <w:r w:rsidR="00AF345C">
          <w:rPr>
            <w:noProof/>
            <w:webHidden/>
          </w:rPr>
          <w:t>84</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91" w:history="1">
        <w:r w:rsidRPr="00976B6A">
          <w:rPr>
            <w:rStyle w:val="Hyperlink"/>
            <w:rFonts w:asciiTheme="minorEastAsia" w:hAnsiTheme="minorEastAsia" w:hint="eastAsia"/>
            <w:bCs/>
            <w:noProof/>
          </w:rPr>
          <w:t>（四）基金份额持有人大会</w:t>
        </w:r>
        <w:r>
          <w:rPr>
            <w:noProof/>
            <w:webHidden/>
          </w:rPr>
          <w:tab/>
        </w:r>
        <w:r>
          <w:rPr>
            <w:noProof/>
            <w:webHidden/>
          </w:rPr>
          <w:fldChar w:fldCharType="begin"/>
        </w:r>
        <w:r>
          <w:rPr>
            <w:noProof/>
            <w:webHidden/>
          </w:rPr>
          <w:instrText xml:space="preserve"> PAGEREF _Toc94172491 \h </w:instrText>
        </w:r>
        <w:r>
          <w:rPr>
            <w:noProof/>
            <w:webHidden/>
          </w:rPr>
          <w:fldChar w:fldCharType="separate"/>
        </w:r>
        <w:r w:rsidR="00AF345C">
          <w:rPr>
            <w:noProof/>
            <w:webHidden/>
          </w:rPr>
          <w:t>85</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92" w:history="1">
        <w:r w:rsidRPr="00976B6A">
          <w:rPr>
            <w:rStyle w:val="Hyperlink"/>
            <w:rFonts w:asciiTheme="minorEastAsia" w:hAnsiTheme="minorEastAsia" w:hint="eastAsia"/>
            <w:bCs/>
            <w:noProof/>
          </w:rPr>
          <w:t>（五）基金合同解除和终止的事由、程序</w:t>
        </w:r>
        <w:r>
          <w:rPr>
            <w:noProof/>
            <w:webHidden/>
          </w:rPr>
          <w:tab/>
        </w:r>
        <w:r>
          <w:rPr>
            <w:noProof/>
            <w:webHidden/>
          </w:rPr>
          <w:fldChar w:fldCharType="begin"/>
        </w:r>
        <w:r>
          <w:rPr>
            <w:noProof/>
            <w:webHidden/>
          </w:rPr>
          <w:instrText xml:space="preserve"> PAGEREF _Toc94172492 \h </w:instrText>
        </w:r>
        <w:r>
          <w:rPr>
            <w:noProof/>
            <w:webHidden/>
          </w:rPr>
          <w:fldChar w:fldCharType="separate"/>
        </w:r>
        <w:r w:rsidR="00AF345C">
          <w:rPr>
            <w:noProof/>
            <w:webHidden/>
          </w:rPr>
          <w:t>91</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93" w:history="1">
        <w:r w:rsidRPr="00976B6A">
          <w:rPr>
            <w:rStyle w:val="Hyperlink"/>
            <w:rFonts w:asciiTheme="minorEastAsia" w:hAnsiTheme="minorEastAsia" w:hint="eastAsia"/>
            <w:bCs/>
            <w:noProof/>
          </w:rPr>
          <w:t>（六）争议解决方式</w:t>
        </w:r>
        <w:r>
          <w:rPr>
            <w:noProof/>
            <w:webHidden/>
          </w:rPr>
          <w:tab/>
        </w:r>
        <w:r>
          <w:rPr>
            <w:noProof/>
            <w:webHidden/>
          </w:rPr>
          <w:fldChar w:fldCharType="begin"/>
        </w:r>
        <w:r>
          <w:rPr>
            <w:noProof/>
            <w:webHidden/>
          </w:rPr>
          <w:instrText xml:space="preserve"> PAGEREF _Toc94172493 \h </w:instrText>
        </w:r>
        <w:r>
          <w:rPr>
            <w:noProof/>
            <w:webHidden/>
          </w:rPr>
          <w:fldChar w:fldCharType="separate"/>
        </w:r>
        <w:r w:rsidR="00AF345C">
          <w:rPr>
            <w:noProof/>
            <w:webHidden/>
          </w:rPr>
          <w:t>93</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94" w:history="1">
        <w:r w:rsidRPr="00976B6A">
          <w:rPr>
            <w:rStyle w:val="Hyperlink"/>
            <w:rFonts w:asciiTheme="minorEastAsia" w:hAnsiTheme="minorEastAsia" w:hint="eastAsia"/>
            <w:bCs/>
            <w:noProof/>
          </w:rPr>
          <w:t>（七）基金合同存放地和投资者取得基金合同的方式</w:t>
        </w:r>
        <w:r>
          <w:rPr>
            <w:noProof/>
            <w:webHidden/>
          </w:rPr>
          <w:tab/>
        </w:r>
        <w:r>
          <w:rPr>
            <w:noProof/>
            <w:webHidden/>
          </w:rPr>
          <w:fldChar w:fldCharType="begin"/>
        </w:r>
        <w:r>
          <w:rPr>
            <w:noProof/>
            <w:webHidden/>
          </w:rPr>
          <w:instrText xml:space="preserve"> PAGEREF _Toc94172494 \h </w:instrText>
        </w:r>
        <w:r>
          <w:rPr>
            <w:noProof/>
            <w:webHidden/>
          </w:rPr>
          <w:fldChar w:fldCharType="separate"/>
        </w:r>
        <w:r w:rsidR="00AF345C">
          <w:rPr>
            <w:noProof/>
            <w:webHidden/>
          </w:rPr>
          <w:t>93</w:t>
        </w:r>
        <w:r>
          <w:rPr>
            <w:noProof/>
            <w:webHidden/>
          </w:rPr>
          <w:fldChar w:fldCharType="end"/>
        </w:r>
      </w:hyperlink>
    </w:p>
    <w:p w:rsidR="00700E3B">
      <w:pPr>
        <w:pStyle w:val="TOC1"/>
        <w:rPr>
          <w:rFonts w:asciiTheme="minorHAnsi" w:eastAsiaTheme="minorEastAsia" w:hAnsiTheme="minorHAnsi" w:cstheme="minorBidi"/>
          <w:caps w:val="0"/>
          <w:color w:val="auto"/>
          <w:sz w:val="21"/>
          <w:szCs w:val="22"/>
        </w:rPr>
      </w:pPr>
      <w:hyperlink w:anchor="_Toc94172495" w:history="1">
        <w:r w:rsidRPr="00976B6A">
          <w:rPr>
            <w:rStyle w:val="Hyperlink"/>
            <w:rFonts w:asciiTheme="minorEastAsia" w:hAnsiTheme="minorEastAsia" w:hint="eastAsia"/>
            <w:b/>
          </w:rPr>
          <w:t>二十三、基金托管协议的内容摘要</w:t>
        </w:r>
        <w:r>
          <w:rPr>
            <w:webHidden/>
          </w:rPr>
          <w:tab/>
        </w:r>
        <w:r>
          <w:rPr>
            <w:webHidden/>
          </w:rPr>
          <w:fldChar w:fldCharType="begin"/>
        </w:r>
        <w:r>
          <w:rPr>
            <w:webHidden/>
          </w:rPr>
          <w:instrText xml:space="preserve"> PAGEREF _Toc94172495 \h </w:instrText>
        </w:r>
        <w:r>
          <w:rPr>
            <w:webHidden/>
          </w:rPr>
          <w:fldChar w:fldCharType="separate"/>
        </w:r>
        <w:r w:rsidR="00AF345C">
          <w:rPr>
            <w:webHidden/>
          </w:rPr>
          <w:t>94</w:t>
        </w:r>
        <w:r>
          <w:rPr>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96" w:history="1">
        <w:r w:rsidRPr="00976B6A">
          <w:rPr>
            <w:rStyle w:val="Hyperlink"/>
            <w:rFonts w:asciiTheme="minorEastAsia" w:hAnsiTheme="minorEastAsia" w:hint="eastAsia"/>
            <w:bCs/>
            <w:noProof/>
          </w:rPr>
          <w:t>（一）托管协议当事人</w:t>
        </w:r>
        <w:r>
          <w:rPr>
            <w:noProof/>
            <w:webHidden/>
          </w:rPr>
          <w:tab/>
        </w:r>
        <w:r>
          <w:rPr>
            <w:noProof/>
            <w:webHidden/>
          </w:rPr>
          <w:fldChar w:fldCharType="begin"/>
        </w:r>
        <w:r>
          <w:rPr>
            <w:noProof/>
            <w:webHidden/>
          </w:rPr>
          <w:instrText xml:space="preserve"> PAGEREF _Toc94172496 \h </w:instrText>
        </w:r>
        <w:r>
          <w:rPr>
            <w:noProof/>
            <w:webHidden/>
          </w:rPr>
          <w:fldChar w:fldCharType="separate"/>
        </w:r>
        <w:r w:rsidR="00AF345C">
          <w:rPr>
            <w:noProof/>
            <w:webHidden/>
          </w:rPr>
          <w:t>94</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97" w:history="1">
        <w:r w:rsidRPr="00976B6A">
          <w:rPr>
            <w:rStyle w:val="Hyperlink"/>
            <w:rFonts w:asciiTheme="minorEastAsia" w:hAnsiTheme="minorEastAsia" w:hint="eastAsia"/>
            <w:bCs/>
            <w:noProof/>
          </w:rPr>
          <w:t>（二）基金托管人对基金管理人的业务监督、核查</w:t>
        </w:r>
        <w:r>
          <w:rPr>
            <w:noProof/>
            <w:webHidden/>
          </w:rPr>
          <w:tab/>
        </w:r>
        <w:r>
          <w:rPr>
            <w:noProof/>
            <w:webHidden/>
          </w:rPr>
          <w:fldChar w:fldCharType="begin"/>
        </w:r>
        <w:r>
          <w:rPr>
            <w:noProof/>
            <w:webHidden/>
          </w:rPr>
          <w:instrText xml:space="preserve"> PAGEREF _Toc94172497 \h </w:instrText>
        </w:r>
        <w:r>
          <w:rPr>
            <w:noProof/>
            <w:webHidden/>
          </w:rPr>
          <w:fldChar w:fldCharType="separate"/>
        </w:r>
        <w:r w:rsidR="00AF345C">
          <w:rPr>
            <w:noProof/>
            <w:webHidden/>
          </w:rPr>
          <w:t>95</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98" w:history="1">
        <w:r w:rsidRPr="00976B6A">
          <w:rPr>
            <w:rStyle w:val="Hyperlink"/>
            <w:rFonts w:asciiTheme="minorEastAsia" w:hAnsiTheme="minorEastAsia" w:hint="eastAsia"/>
            <w:bCs/>
            <w:noProof/>
          </w:rPr>
          <w:t>（三）基金管理人对基金托管人的业务核查</w:t>
        </w:r>
        <w:r>
          <w:rPr>
            <w:noProof/>
            <w:webHidden/>
          </w:rPr>
          <w:tab/>
        </w:r>
        <w:r>
          <w:rPr>
            <w:noProof/>
            <w:webHidden/>
          </w:rPr>
          <w:fldChar w:fldCharType="begin"/>
        </w:r>
        <w:r>
          <w:rPr>
            <w:noProof/>
            <w:webHidden/>
          </w:rPr>
          <w:instrText xml:space="preserve"> PAGEREF _Toc94172498 \h </w:instrText>
        </w:r>
        <w:r>
          <w:rPr>
            <w:noProof/>
            <w:webHidden/>
          </w:rPr>
          <w:fldChar w:fldCharType="separate"/>
        </w:r>
        <w:r w:rsidR="00AF345C">
          <w:rPr>
            <w:noProof/>
            <w:webHidden/>
          </w:rPr>
          <w:t>100</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499" w:history="1">
        <w:r w:rsidRPr="00976B6A">
          <w:rPr>
            <w:rStyle w:val="Hyperlink"/>
            <w:rFonts w:asciiTheme="minorEastAsia" w:hAnsiTheme="minorEastAsia" w:hint="eastAsia"/>
            <w:bCs/>
            <w:noProof/>
          </w:rPr>
          <w:t>（四）基金财产的保管</w:t>
        </w:r>
        <w:r>
          <w:rPr>
            <w:noProof/>
            <w:webHidden/>
          </w:rPr>
          <w:tab/>
        </w:r>
        <w:r>
          <w:rPr>
            <w:noProof/>
            <w:webHidden/>
          </w:rPr>
          <w:fldChar w:fldCharType="begin"/>
        </w:r>
        <w:r>
          <w:rPr>
            <w:noProof/>
            <w:webHidden/>
          </w:rPr>
          <w:instrText xml:space="preserve"> PAGEREF _Toc94172499 \h </w:instrText>
        </w:r>
        <w:r>
          <w:rPr>
            <w:noProof/>
            <w:webHidden/>
          </w:rPr>
          <w:fldChar w:fldCharType="separate"/>
        </w:r>
        <w:r w:rsidR="00AF345C">
          <w:rPr>
            <w:noProof/>
            <w:webHidden/>
          </w:rPr>
          <w:t>100</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500" w:history="1">
        <w:r w:rsidRPr="00976B6A">
          <w:rPr>
            <w:rStyle w:val="Hyperlink"/>
            <w:rFonts w:asciiTheme="minorEastAsia" w:hAnsiTheme="minorEastAsia" w:hint="eastAsia"/>
            <w:bCs/>
            <w:noProof/>
          </w:rPr>
          <w:t>（五）基金资产净值计算与复核</w:t>
        </w:r>
        <w:r>
          <w:rPr>
            <w:noProof/>
            <w:webHidden/>
          </w:rPr>
          <w:tab/>
        </w:r>
        <w:r>
          <w:rPr>
            <w:noProof/>
            <w:webHidden/>
          </w:rPr>
          <w:fldChar w:fldCharType="begin"/>
        </w:r>
        <w:r>
          <w:rPr>
            <w:noProof/>
            <w:webHidden/>
          </w:rPr>
          <w:instrText xml:space="preserve"> PAGEREF _Toc94172500 \h </w:instrText>
        </w:r>
        <w:r>
          <w:rPr>
            <w:noProof/>
            <w:webHidden/>
          </w:rPr>
          <w:fldChar w:fldCharType="separate"/>
        </w:r>
        <w:r w:rsidR="00AF345C">
          <w:rPr>
            <w:noProof/>
            <w:webHidden/>
          </w:rPr>
          <w:t>103</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501" w:history="1">
        <w:r w:rsidRPr="00976B6A">
          <w:rPr>
            <w:rStyle w:val="Hyperlink"/>
            <w:rFonts w:asciiTheme="minorEastAsia" w:hAnsiTheme="minorEastAsia" w:hint="eastAsia"/>
            <w:bCs/>
            <w:noProof/>
          </w:rPr>
          <w:t>（六）基金份额持有人名册的保管</w:t>
        </w:r>
        <w:r>
          <w:rPr>
            <w:noProof/>
            <w:webHidden/>
          </w:rPr>
          <w:tab/>
        </w:r>
        <w:r>
          <w:rPr>
            <w:noProof/>
            <w:webHidden/>
          </w:rPr>
          <w:fldChar w:fldCharType="begin"/>
        </w:r>
        <w:r>
          <w:rPr>
            <w:noProof/>
            <w:webHidden/>
          </w:rPr>
          <w:instrText xml:space="preserve"> PAGEREF</w:instrText>
        </w:r>
        <w:r>
          <w:rPr>
            <w:noProof/>
            <w:webHidden/>
          </w:rPr>
          <w:instrText xml:space="preserve"> _Toc94172501 \h </w:instrText>
        </w:r>
        <w:r>
          <w:rPr>
            <w:noProof/>
            <w:webHidden/>
          </w:rPr>
          <w:fldChar w:fldCharType="separate"/>
        </w:r>
        <w:r w:rsidR="00AF345C">
          <w:rPr>
            <w:noProof/>
            <w:webHidden/>
          </w:rPr>
          <w:t>106</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502" w:history="1">
        <w:r w:rsidRPr="00976B6A">
          <w:rPr>
            <w:rStyle w:val="Hyperlink"/>
            <w:rFonts w:asciiTheme="minorEastAsia" w:hAnsiTheme="minorEastAsia" w:hint="eastAsia"/>
            <w:bCs/>
            <w:noProof/>
          </w:rPr>
          <w:t>（七）适用法律与争议解决方式</w:t>
        </w:r>
        <w:r>
          <w:rPr>
            <w:noProof/>
            <w:webHidden/>
          </w:rPr>
          <w:tab/>
        </w:r>
        <w:r>
          <w:rPr>
            <w:noProof/>
            <w:webHidden/>
          </w:rPr>
          <w:fldChar w:fldCharType="begin"/>
        </w:r>
        <w:r>
          <w:rPr>
            <w:noProof/>
            <w:webHidden/>
          </w:rPr>
          <w:instrText xml:space="preserve"> PAGEREF _Toc94172502 \h </w:instrText>
        </w:r>
        <w:r>
          <w:rPr>
            <w:noProof/>
            <w:webHidden/>
          </w:rPr>
          <w:fldChar w:fldCharType="separate"/>
        </w:r>
        <w:r w:rsidR="00AF345C">
          <w:rPr>
            <w:noProof/>
            <w:webHidden/>
          </w:rPr>
          <w:t>107</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503" w:history="1">
        <w:r w:rsidRPr="00976B6A">
          <w:rPr>
            <w:rStyle w:val="Hyperlink"/>
            <w:rFonts w:asciiTheme="minorEastAsia" w:hAnsiTheme="minorEastAsia" w:hint="eastAsia"/>
            <w:bCs/>
            <w:noProof/>
          </w:rPr>
          <w:t>（八）托管协议的变更与终止</w:t>
        </w:r>
        <w:r>
          <w:rPr>
            <w:noProof/>
            <w:webHidden/>
          </w:rPr>
          <w:tab/>
        </w:r>
        <w:r>
          <w:rPr>
            <w:noProof/>
            <w:webHidden/>
          </w:rPr>
          <w:fldChar w:fldCharType="begin"/>
        </w:r>
        <w:r>
          <w:rPr>
            <w:noProof/>
            <w:webHidden/>
          </w:rPr>
          <w:instrText xml:space="preserve"> PAGEREF _Toc94172503 \h </w:instrText>
        </w:r>
        <w:r>
          <w:rPr>
            <w:noProof/>
            <w:webHidden/>
          </w:rPr>
          <w:fldChar w:fldCharType="separate"/>
        </w:r>
        <w:r w:rsidR="00AF345C">
          <w:rPr>
            <w:noProof/>
            <w:webHidden/>
          </w:rPr>
          <w:t>107</w:t>
        </w:r>
        <w:r>
          <w:rPr>
            <w:noProof/>
            <w:webHidden/>
          </w:rPr>
          <w:fldChar w:fldCharType="end"/>
        </w:r>
      </w:hyperlink>
    </w:p>
    <w:p w:rsidR="00700E3B">
      <w:pPr>
        <w:pStyle w:val="TOC1"/>
        <w:rPr>
          <w:rFonts w:asciiTheme="minorHAnsi" w:eastAsiaTheme="minorEastAsia" w:hAnsiTheme="minorHAnsi" w:cstheme="minorBidi"/>
          <w:caps w:val="0"/>
          <w:color w:val="auto"/>
          <w:sz w:val="21"/>
          <w:szCs w:val="22"/>
        </w:rPr>
      </w:pPr>
      <w:hyperlink w:anchor="_Toc94172504" w:history="1">
        <w:r w:rsidRPr="00976B6A">
          <w:rPr>
            <w:rStyle w:val="Hyperlink"/>
            <w:rFonts w:asciiTheme="minorEastAsia" w:hAnsiTheme="minorEastAsia" w:hint="eastAsia"/>
            <w:b/>
          </w:rPr>
          <w:t>二十四、对基金份额持有人的服务</w:t>
        </w:r>
        <w:r>
          <w:rPr>
            <w:webHidden/>
          </w:rPr>
          <w:tab/>
        </w:r>
        <w:r>
          <w:rPr>
            <w:webHidden/>
          </w:rPr>
          <w:fldChar w:fldCharType="begin"/>
        </w:r>
        <w:r>
          <w:rPr>
            <w:webHidden/>
          </w:rPr>
          <w:instrText xml:space="preserve"> P</w:instrText>
        </w:r>
        <w:r>
          <w:rPr>
            <w:webHidden/>
          </w:rPr>
          <w:instrText xml:space="preserve">AGEREF _Toc94172504 \h </w:instrText>
        </w:r>
        <w:r>
          <w:rPr>
            <w:webHidden/>
          </w:rPr>
          <w:fldChar w:fldCharType="separate"/>
        </w:r>
        <w:r w:rsidR="00AF345C">
          <w:rPr>
            <w:webHidden/>
          </w:rPr>
          <w:t>108</w:t>
        </w:r>
        <w:r>
          <w:rPr>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505" w:history="1">
        <w:r w:rsidRPr="00976B6A">
          <w:rPr>
            <w:rStyle w:val="Hyperlink"/>
            <w:rFonts w:asciiTheme="minorEastAsia" w:hAnsiTheme="minorEastAsia" w:hint="eastAsia"/>
            <w:bCs/>
            <w:noProof/>
          </w:rPr>
          <w:t>（一）基金份额持有人投资交易确认服务</w:t>
        </w:r>
        <w:r>
          <w:rPr>
            <w:noProof/>
            <w:webHidden/>
          </w:rPr>
          <w:tab/>
        </w:r>
        <w:r>
          <w:rPr>
            <w:noProof/>
            <w:webHidden/>
          </w:rPr>
          <w:fldChar w:fldCharType="begin"/>
        </w:r>
        <w:r>
          <w:rPr>
            <w:noProof/>
            <w:webHidden/>
          </w:rPr>
          <w:instrText xml:space="preserve"> PAGEREF _Toc94172505 \h </w:instrText>
        </w:r>
        <w:r>
          <w:rPr>
            <w:noProof/>
            <w:webHidden/>
          </w:rPr>
          <w:fldChar w:fldCharType="separate"/>
        </w:r>
        <w:r w:rsidR="00AF345C">
          <w:rPr>
            <w:noProof/>
            <w:webHidden/>
          </w:rPr>
          <w:t>108</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506" w:history="1">
        <w:r w:rsidRPr="00976B6A">
          <w:rPr>
            <w:rStyle w:val="Hyperlink"/>
            <w:rFonts w:asciiTheme="minorEastAsia" w:hAnsiTheme="minorEastAsia" w:hint="eastAsia"/>
            <w:bCs/>
            <w:noProof/>
          </w:rPr>
          <w:t>（二）基金份额持有人交易记录查询服务</w:t>
        </w:r>
        <w:r>
          <w:rPr>
            <w:noProof/>
            <w:webHidden/>
          </w:rPr>
          <w:tab/>
        </w:r>
        <w:r>
          <w:rPr>
            <w:noProof/>
            <w:webHidden/>
          </w:rPr>
          <w:fldChar w:fldCharType="begin"/>
        </w:r>
        <w:r>
          <w:rPr>
            <w:noProof/>
            <w:webHidden/>
          </w:rPr>
          <w:instrText xml:space="preserve"> PAGEREF _Toc94172506 \h </w:instrText>
        </w:r>
        <w:r>
          <w:rPr>
            <w:noProof/>
            <w:webHidden/>
          </w:rPr>
          <w:fldChar w:fldCharType="separate"/>
        </w:r>
        <w:r w:rsidR="00AF345C">
          <w:rPr>
            <w:noProof/>
            <w:webHidden/>
          </w:rPr>
          <w:t>108</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507" w:history="1">
        <w:r w:rsidRPr="00976B6A">
          <w:rPr>
            <w:rStyle w:val="Hyperlink"/>
            <w:rFonts w:asciiTheme="minorEastAsia" w:hAnsiTheme="minorEastAsia" w:hint="eastAsia"/>
            <w:bCs/>
            <w:noProof/>
          </w:rPr>
          <w:t>（三）基金份额持有人的对账单服务</w:t>
        </w:r>
        <w:r>
          <w:rPr>
            <w:noProof/>
            <w:webHidden/>
          </w:rPr>
          <w:tab/>
        </w:r>
        <w:r>
          <w:rPr>
            <w:noProof/>
            <w:webHidden/>
          </w:rPr>
          <w:fldChar w:fldCharType="begin"/>
        </w:r>
        <w:r>
          <w:rPr>
            <w:noProof/>
            <w:webHidden/>
          </w:rPr>
          <w:instrText xml:space="preserve"> PAGEREF _Toc94172507 \h </w:instrText>
        </w:r>
        <w:r>
          <w:rPr>
            <w:noProof/>
            <w:webHidden/>
          </w:rPr>
          <w:fldChar w:fldCharType="separate"/>
        </w:r>
        <w:r w:rsidR="00AF345C">
          <w:rPr>
            <w:noProof/>
            <w:webHidden/>
          </w:rPr>
          <w:t>108</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508" w:history="1">
        <w:r w:rsidRPr="00976B6A">
          <w:rPr>
            <w:rStyle w:val="Hyperlink"/>
            <w:rFonts w:asciiTheme="minorEastAsia" w:hAnsiTheme="minorEastAsia" w:hint="eastAsia"/>
            <w:bCs/>
            <w:noProof/>
          </w:rPr>
          <w:t>（四）定期定额投资计划</w:t>
        </w:r>
        <w:r>
          <w:rPr>
            <w:noProof/>
            <w:webHidden/>
          </w:rPr>
          <w:tab/>
        </w:r>
        <w:r>
          <w:rPr>
            <w:noProof/>
            <w:webHidden/>
          </w:rPr>
          <w:fldChar w:fldCharType="begin"/>
        </w:r>
        <w:r>
          <w:rPr>
            <w:noProof/>
            <w:webHidden/>
          </w:rPr>
          <w:instrText xml:space="preserve"> PAGEREF _Toc94172508 \h </w:instrText>
        </w:r>
        <w:r>
          <w:rPr>
            <w:noProof/>
            <w:webHidden/>
          </w:rPr>
          <w:fldChar w:fldCharType="separate"/>
        </w:r>
        <w:r w:rsidR="00AF345C">
          <w:rPr>
            <w:noProof/>
            <w:webHidden/>
          </w:rPr>
          <w:t>108</w:t>
        </w:r>
        <w:r>
          <w:rPr>
            <w:noProof/>
            <w:webHidden/>
          </w:rPr>
          <w:fldChar w:fldCharType="end"/>
        </w:r>
      </w:hyperlink>
    </w:p>
    <w:p w:rsidR="00700E3B">
      <w:pPr>
        <w:pStyle w:val="TOC2"/>
        <w:tabs>
          <w:tab w:val="right" w:leader="dot" w:pos="8268"/>
        </w:tabs>
        <w:ind w:firstLine="420"/>
        <w:rPr>
          <w:rFonts w:asciiTheme="minorHAnsi" w:eastAsiaTheme="minorEastAsia" w:hAnsiTheme="minorHAnsi" w:cstheme="minorBidi"/>
          <w:smallCaps w:val="0"/>
          <w:noProof/>
          <w:szCs w:val="22"/>
        </w:rPr>
      </w:pPr>
      <w:hyperlink w:anchor="_Toc94172509" w:history="1">
        <w:r w:rsidRPr="00976B6A">
          <w:rPr>
            <w:rStyle w:val="Hyperlink"/>
            <w:rFonts w:asciiTheme="minorEastAsia" w:hAnsiTheme="minorEastAsia" w:hint="eastAsia"/>
            <w:bCs/>
            <w:noProof/>
          </w:rPr>
          <w:t>（五）资讯服务</w:t>
        </w:r>
        <w:r>
          <w:rPr>
            <w:noProof/>
            <w:webHidden/>
          </w:rPr>
          <w:tab/>
        </w:r>
        <w:r>
          <w:rPr>
            <w:noProof/>
            <w:webHidden/>
          </w:rPr>
          <w:fldChar w:fldCharType="begin"/>
        </w:r>
        <w:r>
          <w:rPr>
            <w:noProof/>
            <w:webHidden/>
          </w:rPr>
          <w:instrText xml:space="preserve"> PAGEREF _Toc94172509 \h </w:instrText>
        </w:r>
        <w:r>
          <w:rPr>
            <w:noProof/>
            <w:webHidden/>
          </w:rPr>
          <w:fldChar w:fldCharType="separate"/>
        </w:r>
        <w:r w:rsidR="00AF345C">
          <w:rPr>
            <w:noProof/>
            <w:webHidden/>
          </w:rPr>
          <w:t>108</w:t>
        </w:r>
        <w:r>
          <w:rPr>
            <w:noProof/>
            <w:webHidden/>
          </w:rPr>
          <w:fldChar w:fldCharType="end"/>
        </w:r>
      </w:hyperlink>
    </w:p>
    <w:p w:rsidR="00700E3B">
      <w:pPr>
        <w:pStyle w:val="TOC1"/>
        <w:rPr>
          <w:rFonts w:asciiTheme="minorHAnsi" w:eastAsiaTheme="minorEastAsia" w:hAnsiTheme="minorHAnsi" w:cstheme="minorBidi"/>
          <w:caps w:val="0"/>
          <w:color w:val="auto"/>
          <w:sz w:val="21"/>
          <w:szCs w:val="22"/>
        </w:rPr>
      </w:pPr>
      <w:hyperlink w:anchor="_Toc94172510" w:history="1">
        <w:r w:rsidRPr="00976B6A">
          <w:rPr>
            <w:rStyle w:val="Hyperlink"/>
            <w:rFonts w:asciiTheme="minorEastAsia" w:hAnsiTheme="minorEastAsia" w:hint="eastAsia"/>
            <w:b/>
          </w:rPr>
          <w:t>二十五、其他应披露事项</w:t>
        </w:r>
        <w:r>
          <w:rPr>
            <w:webHidden/>
          </w:rPr>
          <w:tab/>
        </w:r>
        <w:r>
          <w:rPr>
            <w:webHidden/>
          </w:rPr>
          <w:fldChar w:fldCharType="begin"/>
        </w:r>
        <w:r>
          <w:rPr>
            <w:webHidden/>
          </w:rPr>
          <w:instrText xml:space="preserve"> PAGEREF _Toc94172510 \h </w:instrText>
        </w:r>
        <w:r>
          <w:rPr>
            <w:webHidden/>
          </w:rPr>
          <w:fldChar w:fldCharType="separate"/>
        </w:r>
        <w:r w:rsidR="00AF345C">
          <w:rPr>
            <w:webHidden/>
          </w:rPr>
          <w:t>109</w:t>
        </w:r>
        <w:r>
          <w:rPr>
            <w:webHidden/>
          </w:rPr>
          <w:fldChar w:fldCharType="end"/>
        </w:r>
      </w:hyperlink>
    </w:p>
    <w:p w:rsidR="00700E3B">
      <w:pPr>
        <w:pStyle w:val="TOC1"/>
        <w:rPr>
          <w:rFonts w:asciiTheme="minorHAnsi" w:eastAsiaTheme="minorEastAsia" w:hAnsiTheme="minorHAnsi" w:cstheme="minorBidi"/>
          <w:caps w:val="0"/>
          <w:color w:val="auto"/>
          <w:sz w:val="21"/>
          <w:szCs w:val="22"/>
        </w:rPr>
      </w:pPr>
      <w:hyperlink w:anchor="_Toc94172511" w:history="1">
        <w:r w:rsidRPr="00976B6A">
          <w:rPr>
            <w:rStyle w:val="Hyperlink"/>
            <w:rFonts w:asciiTheme="minorEastAsia" w:hAnsiTheme="minorEastAsia" w:hint="eastAsia"/>
            <w:b/>
          </w:rPr>
          <w:t>二十六、招募说明书的存放及查阅方式</w:t>
        </w:r>
        <w:r>
          <w:rPr>
            <w:webHidden/>
          </w:rPr>
          <w:tab/>
        </w:r>
        <w:r>
          <w:rPr>
            <w:webHidden/>
          </w:rPr>
          <w:fldChar w:fldCharType="begin"/>
        </w:r>
        <w:r>
          <w:rPr>
            <w:webHidden/>
          </w:rPr>
          <w:instrText xml:space="preserve"> PAGEREF _Toc94172511 \h </w:instrText>
        </w:r>
        <w:r>
          <w:rPr>
            <w:webHidden/>
          </w:rPr>
          <w:fldChar w:fldCharType="separate"/>
        </w:r>
        <w:r w:rsidR="00AF345C">
          <w:rPr>
            <w:webHidden/>
          </w:rPr>
          <w:t>110</w:t>
        </w:r>
        <w:r>
          <w:rPr>
            <w:webHidden/>
          </w:rPr>
          <w:fldChar w:fldCharType="end"/>
        </w:r>
      </w:hyperlink>
    </w:p>
    <w:p w:rsidR="00700E3B">
      <w:pPr>
        <w:pStyle w:val="TOC1"/>
        <w:rPr>
          <w:rFonts w:asciiTheme="minorHAnsi" w:eastAsiaTheme="minorEastAsia" w:hAnsiTheme="minorHAnsi" w:cstheme="minorBidi"/>
          <w:caps w:val="0"/>
          <w:color w:val="auto"/>
          <w:sz w:val="21"/>
          <w:szCs w:val="22"/>
        </w:rPr>
      </w:pPr>
      <w:hyperlink w:anchor="_Toc94172512" w:history="1">
        <w:r w:rsidRPr="00976B6A">
          <w:rPr>
            <w:rStyle w:val="Hyperlink"/>
            <w:rFonts w:asciiTheme="minorEastAsia" w:hAnsiTheme="minorEastAsia" w:hint="eastAsia"/>
            <w:b/>
          </w:rPr>
          <w:t>二十七、备查文件</w:t>
        </w:r>
        <w:r>
          <w:rPr>
            <w:webHidden/>
          </w:rPr>
          <w:tab/>
        </w:r>
        <w:r>
          <w:rPr>
            <w:webHidden/>
          </w:rPr>
          <w:fldChar w:fldCharType="begin"/>
        </w:r>
        <w:r>
          <w:rPr>
            <w:webHidden/>
          </w:rPr>
          <w:instrText xml:space="preserve"> PAGEREF _Toc94172512 \h </w:instrText>
        </w:r>
        <w:r>
          <w:rPr>
            <w:webHidden/>
          </w:rPr>
          <w:fldChar w:fldCharType="separate"/>
        </w:r>
        <w:r w:rsidR="00AF345C">
          <w:rPr>
            <w:webHidden/>
          </w:rPr>
          <w:t>111</w:t>
        </w:r>
        <w:r>
          <w:rPr>
            <w:webHidden/>
          </w:rPr>
          <w:fldChar w:fldCharType="end"/>
        </w:r>
      </w:hyperlink>
    </w:p>
    <w:p w:rsidR="00BA4B87" w:rsidRPr="005A7DE6" w:rsidP="00202C24">
      <w:pPr>
        <w:pStyle w:val="TOC1"/>
        <w:snapToGrid w:val="0"/>
        <w:spacing w:line="360" w:lineRule="auto"/>
        <w:rPr>
          <w:rFonts w:asciiTheme="minorEastAsia" w:eastAsiaTheme="minorEastAsia" w:hAnsiTheme="minorEastAsia"/>
          <w:color w:val="000000" w:themeColor="text1"/>
        </w:rPr>
        <w:sectPr>
          <w:footerReference w:type="default" r:id="rId11"/>
          <w:pgSz w:w="11906" w:h="16838" w:code="9"/>
          <w:pgMar w:top="1701" w:right="1814" w:bottom="1701" w:left="1814" w:header="1134" w:footer="1247" w:gutter="0"/>
          <w:pgNumType w:fmt="upperRoman" w:start="1"/>
          <w:cols w:space="720"/>
          <w:docGrid w:type="lines" w:linePitch="447"/>
        </w:sectPr>
      </w:pPr>
      <w:r w:rsidRPr="005A7DE6">
        <w:rPr>
          <w:rStyle w:val="Hyperlink"/>
          <w:rFonts w:asciiTheme="minorEastAsia" w:eastAsiaTheme="minorEastAsia" w:hAnsiTheme="minorEastAsia"/>
          <w:color w:val="000000" w:themeColor="text1"/>
          <w:u w:val="none"/>
        </w:rPr>
        <w:fldChar w:fldCharType="end"/>
      </w:r>
    </w:p>
    <w:p w:rsidR="00BA4B87" w:rsidRPr="005A7DE6" w:rsidP="009E54EE">
      <w:pPr>
        <w:pStyle w:val="111"/>
        <w:pageBreakBefore w:val="0"/>
        <w:snapToGrid w:val="0"/>
        <w:spacing w:beforeLines="0" w:afterLines="0" w:line="360" w:lineRule="auto"/>
        <w:ind w:firstLine="0" w:firstLineChars="0"/>
        <w:rPr>
          <w:rFonts w:asciiTheme="minorEastAsia" w:eastAsiaTheme="minorEastAsia" w:hAnsiTheme="minorEastAsia"/>
          <w:b/>
          <w:color w:val="000000" w:themeColor="text1"/>
          <w:sz w:val="30"/>
        </w:rPr>
      </w:pPr>
      <w:bookmarkStart w:id="1" w:name="_Toc94172375"/>
      <w:r w:rsidRPr="005A7DE6">
        <w:rPr>
          <w:rFonts w:asciiTheme="minorEastAsia" w:eastAsiaTheme="minorEastAsia" w:hAnsiTheme="minorEastAsia"/>
          <w:b/>
          <w:color w:val="000000" w:themeColor="text1"/>
          <w:sz w:val="30"/>
        </w:rPr>
        <w:t>一、绪言</w:t>
      </w:r>
      <w:bookmarkEnd w:id="1"/>
    </w:p>
    <w:p w:rsidR="00BA4B87" w:rsidRPr="005A7DE6" w:rsidP="006B758F">
      <w:pPr>
        <w:autoSpaceDE w:val="0"/>
        <w:autoSpaceDN w:val="0"/>
        <w:adjustRightInd w:val="0"/>
        <w:snapToGrid w:val="0"/>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本招募说明书依据《中华人民共和国证券投资基金法》</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以下简称《基金法》</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、《证券投资基金运作管理办法》</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以下简称《运作办法》</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、《证券投资基金销售管理办法》</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以下简称《销售办法》</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w:t>
      </w:r>
      <w:r w:rsidRPr="005A7DE6" w:rsidR="006E73AA">
        <w:rPr>
          <w:rFonts w:asciiTheme="minorEastAsia" w:eastAsiaTheme="minorEastAsia" w:hAnsiTheme="minorEastAsia" w:hint="eastAsia"/>
          <w:bCs/>
          <w:color w:val="000000" w:themeColor="text1"/>
        </w:rPr>
        <w:t>公开募集</w:t>
      </w:r>
      <w:r w:rsidRPr="005A7DE6">
        <w:rPr>
          <w:rFonts w:asciiTheme="minorEastAsia" w:eastAsiaTheme="minorEastAsia" w:hAnsiTheme="minorEastAsia"/>
          <w:color w:val="000000" w:themeColor="text1"/>
        </w:rPr>
        <w:t>证券投资基金信息披露管理办法》</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以下简称《信息披露办法》</w:t>
      </w:r>
      <w:r w:rsidRPr="005A7DE6" w:rsidR="005B19FC">
        <w:rPr>
          <w:rFonts w:asciiTheme="minorEastAsia" w:eastAsiaTheme="minorEastAsia" w:hAnsiTheme="minorEastAsia"/>
          <w:color w:val="000000" w:themeColor="text1"/>
        </w:rPr>
        <w:t>）</w:t>
      </w:r>
      <w:r w:rsidRPr="005A7DE6" w:rsidR="00473CDB">
        <w:rPr>
          <w:rFonts w:asciiTheme="minorEastAsia" w:eastAsiaTheme="minorEastAsia" w:hAnsiTheme="minorEastAsia" w:hint="eastAsia"/>
          <w:color w:val="000000" w:themeColor="text1"/>
        </w:rPr>
        <w:t>、《公开募集开放式证券投资基金流动性风险管理规定》（以下简称“《管理规定》”）</w:t>
      </w:r>
      <w:r w:rsidRPr="005A7DE6">
        <w:rPr>
          <w:rFonts w:asciiTheme="minorEastAsia" w:eastAsiaTheme="minorEastAsia" w:hAnsiTheme="minorEastAsia"/>
          <w:color w:val="000000" w:themeColor="text1"/>
        </w:rPr>
        <w:t>、《证券投资基金信息披露内容与格式准则第</w:t>
      </w:r>
      <w:r w:rsidRPr="005A7DE6">
        <w:rPr>
          <w:rFonts w:asciiTheme="minorEastAsia" w:eastAsiaTheme="minorEastAsia" w:hAnsiTheme="minorEastAsia"/>
          <w:color w:val="000000" w:themeColor="text1"/>
        </w:rPr>
        <w:t>5</w:t>
      </w:r>
      <w:r w:rsidRPr="005A7DE6">
        <w:rPr>
          <w:rFonts w:asciiTheme="minorEastAsia" w:eastAsiaTheme="minorEastAsia" w:hAnsiTheme="minorEastAsia"/>
          <w:color w:val="000000" w:themeColor="text1"/>
        </w:rPr>
        <w:t>号</w:t>
      </w:r>
      <w:r w:rsidRPr="005A7DE6">
        <w:rPr>
          <w:rFonts w:asciiTheme="minorEastAsia" w:eastAsiaTheme="minorEastAsia" w:hAnsiTheme="minorEastAsia"/>
          <w:color w:val="000000" w:themeColor="text1"/>
        </w:rPr>
        <w:t>&lt;</w:t>
      </w:r>
      <w:r w:rsidRPr="005A7DE6">
        <w:rPr>
          <w:rFonts w:asciiTheme="minorEastAsia" w:eastAsiaTheme="minorEastAsia" w:hAnsiTheme="minorEastAsia"/>
          <w:color w:val="000000" w:themeColor="text1"/>
        </w:rPr>
        <w:t>招募说明书的内容与格式</w:t>
      </w:r>
      <w:r w:rsidRPr="005A7DE6">
        <w:rPr>
          <w:rFonts w:asciiTheme="minorEastAsia" w:eastAsiaTheme="minorEastAsia" w:hAnsiTheme="minorEastAsia"/>
          <w:color w:val="000000" w:themeColor="text1"/>
        </w:rPr>
        <w:t>&gt;</w:t>
      </w:r>
      <w:r w:rsidRPr="005A7DE6">
        <w:rPr>
          <w:rFonts w:asciiTheme="minorEastAsia" w:eastAsiaTheme="minorEastAsia" w:hAnsiTheme="minorEastAsia"/>
          <w:color w:val="000000" w:themeColor="text1"/>
        </w:rPr>
        <w:t>》、《</w:t>
      </w:r>
      <w:r w:rsidRPr="005A7DE6" w:rsidR="00E96DFD">
        <w:rPr>
          <w:rFonts w:asciiTheme="minorEastAsia" w:eastAsiaTheme="minorEastAsia" w:hAnsiTheme="minorEastAsia"/>
          <w:color w:val="000000" w:themeColor="text1"/>
        </w:rPr>
        <w:t>易方达纯债债券型证券投资基金</w:t>
      </w:r>
      <w:r w:rsidRPr="005A7DE6">
        <w:rPr>
          <w:rFonts w:asciiTheme="minorEastAsia" w:eastAsiaTheme="minorEastAsia" w:hAnsiTheme="minorEastAsia"/>
          <w:color w:val="000000" w:themeColor="text1"/>
        </w:rPr>
        <w:t>基金合同》</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以下简称基金合同</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及其它有关规定等编写。</w:t>
      </w:r>
    </w:p>
    <w:p w:rsidR="00BA4B87" w:rsidRPr="005A7DE6" w:rsidP="006B758F">
      <w:pPr>
        <w:snapToGrid w:val="0"/>
        <w:spacing w:line="360" w:lineRule="auto"/>
        <w:ind w:firstLine="482"/>
        <w:rPr>
          <w:rFonts w:asciiTheme="minorEastAsia" w:eastAsiaTheme="minorEastAsia" w:hAnsiTheme="minorEastAsia"/>
          <w:color w:val="000000" w:themeColor="text1"/>
        </w:rPr>
      </w:pPr>
      <w:r w:rsidRPr="005A7DE6">
        <w:rPr>
          <w:rStyle w:val="da"/>
          <w:rFonts w:asciiTheme="minorEastAsia" w:eastAsiaTheme="minorEastAsia" w:hAnsiTheme="minorEastAsia"/>
          <w:color w:val="000000" w:themeColor="text1"/>
        </w:rPr>
        <w:t>基金管理人承诺本招募说明书不存在任何虚假记载、误导性陈述或者重大遗漏</w:t>
      </w:r>
      <w:r w:rsidRPr="005A7DE6">
        <w:rPr>
          <w:rStyle w:val="da"/>
          <w:rFonts w:asciiTheme="minorEastAsia" w:eastAsiaTheme="minorEastAsia" w:hAnsiTheme="minorEastAsia"/>
          <w:color w:val="000000" w:themeColor="text1"/>
        </w:rPr>
        <w:t>,</w:t>
      </w:r>
      <w:r w:rsidRPr="005A7DE6">
        <w:rPr>
          <w:rStyle w:val="da"/>
          <w:rFonts w:asciiTheme="minorEastAsia" w:eastAsiaTheme="minorEastAsia" w:hAnsiTheme="minorEastAsia"/>
          <w:color w:val="000000" w:themeColor="text1"/>
        </w:rPr>
        <w:t>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BA4B87" w:rsidRPr="005A7DE6" w:rsidP="006B758F">
      <w:pPr>
        <w:snapToGrid w:val="0"/>
        <w:spacing w:line="360" w:lineRule="auto"/>
        <w:ind w:firstLine="482"/>
        <w:rPr>
          <w:rStyle w:val="da"/>
          <w:rFonts w:asciiTheme="minorEastAsia" w:eastAsiaTheme="minorEastAsia" w:hAnsiTheme="minorEastAsia"/>
          <w:color w:val="000000" w:themeColor="text1"/>
        </w:rPr>
      </w:pPr>
      <w:r w:rsidRPr="005A7DE6">
        <w:rPr>
          <w:rStyle w:val="da"/>
          <w:rFonts w:asciiTheme="minorEastAsia" w:eastAsiaTheme="minorEastAsia" w:hAnsiTheme="minorEastAsia"/>
          <w:color w:val="000000" w:themeColor="text1"/>
        </w:rPr>
        <w:t>本招募说明书根据本基金的基金合同编写，并经中国证监会核准。基金合同是约定基金当事人之间权利、义务的法律文件。基金投资人自依基金合同取得基金份额，即成为基金份额持有人和基金合同的当事人，其持有</w:t>
      </w:r>
      <w:r w:rsidRPr="005A7DE6">
        <w:rPr>
          <w:rStyle w:val="da"/>
          <w:rFonts w:asciiTheme="minorEastAsia" w:eastAsiaTheme="minorEastAsia" w:hAnsiTheme="minorEastAsia"/>
          <w:color w:val="000000" w:themeColor="text1"/>
        </w:rPr>
        <w:t>基金份额的行为本身即表明其对基金合同的承认和接受，并按照《基金法》、基金合同及其他有关规定享有权利、承担义务。基金投资人欲了解基金份额持有人的权利和义务，应详细查阅基金合同。</w:t>
      </w:r>
    </w:p>
    <w:p w:rsidR="00BA4B87" w:rsidRPr="005A7DE6" w:rsidP="006B758F">
      <w:pPr>
        <w:snapToGrid w:val="0"/>
        <w:spacing w:line="360" w:lineRule="auto"/>
        <w:ind w:firstLine="482"/>
        <w:rPr>
          <w:rFonts w:asciiTheme="minorEastAsia" w:eastAsiaTheme="minorEastAsia" w:hAnsiTheme="minorEastAsia"/>
          <w:color w:val="000000" w:themeColor="text1"/>
        </w:rPr>
      </w:pPr>
    </w:p>
    <w:p w:rsidR="00BA4B87" w:rsidRPr="005A7DE6" w:rsidP="006B758F">
      <w:pPr>
        <w:snapToGrid w:val="0"/>
        <w:spacing w:line="360" w:lineRule="auto"/>
        <w:ind w:firstLine="482"/>
        <w:rPr>
          <w:rFonts w:asciiTheme="minorEastAsia" w:eastAsiaTheme="minorEastAsia" w:hAnsiTheme="minorEastAsia"/>
          <w:color w:val="000000" w:themeColor="text1"/>
        </w:rPr>
      </w:pPr>
    </w:p>
    <w:p w:rsidR="00AF345C">
      <w:pPr>
        <w:widowControl/>
        <w:jc w:val="left"/>
        <w:rPr>
          <w:rFonts w:asciiTheme="minorEastAsia" w:eastAsiaTheme="minorEastAsia" w:hAnsiTheme="minorEastAsia"/>
          <w:b/>
          <w:color w:val="000000" w:themeColor="text1"/>
          <w:sz w:val="30"/>
          <w:szCs w:val="20"/>
        </w:rPr>
      </w:pPr>
      <w:bookmarkStart w:id="2" w:name="_Toc94172376"/>
      <w:r>
        <w:rPr>
          <w:rFonts w:asciiTheme="minorEastAsia" w:eastAsiaTheme="minorEastAsia" w:hAnsiTheme="minorEastAsia"/>
          <w:b/>
          <w:color w:val="000000" w:themeColor="text1"/>
          <w:sz w:val="30"/>
        </w:rPr>
        <w:br w:type="page"/>
      </w:r>
    </w:p>
    <w:p w:rsidR="00BA4B87" w:rsidRPr="005A7DE6" w:rsidP="006B758F">
      <w:pPr>
        <w:pStyle w:val="111"/>
        <w:pageBreakBefore w:val="0"/>
        <w:snapToGrid w:val="0"/>
        <w:spacing w:beforeLines="0" w:afterLines="0" w:line="360" w:lineRule="auto"/>
        <w:ind w:firstLine="602"/>
        <w:rPr>
          <w:rFonts w:asciiTheme="minorEastAsia" w:eastAsiaTheme="minorEastAsia" w:hAnsiTheme="minorEastAsia"/>
          <w:b/>
          <w:color w:val="000000" w:themeColor="text1"/>
          <w:sz w:val="30"/>
        </w:rPr>
      </w:pPr>
      <w:r w:rsidRPr="005A7DE6">
        <w:rPr>
          <w:rFonts w:asciiTheme="minorEastAsia" w:eastAsiaTheme="minorEastAsia" w:hAnsiTheme="minorEastAsia"/>
          <w:b/>
          <w:color w:val="000000" w:themeColor="text1"/>
          <w:sz w:val="30"/>
        </w:rPr>
        <w:t>二、释义</w:t>
      </w:r>
      <w:bookmarkEnd w:id="2"/>
    </w:p>
    <w:p w:rsidR="00BA4B87" w:rsidRPr="005A7DE6" w:rsidP="006B758F">
      <w:pPr>
        <w:snapToGrid w:val="0"/>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本招募说明书中除非文意另有所指，下列词语有如下含义：</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w:t>
      </w:r>
      <w:r w:rsidRPr="005A7DE6">
        <w:rPr>
          <w:rFonts w:asciiTheme="minorEastAsia" w:eastAsiaTheme="minorEastAsia" w:hAnsiTheme="minorEastAsia"/>
          <w:color w:val="000000" w:themeColor="text1"/>
        </w:rPr>
        <w:t>、基金或本基金：指易方达纯债债券型证券投资基金</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w:t>
      </w:r>
      <w:r w:rsidRPr="005A7DE6">
        <w:rPr>
          <w:rFonts w:asciiTheme="minorEastAsia" w:eastAsiaTheme="minorEastAsia" w:hAnsiTheme="minorEastAsia"/>
          <w:color w:val="000000" w:themeColor="text1"/>
        </w:rPr>
        <w:t>、基金管理人：指易方达基金管理有限公司</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w:t>
      </w:r>
      <w:r w:rsidRPr="005A7DE6">
        <w:rPr>
          <w:rFonts w:asciiTheme="minorEastAsia" w:eastAsiaTheme="minorEastAsia" w:hAnsiTheme="minorEastAsia"/>
          <w:color w:val="000000" w:themeColor="text1"/>
        </w:rPr>
        <w:t>、基金托管人：指招商银行股份有限公司</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w:t>
      </w:r>
      <w:r w:rsidRPr="005A7DE6">
        <w:rPr>
          <w:rFonts w:asciiTheme="minorEastAsia" w:eastAsiaTheme="minorEastAsia" w:hAnsiTheme="minorEastAsia"/>
          <w:color w:val="000000" w:themeColor="text1"/>
        </w:rPr>
        <w:t>、基金合同</w:t>
      </w:r>
      <w:r w:rsidRPr="005A7DE6" w:rsidR="00D019DA">
        <w:rPr>
          <w:rFonts w:asciiTheme="minorEastAsia" w:eastAsiaTheme="minorEastAsia" w:hAnsiTheme="minorEastAsia"/>
          <w:color w:val="000000" w:themeColor="text1"/>
        </w:rPr>
        <w:t>：指《易方达纯债债券型证券投资基金基金合同》及对</w:t>
      </w:r>
      <w:r w:rsidRPr="005A7DE6">
        <w:rPr>
          <w:rFonts w:asciiTheme="minorEastAsia" w:eastAsiaTheme="minorEastAsia" w:hAnsiTheme="minorEastAsia"/>
          <w:color w:val="000000" w:themeColor="text1"/>
        </w:rPr>
        <w:t>基金合同的任何有效修订和补充</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w:t>
      </w:r>
      <w:r w:rsidRPr="005A7DE6">
        <w:rPr>
          <w:rFonts w:asciiTheme="minorEastAsia" w:eastAsiaTheme="minorEastAsia" w:hAnsiTheme="minorEastAsia"/>
          <w:color w:val="000000" w:themeColor="text1"/>
        </w:rPr>
        <w:t>、托管协议：指基金管理人与基金托管人就本基金签订之《易方达纯债债券型证券投资基金托管协议》及对该托管协议的任何有效修订和补充</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6</w:t>
      </w:r>
      <w:r w:rsidRPr="005A7DE6">
        <w:rPr>
          <w:rFonts w:asciiTheme="minorEastAsia" w:eastAsiaTheme="minorEastAsia" w:hAnsiTheme="minorEastAsia"/>
          <w:color w:val="000000" w:themeColor="text1"/>
        </w:rPr>
        <w:t>、招募说明书</w:t>
      </w:r>
      <w:r w:rsidRPr="005A7DE6" w:rsidR="00B361B2">
        <w:rPr>
          <w:rFonts w:asciiTheme="minorEastAsia" w:eastAsiaTheme="minorEastAsia" w:hAnsiTheme="minorEastAsia"/>
          <w:color w:val="000000" w:themeColor="text1"/>
        </w:rPr>
        <w:t>或本招募说明书</w:t>
      </w:r>
      <w:r w:rsidRPr="005A7DE6">
        <w:rPr>
          <w:rFonts w:asciiTheme="minorEastAsia" w:eastAsiaTheme="minorEastAsia" w:hAnsiTheme="minorEastAsia"/>
          <w:color w:val="000000" w:themeColor="text1"/>
        </w:rPr>
        <w:t>：指《易方达纯债债券型证券投资基金招募说明书》及其更新</w:t>
      </w:r>
    </w:p>
    <w:p w:rsidR="006E73AA"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hint="eastAsia"/>
          <w:bCs/>
          <w:color w:val="000000" w:themeColor="text1"/>
        </w:rPr>
        <w:t>7</w:t>
      </w:r>
      <w:r w:rsidRPr="005A7DE6">
        <w:rPr>
          <w:rFonts w:asciiTheme="minorEastAsia" w:eastAsiaTheme="minorEastAsia" w:hAnsiTheme="minorEastAsia" w:hint="eastAsia"/>
          <w:bCs/>
          <w:color w:val="000000" w:themeColor="text1"/>
        </w:rPr>
        <w:t>、基金产品</w:t>
      </w:r>
      <w:r w:rsidRPr="005A7DE6">
        <w:rPr>
          <w:rFonts w:asciiTheme="minorEastAsia" w:eastAsiaTheme="minorEastAsia" w:hAnsiTheme="minorEastAsia"/>
          <w:bCs/>
          <w:color w:val="000000" w:themeColor="text1"/>
        </w:rPr>
        <w:t>资料概要：指</w:t>
      </w:r>
      <w:r w:rsidRPr="005A7DE6">
        <w:rPr>
          <w:rFonts w:asciiTheme="minorEastAsia" w:eastAsiaTheme="minorEastAsia" w:hAnsiTheme="minorEastAsia" w:hint="eastAsia"/>
          <w:bCs/>
          <w:color w:val="000000" w:themeColor="text1"/>
        </w:rPr>
        <w:t>《易</w:t>
      </w:r>
      <w:r w:rsidRPr="005A7DE6">
        <w:rPr>
          <w:rFonts w:asciiTheme="minorEastAsia" w:eastAsiaTheme="minorEastAsia" w:hAnsiTheme="minorEastAsia"/>
          <w:color w:val="000000" w:themeColor="text1"/>
        </w:rPr>
        <w:t>方达纯债债券型证券投资基金</w:t>
      </w:r>
      <w:r w:rsidRPr="005A7DE6">
        <w:rPr>
          <w:rFonts w:asciiTheme="minorEastAsia" w:eastAsiaTheme="minorEastAsia" w:hAnsiTheme="minorEastAsia"/>
          <w:bCs/>
          <w:color w:val="000000" w:themeColor="text1"/>
        </w:rPr>
        <w:t>基金产品资料概要》</w:t>
      </w:r>
      <w:r w:rsidRPr="005A7DE6">
        <w:rPr>
          <w:rFonts w:asciiTheme="minorEastAsia" w:eastAsiaTheme="minorEastAsia" w:hAnsiTheme="minorEastAsia" w:hint="eastAsia"/>
          <w:bCs/>
          <w:color w:val="000000" w:themeColor="text1"/>
        </w:rPr>
        <w:t>及其</w:t>
      </w:r>
      <w:r w:rsidRPr="005A7DE6">
        <w:rPr>
          <w:rFonts w:asciiTheme="minorEastAsia" w:eastAsiaTheme="minorEastAsia" w:hAnsiTheme="minorEastAsia"/>
          <w:bCs/>
          <w:color w:val="000000" w:themeColor="text1"/>
        </w:rPr>
        <w:t>更新</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8</w:t>
      </w:r>
      <w:r w:rsidRPr="005A7DE6">
        <w:rPr>
          <w:rFonts w:asciiTheme="minorEastAsia" w:eastAsiaTheme="minorEastAsia" w:hAnsiTheme="minorEastAsia"/>
          <w:color w:val="000000" w:themeColor="text1"/>
        </w:rPr>
        <w:t>、基金份额发售公告：指《易方达纯债债券型证券投资基金份额发售公告》</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9</w:t>
      </w:r>
      <w:r w:rsidRPr="005A7DE6">
        <w:rPr>
          <w:rFonts w:asciiTheme="minorEastAsia" w:eastAsiaTheme="minorEastAsia" w:hAnsiTheme="minorEastAsia"/>
          <w:color w:val="000000" w:themeColor="text1"/>
        </w:rPr>
        <w:t>、法律法规：指中国现行有效并公布实施的法律、行政法规、规范性文件、司法解释、行政规章以及其他对基金合同当事人有约束力的决定、决议、通知等</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10</w:t>
      </w: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基金法》：指</w:t>
      </w:r>
      <w:r w:rsidRPr="005A7DE6">
        <w:rPr>
          <w:rFonts w:asciiTheme="minorEastAsia" w:eastAsiaTheme="minorEastAsia" w:hAnsiTheme="minorEastAsia"/>
          <w:color w:val="000000" w:themeColor="text1"/>
        </w:rPr>
        <w:t>2003</w:t>
      </w:r>
      <w:r w:rsidRPr="005A7DE6">
        <w:rPr>
          <w:rFonts w:asciiTheme="minorEastAsia" w:eastAsiaTheme="minorEastAsia" w:hAnsiTheme="minorEastAsia"/>
          <w:color w:val="000000" w:themeColor="text1"/>
        </w:rPr>
        <w:t>年</w:t>
      </w:r>
      <w:r w:rsidRPr="005A7DE6">
        <w:rPr>
          <w:rFonts w:asciiTheme="minorEastAsia" w:eastAsiaTheme="minorEastAsia" w:hAnsiTheme="minorEastAsia"/>
          <w:color w:val="000000" w:themeColor="text1"/>
        </w:rPr>
        <w:t>10</w:t>
      </w:r>
      <w:r w:rsidRPr="005A7DE6">
        <w:rPr>
          <w:rFonts w:asciiTheme="minorEastAsia" w:eastAsiaTheme="minorEastAsia" w:hAnsiTheme="minorEastAsia"/>
          <w:color w:val="000000" w:themeColor="text1"/>
        </w:rPr>
        <w:t>月</w:t>
      </w:r>
      <w:r w:rsidRPr="005A7DE6">
        <w:rPr>
          <w:rFonts w:asciiTheme="minorEastAsia" w:eastAsiaTheme="minorEastAsia" w:hAnsiTheme="minorEastAsia"/>
          <w:color w:val="000000" w:themeColor="text1"/>
        </w:rPr>
        <w:t>28</w:t>
      </w:r>
      <w:r w:rsidRPr="005A7DE6">
        <w:rPr>
          <w:rFonts w:asciiTheme="minorEastAsia" w:eastAsiaTheme="minorEastAsia" w:hAnsiTheme="minorEastAsia"/>
          <w:color w:val="000000" w:themeColor="text1"/>
        </w:rPr>
        <w:t>日经第十届全国人民代表大会常务委员会第五次会议通过，自</w:t>
      </w:r>
      <w:r w:rsidRPr="005A7DE6">
        <w:rPr>
          <w:rFonts w:asciiTheme="minorEastAsia" w:eastAsiaTheme="minorEastAsia" w:hAnsiTheme="minorEastAsia"/>
          <w:color w:val="000000" w:themeColor="text1"/>
        </w:rPr>
        <w:t>2004</w:t>
      </w:r>
      <w:r w:rsidRPr="005A7DE6">
        <w:rPr>
          <w:rFonts w:asciiTheme="minorEastAsia" w:eastAsiaTheme="minorEastAsia" w:hAnsiTheme="minorEastAsia"/>
          <w:color w:val="000000" w:themeColor="text1"/>
        </w:rPr>
        <w:t>年</w:t>
      </w:r>
      <w:r w:rsidRPr="005A7DE6">
        <w:rPr>
          <w:rFonts w:asciiTheme="minorEastAsia" w:eastAsiaTheme="minorEastAsia" w:hAnsiTheme="minorEastAsia"/>
          <w:color w:val="000000" w:themeColor="text1"/>
        </w:rPr>
        <w:t>6</w:t>
      </w:r>
      <w:r w:rsidRPr="005A7DE6">
        <w:rPr>
          <w:rFonts w:asciiTheme="minorEastAsia" w:eastAsiaTheme="minorEastAsia" w:hAnsiTheme="minorEastAsia"/>
          <w:color w:val="000000" w:themeColor="text1"/>
        </w:rPr>
        <w:t>月</w:t>
      </w:r>
      <w:r w:rsidRPr="005A7DE6">
        <w:rPr>
          <w:rFonts w:asciiTheme="minorEastAsia" w:eastAsiaTheme="minorEastAsia" w:hAnsiTheme="minorEastAsia"/>
          <w:color w:val="000000" w:themeColor="text1"/>
        </w:rPr>
        <w:t>1</w:t>
      </w:r>
      <w:r w:rsidRPr="005A7DE6">
        <w:rPr>
          <w:rFonts w:asciiTheme="minorEastAsia" w:eastAsiaTheme="minorEastAsia" w:hAnsiTheme="minorEastAsia"/>
          <w:color w:val="000000" w:themeColor="text1"/>
        </w:rPr>
        <w:t>日起实施的《中华人民共和国证券投资基金法》及颁布机关对其不时做出的修订</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11</w:t>
      </w:r>
      <w:r w:rsidRPr="005A7DE6">
        <w:rPr>
          <w:rFonts w:asciiTheme="minorEastAsia" w:eastAsiaTheme="minorEastAsia" w:hAnsiTheme="minorEastAsia"/>
          <w:color w:val="000000" w:themeColor="text1"/>
        </w:rPr>
        <w:t>、《销售办法》：指中国证监会</w:t>
      </w:r>
      <w:r w:rsidRPr="005A7DE6">
        <w:rPr>
          <w:rFonts w:asciiTheme="minorEastAsia" w:eastAsiaTheme="minorEastAsia" w:hAnsiTheme="minorEastAsia"/>
          <w:color w:val="000000" w:themeColor="text1"/>
        </w:rPr>
        <w:t>2010</w:t>
      </w:r>
      <w:r w:rsidRPr="005A7DE6">
        <w:rPr>
          <w:rFonts w:asciiTheme="minorEastAsia" w:eastAsiaTheme="minorEastAsia" w:hAnsiTheme="minorEastAsia"/>
          <w:color w:val="000000" w:themeColor="text1"/>
        </w:rPr>
        <w:t>年</w:t>
      </w:r>
      <w:r w:rsidRPr="005A7DE6">
        <w:rPr>
          <w:rFonts w:asciiTheme="minorEastAsia" w:eastAsiaTheme="minorEastAsia" w:hAnsiTheme="minorEastAsia"/>
          <w:color w:val="000000" w:themeColor="text1"/>
        </w:rPr>
        <w:t>10</w:t>
      </w:r>
      <w:r w:rsidRPr="005A7DE6">
        <w:rPr>
          <w:rFonts w:asciiTheme="minorEastAsia" w:eastAsiaTheme="minorEastAsia" w:hAnsiTheme="minorEastAsia"/>
          <w:color w:val="000000" w:themeColor="text1"/>
        </w:rPr>
        <w:t>月</w:t>
      </w:r>
      <w:r w:rsidRPr="005A7DE6">
        <w:rPr>
          <w:rFonts w:asciiTheme="minorEastAsia" w:eastAsiaTheme="minorEastAsia" w:hAnsiTheme="minorEastAsia"/>
          <w:color w:val="000000" w:themeColor="text1"/>
        </w:rPr>
        <w:t>25</w:t>
      </w:r>
      <w:r w:rsidRPr="005A7DE6">
        <w:rPr>
          <w:rFonts w:asciiTheme="minorEastAsia" w:eastAsiaTheme="minorEastAsia" w:hAnsiTheme="minorEastAsia"/>
          <w:color w:val="000000" w:themeColor="text1"/>
        </w:rPr>
        <w:t>日修订，</w:t>
      </w:r>
      <w:r w:rsidRPr="005A7DE6">
        <w:rPr>
          <w:rFonts w:asciiTheme="minorEastAsia" w:eastAsiaTheme="minorEastAsia" w:hAnsiTheme="minorEastAsia"/>
          <w:color w:val="000000" w:themeColor="text1"/>
        </w:rPr>
        <w:t>2011</w:t>
      </w:r>
      <w:r w:rsidRPr="005A7DE6">
        <w:rPr>
          <w:rFonts w:asciiTheme="minorEastAsia" w:eastAsiaTheme="minorEastAsia" w:hAnsiTheme="minorEastAsia"/>
          <w:color w:val="000000" w:themeColor="text1"/>
        </w:rPr>
        <w:t>年</w:t>
      </w:r>
      <w:r w:rsidRPr="005A7DE6">
        <w:rPr>
          <w:rFonts w:asciiTheme="minorEastAsia" w:eastAsiaTheme="minorEastAsia" w:hAnsiTheme="minorEastAsia"/>
          <w:color w:val="000000" w:themeColor="text1"/>
        </w:rPr>
        <w:t>10</w:t>
      </w:r>
      <w:r w:rsidRPr="005A7DE6">
        <w:rPr>
          <w:rFonts w:asciiTheme="minorEastAsia" w:eastAsiaTheme="minorEastAsia" w:hAnsiTheme="minorEastAsia"/>
          <w:color w:val="000000" w:themeColor="text1"/>
        </w:rPr>
        <w:t>月</w:t>
      </w:r>
      <w:r w:rsidRPr="005A7DE6">
        <w:rPr>
          <w:rFonts w:asciiTheme="minorEastAsia" w:eastAsiaTheme="minorEastAsia" w:hAnsiTheme="minorEastAsia"/>
          <w:color w:val="000000" w:themeColor="text1"/>
        </w:rPr>
        <w:t>1</w:t>
      </w:r>
      <w:r w:rsidRPr="005A7DE6">
        <w:rPr>
          <w:rFonts w:asciiTheme="minorEastAsia" w:eastAsiaTheme="minorEastAsia" w:hAnsiTheme="minorEastAsia"/>
          <w:color w:val="000000" w:themeColor="text1"/>
        </w:rPr>
        <w:t>日实施的《证券投资基金销售管理办法》及颁布机关对其不时做出的修订</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12</w:t>
      </w:r>
      <w:r w:rsidRPr="005A7DE6">
        <w:rPr>
          <w:rFonts w:asciiTheme="minorEastAsia" w:eastAsiaTheme="minorEastAsia" w:hAnsiTheme="minorEastAsia"/>
          <w:color w:val="000000" w:themeColor="text1"/>
        </w:rPr>
        <w:t>、《信息披露办法》：</w:t>
      </w:r>
      <w:r w:rsidRPr="005A7DE6">
        <w:rPr>
          <w:rFonts w:asciiTheme="minorEastAsia" w:eastAsiaTheme="minorEastAsia" w:hAnsiTheme="minorEastAsia" w:hint="eastAsia"/>
          <w:color w:val="000000" w:themeColor="text1"/>
        </w:rPr>
        <w:t>指中国证监会</w:t>
      </w:r>
      <w:r w:rsidRPr="005A7DE6">
        <w:rPr>
          <w:rFonts w:asciiTheme="minorEastAsia" w:eastAsiaTheme="minorEastAsia" w:hAnsiTheme="minorEastAsia" w:hint="eastAsia"/>
          <w:color w:val="000000" w:themeColor="text1"/>
        </w:rPr>
        <w:t>20</w:t>
      </w:r>
      <w:r w:rsidRPr="005A7DE6">
        <w:rPr>
          <w:rFonts w:asciiTheme="minorEastAsia" w:eastAsiaTheme="minorEastAsia" w:hAnsiTheme="minorEastAsia"/>
          <w:color w:val="000000" w:themeColor="text1"/>
        </w:rPr>
        <w:t>19</w:t>
      </w:r>
      <w:r w:rsidRPr="005A7DE6">
        <w:rPr>
          <w:rFonts w:asciiTheme="minorEastAsia" w:eastAsiaTheme="minorEastAsia" w:hAnsiTheme="minorEastAsia" w:hint="eastAsia"/>
          <w:color w:val="000000" w:themeColor="text1"/>
        </w:rPr>
        <w:t>年</w:t>
      </w:r>
      <w:r w:rsidRPr="005A7DE6">
        <w:rPr>
          <w:rFonts w:asciiTheme="minorEastAsia" w:eastAsiaTheme="minorEastAsia" w:hAnsiTheme="minorEastAsia"/>
          <w:color w:val="000000" w:themeColor="text1"/>
        </w:rPr>
        <w:t>7</w:t>
      </w:r>
      <w:r w:rsidRPr="005A7DE6">
        <w:rPr>
          <w:rFonts w:asciiTheme="minorEastAsia" w:eastAsiaTheme="minorEastAsia" w:hAnsiTheme="minorEastAsia" w:hint="eastAsia"/>
          <w:color w:val="000000" w:themeColor="text1"/>
        </w:rPr>
        <w:t>月</w:t>
      </w:r>
      <w:r w:rsidRPr="005A7DE6">
        <w:rPr>
          <w:rFonts w:asciiTheme="minorEastAsia" w:eastAsiaTheme="minorEastAsia" w:hAnsiTheme="minorEastAsia"/>
          <w:color w:val="000000" w:themeColor="text1"/>
        </w:rPr>
        <w:t>26</w:t>
      </w:r>
      <w:r w:rsidRPr="005A7DE6">
        <w:rPr>
          <w:rFonts w:asciiTheme="minorEastAsia" w:eastAsiaTheme="minorEastAsia" w:hAnsiTheme="minorEastAsia" w:hint="eastAsia"/>
          <w:color w:val="000000" w:themeColor="text1"/>
        </w:rPr>
        <w:t>日颁布、同年</w:t>
      </w:r>
      <w:r w:rsidRPr="005A7DE6">
        <w:rPr>
          <w:rFonts w:asciiTheme="minorEastAsia" w:eastAsiaTheme="minorEastAsia" w:hAnsiTheme="minorEastAsia"/>
          <w:color w:val="000000" w:themeColor="text1"/>
        </w:rPr>
        <w:t>9</w:t>
      </w:r>
      <w:r w:rsidRPr="005A7DE6">
        <w:rPr>
          <w:rFonts w:asciiTheme="minorEastAsia" w:eastAsiaTheme="minorEastAsia" w:hAnsiTheme="minorEastAsia" w:hint="eastAsia"/>
          <w:color w:val="000000" w:themeColor="text1"/>
        </w:rPr>
        <w:t>月</w:t>
      </w:r>
      <w:r w:rsidRPr="005A7DE6">
        <w:rPr>
          <w:rFonts w:asciiTheme="minorEastAsia" w:eastAsiaTheme="minorEastAsia" w:hAnsiTheme="minorEastAsia" w:hint="eastAsia"/>
          <w:color w:val="000000" w:themeColor="text1"/>
        </w:rPr>
        <w:t>1</w:t>
      </w:r>
      <w:r w:rsidRPr="005A7DE6">
        <w:rPr>
          <w:rFonts w:asciiTheme="minorEastAsia" w:eastAsiaTheme="minorEastAsia" w:hAnsiTheme="minorEastAsia" w:hint="eastAsia"/>
          <w:color w:val="000000" w:themeColor="text1"/>
        </w:rPr>
        <w:t>日实施的《</w:t>
      </w:r>
      <w:r w:rsidRPr="005A7DE6">
        <w:rPr>
          <w:rFonts w:asciiTheme="minorEastAsia" w:eastAsiaTheme="minorEastAsia" w:hAnsiTheme="minorEastAsia" w:hint="eastAsia"/>
          <w:bCs/>
          <w:color w:val="000000" w:themeColor="text1"/>
        </w:rPr>
        <w:t>公开募集</w:t>
      </w:r>
      <w:r w:rsidRPr="005A7DE6">
        <w:rPr>
          <w:rFonts w:asciiTheme="minorEastAsia" w:eastAsiaTheme="minorEastAsia" w:hAnsiTheme="minorEastAsia" w:hint="eastAsia"/>
          <w:color w:val="000000" w:themeColor="text1"/>
        </w:rPr>
        <w:t>证券投资基金信息披露管理办法》及颁布机关对其不时做出的修订</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13</w:t>
      </w:r>
      <w:r w:rsidRPr="005A7DE6">
        <w:rPr>
          <w:rFonts w:asciiTheme="minorEastAsia" w:eastAsiaTheme="minorEastAsia" w:hAnsiTheme="minorEastAsia"/>
          <w:color w:val="000000" w:themeColor="text1"/>
        </w:rPr>
        <w:t>、《运作办法》：指中国证监会</w:t>
      </w:r>
      <w:r w:rsidRPr="005A7DE6">
        <w:rPr>
          <w:rFonts w:asciiTheme="minorEastAsia" w:eastAsiaTheme="minorEastAsia" w:hAnsiTheme="minorEastAsia"/>
          <w:color w:val="000000" w:themeColor="text1"/>
        </w:rPr>
        <w:t>2004</w:t>
      </w:r>
      <w:r w:rsidRPr="005A7DE6">
        <w:rPr>
          <w:rFonts w:asciiTheme="minorEastAsia" w:eastAsiaTheme="minorEastAsia" w:hAnsiTheme="minorEastAsia"/>
          <w:color w:val="000000" w:themeColor="text1"/>
        </w:rPr>
        <w:t>年</w:t>
      </w:r>
      <w:r w:rsidRPr="005A7DE6">
        <w:rPr>
          <w:rFonts w:asciiTheme="minorEastAsia" w:eastAsiaTheme="minorEastAsia" w:hAnsiTheme="minorEastAsia"/>
          <w:color w:val="000000" w:themeColor="text1"/>
        </w:rPr>
        <w:t>6</w:t>
      </w:r>
      <w:r w:rsidRPr="005A7DE6">
        <w:rPr>
          <w:rFonts w:asciiTheme="minorEastAsia" w:eastAsiaTheme="minorEastAsia" w:hAnsiTheme="minorEastAsia"/>
          <w:color w:val="000000" w:themeColor="text1"/>
        </w:rPr>
        <w:t>月</w:t>
      </w:r>
      <w:r w:rsidRPr="005A7DE6">
        <w:rPr>
          <w:rFonts w:asciiTheme="minorEastAsia" w:eastAsiaTheme="minorEastAsia" w:hAnsiTheme="minorEastAsia"/>
          <w:color w:val="000000" w:themeColor="text1"/>
        </w:rPr>
        <w:t>29</w:t>
      </w:r>
      <w:r w:rsidRPr="005A7DE6">
        <w:rPr>
          <w:rFonts w:asciiTheme="minorEastAsia" w:eastAsiaTheme="minorEastAsia" w:hAnsiTheme="minorEastAsia"/>
          <w:color w:val="000000" w:themeColor="text1"/>
        </w:rPr>
        <w:t>日颁布、同年</w:t>
      </w:r>
      <w:r w:rsidRPr="005A7DE6">
        <w:rPr>
          <w:rFonts w:asciiTheme="minorEastAsia" w:eastAsiaTheme="minorEastAsia" w:hAnsiTheme="minorEastAsia"/>
          <w:color w:val="000000" w:themeColor="text1"/>
        </w:rPr>
        <w:t>7</w:t>
      </w:r>
      <w:r w:rsidRPr="005A7DE6">
        <w:rPr>
          <w:rFonts w:asciiTheme="minorEastAsia" w:eastAsiaTheme="minorEastAsia" w:hAnsiTheme="minorEastAsia"/>
          <w:color w:val="000000" w:themeColor="text1"/>
        </w:rPr>
        <w:t>月</w:t>
      </w:r>
      <w:r w:rsidRPr="005A7DE6">
        <w:rPr>
          <w:rFonts w:asciiTheme="minorEastAsia" w:eastAsiaTheme="minorEastAsia" w:hAnsiTheme="minorEastAsia"/>
          <w:color w:val="000000" w:themeColor="text1"/>
        </w:rPr>
        <w:t>1</w:t>
      </w:r>
      <w:r w:rsidRPr="005A7DE6">
        <w:rPr>
          <w:rFonts w:asciiTheme="minorEastAsia" w:eastAsiaTheme="minorEastAsia" w:hAnsiTheme="minorEastAsia"/>
          <w:color w:val="000000" w:themeColor="text1"/>
        </w:rPr>
        <w:t>日实施的《证券投资基金运作管理办法》及颁布机关对其不时做出的修订</w:t>
      </w:r>
    </w:p>
    <w:p w:rsidR="00473CDB"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14</w:t>
      </w: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hint="eastAsia"/>
          <w:color w:val="000000" w:themeColor="text1"/>
          <w:kern w:val="0"/>
          <w:szCs w:val="21"/>
        </w:rPr>
        <w:t>《管理规定</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hint="eastAsia"/>
          <w:color w:val="000000" w:themeColor="text1"/>
          <w:kern w:val="0"/>
          <w:szCs w:val="21"/>
        </w:rPr>
        <w:t>指中国证监会</w:t>
      </w:r>
      <w:r w:rsidRPr="005A7DE6">
        <w:rPr>
          <w:rFonts w:asciiTheme="minorEastAsia" w:eastAsiaTheme="minorEastAsia" w:hAnsiTheme="minorEastAsia" w:hint="eastAsia"/>
          <w:color w:val="000000" w:themeColor="text1"/>
          <w:kern w:val="0"/>
          <w:szCs w:val="21"/>
        </w:rPr>
        <w:t>2017</w:t>
      </w:r>
      <w:r w:rsidRPr="005A7DE6">
        <w:rPr>
          <w:rFonts w:asciiTheme="minorEastAsia" w:eastAsiaTheme="minorEastAsia" w:hAnsiTheme="minorEastAsia" w:hint="eastAsia"/>
          <w:color w:val="000000" w:themeColor="text1"/>
          <w:kern w:val="0"/>
          <w:szCs w:val="21"/>
        </w:rPr>
        <w:t>年</w:t>
      </w:r>
      <w:r w:rsidRPr="005A7DE6">
        <w:rPr>
          <w:rFonts w:asciiTheme="minorEastAsia" w:eastAsiaTheme="minorEastAsia" w:hAnsiTheme="minorEastAsia" w:hint="eastAsia"/>
          <w:color w:val="000000" w:themeColor="text1"/>
          <w:kern w:val="0"/>
          <w:szCs w:val="21"/>
        </w:rPr>
        <w:t>8</w:t>
      </w:r>
      <w:r w:rsidRPr="005A7DE6">
        <w:rPr>
          <w:rFonts w:asciiTheme="minorEastAsia" w:eastAsiaTheme="minorEastAsia" w:hAnsiTheme="minorEastAsia" w:hint="eastAsia"/>
          <w:color w:val="000000" w:themeColor="text1"/>
          <w:kern w:val="0"/>
          <w:szCs w:val="21"/>
        </w:rPr>
        <w:t>月</w:t>
      </w:r>
      <w:r w:rsidRPr="005A7DE6">
        <w:rPr>
          <w:rFonts w:asciiTheme="minorEastAsia" w:eastAsiaTheme="minorEastAsia" w:hAnsiTheme="minorEastAsia" w:hint="eastAsia"/>
          <w:color w:val="000000" w:themeColor="text1"/>
          <w:kern w:val="0"/>
          <w:szCs w:val="21"/>
        </w:rPr>
        <w:t>31</w:t>
      </w:r>
      <w:r w:rsidRPr="005A7DE6">
        <w:rPr>
          <w:rFonts w:asciiTheme="minorEastAsia" w:eastAsiaTheme="minorEastAsia" w:hAnsiTheme="minorEastAsia" w:hint="eastAsia"/>
          <w:color w:val="000000" w:themeColor="text1"/>
          <w:kern w:val="0"/>
          <w:szCs w:val="21"/>
        </w:rPr>
        <w:t>日颁布、同年</w:t>
      </w:r>
      <w:r w:rsidRPr="005A7DE6">
        <w:rPr>
          <w:rFonts w:asciiTheme="minorEastAsia" w:eastAsiaTheme="minorEastAsia" w:hAnsiTheme="minorEastAsia" w:hint="eastAsia"/>
          <w:color w:val="000000" w:themeColor="text1"/>
          <w:kern w:val="0"/>
          <w:szCs w:val="21"/>
        </w:rPr>
        <w:t>10</w:t>
      </w:r>
      <w:r w:rsidRPr="005A7DE6">
        <w:rPr>
          <w:rFonts w:asciiTheme="minorEastAsia" w:eastAsiaTheme="minorEastAsia" w:hAnsiTheme="minorEastAsia" w:hint="eastAsia"/>
          <w:color w:val="000000" w:themeColor="text1"/>
          <w:kern w:val="0"/>
          <w:szCs w:val="21"/>
        </w:rPr>
        <w:t>月</w:t>
      </w:r>
      <w:r w:rsidRPr="005A7DE6">
        <w:rPr>
          <w:rFonts w:asciiTheme="minorEastAsia" w:eastAsiaTheme="minorEastAsia" w:hAnsiTheme="minorEastAsia" w:hint="eastAsia"/>
          <w:color w:val="000000" w:themeColor="text1"/>
          <w:kern w:val="0"/>
          <w:szCs w:val="21"/>
        </w:rPr>
        <w:t>1</w:t>
      </w:r>
      <w:r w:rsidRPr="005A7DE6">
        <w:rPr>
          <w:rFonts w:asciiTheme="minorEastAsia" w:eastAsiaTheme="minorEastAsia" w:hAnsiTheme="minorEastAsia" w:hint="eastAsia"/>
          <w:color w:val="000000" w:themeColor="text1"/>
          <w:kern w:val="0"/>
          <w:szCs w:val="21"/>
        </w:rPr>
        <w:t>日实施的《公开募集开放式证券投资基金流动性风险管理规定》及颁布机关对其不时做出的修订</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15</w:t>
      </w:r>
      <w:r w:rsidRPr="005A7DE6">
        <w:rPr>
          <w:rFonts w:asciiTheme="minorEastAsia" w:eastAsiaTheme="minorEastAsia" w:hAnsiTheme="minorEastAsia"/>
          <w:color w:val="000000" w:themeColor="text1"/>
        </w:rPr>
        <w:t>、中国证监会：指中国证券监督管理委员会</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16</w:t>
      </w:r>
      <w:r w:rsidRPr="005A7DE6">
        <w:rPr>
          <w:rFonts w:asciiTheme="minorEastAsia" w:eastAsiaTheme="minorEastAsia" w:hAnsiTheme="minorEastAsia"/>
          <w:color w:val="000000" w:themeColor="text1"/>
        </w:rPr>
        <w:t>、银行业监督管理机构：指中国人民银行和</w:t>
      </w: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或中国银行</w:t>
      </w:r>
      <w:r w:rsidRPr="005A7DE6" w:rsidR="00471466">
        <w:rPr>
          <w:rFonts w:asciiTheme="minorEastAsia" w:eastAsiaTheme="minorEastAsia" w:hAnsiTheme="minorEastAsia" w:hint="eastAsia"/>
          <w:color w:val="000000" w:themeColor="text1"/>
        </w:rPr>
        <w:t>保险</w:t>
      </w:r>
      <w:r w:rsidRPr="005A7DE6">
        <w:rPr>
          <w:rFonts w:asciiTheme="minorEastAsia" w:eastAsiaTheme="minorEastAsia" w:hAnsiTheme="minorEastAsia"/>
          <w:color w:val="000000" w:themeColor="text1"/>
        </w:rPr>
        <w:t>监督管理委员会</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17</w:t>
      </w:r>
      <w:r w:rsidRPr="005A7DE6">
        <w:rPr>
          <w:rFonts w:asciiTheme="minorEastAsia" w:eastAsiaTheme="minorEastAsia" w:hAnsiTheme="minorEastAsia"/>
          <w:color w:val="000000" w:themeColor="text1"/>
        </w:rPr>
        <w:t>、基金合同当事人：指受基金合同约束，根据基金合同享有权利并承担义务的法律主体，包括基金管理人、基金托</w:t>
      </w:r>
      <w:r w:rsidRPr="005A7DE6">
        <w:rPr>
          <w:rFonts w:asciiTheme="minorEastAsia" w:eastAsiaTheme="minorEastAsia" w:hAnsiTheme="minorEastAsia"/>
          <w:color w:val="000000" w:themeColor="text1"/>
        </w:rPr>
        <w:t>管人和基金份额持有人</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18</w:t>
      </w:r>
      <w:r w:rsidRPr="005A7DE6">
        <w:rPr>
          <w:rFonts w:asciiTheme="minorEastAsia" w:eastAsiaTheme="minorEastAsia" w:hAnsiTheme="minorEastAsia"/>
          <w:color w:val="000000" w:themeColor="text1"/>
        </w:rPr>
        <w:t>、个人投资者：指依据有关法律法规规定或中国证监会批准可投资于证券投资基金的其他自然人</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19</w:t>
      </w:r>
      <w:r w:rsidRPr="005A7DE6">
        <w:rPr>
          <w:rFonts w:asciiTheme="minorEastAsia" w:eastAsiaTheme="minorEastAsia" w:hAnsiTheme="minorEastAsia"/>
          <w:color w:val="000000" w:themeColor="text1"/>
        </w:rPr>
        <w:t>、机构投资者：指依法可以投资证券投资基金的、在中华人民共和国境内合法注册登</w:t>
      </w:r>
      <w:r w:rsidRPr="005A7DE6">
        <w:rPr>
          <w:rFonts w:asciiTheme="minorEastAsia" w:eastAsiaTheme="minorEastAsia" w:hAnsiTheme="minorEastAsia"/>
          <w:color w:val="000000" w:themeColor="text1"/>
        </w:rPr>
        <w:t>记并存续或经有关政府部门批准设立并存续的企业法人、事业法人、社会团体或其他组织</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20</w:t>
      </w:r>
      <w:r w:rsidRPr="005A7DE6">
        <w:rPr>
          <w:rFonts w:asciiTheme="minorEastAsia" w:eastAsiaTheme="minorEastAsia" w:hAnsiTheme="minorEastAsia"/>
          <w:color w:val="000000" w:themeColor="text1"/>
        </w:rPr>
        <w:t>、合格境外机构投资者：指符合现行有效的相关法律法规规定可以投资于中国境内证券市场的中国境外的机构投资者</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21</w:t>
      </w:r>
      <w:r w:rsidRPr="005A7DE6">
        <w:rPr>
          <w:rFonts w:asciiTheme="minorEastAsia" w:eastAsiaTheme="minorEastAsia" w:hAnsiTheme="minorEastAsia"/>
          <w:color w:val="000000" w:themeColor="text1"/>
        </w:rPr>
        <w:t>、投资人：指个人投资者、机构投资者和合格境外机构投资者以及法律法规或中国证监会允许购买证券投资基金的其他投资者的合称</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22</w:t>
      </w:r>
      <w:r w:rsidRPr="005A7DE6">
        <w:rPr>
          <w:rFonts w:asciiTheme="minorEastAsia" w:eastAsiaTheme="minorEastAsia" w:hAnsiTheme="minorEastAsia"/>
          <w:color w:val="000000" w:themeColor="text1"/>
        </w:rPr>
        <w:t>、基金份额持有人：指依基金合同和招募说明书合法取得基金份额的投资人</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23</w:t>
      </w:r>
      <w:r w:rsidRPr="005A7DE6">
        <w:rPr>
          <w:rFonts w:asciiTheme="minorEastAsia" w:eastAsiaTheme="minorEastAsia" w:hAnsiTheme="minorEastAsia"/>
          <w:color w:val="000000" w:themeColor="text1"/>
        </w:rPr>
        <w:t>、基金销售业务：指基金管理人或</w:t>
      </w:r>
      <w:r w:rsidRPr="005A7DE6" w:rsidR="00E30B9F">
        <w:rPr>
          <w:rFonts w:asciiTheme="minorEastAsia" w:eastAsiaTheme="minorEastAsia" w:hAnsiTheme="minorEastAsia" w:hint="eastAsia"/>
          <w:color w:val="000000" w:themeColor="text1"/>
        </w:rPr>
        <w:t>销售</w:t>
      </w:r>
      <w:r w:rsidRPr="005A7DE6">
        <w:rPr>
          <w:rFonts w:asciiTheme="minorEastAsia" w:eastAsiaTheme="minorEastAsia" w:hAnsiTheme="minorEastAsia"/>
          <w:color w:val="000000" w:themeColor="text1"/>
        </w:rPr>
        <w:t>机构宣传推介基金，发售基金份额，办理基金份额的申购、赎回、转换、非交易过户、转托管及定期定额投资等业务</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24</w:t>
      </w:r>
      <w:r w:rsidRPr="005A7DE6">
        <w:rPr>
          <w:rFonts w:asciiTheme="minorEastAsia" w:eastAsiaTheme="minorEastAsia" w:hAnsiTheme="minorEastAsia"/>
          <w:color w:val="000000" w:themeColor="text1"/>
        </w:rPr>
        <w:t>、销售机构：指直销机构和</w:t>
      </w:r>
      <w:r w:rsidRPr="005A7DE6" w:rsidR="007C0F95">
        <w:rPr>
          <w:rStyle w:val="da"/>
          <w:rFonts w:asciiTheme="minorEastAsia" w:eastAsiaTheme="minorEastAsia" w:hAnsiTheme="minorEastAsia" w:hint="eastAsia"/>
          <w:color w:val="000000" w:themeColor="text1"/>
        </w:rPr>
        <w:t>非直销销售机构</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25</w:t>
      </w:r>
      <w:r w:rsidRPr="005A7DE6">
        <w:rPr>
          <w:rFonts w:asciiTheme="minorEastAsia" w:eastAsiaTheme="minorEastAsia" w:hAnsiTheme="minorEastAsia"/>
          <w:color w:val="000000" w:themeColor="text1"/>
        </w:rPr>
        <w:t>、直销机构：指易方达基金管理有限公司</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26</w:t>
      </w:r>
      <w:r w:rsidRPr="005A7DE6">
        <w:rPr>
          <w:rFonts w:asciiTheme="minorEastAsia" w:eastAsiaTheme="minorEastAsia" w:hAnsiTheme="minorEastAsia"/>
          <w:color w:val="000000" w:themeColor="text1"/>
        </w:rPr>
        <w:t>、</w:t>
      </w:r>
      <w:r w:rsidRPr="005A7DE6" w:rsidR="007C0F95">
        <w:rPr>
          <w:rStyle w:val="da"/>
          <w:rFonts w:asciiTheme="minorEastAsia" w:eastAsiaTheme="minorEastAsia" w:hAnsiTheme="minorEastAsia" w:hint="eastAsia"/>
          <w:color w:val="000000" w:themeColor="text1"/>
        </w:rPr>
        <w:t>非直销销售机构：指符合《销售办法》和中国证监会规定的其他条件，取得基金销售业务资格并</w:t>
      </w:r>
      <w:r w:rsidRPr="005A7DE6" w:rsidR="00351255">
        <w:rPr>
          <w:rStyle w:val="da"/>
          <w:rFonts w:asciiTheme="minorEastAsia" w:eastAsiaTheme="minorEastAsia" w:hAnsiTheme="minorEastAsia" w:hint="eastAsia"/>
          <w:color w:val="000000" w:themeColor="text1"/>
        </w:rPr>
        <w:t>与基金管理人签订了基金销售服务协议</w:t>
      </w:r>
      <w:r w:rsidRPr="005A7DE6" w:rsidR="007C0F95">
        <w:rPr>
          <w:rStyle w:val="da"/>
          <w:rFonts w:asciiTheme="minorEastAsia" w:eastAsiaTheme="minorEastAsia" w:hAnsiTheme="minorEastAsia" w:hint="eastAsia"/>
          <w:color w:val="000000" w:themeColor="text1"/>
        </w:rPr>
        <w:t>，办理基金销售业务的机构</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27</w:t>
      </w:r>
      <w:r w:rsidRPr="005A7DE6">
        <w:rPr>
          <w:rFonts w:asciiTheme="minorEastAsia" w:eastAsiaTheme="minorEastAsia" w:hAnsiTheme="minorEastAsia"/>
          <w:color w:val="000000" w:themeColor="text1"/>
        </w:rPr>
        <w:t>、基金销售网点：</w:t>
      </w:r>
      <w:r w:rsidRPr="005A7DE6" w:rsidR="00C961FC">
        <w:rPr>
          <w:rFonts w:asciiTheme="minorEastAsia" w:eastAsiaTheme="minorEastAsia" w:hAnsiTheme="minorEastAsia"/>
          <w:color w:val="000000" w:themeColor="text1"/>
        </w:rPr>
        <w:t>指基金管理人的直销网点及</w:t>
      </w:r>
      <w:r w:rsidRPr="005A7DE6" w:rsidR="00E30B9F">
        <w:rPr>
          <w:rFonts w:asciiTheme="minorEastAsia" w:eastAsiaTheme="minorEastAsia" w:hAnsiTheme="minorEastAsia" w:hint="eastAsia"/>
          <w:color w:val="000000" w:themeColor="text1"/>
        </w:rPr>
        <w:t>非直销销售</w:t>
      </w:r>
      <w:r w:rsidRPr="005A7DE6" w:rsidR="00C961FC">
        <w:rPr>
          <w:rFonts w:asciiTheme="minorEastAsia" w:eastAsiaTheme="minorEastAsia" w:hAnsiTheme="minorEastAsia"/>
          <w:color w:val="000000" w:themeColor="text1"/>
        </w:rPr>
        <w:t>机构的</w:t>
      </w:r>
      <w:r w:rsidRPr="005A7DE6" w:rsidR="00E30B9F">
        <w:rPr>
          <w:rFonts w:asciiTheme="minorEastAsia" w:eastAsiaTheme="minorEastAsia" w:hAnsiTheme="minorEastAsia" w:hint="eastAsia"/>
          <w:color w:val="000000" w:themeColor="text1"/>
        </w:rPr>
        <w:t>销售</w:t>
      </w:r>
      <w:r w:rsidRPr="005A7DE6" w:rsidR="00C961FC">
        <w:rPr>
          <w:rFonts w:asciiTheme="minorEastAsia" w:eastAsiaTheme="minorEastAsia" w:hAnsiTheme="minorEastAsia"/>
          <w:color w:val="000000" w:themeColor="text1"/>
        </w:rPr>
        <w:t>网点</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28</w:t>
      </w:r>
      <w:r w:rsidRPr="005A7DE6">
        <w:rPr>
          <w:rFonts w:asciiTheme="minorEastAsia" w:eastAsiaTheme="minorEastAsia" w:hAnsiTheme="minorEastAsia"/>
          <w:color w:val="000000" w:themeColor="text1"/>
        </w:rPr>
        <w:t>、注册登记业务：指基金登记、存管、过户、清算和结算业务，具体内容包括投资人基金账户的建立和管理、基金份额注册登记、基金销售业务的确认、清算和结算、代理发放红利、建立并保管基金份额持有人名册等</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29</w:t>
      </w:r>
      <w:r w:rsidRPr="005A7DE6">
        <w:rPr>
          <w:rFonts w:asciiTheme="minorEastAsia" w:eastAsiaTheme="minorEastAsia" w:hAnsiTheme="minorEastAsia"/>
          <w:color w:val="000000" w:themeColor="text1"/>
        </w:rPr>
        <w:t>、注册登记机构：指办理注册登记业务的机构。基金的注册登记机构为易方达基金管理有限公司或接受易方达基金管理有限公司委托代为办理注册登记业务的机构</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30</w:t>
      </w:r>
      <w:r w:rsidRPr="005A7DE6">
        <w:rPr>
          <w:rFonts w:asciiTheme="minorEastAsia" w:eastAsiaTheme="minorEastAsia" w:hAnsiTheme="minorEastAsia"/>
          <w:color w:val="000000" w:themeColor="text1"/>
        </w:rPr>
        <w:t>、基金账户：指注册登记机构为投资人开立的、记录其持有的、基金管理人所管理的基金份额余额及其变动情况的账户</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31</w:t>
      </w:r>
      <w:r w:rsidRPr="005A7DE6">
        <w:rPr>
          <w:rFonts w:asciiTheme="minorEastAsia" w:eastAsiaTheme="minorEastAsia" w:hAnsiTheme="minorEastAsia"/>
          <w:color w:val="000000" w:themeColor="text1"/>
        </w:rPr>
        <w:t>、基金交易账户：指销售机构为投资人开立的、记</w:t>
      </w:r>
      <w:r w:rsidRPr="005A7DE6">
        <w:rPr>
          <w:rFonts w:asciiTheme="minorEastAsia" w:eastAsiaTheme="minorEastAsia" w:hAnsiTheme="minorEastAsia"/>
          <w:color w:val="000000" w:themeColor="text1"/>
        </w:rPr>
        <w:t>录投资人通过该销售机构办理认购、申购、赎回、转换、转托管及定期定额投资等业务而引起的本基金的基金份额变动及结余情况的账户</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32</w:t>
      </w:r>
      <w:r w:rsidRPr="005A7DE6">
        <w:rPr>
          <w:rFonts w:asciiTheme="minorEastAsia" w:eastAsiaTheme="minorEastAsia" w:hAnsiTheme="minorEastAsia"/>
          <w:color w:val="000000" w:themeColor="text1"/>
        </w:rPr>
        <w:t>、基金合同生效日：指基金募集达到法律法规规定及基金合同规定的条件，基金管理人向中国证监会办理基金备案手续完毕，并获得中国证监会书面确认的日期</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33</w:t>
      </w:r>
      <w:r w:rsidRPr="005A7DE6">
        <w:rPr>
          <w:rFonts w:asciiTheme="minorEastAsia" w:eastAsiaTheme="minorEastAsia" w:hAnsiTheme="minorEastAsia"/>
          <w:color w:val="000000" w:themeColor="text1"/>
        </w:rPr>
        <w:t>、基金合同终止日：指基金合同规定的基金合同终止事由出现后，基金财产清算完毕，清算结果报中国证监会备案并予以公告的日期</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34</w:t>
      </w:r>
      <w:r w:rsidRPr="005A7DE6">
        <w:rPr>
          <w:rFonts w:asciiTheme="minorEastAsia" w:eastAsiaTheme="minorEastAsia" w:hAnsiTheme="minorEastAsia"/>
          <w:color w:val="000000" w:themeColor="text1"/>
        </w:rPr>
        <w:t>、基金募集期：指自基金份额发售之日起至发售结束之日止的期间，最长不得超过</w:t>
      </w:r>
      <w:r w:rsidRPr="005A7DE6">
        <w:rPr>
          <w:rFonts w:asciiTheme="minorEastAsia" w:eastAsiaTheme="minorEastAsia" w:hAnsiTheme="minorEastAsia"/>
          <w:color w:val="000000" w:themeColor="text1"/>
        </w:rPr>
        <w:t>3</w:t>
      </w:r>
      <w:r w:rsidRPr="005A7DE6">
        <w:rPr>
          <w:rFonts w:asciiTheme="minorEastAsia" w:eastAsiaTheme="minorEastAsia" w:hAnsiTheme="minorEastAsia"/>
          <w:color w:val="000000" w:themeColor="text1"/>
        </w:rPr>
        <w:t>个月</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35</w:t>
      </w:r>
      <w:r w:rsidRPr="005A7DE6">
        <w:rPr>
          <w:rFonts w:asciiTheme="minorEastAsia" w:eastAsiaTheme="minorEastAsia" w:hAnsiTheme="minorEastAsia"/>
          <w:color w:val="000000" w:themeColor="text1"/>
        </w:rPr>
        <w:t>、存续期：指基金合同生效至终止之间</w:t>
      </w:r>
      <w:r w:rsidRPr="005A7DE6">
        <w:rPr>
          <w:rFonts w:asciiTheme="minorEastAsia" w:eastAsiaTheme="minorEastAsia" w:hAnsiTheme="minorEastAsia"/>
          <w:color w:val="000000" w:themeColor="text1"/>
        </w:rPr>
        <w:t>的不定期期限</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36</w:t>
      </w:r>
      <w:r w:rsidRPr="005A7DE6">
        <w:rPr>
          <w:rFonts w:asciiTheme="minorEastAsia" w:eastAsiaTheme="minorEastAsia" w:hAnsiTheme="minorEastAsia"/>
          <w:color w:val="000000" w:themeColor="text1"/>
        </w:rPr>
        <w:t>、工作日：指上海证券交易所、深圳证券交易所的正常交易日</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37</w:t>
      </w: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T</w:t>
      </w:r>
      <w:r w:rsidRPr="005A7DE6">
        <w:rPr>
          <w:rFonts w:asciiTheme="minorEastAsia" w:eastAsiaTheme="minorEastAsia" w:hAnsiTheme="minorEastAsia"/>
          <w:color w:val="000000" w:themeColor="text1"/>
        </w:rPr>
        <w:t>日：指销售机构在规定时间受理投资人申购、赎回或其他业务申请的工作日</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38</w:t>
      </w: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T+n</w:t>
      </w:r>
      <w:r w:rsidRPr="005A7DE6">
        <w:rPr>
          <w:rFonts w:asciiTheme="minorEastAsia" w:eastAsiaTheme="minorEastAsia" w:hAnsiTheme="minorEastAsia"/>
          <w:color w:val="000000" w:themeColor="text1"/>
        </w:rPr>
        <w:t>日：指自</w:t>
      </w:r>
      <w:r w:rsidRPr="005A7DE6">
        <w:rPr>
          <w:rFonts w:asciiTheme="minorEastAsia" w:eastAsiaTheme="minorEastAsia" w:hAnsiTheme="minorEastAsia"/>
          <w:color w:val="000000" w:themeColor="text1"/>
        </w:rPr>
        <w:t>T</w:t>
      </w:r>
      <w:r w:rsidRPr="005A7DE6">
        <w:rPr>
          <w:rFonts w:asciiTheme="minorEastAsia" w:eastAsiaTheme="minorEastAsia" w:hAnsiTheme="minorEastAsia"/>
          <w:color w:val="000000" w:themeColor="text1"/>
        </w:rPr>
        <w:t>日起第</w:t>
      </w:r>
      <w:r w:rsidRPr="005A7DE6">
        <w:rPr>
          <w:rFonts w:asciiTheme="minorEastAsia" w:eastAsiaTheme="minorEastAsia" w:hAnsiTheme="minorEastAsia"/>
          <w:color w:val="000000" w:themeColor="text1"/>
        </w:rPr>
        <w:t>n</w:t>
      </w:r>
      <w:r w:rsidRPr="005A7DE6">
        <w:rPr>
          <w:rFonts w:asciiTheme="minorEastAsia" w:eastAsiaTheme="minorEastAsia" w:hAnsiTheme="minorEastAsia"/>
          <w:color w:val="000000" w:themeColor="text1"/>
        </w:rPr>
        <w:t>个工作日</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不包含</w:t>
      </w:r>
      <w:r w:rsidRPr="005A7DE6">
        <w:rPr>
          <w:rFonts w:asciiTheme="minorEastAsia" w:eastAsiaTheme="minorEastAsia" w:hAnsiTheme="minorEastAsia"/>
          <w:color w:val="000000" w:themeColor="text1"/>
        </w:rPr>
        <w:t>T</w:t>
      </w:r>
      <w:r w:rsidRPr="005A7DE6">
        <w:rPr>
          <w:rFonts w:asciiTheme="minorEastAsia" w:eastAsiaTheme="minorEastAsia" w:hAnsiTheme="minorEastAsia"/>
          <w:color w:val="000000" w:themeColor="text1"/>
        </w:rPr>
        <w:t>日</w:t>
      </w:r>
      <w:r w:rsidRPr="005A7DE6" w:rsidR="005B19FC">
        <w:rPr>
          <w:rFonts w:asciiTheme="minorEastAsia" w:eastAsiaTheme="minorEastAsia" w:hAnsiTheme="minorEastAsia"/>
          <w:color w:val="000000" w:themeColor="text1"/>
        </w:rPr>
        <w:t>）</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39</w:t>
      </w:r>
      <w:r w:rsidRPr="005A7DE6">
        <w:rPr>
          <w:rFonts w:asciiTheme="minorEastAsia" w:eastAsiaTheme="minorEastAsia" w:hAnsiTheme="minorEastAsia"/>
          <w:color w:val="000000" w:themeColor="text1"/>
        </w:rPr>
        <w:t>、开放日：指为投资人办理基金份额申购、赎回或其他业务的工作日</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40</w:t>
      </w:r>
      <w:r w:rsidRPr="005A7DE6">
        <w:rPr>
          <w:rFonts w:asciiTheme="minorEastAsia" w:eastAsiaTheme="minorEastAsia" w:hAnsiTheme="minorEastAsia"/>
          <w:color w:val="000000" w:themeColor="text1"/>
        </w:rPr>
        <w:t>、交易时间：指开放日基金接受申购、赎回或其他交易的时间段</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41</w:t>
      </w:r>
      <w:r w:rsidRPr="005A7DE6">
        <w:rPr>
          <w:rFonts w:asciiTheme="minorEastAsia" w:eastAsiaTheme="minorEastAsia" w:hAnsiTheme="minorEastAsia"/>
          <w:color w:val="000000" w:themeColor="text1"/>
        </w:rPr>
        <w:t>、《业务规则》：指《易方达基金管理有限公司开放式基金业务规则》</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42</w:t>
      </w:r>
      <w:r w:rsidRPr="005A7DE6">
        <w:rPr>
          <w:rFonts w:asciiTheme="minorEastAsia" w:eastAsiaTheme="minorEastAsia" w:hAnsiTheme="minorEastAsia"/>
          <w:color w:val="000000" w:themeColor="text1"/>
        </w:rPr>
        <w:t>、认购：指在基金募集期内，投资人申请购买基金份额的行为</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43</w:t>
      </w:r>
      <w:r w:rsidRPr="005A7DE6">
        <w:rPr>
          <w:rFonts w:asciiTheme="minorEastAsia" w:eastAsiaTheme="minorEastAsia" w:hAnsiTheme="minorEastAsia"/>
          <w:color w:val="000000" w:themeColor="text1"/>
        </w:rPr>
        <w:t>、申购：指基金合同生效后，投资人根据基金合同和招募说明书的规定申请购买基金份额的行为</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44</w:t>
      </w:r>
      <w:r w:rsidRPr="005A7DE6">
        <w:rPr>
          <w:rFonts w:asciiTheme="minorEastAsia" w:eastAsiaTheme="minorEastAsia" w:hAnsiTheme="minorEastAsia"/>
          <w:color w:val="000000" w:themeColor="text1"/>
        </w:rPr>
        <w:t>、赎回：指基金合同生效后，基金份额持有人按基金合同规定的条件要求将基金份额兑换为现金的行为</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45</w:t>
      </w:r>
      <w:r w:rsidRPr="005A7DE6" w:rsidR="00473CDB">
        <w:rPr>
          <w:rFonts w:asciiTheme="minorEastAsia" w:eastAsiaTheme="minorEastAsia" w:hAnsiTheme="minorEastAsia"/>
          <w:color w:val="000000" w:themeColor="text1"/>
        </w:rPr>
        <w:t>、</w:t>
      </w:r>
      <w:r w:rsidRPr="005A7DE6" w:rsidR="00D019DA">
        <w:rPr>
          <w:rFonts w:asciiTheme="minorEastAsia" w:eastAsiaTheme="minorEastAsia" w:hAnsiTheme="minorEastAsia"/>
          <w:color w:val="000000" w:themeColor="text1"/>
        </w:rPr>
        <w:t>基金转换：指基金份额持有人按照</w:t>
      </w:r>
      <w:r w:rsidRPr="005A7DE6">
        <w:rPr>
          <w:rFonts w:asciiTheme="minorEastAsia" w:eastAsiaTheme="minorEastAsia" w:hAnsiTheme="minorEastAsia"/>
          <w:color w:val="000000" w:themeColor="text1"/>
        </w:rPr>
        <w:t>基金合同和基金管理人届时有效公告规定的条件，申请将其持有基金管理人管理的某一基金的基金份额转换为基金管理人管理的其他基金基金份额的行为</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46</w:t>
      </w:r>
      <w:r w:rsidRPr="005A7DE6">
        <w:rPr>
          <w:rFonts w:asciiTheme="minorEastAsia" w:eastAsiaTheme="minorEastAsia" w:hAnsiTheme="minorEastAsia"/>
          <w:color w:val="000000" w:themeColor="text1"/>
        </w:rPr>
        <w:t>、转托管：指基金份额持有人在本基金的不同销售机构之间实施的变更所持基金份额销售机构的操作</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47</w:t>
      </w: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A</w:t>
      </w:r>
      <w:r w:rsidRPr="005A7DE6">
        <w:rPr>
          <w:rFonts w:asciiTheme="minorEastAsia" w:eastAsiaTheme="minorEastAsia" w:hAnsiTheme="minorEastAsia"/>
          <w:color w:val="000000" w:themeColor="text1"/>
        </w:rPr>
        <w:t>类份额：指在投资人认购</w:t>
      </w: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申购基金时收取认购</w:t>
      </w: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申购费用</w:t>
      </w:r>
      <w:r w:rsidRPr="005A7DE6">
        <w:rPr>
          <w:rFonts w:asciiTheme="minorEastAsia" w:eastAsiaTheme="minorEastAsia" w:hAnsiTheme="minorEastAsia"/>
          <w:color w:val="000000" w:themeColor="text1"/>
        </w:rPr>
        <w:t>，在赎回时根据持有期限收取赎回费用，并不再从本类别基金资产中计提销售服务费的基金份额</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48</w:t>
      </w: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C</w:t>
      </w:r>
      <w:r w:rsidRPr="005A7DE6">
        <w:rPr>
          <w:rFonts w:asciiTheme="minorEastAsia" w:eastAsiaTheme="minorEastAsia" w:hAnsiTheme="minorEastAsia"/>
          <w:color w:val="000000" w:themeColor="text1"/>
        </w:rPr>
        <w:t>类份额：指从本类别基金资产中计提销售服务费、不收取认购</w:t>
      </w: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申购费用，但对持有期限少于</w:t>
      </w:r>
      <w:r w:rsidRPr="005A7DE6">
        <w:rPr>
          <w:rFonts w:asciiTheme="minorEastAsia" w:eastAsiaTheme="minorEastAsia" w:hAnsiTheme="minorEastAsia"/>
          <w:color w:val="000000" w:themeColor="text1"/>
        </w:rPr>
        <w:t>30</w:t>
      </w:r>
      <w:r w:rsidRPr="005A7DE6">
        <w:rPr>
          <w:rFonts w:asciiTheme="minorEastAsia" w:eastAsiaTheme="minorEastAsia" w:hAnsiTheme="minorEastAsia"/>
          <w:color w:val="000000" w:themeColor="text1"/>
        </w:rPr>
        <w:t>日的本类别基金份额的赎回收取赎回费的基金份额</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49</w:t>
      </w:r>
      <w:r w:rsidRPr="005A7DE6">
        <w:rPr>
          <w:rFonts w:asciiTheme="minorEastAsia" w:eastAsiaTheme="minorEastAsia" w:hAnsiTheme="minorEastAsia"/>
          <w:color w:val="000000" w:themeColor="text1"/>
        </w:rPr>
        <w:t>、定期定额投资计划：指投资人通过有关销售机构提出申请，约定每期扣款日、扣款金额及扣款方式，由销售机构于每期约定扣款日在投资人指定银行账户内自动完成扣款及基金申购申请的一种投资方式</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50</w:t>
      </w:r>
      <w:r w:rsidRPr="005A7DE6">
        <w:rPr>
          <w:rFonts w:asciiTheme="minorEastAsia" w:eastAsiaTheme="minorEastAsia" w:hAnsiTheme="minorEastAsia"/>
          <w:color w:val="000000" w:themeColor="text1"/>
        </w:rPr>
        <w:t>、巨额赎回：指本基金单个开放日，基金净赎回申请</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赎回申请份额总数加上基金转换中转出申请份额总数后扣除申购申请份额总数及基金转换中转入申请份额总数后的余额</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超过上一开放日基金总份额的</w:t>
      </w:r>
      <w:r w:rsidRPr="005A7DE6">
        <w:rPr>
          <w:rFonts w:asciiTheme="minorEastAsia" w:eastAsiaTheme="minorEastAsia" w:hAnsiTheme="minorEastAsia"/>
          <w:color w:val="000000" w:themeColor="text1"/>
        </w:rPr>
        <w:t>10%</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51</w:t>
      </w:r>
      <w:r w:rsidRPr="005A7DE6">
        <w:rPr>
          <w:rFonts w:asciiTheme="minorEastAsia" w:eastAsiaTheme="minorEastAsia" w:hAnsiTheme="minorEastAsia"/>
          <w:color w:val="000000" w:themeColor="text1"/>
        </w:rPr>
        <w:t>、元：指人民币元</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52</w:t>
      </w:r>
      <w:r w:rsidRPr="005A7DE6">
        <w:rPr>
          <w:rFonts w:asciiTheme="minorEastAsia" w:eastAsiaTheme="minorEastAsia" w:hAnsiTheme="minorEastAsia"/>
          <w:color w:val="000000" w:themeColor="text1"/>
        </w:rPr>
        <w:t>、基金利润：指基金利息收入、投资收益、公允价值变动收益和其他收入扣除相关费用后的余额</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53</w:t>
      </w:r>
      <w:r w:rsidRPr="005A7DE6">
        <w:rPr>
          <w:rFonts w:asciiTheme="minorEastAsia" w:eastAsiaTheme="minorEastAsia" w:hAnsiTheme="minorEastAsia"/>
          <w:color w:val="000000" w:themeColor="text1"/>
        </w:rPr>
        <w:t>、基金资产总值：指基金拥有的各类有价证券、银行存款本息、基金应收款项及其他资产的价值总和</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54</w:t>
      </w:r>
      <w:r w:rsidRPr="005A7DE6">
        <w:rPr>
          <w:rFonts w:asciiTheme="minorEastAsia" w:eastAsiaTheme="minorEastAsia" w:hAnsiTheme="minorEastAsia"/>
          <w:color w:val="000000" w:themeColor="text1"/>
        </w:rPr>
        <w:t>、基金资产净值：指基金资产总值减去基金负债后的价值</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55</w:t>
      </w:r>
      <w:r w:rsidRPr="005A7DE6">
        <w:rPr>
          <w:rFonts w:asciiTheme="minorEastAsia" w:eastAsiaTheme="minorEastAsia" w:hAnsiTheme="minorEastAsia"/>
          <w:color w:val="000000" w:themeColor="text1"/>
        </w:rPr>
        <w:t>、基金份额净值：指计算日基金资产净值除以计算日基金份额总数</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56</w:t>
      </w:r>
      <w:r w:rsidRPr="005A7DE6">
        <w:rPr>
          <w:rFonts w:asciiTheme="minorEastAsia" w:eastAsiaTheme="minorEastAsia" w:hAnsiTheme="minorEastAsia"/>
          <w:color w:val="000000" w:themeColor="text1"/>
        </w:rPr>
        <w:t>、基金资产估值：指计算评估基金资产和负债的</w:t>
      </w:r>
      <w:r w:rsidRPr="005A7DE6">
        <w:rPr>
          <w:rFonts w:asciiTheme="minorEastAsia" w:eastAsiaTheme="minorEastAsia" w:hAnsiTheme="minorEastAsia"/>
          <w:color w:val="000000" w:themeColor="text1"/>
        </w:rPr>
        <w:t>价值，以确定基金资产净值和基金份额净值的过程</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57</w:t>
      </w:r>
      <w:r w:rsidRPr="005A7DE6">
        <w:rPr>
          <w:rFonts w:asciiTheme="minorEastAsia" w:eastAsiaTheme="minorEastAsia" w:hAnsiTheme="minorEastAsia"/>
          <w:color w:val="000000" w:themeColor="text1"/>
        </w:rPr>
        <w:t>、</w:t>
      </w:r>
      <w:r w:rsidRPr="005A7DE6">
        <w:rPr>
          <w:rFonts w:asciiTheme="minorEastAsia" w:eastAsiaTheme="minorEastAsia" w:hAnsiTheme="minorEastAsia" w:hint="eastAsia"/>
          <w:color w:val="000000" w:themeColor="text1"/>
        </w:rPr>
        <w:t>指定媒介：指中国证监会指定的用以进行信息披露的全国性报刊及指定互联网网站（包括基金管理人网站、基金托管人网站、中国证监会基金电子披露网站）等媒介</w:t>
      </w:r>
    </w:p>
    <w:p w:rsidR="00D869D0"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58</w:t>
      </w:r>
      <w:r w:rsidRPr="005A7DE6">
        <w:rPr>
          <w:rFonts w:asciiTheme="minorEastAsia" w:eastAsiaTheme="minorEastAsia" w:hAnsiTheme="minorEastAsia"/>
          <w:color w:val="000000" w:themeColor="text1"/>
        </w:rPr>
        <w:t>、</w:t>
      </w:r>
      <w:r w:rsidRPr="005A7DE6" w:rsidR="00D019DA">
        <w:rPr>
          <w:rFonts w:asciiTheme="minorEastAsia" w:eastAsiaTheme="minorEastAsia" w:hAnsiTheme="minorEastAsia"/>
          <w:color w:val="000000" w:themeColor="text1"/>
        </w:rPr>
        <w:t>不可抗力：指基金合同当事人无法预见、无法抗拒、无法避免且在基金合同由基金</w:t>
      </w:r>
      <w:r w:rsidRPr="005A7DE6" w:rsidR="00D019DA">
        <w:rPr>
          <w:rFonts w:asciiTheme="minorEastAsia" w:eastAsiaTheme="minorEastAsia" w:hAnsiTheme="minorEastAsia"/>
          <w:color w:val="000000" w:themeColor="text1"/>
        </w:rPr>
        <w:t>管理人、基金托管人签署之日后发生的，使基金合同当事人无法全部或部分履行</w:t>
      </w:r>
      <w:r w:rsidRPr="005A7DE6">
        <w:rPr>
          <w:rFonts w:asciiTheme="minorEastAsia" w:eastAsiaTheme="minorEastAsia" w:hAnsiTheme="minorEastAsia"/>
          <w:color w:val="000000" w:themeColor="text1"/>
        </w:rPr>
        <w:t>基金合同的任何事件</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59</w:t>
      </w:r>
      <w:r w:rsidRPr="005A7DE6" w:rsidR="00D869D0">
        <w:rPr>
          <w:rFonts w:asciiTheme="minorEastAsia" w:eastAsiaTheme="minorEastAsia" w:hAnsiTheme="minorEastAsia"/>
          <w:color w:val="000000" w:themeColor="text1"/>
        </w:rPr>
        <w:t>、</w:t>
      </w:r>
      <w:r w:rsidRPr="005A7DE6" w:rsidR="00D019DA">
        <w:rPr>
          <w:rFonts w:asciiTheme="minorEastAsia" w:eastAsiaTheme="minorEastAsia" w:hAnsiTheme="minorEastAsia"/>
          <w:color w:val="000000" w:themeColor="text1"/>
        </w:rPr>
        <w:t>中国：指中华人民共和国，就</w:t>
      </w:r>
      <w:r w:rsidRPr="005A7DE6" w:rsidR="00244BC7">
        <w:rPr>
          <w:rFonts w:asciiTheme="minorEastAsia" w:eastAsiaTheme="minorEastAsia" w:hAnsiTheme="minorEastAsia"/>
          <w:color w:val="000000" w:themeColor="text1"/>
        </w:rPr>
        <w:t>招募说明书</w:t>
      </w:r>
      <w:r w:rsidRPr="005A7DE6" w:rsidR="00D869D0">
        <w:rPr>
          <w:rFonts w:asciiTheme="minorEastAsia" w:eastAsiaTheme="minorEastAsia" w:hAnsiTheme="minorEastAsia"/>
          <w:color w:val="000000" w:themeColor="text1"/>
        </w:rPr>
        <w:t>而言，不包括香港特别行政区、澳门特别行政区和台湾地区</w:t>
      </w:r>
    </w:p>
    <w:p w:rsidR="00473CDB"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60</w:t>
      </w:r>
      <w:r w:rsidRPr="005A7DE6">
        <w:rPr>
          <w:rFonts w:asciiTheme="minorEastAsia" w:eastAsiaTheme="minorEastAsia" w:hAnsiTheme="minorEastAsia"/>
          <w:color w:val="000000" w:themeColor="text1"/>
        </w:rPr>
        <w:t>、</w:t>
      </w:r>
      <w:r w:rsidRPr="005A7DE6">
        <w:rPr>
          <w:rFonts w:asciiTheme="minorEastAsia" w:eastAsiaTheme="minorEastAsia" w:hAnsiTheme="minorEastAsia" w:hint="eastAsia"/>
          <w:color w:val="000000" w:themeColor="text1"/>
        </w:rPr>
        <w:t>流动性受限资产：指由于法律法规、监管、合同或操作障碍等原因无法以合理价格予以变现的资产，包括但不限于到期日在</w:t>
      </w:r>
      <w:r w:rsidRPr="005A7DE6">
        <w:rPr>
          <w:rFonts w:asciiTheme="minorEastAsia" w:eastAsiaTheme="minorEastAsia" w:hAnsiTheme="minorEastAsia" w:hint="eastAsia"/>
          <w:color w:val="000000" w:themeColor="text1"/>
        </w:rPr>
        <w:t>10</w:t>
      </w:r>
      <w:r w:rsidRPr="005A7DE6">
        <w:rPr>
          <w:rFonts w:asciiTheme="minorEastAsia" w:eastAsiaTheme="minorEastAsia" w:hAnsiTheme="minorEastAsia" w:hint="eastAsia"/>
          <w:color w:val="000000" w:themeColor="text1"/>
        </w:rPr>
        <w:t>个交易日以上的逆回购与银行定期存款（含协议约定有条件提前支取的银行存款）、资产支持证券、因发行人债务违约无法进行转让或交易的债券等</w:t>
      </w:r>
    </w:p>
    <w:p w:rsidR="00C700D2" w:rsidRPr="005A7DE6" w:rsidP="00C700D2">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61</w:t>
      </w:r>
      <w:r w:rsidRPr="005A7DE6">
        <w:rPr>
          <w:rFonts w:asciiTheme="minorEastAsia" w:eastAsiaTheme="minorEastAsia" w:hAnsiTheme="minorEastAsia" w:hint="eastAsia"/>
          <w:color w:val="000000" w:themeColor="text1"/>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C700D2" w:rsidRPr="005A7DE6" w:rsidP="00C700D2">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62</w:t>
      </w:r>
      <w:r w:rsidRPr="005A7DE6">
        <w:rPr>
          <w:rFonts w:asciiTheme="minorEastAsia" w:eastAsiaTheme="minorEastAsia" w:hAnsiTheme="minorEastAsia" w:hint="eastAsia"/>
          <w:color w:val="000000" w:themeColor="text1"/>
        </w:rPr>
        <w:t>、特定资产：包括：（一）无可参考的活跃市</w:t>
      </w:r>
      <w:r w:rsidRPr="005A7DE6">
        <w:rPr>
          <w:rFonts w:asciiTheme="minorEastAsia" w:eastAsiaTheme="minorEastAsia" w:hAnsiTheme="minorEastAsia" w:hint="eastAsia"/>
          <w:color w:val="000000" w:themeColor="text1"/>
        </w:rPr>
        <w:t>场价格且采用估值技术仍导致公允价值存在重大不确定性的资产；（二）按摊余成本计量且计提资产减值准备仍导致资产价值存在重大不确定性的资产；（三）其他资产价值存在重大不确定性的资产</w:t>
      </w:r>
    </w:p>
    <w:p w:rsidR="00BA4B87" w:rsidRPr="005A7DE6" w:rsidP="006B758F">
      <w:pPr>
        <w:snapToGrid w:val="0"/>
        <w:spacing w:line="360" w:lineRule="auto"/>
        <w:ind w:firstLine="181"/>
        <w:jc w:val="center"/>
        <w:rPr>
          <w:rFonts w:asciiTheme="minorEastAsia" w:eastAsiaTheme="minorEastAsia" w:hAnsiTheme="minorEastAsia"/>
          <w:color w:val="000000" w:themeColor="text1"/>
        </w:rPr>
      </w:pPr>
    </w:p>
    <w:p w:rsidR="00BA4B87" w:rsidRPr="005A7DE6" w:rsidP="006B758F">
      <w:pPr>
        <w:pStyle w:val="111"/>
        <w:pageBreakBefore w:val="0"/>
        <w:snapToGrid w:val="0"/>
        <w:spacing w:beforeLines="0" w:afterLines="0" w:line="360" w:lineRule="auto"/>
        <w:ind w:firstLine="643"/>
        <w:rPr>
          <w:rFonts w:asciiTheme="minorEastAsia" w:eastAsiaTheme="minorEastAsia" w:hAnsiTheme="minorEastAsia"/>
          <w:b/>
          <w:color w:val="000000" w:themeColor="text1"/>
          <w:sz w:val="30"/>
        </w:rPr>
      </w:pPr>
      <w:r w:rsidRPr="005A7DE6">
        <w:rPr>
          <w:rFonts w:asciiTheme="minorEastAsia" w:eastAsiaTheme="minorEastAsia" w:hAnsiTheme="minorEastAsia"/>
          <w:b/>
          <w:bCs/>
          <w:color w:val="000000" w:themeColor="text1"/>
        </w:rPr>
        <w:br w:type="column"/>
      </w:r>
      <w:bookmarkStart w:id="3" w:name="_Toc94172377"/>
      <w:r w:rsidRPr="005A7DE6">
        <w:rPr>
          <w:rFonts w:asciiTheme="minorEastAsia" w:eastAsiaTheme="minorEastAsia" w:hAnsiTheme="minorEastAsia"/>
          <w:b/>
          <w:color w:val="000000" w:themeColor="text1"/>
          <w:sz w:val="30"/>
        </w:rPr>
        <w:t>三、基金管理人</w:t>
      </w:r>
      <w:bookmarkEnd w:id="3"/>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color w:val="000000" w:themeColor="text1"/>
          <w:sz w:val="21"/>
        </w:rPr>
      </w:pPr>
      <w:bookmarkStart w:id="4" w:name="_Toc94172378"/>
      <w:r w:rsidRPr="005A7DE6">
        <w:rPr>
          <w:rFonts w:asciiTheme="minorEastAsia" w:eastAsiaTheme="minorEastAsia" w:hAnsiTheme="minorEastAsia"/>
          <w:b w:val="0"/>
          <w:bCs/>
          <w:color w:val="000000" w:themeColor="text1"/>
          <w:kern w:val="0"/>
          <w:szCs w:val="24"/>
        </w:rPr>
        <w:t>（一）基金管理人基本情况</w:t>
      </w:r>
      <w:bookmarkEnd w:id="4"/>
    </w:p>
    <w:p w:rsidR="00BA4B87" w:rsidRPr="005A7DE6" w:rsidP="006B758F">
      <w:pPr>
        <w:snapToGrid w:val="0"/>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w:t>
      </w:r>
      <w:r w:rsidRPr="005A7DE6">
        <w:rPr>
          <w:rFonts w:asciiTheme="minorEastAsia" w:eastAsiaTheme="minorEastAsia" w:hAnsiTheme="minorEastAsia"/>
          <w:color w:val="000000" w:themeColor="text1"/>
        </w:rPr>
        <w:t>、基金管理人：易方达基金管理有限公司</w:t>
      </w:r>
    </w:p>
    <w:p w:rsidR="00243123" w:rsidRPr="005A7DE6" w:rsidP="006B758F">
      <w:pPr>
        <w:snapToGrid w:val="0"/>
        <w:spacing w:line="360" w:lineRule="auto"/>
        <w:ind w:firstLine="420"/>
        <w:rPr>
          <w:rFonts w:asciiTheme="minorEastAsia" w:eastAsiaTheme="minorEastAsia" w:hAnsiTheme="minorEastAsia" w:cs="仿宋_GB2312"/>
          <w:color w:val="000000" w:themeColor="text1"/>
          <w:kern w:val="0"/>
        </w:rPr>
      </w:pPr>
      <w:r w:rsidRPr="005A7DE6">
        <w:rPr>
          <w:rFonts w:asciiTheme="minorEastAsia" w:eastAsiaTheme="minorEastAsia" w:hAnsiTheme="minorEastAsia" w:cs="仿宋_GB2312" w:hint="eastAsia"/>
          <w:color w:val="000000" w:themeColor="text1"/>
          <w:kern w:val="0"/>
        </w:rPr>
        <w:t>注册地址：</w:t>
      </w:r>
      <w:r w:rsidRPr="005A7DE6" w:rsidR="00745261">
        <w:rPr>
          <w:rFonts w:asciiTheme="minorEastAsia" w:eastAsiaTheme="minorEastAsia" w:hAnsiTheme="minorEastAsia" w:cs="仿宋_GB2312" w:hint="eastAsia"/>
          <w:color w:val="000000" w:themeColor="text1"/>
          <w:kern w:val="0"/>
        </w:rPr>
        <w:t>广东省珠海市横琴新区荣粤道188号6层</w:t>
      </w:r>
    </w:p>
    <w:p w:rsidR="00243123" w:rsidRPr="005A7DE6" w:rsidP="006B758F">
      <w:pPr>
        <w:snapToGrid w:val="0"/>
        <w:spacing w:line="360" w:lineRule="auto"/>
        <w:ind w:firstLine="420"/>
        <w:rPr>
          <w:rFonts w:asciiTheme="minorEastAsia" w:eastAsiaTheme="minorEastAsia" w:hAnsiTheme="minorEastAsia" w:cs="仿宋_GB2312"/>
          <w:color w:val="000000" w:themeColor="text1"/>
          <w:kern w:val="0"/>
        </w:rPr>
      </w:pPr>
      <w:r w:rsidRPr="005A7DE6">
        <w:rPr>
          <w:rFonts w:asciiTheme="minorEastAsia" w:eastAsiaTheme="minorEastAsia" w:hAnsiTheme="minorEastAsia" w:cs="仿宋_GB2312" w:hint="eastAsia"/>
          <w:color w:val="000000" w:themeColor="text1"/>
          <w:kern w:val="0"/>
        </w:rPr>
        <w:t>办公地址：广州市</w:t>
      </w:r>
      <w:r w:rsidRPr="005A7DE6" w:rsidR="002A649A">
        <w:rPr>
          <w:rFonts w:asciiTheme="minorEastAsia" w:eastAsiaTheme="minorEastAsia" w:hAnsiTheme="minorEastAsia" w:cs="仿宋_GB2312" w:hint="eastAsia"/>
          <w:color w:val="000000" w:themeColor="text1"/>
          <w:kern w:val="0"/>
        </w:rPr>
        <w:t>天河区珠江新城珠江东路30号广州银行大厦40-43楼</w:t>
      </w:r>
    </w:p>
    <w:p w:rsidR="00243123" w:rsidRPr="005A7DE6" w:rsidP="006B758F">
      <w:pPr>
        <w:snapToGrid w:val="0"/>
        <w:spacing w:line="360" w:lineRule="auto"/>
        <w:ind w:firstLine="420"/>
        <w:rPr>
          <w:rFonts w:asciiTheme="minorEastAsia" w:eastAsiaTheme="minorEastAsia" w:hAnsiTheme="minorEastAsia" w:cs="仿宋_GB2312"/>
          <w:color w:val="000000" w:themeColor="text1"/>
          <w:kern w:val="0"/>
        </w:rPr>
      </w:pPr>
      <w:r w:rsidRPr="005A7DE6">
        <w:rPr>
          <w:rFonts w:asciiTheme="minorEastAsia" w:eastAsiaTheme="minorEastAsia" w:hAnsiTheme="minorEastAsia" w:cs="仿宋_GB2312" w:hint="eastAsia"/>
          <w:color w:val="000000" w:themeColor="text1"/>
          <w:kern w:val="0"/>
        </w:rPr>
        <w:t>设立日期：</w:t>
      </w:r>
      <w:r w:rsidRPr="005A7DE6">
        <w:rPr>
          <w:rFonts w:asciiTheme="minorEastAsia" w:eastAsiaTheme="minorEastAsia" w:hAnsiTheme="minorEastAsia" w:cs="仿宋_GB2312" w:hint="eastAsia"/>
          <w:color w:val="000000" w:themeColor="text1"/>
          <w:kern w:val="0"/>
        </w:rPr>
        <w:t>2001</w:t>
      </w:r>
      <w:r w:rsidRPr="005A7DE6">
        <w:rPr>
          <w:rFonts w:asciiTheme="minorEastAsia" w:eastAsiaTheme="minorEastAsia" w:hAnsiTheme="minorEastAsia" w:cs="仿宋_GB2312" w:hint="eastAsia"/>
          <w:color w:val="000000" w:themeColor="text1"/>
          <w:kern w:val="0"/>
        </w:rPr>
        <w:t>年</w:t>
      </w:r>
      <w:r w:rsidRPr="005A7DE6">
        <w:rPr>
          <w:rFonts w:asciiTheme="minorEastAsia" w:eastAsiaTheme="minorEastAsia" w:hAnsiTheme="minorEastAsia" w:cs="仿宋_GB2312" w:hint="eastAsia"/>
          <w:color w:val="000000" w:themeColor="text1"/>
          <w:kern w:val="0"/>
        </w:rPr>
        <w:t>4</w:t>
      </w:r>
      <w:r w:rsidRPr="005A7DE6">
        <w:rPr>
          <w:rFonts w:asciiTheme="minorEastAsia" w:eastAsiaTheme="minorEastAsia" w:hAnsiTheme="minorEastAsia" w:cs="仿宋_GB2312" w:hint="eastAsia"/>
          <w:color w:val="000000" w:themeColor="text1"/>
          <w:kern w:val="0"/>
        </w:rPr>
        <w:t>月</w:t>
      </w:r>
      <w:r w:rsidRPr="005A7DE6">
        <w:rPr>
          <w:rFonts w:asciiTheme="minorEastAsia" w:eastAsiaTheme="minorEastAsia" w:hAnsiTheme="minorEastAsia" w:cs="仿宋_GB2312" w:hint="eastAsia"/>
          <w:color w:val="000000" w:themeColor="text1"/>
          <w:kern w:val="0"/>
        </w:rPr>
        <w:t>17</w:t>
      </w:r>
      <w:r w:rsidRPr="005A7DE6">
        <w:rPr>
          <w:rFonts w:asciiTheme="minorEastAsia" w:eastAsiaTheme="minorEastAsia" w:hAnsiTheme="minorEastAsia" w:cs="仿宋_GB2312" w:hint="eastAsia"/>
          <w:color w:val="000000" w:themeColor="text1"/>
          <w:kern w:val="0"/>
        </w:rPr>
        <w:t>日</w:t>
      </w:r>
    </w:p>
    <w:p w:rsidR="00243123" w:rsidRPr="005A7DE6" w:rsidP="006B758F">
      <w:pPr>
        <w:snapToGrid w:val="0"/>
        <w:spacing w:line="360" w:lineRule="auto"/>
        <w:ind w:firstLine="420"/>
        <w:rPr>
          <w:rFonts w:asciiTheme="minorEastAsia" w:eastAsiaTheme="minorEastAsia" w:hAnsiTheme="minorEastAsia" w:cs="仿宋_GB2312"/>
          <w:color w:val="000000" w:themeColor="text1"/>
          <w:kern w:val="0"/>
        </w:rPr>
      </w:pPr>
      <w:r w:rsidRPr="005A7DE6">
        <w:rPr>
          <w:rFonts w:asciiTheme="minorEastAsia" w:eastAsiaTheme="minorEastAsia" w:hAnsiTheme="minorEastAsia" w:cs="仿宋_GB2312" w:hint="eastAsia"/>
          <w:color w:val="000000" w:themeColor="text1"/>
          <w:kern w:val="0"/>
        </w:rPr>
        <w:t>法定代表人：</w:t>
      </w:r>
      <w:r w:rsidRPr="005A7DE6" w:rsidR="006D6F97">
        <w:rPr>
          <w:rFonts w:asciiTheme="minorEastAsia" w:eastAsiaTheme="minorEastAsia" w:hAnsiTheme="minorEastAsia" w:cs="仿宋_GB2312" w:hint="eastAsia"/>
          <w:color w:val="000000" w:themeColor="text1"/>
          <w:kern w:val="0"/>
        </w:rPr>
        <w:t>刘晓艳</w:t>
      </w:r>
    </w:p>
    <w:p w:rsidR="00243123" w:rsidRPr="005A7DE6" w:rsidP="006B758F">
      <w:pPr>
        <w:snapToGrid w:val="0"/>
        <w:spacing w:line="360" w:lineRule="auto"/>
        <w:ind w:firstLine="420"/>
        <w:rPr>
          <w:rFonts w:asciiTheme="minorEastAsia" w:eastAsiaTheme="minorEastAsia" w:hAnsiTheme="minorEastAsia" w:cs="仿宋_GB2312"/>
          <w:color w:val="000000" w:themeColor="text1"/>
          <w:kern w:val="0"/>
        </w:rPr>
      </w:pPr>
      <w:r w:rsidRPr="005A7DE6">
        <w:rPr>
          <w:rFonts w:asciiTheme="minorEastAsia" w:eastAsiaTheme="minorEastAsia" w:hAnsiTheme="minorEastAsia" w:cs="仿宋_GB2312" w:hint="eastAsia"/>
          <w:color w:val="000000" w:themeColor="text1"/>
          <w:kern w:val="0"/>
        </w:rPr>
        <w:t>联系电话：</w:t>
      </w:r>
      <w:r w:rsidRPr="005A7DE6">
        <w:rPr>
          <w:rFonts w:asciiTheme="minorEastAsia" w:eastAsiaTheme="minorEastAsia" w:hAnsiTheme="minorEastAsia" w:cs="仿宋_GB2312" w:hint="eastAsia"/>
          <w:color w:val="000000" w:themeColor="text1"/>
          <w:kern w:val="0"/>
        </w:rPr>
        <w:t>4008818088</w:t>
      </w:r>
    </w:p>
    <w:p w:rsidR="00243123" w:rsidRPr="005A7DE6" w:rsidP="006B758F">
      <w:pPr>
        <w:snapToGrid w:val="0"/>
        <w:spacing w:line="360" w:lineRule="auto"/>
        <w:ind w:firstLine="420"/>
        <w:rPr>
          <w:rFonts w:asciiTheme="minorEastAsia" w:eastAsiaTheme="minorEastAsia" w:hAnsiTheme="minorEastAsia" w:cs="仿宋_GB2312"/>
          <w:color w:val="000000" w:themeColor="text1"/>
          <w:kern w:val="0"/>
        </w:rPr>
      </w:pPr>
      <w:r>
        <w:t>联系人：闵俊杰</w:t>
      </w:r>
    </w:p>
    <w:p w:rsidR="00E8247A" w:rsidRPr="005A7DE6" w:rsidP="006B758F">
      <w:pPr>
        <w:snapToGrid w:val="0"/>
        <w:spacing w:line="360" w:lineRule="auto"/>
        <w:ind w:firstLine="420"/>
        <w:rPr>
          <w:rFonts w:asciiTheme="minorEastAsia" w:eastAsiaTheme="minorEastAsia" w:hAnsiTheme="minorEastAsia" w:cs="仿宋_GB2312"/>
          <w:color w:val="000000" w:themeColor="text1"/>
          <w:kern w:val="0"/>
        </w:rPr>
      </w:pPr>
      <w:r w:rsidRPr="005A7DE6">
        <w:rPr>
          <w:rFonts w:asciiTheme="minorEastAsia" w:eastAsiaTheme="minorEastAsia" w:hAnsiTheme="minorEastAsia" w:cs="仿宋_GB2312" w:hint="eastAsia"/>
          <w:color w:val="000000" w:themeColor="text1"/>
          <w:kern w:val="0"/>
        </w:rPr>
        <w:t>注册资本：</w:t>
      </w:r>
      <w:r w:rsidRPr="005A7DE6">
        <w:rPr>
          <w:rFonts w:asciiTheme="minorEastAsia" w:eastAsiaTheme="minorEastAsia" w:hAnsiTheme="minorEastAsia" w:cs="仿宋_GB2312" w:hint="eastAsia"/>
          <w:color w:val="000000" w:themeColor="text1"/>
          <w:kern w:val="0"/>
        </w:rPr>
        <w:t>13,244.2</w:t>
      </w:r>
      <w:r w:rsidRPr="005A7DE6">
        <w:rPr>
          <w:rFonts w:asciiTheme="minorEastAsia" w:eastAsiaTheme="minorEastAsia" w:hAnsiTheme="minorEastAsia" w:cs="仿宋_GB2312" w:hint="eastAsia"/>
          <w:color w:val="000000" w:themeColor="text1"/>
          <w:kern w:val="0"/>
        </w:rPr>
        <w:t>万元人民币</w:t>
      </w:r>
    </w:p>
    <w:p w:rsidR="00B81EF8" w:rsidRPr="005A7DE6" w:rsidP="006B758F">
      <w:pPr>
        <w:snapToGrid w:val="0"/>
        <w:spacing w:line="360" w:lineRule="auto"/>
        <w:ind w:firstLine="42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批准设立机关及文号：</w:t>
      </w:r>
      <w:r w:rsidRPr="005A7DE6">
        <w:rPr>
          <w:rFonts w:asciiTheme="minorEastAsia" w:eastAsiaTheme="minorEastAsia" w:hAnsiTheme="minorEastAsia" w:hint="eastAsia"/>
          <w:color w:val="000000" w:themeColor="text1"/>
        </w:rPr>
        <w:t>中国证券监督管理委员会</w:t>
      </w:r>
      <w:r w:rsidRPr="005A7DE6">
        <w:rPr>
          <w:rFonts w:asciiTheme="minorEastAsia" w:eastAsiaTheme="minorEastAsia" w:hAnsiTheme="minorEastAsia" w:hint="eastAsia"/>
          <w:color w:val="000000" w:themeColor="text1"/>
          <w:szCs w:val="21"/>
        </w:rPr>
        <w:t>，证监基金字</w:t>
      </w:r>
      <w:r w:rsidRPr="005A7DE6">
        <w:rPr>
          <w:rFonts w:asciiTheme="minorEastAsia" w:eastAsiaTheme="minorEastAsia" w:hAnsiTheme="minorEastAsia" w:hint="eastAsia"/>
          <w:color w:val="000000" w:themeColor="text1"/>
          <w:szCs w:val="21"/>
        </w:rPr>
        <w:t>[2001]4</w:t>
      </w:r>
      <w:r w:rsidRPr="005A7DE6">
        <w:rPr>
          <w:rFonts w:asciiTheme="minorEastAsia" w:eastAsiaTheme="minorEastAsia" w:hAnsiTheme="minorEastAsia" w:hint="eastAsia"/>
          <w:color w:val="000000" w:themeColor="text1"/>
          <w:szCs w:val="21"/>
        </w:rPr>
        <w:t>号</w:t>
      </w:r>
    </w:p>
    <w:p w:rsidR="00B81EF8" w:rsidRPr="005A7DE6" w:rsidP="006B758F">
      <w:pPr>
        <w:snapToGrid w:val="0"/>
        <w:spacing w:line="360" w:lineRule="auto"/>
        <w:ind w:firstLine="42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经营范围：</w:t>
      </w:r>
      <w:r w:rsidRPr="005A7DE6" w:rsidR="00560A1F">
        <w:rPr>
          <w:rFonts w:asciiTheme="minorEastAsia" w:eastAsiaTheme="minorEastAsia" w:hAnsiTheme="minorEastAsia" w:hint="eastAsia"/>
          <w:color w:val="000000" w:themeColor="text1"/>
          <w:szCs w:val="21"/>
        </w:rPr>
        <w:t>公开募集证券投资基金管理、基金销售、特定客户资产管理</w:t>
      </w:r>
    </w:p>
    <w:p w:rsidR="00BA4B87" w:rsidRPr="005A7DE6" w:rsidP="006B758F">
      <w:pPr>
        <w:snapToGrid w:val="0"/>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w:t>
      </w:r>
      <w:r w:rsidRPr="005A7DE6">
        <w:rPr>
          <w:rFonts w:asciiTheme="minorEastAsia" w:eastAsiaTheme="minorEastAsia" w:hAnsiTheme="minorEastAsia"/>
          <w:color w:val="000000" w:themeColor="text1"/>
        </w:rPr>
        <w:t>、股权结构：</w:t>
      </w:r>
    </w:p>
    <w:tbl>
      <w:tblPr>
        <w:tblW w:w="46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70"/>
        <w:gridCol w:w="2577"/>
      </w:tblGrid>
      <w:tr w:rsidTr="00EF24ED">
        <w:tblPrEx>
          <w:tblW w:w="46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3358" w:type="pct"/>
            <w:vAlign w:val="center"/>
          </w:tcPr>
          <w:p w:rsidR="00BA4B87" w:rsidRPr="005A7DE6" w:rsidP="0076262D">
            <w:pPr>
              <w:snapToGrid w:val="0"/>
              <w:spacing w:line="360" w:lineRule="auto"/>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股东名称</w:t>
            </w:r>
          </w:p>
        </w:tc>
        <w:tc>
          <w:tcPr>
            <w:tcW w:w="1642" w:type="pct"/>
            <w:vAlign w:val="center"/>
          </w:tcPr>
          <w:p w:rsidR="00BA4B87" w:rsidRPr="005A7DE6" w:rsidP="0076262D">
            <w:pPr>
              <w:snapToGrid w:val="0"/>
              <w:spacing w:line="360" w:lineRule="auto"/>
              <w:jc w:val="center"/>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出资比例</w:t>
            </w:r>
          </w:p>
        </w:tc>
      </w:tr>
      <w:tr>
        <w:tblPrEx>
          <w:tblW w:w="4604" w:type="pct"/>
          <w:jc w:val="center"/>
          <w:tblLook w:val="0000"/>
        </w:tblPrEx>
        <w:trPr>
          <w:jc w:val="center"/>
        </w:trPr>
        <w:tc>
          <w:tcPr>
            <w:tcW w:w="5270" w:type="dxa"/>
          </w:tcPr>
          <w:p w:rsidR="00336BCC">
            <w:pPr>
              <w:jc w:val="center"/>
            </w:pPr>
            <w:r>
              <w:t>广东粤财信托有限公司</w:t>
            </w:r>
          </w:p>
        </w:tc>
        <w:tc>
          <w:tcPr>
            <w:tcW w:w="2577" w:type="dxa"/>
          </w:tcPr>
          <w:p w:rsidR="00336BCC">
            <w:pPr>
              <w:jc w:val="center"/>
            </w:pPr>
            <w:r>
              <w:t>22.6514</w:t>
            </w:r>
            <w:r>
              <w:t>％</w:t>
            </w:r>
          </w:p>
        </w:tc>
      </w:tr>
      <w:tr>
        <w:tblPrEx>
          <w:tblW w:w="4604" w:type="pct"/>
          <w:jc w:val="center"/>
          <w:tblLook w:val="0000"/>
        </w:tblPrEx>
        <w:trPr>
          <w:jc w:val="center"/>
        </w:trPr>
        <w:tc>
          <w:tcPr>
            <w:tcW w:w="5270" w:type="dxa"/>
          </w:tcPr>
          <w:p w:rsidR="00336BCC">
            <w:pPr>
              <w:jc w:val="center"/>
            </w:pPr>
            <w:r>
              <w:t>广发证券股份有限公司</w:t>
            </w:r>
          </w:p>
        </w:tc>
        <w:tc>
          <w:tcPr>
            <w:tcW w:w="2577" w:type="dxa"/>
          </w:tcPr>
          <w:p w:rsidR="00336BCC">
            <w:pPr>
              <w:jc w:val="center"/>
            </w:pPr>
            <w:r>
              <w:t>22.6514</w:t>
            </w:r>
            <w:r>
              <w:t>％</w:t>
            </w:r>
          </w:p>
        </w:tc>
      </w:tr>
      <w:tr>
        <w:tblPrEx>
          <w:tblW w:w="4604" w:type="pct"/>
          <w:jc w:val="center"/>
          <w:tblLook w:val="0000"/>
        </w:tblPrEx>
        <w:trPr>
          <w:jc w:val="center"/>
        </w:trPr>
        <w:tc>
          <w:tcPr>
            <w:tcW w:w="5270" w:type="dxa"/>
          </w:tcPr>
          <w:p w:rsidR="00336BCC">
            <w:pPr>
              <w:jc w:val="center"/>
            </w:pPr>
            <w:r>
              <w:t>盈峰集团有限公司</w:t>
            </w:r>
          </w:p>
        </w:tc>
        <w:tc>
          <w:tcPr>
            <w:tcW w:w="2577" w:type="dxa"/>
          </w:tcPr>
          <w:p w:rsidR="00336BCC">
            <w:pPr>
              <w:jc w:val="center"/>
            </w:pPr>
            <w:r>
              <w:t>22.6514</w:t>
            </w:r>
            <w:r>
              <w:t>％</w:t>
            </w:r>
          </w:p>
        </w:tc>
      </w:tr>
      <w:tr>
        <w:tblPrEx>
          <w:tblW w:w="4604" w:type="pct"/>
          <w:jc w:val="center"/>
          <w:tblLook w:val="0000"/>
        </w:tblPrEx>
        <w:trPr>
          <w:jc w:val="center"/>
        </w:trPr>
        <w:tc>
          <w:tcPr>
            <w:tcW w:w="5270" w:type="dxa"/>
          </w:tcPr>
          <w:p w:rsidR="00336BCC">
            <w:pPr>
              <w:jc w:val="center"/>
            </w:pPr>
            <w:r>
              <w:t>广东省广晟控股集团有限公司</w:t>
            </w:r>
          </w:p>
        </w:tc>
        <w:tc>
          <w:tcPr>
            <w:tcW w:w="2577" w:type="dxa"/>
          </w:tcPr>
          <w:p w:rsidR="00336BCC">
            <w:pPr>
              <w:jc w:val="center"/>
            </w:pPr>
            <w:r>
              <w:t>15.1010</w:t>
            </w:r>
            <w:r>
              <w:t>％</w:t>
            </w:r>
          </w:p>
        </w:tc>
      </w:tr>
      <w:tr>
        <w:tblPrEx>
          <w:tblW w:w="4604" w:type="pct"/>
          <w:jc w:val="center"/>
          <w:tblLook w:val="0000"/>
        </w:tblPrEx>
        <w:trPr>
          <w:jc w:val="center"/>
        </w:trPr>
        <w:tc>
          <w:tcPr>
            <w:tcW w:w="5270" w:type="dxa"/>
          </w:tcPr>
          <w:p w:rsidR="00336BCC">
            <w:pPr>
              <w:jc w:val="center"/>
            </w:pPr>
            <w:r>
              <w:t>广州市广永国有资产经营有限公司</w:t>
            </w:r>
          </w:p>
        </w:tc>
        <w:tc>
          <w:tcPr>
            <w:tcW w:w="2577" w:type="dxa"/>
          </w:tcPr>
          <w:p w:rsidR="00336BCC">
            <w:pPr>
              <w:jc w:val="center"/>
            </w:pPr>
            <w:r>
              <w:t>7.5505</w:t>
            </w:r>
            <w:r>
              <w:t>％</w:t>
            </w:r>
          </w:p>
        </w:tc>
      </w:tr>
      <w:tr>
        <w:tblPrEx>
          <w:tblW w:w="4604" w:type="pct"/>
          <w:jc w:val="center"/>
          <w:tblLook w:val="0000"/>
        </w:tblPrEx>
        <w:trPr>
          <w:jc w:val="center"/>
        </w:trPr>
        <w:tc>
          <w:tcPr>
            <w:tcW w:w="5270" w:type="dxa"/>
          </w:tcPr>
          <w:p w:rsidR="00336BCC">
            <w:pPr>
              <w:jc w:val="center"/>
            </w:pPr>
            <w:r>
              <w:t>珠海祺荣宝投资合伙企业（有限合伙）</w:t>
            </w:r>
          </w:p>
        </w:tc>
        <w:tc>
          <w:tcPr>
            <w:tcW w:w="2577" w:type="dxa"/>
          </w:tcPr>
          <w:p w:rsidR="00336BCC">
            <w:pPr>
              <w:jc w:val="center"/>
            </w:pPr>
            <w:r>
              <w:t>1.5087</w:t>
            </w:r>
            <w:r>
              <w:t>％</w:t>
            </w:r>
          </w:p>
        </w:tc>
      </w:tr>
      <w:tr>
        <w:tblPrEx>
          <w:tblW w:w="4604" w:type="pct"/>
          <w:jc w:val="center"/>
          <w:tblLook w:val="0000"/>
        </w:tblPrEx>
        <w:trPr>
          <w:jc w:val="center"/>
        </w:trPr>
        <w:tc>
          <w:tcPr>
            <w:tcW w:w="5270" w:type="dxa"/>
          </w:tcPr>
          <w:p w:rsidR="00336BCC">
            <w:pPr>
              <w:jc w:val="center"/>
            </w:pPr>
            <w:r>
              <w:t>珠海祺泰宝投资合伙企业（有限合伙）</w:t>
            </w:r>
          </w:p>
        </w:tc>
        <w:tc>
          <w:tcPr>
            <w:tcW w:w="2577" w:type="dxa"/>
          </w:tcPr>
          <w:p w:rsidR="00336BCC">
            <w:pPr>
              <w:jc w:val="center"/>
            </w:pPr>
            <w:r>
              <w:t>1.6205</w:t>
            </w:r>
            <w:r>
              <w:t>％</w:t>
            </w:r>
          </w:p>
        </w:tc>
      </w:tr>
      <w:tr>
        <w:tblPrEx>
          <w:tblW w:w="4604" w:type="pct"/>
          <w:jc w:val="center"/>
          <w:tblLook w:val="0000"/>
        </w:tblPrEx>
        <w:trPr>
          <w:jc w:val="center"/>
        </w:trPr>
        <w:tc>
          <w:tcPr>
            <w:tcW w:w="5270" w:type="dxa"/>
          </w:tcPr>
          <w:p w:rsidR="00336BCC">
            <w:pPr>
              <w:jc w:val="center"/>
            </w:pPr>
            <w:r>
              <w:t>珠海祺丰宝投资合伙企业（有限合伙）</w:t>
            </w:r>
          </w:p>
        </w:tc>
        <w:tc>
          <w:tcPr>
            <w:tcW w:w="2577" w:type="dxa"/>
          </w:tcPr>
          <w:p w:rsidR="00336BCC">
            <w:pPr>
              <w:jc w:val="center"/>
            </w:pPr>
            <w:r>
              <w:t>1.5309</w:t>
            </w:r>
            <w:r>
              <w:t>％</w:t>
            </w:r>
          </w:p>
        </w:tc>
      </w:tr>
      <w:tr>
        <w:tblPrEx>
          <w:tblW w:w="4604" w:type="pct"/>
          <w:jc w:val="center"/>
          <w:tblLook w:val="0000"/>
        </w:tblPrEx>
        <w:trPr>
          <w:jc w:val="center"/>
        </w:trPr>
        <w:tc>
          <w:tcPr>
            <w:tcW w:w="5270" w:type="dxa"/>
          </w:tcPr>
          <w:p w:rsidR="00336BCC">
            <w:pPr>
              <w:jc w:val="center"/>
            </w:pPr>
            <w:r>
              <w:t>珠海聚莱康投资合伙企业（有限合伙）</w:t>
            </w:r>
          </w:p>
        </w:tc>
        <w:tc>
          <w:tcPr>
            <w:tcW w:w="2577" w:type="dxa"/>
          </w:tcPr>
          <w:p w:rsidR="00336BCC">
            <w:pPr>
              <w:jc w:val="center"/>
            </w:pPr>
            <w:r>
              <w:t>1.7558</w:t>
            </w:r>
            <w:r>
              <w:t>％</w:t>
            </w:r>
          </w:p>
        </w:tc>
      </w:tr>
      <w:tr>
        <w:tblPrEx>
          <w:tblW w:w="4604" w:type="pct"/>
          <w:jc w:val="center"/>
          <w:tblLook w:val="0000"/>
        </w:tblPrEx>
        <w:trPr>
          <w:jc w:val="center"/>
        </w:trPr>
        <w:tc>
          <w:tcPr>
            <w:tcW w:w="5270" w:type="dxa"/>
          </w:tcPr>
          <w:p w:rsidR="00336BCC">
            <w:pPr>
              <w:jc w:val="center"/>
            </w:pPr>
            <w:r>
              <w:t>珠海聚宁康投资合伙企业（有限合伙）</w:t>
            </w:r>
          </w:p>
        </w:tc>
        <w:tc>
          <w:tcPr>
            <w:tcW w:w="2577" w:type="dxa"/>
          </w:tcPr>
          <w:p w:rsidR="00336BCC">
            <w:pPr>
              <w:jc w:val="center"/>
            </w:pPr>
            <w:r>
              <w:t>1.4396</w:t>
            </w:r>
            <w:r>
              <w:t>％</w:t>
            </w:r>
          </w:p>
        </w:tc>
      </w:tr>
      <w:tr>
        <w:tblPrEx>
          <w:tblW w:w="4604" w:type="pct"/>
          <w:jc w:val="center"/>
          <w:tblLook w:val="0000"/>
        </w:tblPrEx>
        <w:trPr>
          <w:jc w:val="center"/>
        </w:trPr>
        <w:tc>
          <w:tcPr>
            <w:tcW w:w="5270" w:type="dxa"/>
          </w:tcPr>
          <w:p w:rsidR="00336BCC">
            <w:pPr>
              <w:jc w:val="center"/>
            </w:pPr>
            <w:r>
              <w:t>珠海聚弘康投资合伙企业（有限合伙）</w:t>
            </w:r>
          </w:p>
        </w:tc>
        <w:tc>
          <w:tcPr>
            <w:tcW w:w="2577" w:type="dxa"/>
          </w:tcPr>
          <w:p w:rsidR="00336BCC">
            <w:pPr>
              <w:jc w:val="center"/>
            </w:pPr>
            <w:r>
              <w:t>1.5388</w:t>
            </w:r>
            <w:r>
              <w:t>％</w:t>
            </w:r>
          </w:p>
        </w:tc>
      </w:tr>
      <w:tr>
        <w:tblPrEx>
          <w:tblW w:w="4604" w:type="pct"/>
          <w:jc w:val="center"/>
          <w:tblLook w:val="0000"/>
        </w:tblPrEx>
        <w:trPr>
          <w:jc w:val="center"/>
        </w:trPr>
        <w:tc>
          <w:tcPr>
            <w:tcW w:w="5270" w:type="dxa"/>
          </w:tcPr>
          <w:p w:rsidR="00336BCC">
            <w:pPr>
              <w:jc w:val="center"/>
            </w:pPr>
            <w:r>
              <w:t>总</w:t>
            </w:r>
            <w:r>
              <w:t xml:space="preserve">   </w:t>
            </w:r>
            <w:r>
              <w:t>计</w:t>
            </w:r>
          </w:p>
        </w:tc>
        <w:tc>
          <w:tcPr>
            <w:tcW w:w="2577" w:type="dxa"/>
          </w:tcPr>
          <w:p w:rsidR="00336BCC">
            <w:pPr>
              <w:jc w:val="center"/>
            </w:pPr>
            <w:r>
              <w:t>100</w:t>
            </w:r>
            <w:r>
              <w:t>％</w:t>
            </w:r>
          </w:p>
        </w:tc>
      </w:tr>
    </w:tbl>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kern w:val="0"/>
          <w:szCs w:val="24"/>
        </w:rPr>
      </w:pPr>
      <w:bookmarkStart w:id="5" w:name="_Toc94172379"/>
      <w:r w:rsidRPr="005A7DE6">
        <w:rPr>
          <w:rFonts w:asciiTheme="minorEastAsia" w:eastAsiaTheme="minorEastAsia" w:hAnsiTheme="minorEastAsia"/>
          <w:b w:val="0"/>
          <w:bCs/>
          <w:color w:val="000000" w:themeColor="text1"/>
          <w:kern w:val="0"/>
          <w:szCs w:val="24"/>
        </w:rPr>
        <w:t>（</w:t>
      </w:r>
      <w:r w:rsidRPr="005A7DE6" w:rsidR="008D4032">
        <w:rPr>
          <w:rFonts w:asciiTheme="minorEastAsia" w:eastAsiaTheme="minorEastAsia" w:hAnsiTheme="minorEastAsia"/>
          <w:b w:val="0"/>
          <w:bCs/>
          <w:color w:val="000000" w:themeColor="text1"/>
          <w:kern w:val="0"/>
          <w:szCs w:val="24"/>
        </w:rPr>
        <w:t>二</w:t>
      </w:r>
      <w:r w:rsidRPr="005A7DE6">
        <w:rPr>
          <w:rFonts w:asciiTheme="minorEastAsia" w:eastAsiaTheme="minorEastAsia" w:hAnsiTheme="minorEastAsia"/>
          <w:b w:val="0"/>
          <w:bCs/>
          <w:color w:val="000000" w:themeColor="text1"/>
          <w:kern w:val="0"/>
          <w:szCs w:val="24"/>
        </w:rPr>
        <w:t>）</w:t>
      </w:r>
      <w:r w:rsidRPr="005A7DE6">
        <w:rPr>
          <w:rFonts w:asciiTheme="minorEastAsia" w:eastAsiaTheme="minorEastAsia" w:hAnsiTheme="minorEastAsia"/>
          <w:b w:val="0"/>
          <w:bCs/>
          <w:color w:val="000000" w:themeColor="text1"/>
          <w:szCs w:val="21"/>
        </w:rPr>
        <w:t>主要人员情况</w:t>
      </w:r>
      <w:bookmarkEnd w:id="5"/>
    </w:p>
    <w:p w:rsidR="00BA4B87" w:rsidRPr="005A7DE6" w:rsidP="00F9325E">
      <w:pPr>
        <w:pStyle w:val="HTMLPreformatted"/>
        <w:shd w:val="clear" w:color="auto" w:fill="FFFFFF"/>
        <w:spacing w:line="360" w:lineRule="auto"/>
        <w:ind w:firstLine="420"/>
        <w:rPr>
          <w:rFonts w:asciiTheme="minorEastAsia" w:eastAsiaTheme="minorEastAsia" w:hAnsiTheme="minorEastAsia" w:cs="Courier New"/>
          <w:color w:val="000000" w:themeColor="text1"/>
          <w:kern w:val="2"/>
          <w:sz w:val="21"/>
        </w:rPr>
      </w:pPr>
      <w:r w:rsidRPr="005A7DE6">
        <w:rPr>
          <w:rFonts w:asciiTheme="minorEastAsia" w:eastAsiaTheme="minorEastAsia" w:hAnsiTheme="minorEastAsia" w:cs="Courier New"/>
          <w:color w:val="000000" w:themeColor="text1"/>
          <w:kern w:val="2"/>
          <w:sz w:val="21"/>
        </w:rPr>
        <w:t>1</w:t>
      </w:r>
      <w:r w:rsidRPr="005A7DE6">
        <w:rPr>
          <w:rFonts w:asciiTheme="minorEastAsia" w:eastAsiaTheme="minorEastAsia" w:hAnsiTheme="minorEastAsia" w:cs="Courier New"/>
          <w:color w:val="000000" w:themeColor="text1"/>
          <w:kern w:val="2"/>
          <w:sz w:val="21"/>
        </w:rPr>
        <w:t>、董事、监事及高级管理人员</w:t>
      </w:r>
    </w:p>
    <w:p w:rsidR="00336BCC">
      <w:pPr>
        <w:spacing w:line="360" w:lineRule="auto"/>
        <w:ind w:firstLine="420"/>
      </w:pPr>
      <w:r>
        <w:t>詹余引先生，工商管理博士。现任易方达基金管理有限公司董事长，易方达国际控股有限公司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总经理（主持工作），全国社会保障基金理事会投资部资产配置处处长、投资部副主任、境外投资部主任、投资部主任、证券投资部主任。</w:t>
      </w:r>
    </w:p>
    <w:p w:rsidR="00336BCC">
      <w:pPr>
        <w:spacing w:line="360" w:lineRule="auto"/>
        <w:ind w:firstLine="420"/>
      </w:pPr>
      <w:r>
        <w:t>刘晓艳女士，经济学博士。现任易方达基金管理有限公司副董事长、总经理，易方达国际控股有限公司董事。</w:t>
      </w:r>
      <w:r>
        <w:t>曾任广发证券有限责任公司投资理财部副经理、基金经理、基金投资理财部副总经理，易方达基金管理有限公司督察员、监察部总经理、总裁助理、市场总监、公司副总经理，易方达资产管理有限公司董事，易方达资产管理（香港）有限公司董事长。</w:t>
      </w:r>
    </w:p>
    <w:p w:rsidR="00336BCC">
      <w:pPr>
        <w:spacing w:line="360" w:lineRule="auto"/>
        <w:ind w:firstLine="420"/>
      </w:pPr>
      <w:r>
        <w:t>周泽群先生，高级管理人员工商管理硕士（</w:t>
      </w:r>
      <w:r>
        <w:t>EMBA</w:t>
      </w:r>
      <w:r>
        <w:t>）。现任易方达基金管理有限公司董事，广东粤财投资控股有限公司董事、总经理，中航通用飞机有限责任公司副董事长。曾任珠海粤财实业有限公司董事长，粤财控股（北京）有限公司总经理、董事长，广东粤财投资控股有限公司总经理助理、办公室主任，广东粤财投资控股</w:t>
      </w:r>
      <w:r>
        <w:t>有限公司副总经理。</w:t>
      </w:r>
    </w:p>
    <w:p w:rsidR="00336BCC">
      <w:pPr>
        <w:spacing w:line="360" w:lineRule="auto"/>
        <w:ind w:firstLine="420"/>
      </w:pPr>
      <w:r>
        <w:t>秦力先生，经济学博士。现任易方达基金管理有限公司董事，广发证券股份有限公司执行董事、公司总监</w:t>
      </w:r>
      <w:r>
        <w:t xml:space="preserve">, </w:t>
      </w:r>
      <w:r>
        <w:t>广发证券资产管理（广东）有限公司董事长、总经理。曾任广发证券投资银行部常务副总经理、投资理财部总经理、资金营运部总经理、规划管理部总经理、投资部总经理、公司总经理助理、副总经理、常务副总经理，广东金融高新区股权交易中心有限公司董事长，广发控股（香港）有限公司董事长。</w:t>
      </w:r>
    </w:p>
    <w:p w:rsidR="00336BCC">
      <w:pPr>
        <w:spacing w:line="360" w:lineRule="auto"/>
        <w:ind w:firstLine="420"/>
      </w:pPr>
      <w:r>
        <w:t>苏斌先生，管理学硕士。现任易方达基金管理有限公司董事，盈峰集团有限公司董事、联席总裁，广东民营投资股份有限公司董事，宁波盈峰股权</w:t>
      </w:r>
      <w:r>
        <w:t>投资基金管理有限公司经理、执行董事，北京百纳千成影视股份有限公司董事，南京柯勒复合材料有限责任公司总经理，盈峰环境科技集团股份有限公司董事，广州华艺国际拍卖有限公司董事，珠海澳斐盈峰私募基金管理有限公司董事长、经理。曾任中富证券有限责任公司投行部经理，鸿商产业控股集团有限公司产业投资部执行董事，名力中国成长基金合伙人，复星能源环境与智能装备集团总裁，盈合（深圳）机器人与自动化科技有限公司董事长。</w:t>
      </w:r>
    </w:p>
    <w:p w:rsidR="00336BCC">
      <w:pPr>
        <w:spacing w:line="360" w:lineRule="auto"/>
        <w:ind w:firstLine="420"/>
      </w:pPr>
      <w:r>
        <w:t>刘韧先生，经济学硕士。现任易方达基金管理有限公司董事，广东省广晟控股集团有限公司资本运营部负责人，广东省广晟资本</w:t>
      </w:r>
      <w:r>
        <w:t>投资有限公司董事。曾任湖南证券股份有限公司投资银行部经理助理，湘财证券有限责任公司投资银行总部副总经理，二十三冶建设集团有限公司副总裁兼矿业事业部部长、党委委员，广东省广晟资产经营有限公司总经理助理兼资本运营部部长、战略委员会委员，东江环保股份有限公司党委书记、董事长，广东风华高新科技股份有限公司党委委员、副总裁、财务负责人。</w:t>
      </w:r>
    </w:p>
    <w:p w:rsidR="00336BCC">
      <w:pPr>
        <w:spacing w:line="360" w:lineRule="auto"/>
        <w:ind w:firstLine="420"/>
      </w:pPr>
      <w:r>
        <w:t>王承志先生，法学博士。现任易方达基金管理有限公司独立董事，中山大学法学院副教授、博士生导师，广东省法学会国际法学研究会秘书长，中国国际私法学会理事，江苏凯强医学检验有限公司董事，广东</w:t>
      </w:r>
      <w:r>
        <w:t>茉莉数字科技集团股份有限公司独立董事，广东神朗律师事务所兼职律师，深圳市美之高科技股份有限公司独立董事，广东凯金新能源科技股份有限公司</w:t>
      </w:r>
      <w:r>
        <w:t>独立董事，艾尔玛科技股份有限公司独立董事。曾任美国天普大学法学院访问副教授。</w:t>
      </w:r>
    </w:p>
    <w:p w:rsidR="00336BCC">
      <w:pPr>
        <w:spacing w:line="360" w:lineRule="auto"/>
        <w:ind w:firstLine="420"/>
      </w:pPr>
      <w:r>
        <w:t>高建先生，工学博士。现任易方达基金管理有限公司独立董事，清华大学经济管理学院教授、博士生导师、学术委员会副主任，深圳市力合科创股份有限公司独立董事、固生堂控股有限公司非执行董事。曾任重庆建筑工程学院建筑管理工程系助教、讲师、教研室副主任，清华大学经济管理学院讲师、副教授、技术经济与管理系主任、创新创</w:t>
      </w:r>
      <w:r>
        <w:t>业与战略系主任、院长助理、副院长、党委书记，山东新北洋信息技术股份有限公司独立董事，中融人寿保险股份有限公司独立董事。</w:t>
      </w:r>
    </w:p>
    <w:p w:rsidR="00336BCC">
      <w:pPr>
        <w:spacing w:line="360" w:lineRule="auto"/>
        <w:ind w:firstLine="420"/>
      </w:pPr>
      <w:r>
        <w:t>刘劲先生，工商管理博士。现任易方达基金管理有限公司独立董事，长江商学院会计与金融教授、投资研究中心主任、教授管理委员会主席，中国天伦燃气控股有限公司独立非执行董事。曾任哥伦比亚大学经济学讲师，加州大学洛杉矶分校安德森管理学院助理教授、副教授、终身教授，长江商学院行政副院长、</w:t>
      </w:r>
      <w:r>
        <w:t>DBA</w:t>
      </w:r>
      <w:r>
        <w:t>项目副院长、创创社区项目发起人兼副院长，云南白药集团股份有限公司独立董事，瑞士银行（中国）有限公司独立董事，秦川</w:t>
      </w:r>
      <w:r>
        <w:t>机床工具集团股份公司独立董事，浙江红蜻蜓鞋业股份有限公司独立董事。</w:t>
      </w:r>
    </w:p>
    <w:p w:rsidR="00336BCC">
      <w:pPr>
        <w:spacing w:line="360" w:lineRule="auto"/>
        <w:ind w:firstLine="420"/>
      </w:pPr>
      <w:r>
        <w:t>刘发宏先生，工商管理硕士。现任易方达基金管理有限公司监事会主席，广东省融资再担保有限公司监事长。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w:t>
      </w:r>
      <w:r>
        <w:t>港置业开发有限公司总经理，酒鬼酒股份有限公司副总经理，广东粤财投资控股有限公司审计部总经理、党委办主任、人力资源部总经理，广东粤财信托有限公司党委委员、副书记、董事。</w:t>
      </w:r>
    </w:p>
    <w:p w:rsidR="00336BCC">
      <w:pPr>
        <w:spacing w:line="360" w:lineRule="auto"/>
        <w:ind w:firstLine="420"/>
      </w:pPr>
      <w:r>
        <w:t>危勇先生，经济学博士。现任易方达基金管理有限公司监事，广州市广永国有资产经营有限公司董事长、总裁，广州赛马娱乐总公司董事，万联证券股份有限公司监事，广州银行股份有限公司董事，广州广永投资管理有限公司董事长，广州广永股权投资基金管理有限公司董事长，广州广永科技发展有限公司代理董事长、总经理。曾任中国水利水电第八工程局三产实业开发部秘书，中国人民</w:t>
      </w:r>
      <w:r>
        <w:t>银行广州分行统计研究处干部、货币信贷管理处主任科员、营管部综合处助理调研员，广州金融控股集团有限公司行政办公室主任，广州金融资产交易中心有限公司董事，广州股权交易中心有限公司董事，广州广永丽都酒店有限公司董事长。</w:t>
      </w:r>
    </w:p>
    <w:p w:rsidR="00336BCC">
      <w:pPr>
        <w:spacing w:line="360" w:lineRule="auto"/>
        <w:ind w:firstLine="420"/>
      </w:pPr>
      <w:r>
        <w:t>廖智先生，经济学硕士。现任易方达基金管理有限公司监事、总裁助理、党群工作部联席总经理，广东粤财互联网金融股份有限公司董事。曾任广东证券股份有限公司基金部主管，</w:t>
      </w:r>
      <w:r>
        <w:t>易方达基金管理有限公司综合管理部副总经理、人力资源部副总经理、市场部总经理、互联网金融部总经理、综合管理部总经理、行政管理部总经理。</w:t>
      </w:r>
    </w:p>
    <w:p w:rsidR="00336BCC">
      <w:pPr>
        <w:spacing w:line="360" w:lineRule="auto"/>
        <w:ind w:firstLine="420"/>
      </w:pPr>
      <w:r>
        <w:t>刘炜先</w:t>
      </w:r>
      <w:r>
        <w:t>生，工商管理硕士（</w:t>
      </w:r>
      <w:r>
        <w:t>EMBA</w:t>
      </w:r>
      <w:r>
        <w:t>）、法学硕士。现任易方达基金管理有限公司监事、人力资源部总经理，易方达资产管理有限公司董事。曾任易方达基金管理有限公司监察部监察员、上海分公司销售经理、市场部总经理助理、人力资源部副总经理、综合管理部总经理。</w:t>
      </w:r>
    </w:p>
    <w:p w:rsidR="00336BCC">
      <w:pPr>
        <w:spacing w:line="360" w:lineRule="auto"/>
        <w:ind w:firstLine="420"/>
      </w:pPr>
      <w:r>
        <w:t>付浩先生，经济学硕士。现任易方达基金管理有限公司监事、权益投资管理部总经理、权益投资决策委员会委员。曾任广东粤财信托投资有限公司国际金融部职员，深圳和君创业研究咨询有限公司管理咨询项目经理，湖南证券投资银行总部项目经理，融通基金管理有限公司研究策划部研究员，易方达基金管理有限</w:t>
      </w:r>
      <w:r>
        <w:t>公司权益投资总部副总经理、养老金与专户权益投资部副总经理、公募基金投资部总经理、基金经理助理、投资经理、基金经理。</w:t>
      </w:r>
    </w:p>
    <w:p w:rsidR="00336BCC">
      <w:pPr>
        <w:spacing w:line="360" w:lineRule="auto"/>
        <w:ind w:firstLine="420"/>
      </w:pPr>
      <w:r>
        <w:t>马骏先生，工商管理硕士（</w:t>
      </w:r>
      <w:r>
        <w:t>EMBA</w:t>
      </w:r>
      <w:r>
        <w:t>）。现任易方达基金管理有限公司副总经理级高级管理人员、固定收益投资决策委员会委员、基础设施资产管理委员会委员，易方达资产管理（香港）有限公司董事长、人民币合格境外投资者（</w:t>
      </w:r>
      <w:r>
        <w:t>RQFII</w:t>
      </w:r>
      <w:r>
        <w:t>）业务负责人、证券交易负责人员（</w:t>
      </w:r>
      <w:r>
        <w:t>RO</w:t>
      </w:r>
      <w:r>
        <w:t>）、就证券提供意见负责人员（</w:t>
      </w:r>
      <w:r>
        <w:t>RO</w:t>
      </w:r>
      <w:r>
        <w:t>）、提供资产管理负责人员（</w:t>
      </w:r>
      <w:r>
        <w:t>RO</w:t>
      </w:r>
      <w:r>
        <w:t>）、市场及产品委员会委员。曾任君安证券有限公司营业部职员，深圳众大投资有限公司投资部副</w:t>
      </w:r>
      <w:r>
        <w:t>总经理，广发证券有限责任公司研究员，易方达基金管理有限公司基金经理、固定收益部总经理、现金管理部总经理、固定收益总部总经理、总裁助理、固定收益投资总监、固定收益首席投资官，易方达资产管理有限公司董事。</w:t>
      </w:r>
    </w:p>
    <w:p w:rsidR="00336BCC">
      <w:pPr>
        <w:spacing w:line="360" w:lineRule="auto"/>
        <w:ind w:firstLine="420"/>
      </w:pPr>
      <w:r>
        <w:t>吴欣荣先生，工学硕士。现任易方达基金管理有限公司副总经理级高级管理人员、权益投资决策委员会委员，易方达资产管理（香港）有限公司董事。曾任易方达基金管理有限公司研究员、投资管理部经理、基金经理、基金投资部副总经理、研究部副总经理、研究部总经理、基金投资部总经理、公募基金投资部总经理、权益投资总部总经理、总裁助理</w:t>
      </w:r>
      <w:r>
        <w:t>、权益投资总监，易方达国际控股有限公司董事。</w:t>
      </w:r>
    </w:p>
    <w:p w:rsidR="00336BCC">
      <w:pPr>
        <w:spacing w:line="360" w:lineRule="auto"/>
        <w:ind w:firstLine="420"/>
      </w:pPr>
      <w:r>
        <w:t>娄利舟女士，工商管理硕士（</w:t>
      </w:r>
      <w:r>
        <w:t>EMBA</w:t>
      </w:r>
      <w:r>
        <w:t>）、经济学硕士。现任易方达基金管理有限公司副总经理级高级管理人员、</w:t>
      </w:r>
      <w:r>
        <w:t>FOF</w:t>
      </w:r>
      <w:r>
        <w:t>投资决策委员会委员，易方达资产管理有限公司董事长，易方达资产管理（香港）有限公司董事。曾任联合证券有限责任公司证券营业部分析师、研究所策略研究员、经纪业务部高级经理，易方达基金管理有限公司销售支持中心经理、市场部总经理助理、市场部副总经理、广州分公司总经理、北京分公司总经理、总裁助理，易方达资产管理有限公司总经理。</w:t>
      </w:r>
    </w:p>
    <w:p w:rsidR="00336BCC">
      <w:pPr>
        <w:spacing w:line="360" w:lineRule="auto"/>
        <w:ind w:firstLine="420"/>
      </w:pPr>
      <w:r>
        <w:t>陈彤先生，经济学博士。现任易方达基金管理有</w:t>
      </w:r>
      <w:r>
        <w:t>限公司副总经理级高级管理人员，易方</w:t>
      </w:r>
      <w:r>
        <w:t>达国际控股有限公司董事。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w:t>
      </w:r>
    </w:p>
    <w:p w:rsidR="00336BCC">
      <w:pPr>
        <w:spacing w:line="360" w:lineRule="auto"/>
        <w:ind w:firstLine="420"/>
      </w:pPr>
      <w:r>
        <w:t>张南女士，经济学博士。现任易方达基金管理有限公司副总经理级高级管理人员。曾任广东省经济贸易委员会主任科员、副处长，易方达基金管理有限公司市场拓展部副总经理、监察部总经理、督察长。</w:t>
      </w:r>
    </w:p>
    <w:p w:rsidR="00336BCC">
      <w:pPr>
        <w:spacing w:line="360" w:lineRule="auto"/>
        <w:ind w:firstLine="420"/>
      </w:pPr>
      <w:r>
        <w:t>范岳</w:t>
      </w:r>
      <w:r>
        <w:t>先生，工商管理硕士。现任易方达基金管理有限公司副总经理级高级管理人员、基础设施资产管理委员会委员，易方达资产管理有限公司副董事长，易方达资产管理（香港）有限公司董事。曾任中国工商银行深圳分行国际业务部科员，深圳证券登记结算公司办公室经理、国际部经理，深圳证券交易所北京中心助理主任、上市部副总监、基金债券部副总监、基金管理部总监。</w:t>
      </w:r>
    </w:p>
    <w:p w:rsidR="00336BCC">
      <w:pPr>
        <w:spacing w:line="360" w:lineRule="auto"/>
        <w:ind w:firstLine="420"/>
      </w:pPr>
      <w:r>
        <w:t>高松凡先生，工商管理硕士（</w:t>
      </w:r>
      <w:r>
        <w:t>EMBA</w:t>
      </w:r>
      <w:r>
        <w:t>）。现任易方达基金管理有限公司副总经理级高级管理人员（首席养老金业务官）。曾任招商银行总行人事部高级经理、企业年金中心副主任，浦东发展银行总行企业</w:t>
      </w:r>
      <w:r>
        <w:t>年金部总经理，长江养老保险公司首席市场总监，易方达基金管理有限公司养老金业务总监。</w:t>
      </w:r>
    </w:p>
    <w:p w:rsidR="00336BCC">
      <w:pPr>
        <w:spacing w:line="360" w:lineRule="auto"/>
        <w:ind w:firstLine="420"/>
      </w:pPr>
      <w:r>
        <w:t>关秀霞女士，工商管理硕士、金融学硕士。现任易方达基金管理有限公司副总经理级高级管理人员（首席国际业务官）。曾任中国银行（香港）有限公司分析员，</w:t>
      </w:r>
      <w:r>
        <w:t>Daniel Dennis</w:t>
      </w:r>
      <w:r>
        <w:t>高级审计师，美国道富银行公司内部审计部高级审计师、美国共同基金业务风险经理、亚洲区（除日本外）机构服务主管、亚洲区（除日本外）副总裁、大中华地区董事总经理、大中华地区高级副总裁、中国区行长。</w:t>
      </w:r>
    </w:p>
    <w:p w:rsidR="00336BCC">
      <w:pPr>
        <w:spacing w:line="360" w:lineRule="auto"/>
        <w:ind w:firstLine="420"/>
      </w:pPr>
      <w:r>
        <w:t>陈荣女士，经济学博士。现任易方达基金管理有限公司副总经理级高级管理人</w:t>
      </w:r>
      <w:r>
        <w:t>员，易方达国际控股有限公司董事，易方达资产管理（香港）有限公司董事，易方达资产管理有限公司监事，易方达私募基金管理有限公司监事。曾任中国人民银行广州分行统计研究处科员，易方达基金管理有限公司运作支持部经理、核算部总经理助理、核算部副总经理、核算部总经理、投资风险管理部总经理、总裁助理、董事会秘书、公司财务中心主任。</w:t>
      </w:r>
    </w:p>
    <w:p w:rsidR="00336BCC">
      <w:pPr>
        <w:spacing w:line="360" w:lineRule="auto"/>
        <w:ind w:firstLine="420"/>
      </w:pPr>
      <w:r>
        <w:t>张坤先生，理学硕士。现任易方达基金管理有限公司副总经理级高级管理人员、权益投资决策委员会委员、基金经理。曾任易方达基金管理有限公司行业研究员、基金经理助理、研究部总经理助理。</w:t>
      </w:r>
    </w:p>
    <w:p w:rsidR="00336BCC">
      <w:pPr>
        <w:spacing w:line="360" w:lineRule="auto"/>
        <w:ind w:firstLine="420"/>
      </w:pPr>
      <w:r>
        <w:t>胡剑先生，经济学硕</w:t>
      </w:r>
      <w:r>
        <w:t>士。现任易方达基金管理有限公司副总经理级高级管理人员、固定</w:t>
      </w:r>
      <w:r>
        <w:t>收益投资决策委员会委员、基础设施资产管理委员会委员、基金经理。曾任易方达基金管理有限公司债券研究员、基金经理助理、固定收益研究部负责人、固定收益总部总经理助理、固定收益研究部总经理、固定收益投资部总经理、固定收益投资业务总部总经理。</w:t>
      </w:r>
    </w:p>
    <w:p w:rsidR="00336BCC">
      <w:pPr>
        <w:spacing w:line="360" w:lineRule="auto"/>
        <w:ind w:firstLine="420"/>
      </w:pPr>
      <w:r>
        <w:t>张清华先生，物理学硕士。现任易方达基金管理有限公司副总经理级高级管理人员、固定收益投资决策委员会委员、基金经理。曾任晨星资讯（深圳）有限公司数量分析师，中信证券股份有限公司研究员，易方达基金管理有限公司投资经理、固定收益</w:t>
      </w:r>
      <w:r>
        <w:t>基金投资部总经理、混合资产投资部总经理、多资产投资业务总部总经理。</w:t>
      </w:r>
    </w:p>
    <w:p w:rsidR="00336BCC">
      <w:pPr>
        <w:spacing w:line="360" w:lineRule="auto"/>
        <w:ind w:firstLine="420"/>
      </w:pPr>
      <w:r>
        <w:t>冯波先生，经济学硕士。现任易方达基金管理有限公司副总经理级高级管理人员、研究部总经理、权益投资决策委员会委员、基金经理。曾任广东发展银行行员，易方达基金管理有限公司市场拓展部研究员、市场拓展部副经理、市场部大区销售经理、北京分公司副总经理、行业研究员、基金经理助理、研究部总经理助理、研究部副总经理。</w:t>
      </w:r>
    </w:p>
    <w:p w:rsidR="00336BCC">
      <w:pPr>
        <w:spacing w:line="360" w:lineRule="auto"/>
        <w:ind w:firstLine="420"/>
      </w:pPr>
      <w:r>
        <w:t>陈皓先生，管理学硕士。现任易方达基金管理有限公司副总经理级高级管理人员、投资一部总经理、权益投资决策委员会委员、基金经理。曾任易方达基金管理有限公司行业研究员、基金经理助理、投资一部总经理助理、投资一部副总经理、投资经理。</w:t>
      </w:r>
    </w:p>
    <w:p w:rsidR="00336BCC">
      <w:pPr>
        <w:spacing w:line="360" w:lineRule="auto"/>
        <w:ind w:firstLine="420"/>
      </w:pPr>
      <w:r>
        <w:t>萧楠先生，经济学硕士。现任易方达基金管理有限公司副总经理级高级管理人员、投资三部总经理、基金经理。曾任易方达基金管理有限公司行业研究员、基金经理助理、投资经理、研究部副总经理。</w:t>
      </w:r>
    </w:p>
    <w:p w:rsidR="00336BCC">
      <w:pPr>
        <w:spacing w:line="360" w:lineRule="auto"/>
        <w:ind w:firstLine="420"/>
      </w:pPr>
      <w:r>
        <w:t>管勇先生，理学硕士。现任易方达基金管理有限公司首席信息官、信息安全与运维中心总经理。曾任长城证券有限责任公司信息技术中心职员、营业部电脑部经理，金鹰基金管理有限公司运作保障部经理、总监助理、副总监、总监，国泰基金管理有限公司信息技术部副总监（主持工作）、总监，易方达基金管理有限公司信息技术部副总经理、系统研发部副总经理、技术运营部总经理、数据平台研发中心总经理、规划与支持中心总经理。</w:t>
      </w:r>
    </w:p>
    <w:p w:rsidR="00336BCC">
      <w:pPr>
        <w:spacing w:line="360" w:lineRule="auto"/>
        <w:ind w:firstLine="420"/>
      </w:pPr>
      <w:r>
        <w:t>杨冬梅女士，工商管理硕士、经济学硕士。现任易方达基金管理有限公司副总经理级高级管理人员、董事会秘书、宣传策划部总经理、全球投</w:t>
      </w:r>
      <w:r>
        <w:t>资客户部总经理，易方达资产管理（香港）有限公司董事。曾任广发证券有限责任公司投资理财部职员、发展研究中心市场研究部负责人，南方证券股份有限公司研究所高级研究员，招商基金管理有限公司机构理财部高级经理、股票投资部高级经理，易方达基金管理有限公司宣传策划专员、市场部总经理助理、市场部副总经理。</w:t>
      </w:r>
    </w:p>
    <w:p w:rsidR="00336BCC">
      <w:pPr>
        <w:spacing w:line="360" w:lineRule="auto"/>
        <w:ind w:firstLine="420"/>
      </w:pPr>
      <w:r>
        <w:t>刘世军先生，理学硕士。现任易方达基金管理有限公司副总经理级高级管理人员（首席数据与风险监测官）、投资风险管理部总经理。曾任易方达基金管理有限公司金融工程研究</w:t>
      </w:r>
      <w:r>
        <w:t>员、绩效与风险评估研究员、投资发展部总经理助理、投资风险管理部总</w:t>
      </w:r>
      <w:r>
        <w:t>经理助理、投资风险管理部副总经理、投资风险管理与数据服务总部总经理。</w:t>
      </w:r>
    </w:p>
    <w:p w:rsidR="00336BCC">
      <w:pPr>
        <w:spacing w:line="360" w:lineRule="auto"/>
        <w:ind w:firstLine="420"/>
      </w:pPr>
      <w:r>
        <w:t>王玉女士，法学硕士。现任易方达基金管理有限公司督察长、内审稽核部总经理。曾在北京市国枫律师事务所、中国证监会工作，曾任易方达基金管理有限公司公司法律事务部总经理，易方达资产管理有限公司董事。</w:t>
      </w:r>
    </w:p>
    <w:p w:rsidR="00336BCC">
      <w:pPr>
        <w:spacing w:line="360" w:lineRule="auto"/>
        <w:ind w:firstLine="420"/>
      </w:pPr>
      <w:r>
        <w:rPr>
          <w:rFonts w:ascii="宋体" w:hAnsi="宋体"/>
        </w:rPr>
        <w:t>2</w:t>
      </w:r>
      <w:r>
        <w:rPr>
          <w:rFonts w:ascii="宋体" w:hAnsi="宋体"/>
        </w:rPr>
        <w:t>、基金经理</w:t>
      </w:r>
    </w:p>
    <w:p w:rsidR="00336BCC">
      <w:pPr>
        <w:spacing w:line="360" w:lineRule="auto"/>
        <w:ind w:firstLine="420"/>
      </w:pPr>
      <w:r>
        <w:rPr>
          <w:rFonts w:ascii="宋体" w:hAnsi="宋体"/>
        </w:rPr>
        <w:t>张雅君女士，经济学硕士，本基金的基金经理。现任易方达基金管理有限公司多资产公募投资部总经理、多资产研究部总经理、基金经理、基金经理助理。曾任海通证券股份有限公司项目经理，工银瑞信基金管理有限公司债券交易员，易方达基金管理有限公司债券交易</w:t>
      </w:r>
      <w:r>
        <w:rPr>
          <w:rFonts w:ascii="宋体" w:hAnsi="宋体"/>
        </w:rPr>
        <w:t>员、固定收益研究员、固定收益基金投资部总经理助理、混合资产投资部总经理助理、多资产公募投资部负责人。张雅君历任基金经理及现任基金经理助理的基金如下：</w:t>
      </w:r>
    </w:p>
    <w:tbl>
      <w:tblPr>
        <w:tblStyle w:val="TableGrid"/>
        <w:tblW w:w="0" w:type="auto"/>
        <w:jc w:val="center"/>
        <w:tblLook w:val="04A0"/>
      </w:tblPr>
      <w:tblGrid>
        <w:gridCol w:w="4452"/>
        <w:gridCol w:w="2035"/>
        <w:gridCol w:w="2035"/>
      </w:tblGrid>
      <w:tr>
        <w:tblPrEx>
          <w:tblW w:w="0" w:type="auto"/>
          <w:jc w:val="center"/>
          <w:tblLook w:val="04A0"/>
        </w:tblPrEx>
        <w:trPr>
          <w:jc w:val="center"/>
        </w:trPr>
        <w:tc>
          <w:tcPr>
            <w:tcW w:w="8640" w:type="dxa"/>
          </w:tcPr>
          <w:p w:rsidR="00336BCC">
            <w:pPr>
              <w:jc w:val="left"/>
            </w:pPr>
            <w:r>
              <w:rPr>
                <w:rFonts w:ascii="宋体" w:hAnsi="宋体"/>
                <w:b/>
              </w:rPr>
              <w:t>历任基金经理的基金</w:t>
            </w:r>
          </w:p>
        </w:tc>
        <w:tc>
          <w:tcPr>
            <w:tcW w:w="2880" w:type="dxa"/>
          </w:tcPr>
          <w:p w:rsidR="00336BCC">
            <w:pPr>
              <w:jc w:val="center"/>
            </w:pPr>
            <w:r>
              <w:rPr>
                <w:rFonts w:ascii="宋体" w:hAnsi="宋体"/>
                <w:b/>
              </w:rPr>
              <w:t>任职时间</w:t>
            </w:r>
          </w:p>
        </w:tc>
        <w:tc>
          <w:tcPr>
            <w:tcW w:w="2880" w:type="dxa"/>
          </w:tcPr>
          <w:p w:rsidR="00336BCC">
            <w:pPr>
              <w:jc w:val="center"/>
            </w:pPr>
            <w:r>
              <w:rPr>
                <w:rFonts w:ascii="宋体" w:hAnsi="宋体"/>
                <w:b/>
              </w:rPr>
              <w:t>离任时间</w:t>
            </w:r>
          </w:p>
        </w:tc>
      </w:tr>
      <w:tr>
        <w:tblPrEx>
          <w:tblW w:w="0" w:type="auto"/>
          <w:jc w:val="center"/>
          <w:tblLook w:val="04A0"/>
        </w:tblPrEx>
        <w:trPr>
          <w:jc w:val="center"/>
        </w:trPr>
        <w:tc>
          <w:tcPr>
            <w:tcW w:w="8640" w:type="dxa"/>
          </w:tcPr>
          <w:p w:rsidR="00336BCC">
            <w:pPr>
              <w:jc w:val="left"/>
            </w:pPr>
            <w:r>
              <w:rPr>
                <w:rFonts w:ascii="宋体" w:hAnsi="宋体"/>
              </w:rPr>
              <w:t>易方达纯债债券</w:t>
            </w:r>
          </w:p>
        </w:tc>
        <w:tc>
          <w:tcPr>
            <w:tcW w:w="2880" w:type="dxa"/>
          </w:tcPr>
          <w:p w:rsidR="00336BCC">
            <w:pPr>
              <w:jc w:val="center"/>
            </w:pPr>
            <w:r>
              <w:rPr>
                <w:rFonts w:ascii="宋体" w:hAnsi="宋体"/>
              </w:rPr>
              <w:t>2015-01-10</w:t>
            </w:r>
          </w:p>
        </w:tc>
        <w:tc>
          <w:tcPr>
            <w:tcW w:w="2880" w:type="dxa"/>
          </w:tcPr>
          <w:p w:rsidR="00336BCC">
            <w:pPr>
              <w:jc w:val="center"/>
            </w:pPr>
            <w:r>
              <w:rPr>
                <w:rFonts w:ascii="宋体" w:hAnsi="宋体"/>
              </w:rPr>
              <w:t>-</w:t>
            </w:r>
          </w:p>
        </w:tc>
      </w:tr>
      <w:tr>
        <w:tblPrEx>
          <w:tblW w:w="0" w:type="auto"/>
          <w:jc w:val="center"/>
          <w:tblLook w:val="04A0"/>
        </w:tblPrEx>
        <w:trPr>
          <w:jc w:val="center"/>
        </w:trPr>
        <w:tc>
          <w:tcPr>
            <w:tcW w:w="8640" w:type="dxa"/>
          </w:tcPr>
          <w:p w:rsidR="00336BCC">
            <w:pPr>
              <w:jc w:val="left"/>
            </w:pPr>
            <w:r>
              <w:rPr>
                <w:rFonts w:ascii="宋体" w:hAnsi="宋体"/>
              </w:rPr>
              <w:t>易方达裕丰回报债券</w:t>
            </w:r>
          </w:p>
        </w:tc>
        <w:tc>
          <w:tcPr>
            <w:tcW w:w="2880" w:type="dxa"/>
          </w:tcPr>
          <w:p w:rsidR="00336BCC">
            <w:pPr>
              <w:jc w:val="center"/>
            </w:pPr>
            <w:r>
              <w:rPr>
                <w:rFonts w:ascii="宋体" w:hAnsi="宋体"/>
              </w:rPr>
              <w:t>2017-07-28</w:t>
            </w:r>
          </w:p>
        </w:tc>
        <w:tc>
          <w:tcPr>
            <w:tcW w:w="2880" w:type="dxa"/>
          </w:tcPr>
          <w:p w:rsidR="00336BCC">
            <w:pPr>
              <w:jc w:val="center"/>
            </w:pPr>
            <w:r>
              <w:rPr>
                <w:rFonts w:ascii="宋体" w:hAnsi="宋体"/>
              </w:rPr>
              <w:t>-</w:t>
            </w:r>
          </w:p>
        </w:tc>
      </w:tr>
      <w:tr>
        <w:tblPrEx>
          <w:tblW w:w="0" w:type="auto"/>
          <w:jc w:val="center"/>
          <w:tblLook w:val="04A0"/>
        </w:tblPrEx>
        <w:trPr>
          <w:jc w:val="center"/>
        </w:trPr>
        <w:tc>
          <w:tcPr>
            <w:tcW w:w="8640" w:type="dxa"/>
          </w:tcPr>
          <w:p w:rsidR="00336BCC">
            <w:pPr>
              <w:jc w:val="left"/>
            </w:pPr>
            <w:r>
              <w:rPr>
                <w:rFonts w:ascii="宋体" w:hAnsi="宋体"/>
              </w:rPr>
              <w:t>易方达裕富债券</w:t>
            </w:r>
          </w:p>
        </w:tc>
        <w:tc>
          <w:tcPr>
            <w:tcW w:w="2880" w:type="dxa"/>
          </w:tcPr>
          <w:p w:rsidR="00336BCC">
            <w:pPr>
              <w:jc w:val="center"/>
            </w:pPr>
            <w:r>
              <w:rPr>
                <w:rFonts w:ascii="宋体" w:hAnsi="宋体"/>
              </w:rPr>
              <w:t>2020-03-26</w:t>
            </w:r>
          </w:p>
        </w:tc>
        <w:tc>
          <w:tcPr>
            <w:tcW w:w="2880" w:type="dxa"/>
          </w:tcPr>
          <w:p w:rsidR="00336BCC">
            <w:pPr>
              <w:jc w:val="center"/>
            </w:pPr>
            <w:r>
              <w:rPr>
                <w:rFonts w:ascii="宋体" w:hAnsi="宋体"/>
              </w:rPr>
              <w:t>-</w:t>
            </w:r>
          </w:p>
        </w:tc>
      </w:tr>
      <w:tr>
        <w:tblPrEx>
          <w:tblW w:w="0" w:type="auto"/>
          <w:jc w:val="center"/>
          <w:tblLook w:val="04A0"/>
        </w:tblPrEx>
        <w:trPr>
          <w:jc w:val="center"/>
        </w:trPr>
        <w:tc>
          <w:tcPr>
            <w:tcW w:w="8640" w:type="dxa"/>
          </w:tcPr>
          <w:p w:rsidR="00336BCC">
            <w:pPr>
              <w:jc w:val="left"/>
            </w:pPr>
            <w:r>
              <w:rPr>
                <w:rFonts w:ascii="宋体" w:hAnsi="宋体"/>
              </w:rPr>
              <w:t>易方达招易一年持有混合</w:t>
            </w:r>
          </w:p>
        </w:tc>
        <w:tc>
          <w:tcPr>
            <w:tcW w:w="2880" w:type="dxa"/>
          </w:tcPr>
          <w:p w:rsidR="00336BCC">
            <w:pPr>
              <w:jc w:val="center"/>
            </w:pPr>
            <w:r>
              <w:rPr>
                <w:rFonts w:ascii="宋体" w:hAnsi="宋体"/>
              </w:rPr>
              <w:t>2020-06-30</w:t>
            </w:r>
          </w:p>
        </w:tc>
        <w:tc>
          <w:tcPr>
            <w:tcW w:w="2880" w:type="dxa"/>
          </w:tcPr>
          <w:p w:rsidR="00336BCC">
            <w:pPr>
              <w:jc w:val="center"/>
            </w:pPr>
            <w:r>
              <w:rPr>
                <w:rFonts w:ascii="宋体" w:hAnsi="宋体"/>
              </w:rPr>
              <w:t>-</w:t>
            </w:r>
          </w:p>
        </w:tc>
      </w:tr>
      <w:tr>
        <w:tblPrEx>
          <w:tblW w:w="0" w:type="auto"/>
          <w:jc w:val="center"/>
          <w:tblLook w:val="04A0"/>
        </w:tblPrEx>
        <w:trPr>
          <w:jc w:val="center"/>
        </w:trPr>
        <w:tc>
          <w:tcPr>
            <w:tcW w:w="8640" w:type="dxa"/>
          </w:tcPr>
          <w:p w:rsidR="00336BCC">
            <w:pPr>
              <w:jc w:val="left"/>
            </w:pPr>
            <w:r>
              <w:rPr>
                <w:rFonts w:ascii="宋体" w:hAnsi="宋体"/>
              </w:rPr>
              <w:t>易方达磐恒九个月持有混合</w:t>
            </w:r>
          </w:p>
        </w:tc>
        <w:tc>
          <w:tcPr>
            <w:tcW w:w="2880" w:type="dxa"/>
          </w:tcPr>
          <w:p w:rsidR="00336BCC">
            <w:pPr>
              <w:jc w:val="center"/>
            </w:pPr>
            <w:r>
              <w:rPr>
                <w:rFonts w:ascii="宋体" w:hAnsi="宋体"/>
              </w:rPr>
              <w:t>2020-08-07</w:t>
            </w:r>
          </w:p>
        </w:tc>
        <w:tc>
          <w:tcPr>
            <w:tcW w:w="2880" w:type="dxa"/>
          </w:tcPr>
          <w:p w:rsidR="00336BCC">
            <w:pPr>
              <w:jc w:val="center"/>
            </w:pPr>
            <w:r>
              <w:rPr>
                <w:rFonts w:ascii="宋体" w:hAnsi="宋体"/>
              </w:rPr>
              <w:t>-</w:t>
            </w:r>
          </w:p>
        </w:tc>
      </w:tr>
      <w:tr>
        <w:tblPrEx>
          <w:tblW w:w="0" w:type="auto"/>
          <w:jc w:val="center"/>
          <w:tblLook w:val="04A0"/>
        </w:tblPrEx>
        <w:trPr>
          <w:jc w:val="center"/>
        </w:trPr>
        <w:tc>
          <w:tcPr>
            <w:tcW w:w="8640" w:type="dxa"/>
          </w:tcPr>
          <w:p w:rsidR="00336BCC">
            <w:pPr>
              <w:jc w:val="left"/>
            </w:pPr>
            <w:r>
              <w:rPr>
                <w:rFonts w:ascii="宋体" w:hAnsi="宋体"/>
              </w:rPr>
              <w:t>易方达磐泰一年持有混合</w:t>
            </w:r>
          </w:p>
        </w:tc>
        <w:tc>
          <w:tcPr>
            <w:tcW w:w="2880" w:type="dxa"/>
          </w:tcPr>
          <w:p w:rsidR="00336BCC">
            <w:pPr>
              <w:jc w:val="center"/>
            </w:pPr>
            <w:r>
              <w:rPr>
                <w:rFonts w:ascii="宋体" w:hAnsi="宋体"/>
              </w:rPr>
              <w:t>2020-08-14</w:t>
            </w:r>
          </w:p>
        </w:tc>
        <w:tc>
          <w:tcPr>
            <w:tcW w:w="2880" w:type="dxa"/>
          </w:tcPr>
          <w:p w:rsidR="00336BCC">
            <w:pPr>
              <w:jc w:val="center"/>
            </w:pPr>
            <w:r>
              <w:rPr>
                <w:rFonts w:ascii="宋体" w:hAnsi="宋体"/>
              </w:rPr>
              <w:t>-</w:t>
            </w:r>
          </w:p>
        </w:tc>
      </w:tr>
      <w:tr>
        <w:tblPrEx>
          <w:tblW w:w="0" w:type="auto"/>
          <w:jc w:val="center"/>
          <w:tblLook w:val="04A0"/>
        </w:tblPrEx>
        <w:trPr>
          <w:jc w:val="center"/>
        </w:trPr>
        <w:tc>
          <w:tcPr>
            <w:tcW w:w="8640" w:type="dxa"/>
          </w:tcPr>
          <w:p w:rsidR="00336BCC">
            <w:pPr>
              <w:jc w:val="left"/>
            </w:pPr>
            <w:r>
              <w:rPr>
                <w:rFonts w:ascii="宋体" w:hAnsi="宋体"/>
              </w:rPr>
              <w:t>易方达悦通一年持有混合</w:t>
            </w:r>
          </w:p>
        </w:tc>
        <w:tc>
          <w:tcPr>
            <w:tcW w:w="2880" w:type="dxa"/>
          </w:tcPr>
          <w:p w:rsidR="00336BCC">
            <w:pPr>
              <w:jc w:val="center"/>
            </w:pPr>
            <w:r>
              <w:rPr>
                <w:rFonts w:ascii="宋体" w:hAnsi="宋体"/>
              </w:rPr>
              <w:t>2020-12-16</w:t>
            </w:r>
          </w:p>
        </w:tc>
        <w:tc>
          <w:tcPr>
            <w:tcW w:w="2880" w:type="dxa"/>
          </w:tcPr>
          <w:p w:rsidR="00336BCC">
            <w:pPr>
              <w:jc w:val="center"/>
            </w:pPr>
            <w:r>
              <w:rPr>
                <w:rFonts w:ascii="宋体" w:hAnsi="宋体"/>
              </w:rPr>
              <w:t>-</w:t>
            </w:r>
          </w:p>
        </w:tc>
      </w:tr>
      <w:tr>
        <w:tblPrEx>
          <w:tblW w:w="0" w:type="auto"/>
          <w:jc w:val="center"/>
          <w:tblLook w:val="04A0"/>
        </w:tblPrEx>
        <w:trPr>
          <w:jc w:val="center"/>
        </w:trPr>
        <w:tc>
          <w:tcPr>
            <w:tcW w:w="8640" w:type="dxa"/>
          </w:tcPr>
          <w:p w:rsidR="00336BCC">
            <w:pPr>
              <w:jc w:val="left"/>
            </w:pPr>
            <w:r>
              <w:rPr>
                <w:rFonts w:ascii="宋体" w:hAnsi="宋体"/>
              </w:rPr>
              <w:t>易方达悦安一年持有债券</w:t>
            </w:r>
          </w:p>
        </w:tc>
        <w:tc>
          <w:tcPr>
            <w:tcW w:w="2880" w:type="dxa"/>
          </w:tcPr>
          <w:p w:rsidR="00336BCC">
            <w:pPr>
              <w:jc w:val="center"/>
            </w:pPr>
            <w:r>
              <w:rPr>
                <w:rFonts w:ascii="宋体" w:hAnsi="宋体"/>
              </w:rPr>
              <w:t>2021-04-06</w:t>
            </w:r>
          </w:p>
        </w:tc>
        <w:tc>
          <w:tcPr>
            <w:tcW w:w="2880" w:type="dxa"/>
          </w:tcPr>
          <w:p w:rsidR="00336BCC">
            <w:pPr>
              <w:jc w:val="center"/>
            </w:pPr>
            <w:r>
              <w:rPr>
                <w:rFonts w:ascii="宋体" w:hAnsi="宋体"/>
              </w:rPr>
              <w:t>-</w:t>
            </w:r>
          </w:p>
        </w:tc>
      </w:tr>
      <w:tr>
        <w:tblPrEx>
          <w:tblW w:w="0" w:type="auto"/>
          <w:jc w:val="center"/>
          <w:tblLook w:val="04A0"/>
        </w:tblPrEx>
        <w:trPr>
          <w:jc w:val="center"/>
        </w:trPr>
        <w:tc>
          <w:tcPr>
            <w:tcW w:w="8640" w:type="dxa"/>
          </w:tcPr>
          <w:p w:rsidR="00336BCC">
            <w:pPr>
              <w:jc w:val="left"/>
            </w:pPr>
            <w:r>
              <w:rPr>
                <w:rFonts w:ascii="宋体" w:hAnsi="宋体"/>
              </w:rPr>
              <w:t>易方达宁易一年持有混合</w:t>
            </w:r>
          </w:p>
        </w:tc>
        <w:tc>
          <w:tcPr>
            <w:tcW w:w="2880" w:type="dxa"/>
          </w:tcPr>
          <w:p w:rsidR="00336BCC">
            <w:pPr>
              <w:jc w:val="center"/>
            </w:pPr>
            <w:r>
              <w:rPr>
                <w:rFonts w:ascii="宋体" w:hAnsi="宋体"/>
              </w:rPr>
              <w:t>2021-04-09</w:t>
            </w:r>
          </w:p>
        </w:tc>
        <w:tc>
          <w:tcPr>
            <w:tcW w:w="2880" w:type="dxa"/>
          </w:tcPr>
          <w:p w:rsidR="00336BCC">
            <w:pPr>
              <w:jc w:val="center"/>
            </w:pPr>
            <w:r>
              <w:rPr>
                <w:rFonts w:ascii="宋体" w:hAnsi="宋体"/>
              </w:rPr>
              <w:t>-</w:t>
            </w:r>
          </w:p>
        </w:tc>
      </w:tr>
      <w:tr>
        <w:tblPrEx>
          <w:tblW w:w="0" w:type="auto"/>
          <w:jc w:val="center"/>
          <w:tblLook w:val="04A0"/>
        </w:tblPrEx>
        <w:trPr>
          <w:jc w:val="center"/>
        </w:trPr>
        <w:tc>
          <w:tcPr>
            <w:tcW w:w="8640" w:type="dxa"/>
          </w:tcPr>
          <w:p w:rsidR="00336BCC">
            <w:pPr>
              <w:jc w:val="left"/>
            </w:pPr>
            <w:r>
              <w:rPr>
                <w:rFonts w:ascii="宋体" w:hAnsi="宋体"/>
              </w:rPr>
              <w:t>易方达稳泰一年持有混合</w:t>
            </w:r>
          </w:p>
        </w:tc>
        <w:tc>
          <w:tcPr>
            <w:tcW w:w="2880" w:type="dxa"/>
          </w:tcPr>
          <w:p w:rsidR="00336BCC">
            <w:pPr>
              <w:jc w:val="center"/>
            </w:pPr>
            <w:r>
              <w:rPr>
                <w:rFonts w:ascii="宋体" w:hAnsi="宋体"/>
              </w:rPr>
              <w:t>2021-04-27</w:t>
            </w:r>
          </w:p>
        </w:tc>
        <w:tc>
          <w:tcPr>
            <w:tcW w:w="2880" w:type="dxa"/>
          </w:tcPr>
          <w:p w:rsidR="00336BCC">
            <w:pPr>
              <w:jc w:val="center"/>
            </w:pPr>
            <w:r>
              <w:rPr>
                <w:rFonts w:ascii="宋体" w:hAnsi="宋体"/>
              </w:rPr>
              <w:t>-</w:t>
            </w:r>
          </w:p>
        </w:tc>
      </w:tr>
      <w:tr>
        <w:tblPrEx>
          <w:tblW w:w="0" w:type="auto"/>
          <w:jc w:val="center"/>
          <w:tblLook w:val="04A0"/>
        </w:tblPrEx>
        <w:trPr>
          <w:jc w:val="center"/>
        </w:trPr>
        <w:tc>
          <w:tcPr>
            <w:tcW w:w="8640" w:type="dxa"/>
          </w:tcPr>
          <w:p w:rsidR="00336BCC">
            <w:pPr>
              <w:jc w:val="left"/>
            </w:pPr>
            <w:r>
              <w:rPr>
                <w:rFonts w:ascii="宋体" w:hAnsi="宋体"/>
              </w:rPr>
              <w:t>易方达裕祥回报债券</w:t>
            </w:r>
          </w:p>
        </w:tc>
        <w:tc>
          <w:tcPr>
            <w:tcW w:w="2880" w:type="dxa"/>
          </w:tcPr>
          <w:p w:rsidR="00336BCC">
            <w:pPr>
              <w:jc w:val="center"/>
            </w:pPr>
            <w:r>
              <w:rPr>
                <w:rFonts w:ascii="宋体" w:hAnsi="宋体"/>
              </w:rPr>
              <w:t>2016-06-02</w:t>
            </w:r>
          </w:p>
        </w:tc>
        <w:tc>
          <w:tcPr>
            <w:tcW w:w="2880" w:type="dxa"/>
          </w:tcPr>
          <w:p w:rsidR="00336BCC">
            <w:pPr>
              <w:jc w:val="center"/>
            </w:pPr>
            <w:r>
              <w:rPr>
                <w:rFonts w:ascii="宋体" w:hAnsi="宋体"/>
              </w:rPr>
              <w:t>2017-07-28</w:t>
            </w:r>
          </w:p>
        </w:tc>
      </w:tr>
      <w:tr>
        <w:tblPrEx>
          <w:tblW w:w="0" w:type="auto"/>
          <w:jc w:val="center"/>
          <w:tblLook w:val="04A0"/>
        </w:tblPrEx>
        <w:trPr>
          <w:jc w:val="center"/>
        </w:trPr>
        <w:tc>
          <w:tcPr>
            <w:tcW w:w="8640" w:type="dxa"/>
          </w:tcPr>
          <w:p w:rsidR="00336BCC">
            <w:pPr>
              <w:jc w:val="left"/>
            </w:pPr>
            <w:r>
              <w:rPr>
                <w:rFonts w:ascii="宋体" w:hAnsi="宋体"/>
              </w:rPr>
              <w:t>易方达恒益定开债券发起式</w:t>
            </w:r>
          </w:p>
        </w:tc>
        <w:tc>
          <w:tcPr>
            <w:tcW w:w="2880" w:type="dxa"/>
          </w:tcPr>
          <w:p w:rsidR="00336BCC">
            <w:pPr>
              <w:jc w:val="center"/>
            </w:pPr>
            <w:r>
              <w:rPr>
                <w:rFonts w:ascii="宋体" w:hAnsi="宋体"/>
              </w:rPr>
              <w:t>2017-10-25</w:t>
            </w:r>
          </w:p>
        </w:tc>
        <w:tc>
          <w:tcPr>
            <w:tcW w:w="2880" w:type="dxa"/>
          </w:tcPr>
          <w:p w:rsidR="00336BCC">
            <w:pPr>
              <w:jc w:val="center"/>
            </w:pPr>
            <w:r>
              <w:rPr>
                <w:rFonts w:ascii="宋体" w:hAnsi="宋体"/>
              </w:rPr>
              <w:t>2019-07-12</w:t>
            </w:r>
          </w:p>
        </w:tc>
      </w:tr>
      <w:tr>
        <w:tblPrEx>
          <w:tblW w:w="0" w:type="auto"/>
          <w:jc w:val="center"/>
          <w:tblLook w:val="04A0"/>
        </w:tblPrEx>
        <w:trPr>
          <w:jc w:val="center"/>
        </w:trPr>
        <w:tc>
          <w:tcPr>
            <w:tcW w:w="8640" w:type="dxa"/>
          </w:tcPr>
          <w:p w:rsidR="00336BCC">
            <w:pPr>
              <w:jc w:val="left"/>
            </w:pPr>
            <w:r>
              <w:rPr>
                <w:rFonts w:ascii="宋体" w:hAnsi="宋体"/>
              </w:rPr>
              <w:t>易方达富惠纯债债券</w:t>
            </w:r>
          </w:p>
        </w:tc>
        <w:tc>
          <w:tcPr>
            <w:tcW w:w="2880" w:type="dxa"/>
          </w:tcPr>
          <w:p w:rsidR="00336BCC">
            <w:pPr>
              <w:jc w:val="center"/>
            </w:pPr>
            <w:r>
              <w:rPr>
                <w:rFonts w:ascii="宋体" w:hAnsi="宋体"/>
              </w:rPr>
              <w:t>2016-08-24</w:t>
            </w:r>
          </w:p>
        </w:tc>
        <w:tc>
          <w:tcPr>
            <w:tcW w:w="2880" w:type="dxa"/>
          </w:tcPr>
          <w:p w:rsidR="00336BCC">
            <w:pPr>
              <w:jc w:val="center"/>
            </w:pPr>
            <w:r>
              <w:rPr>
                <w:rFonts w:ascii="宋体" w:hAnsi="宋体"/>
              </w:rPr>
              <w:t>2019-11-27</w:t>
            </w:r>
          </w:p>
        </w:tc>
      </w:tr>
      <w:tr>
        <w:tblPrEx>
          <w:tblW w:w="0" w:type="auto"/>
          <w:jc w:val="center"/>
          <w:tblLook w:val="04A0"/>
        </w:tblPrEx>
        <w:trPr>
          <w:jc w:val="center"/>
        </w:trPr>
        <w:tc>
          <w:tcPr>
            <w:tcW w:w="8640" w:type="dxa"/>
          </w:tcPr>
          <w:p w:rsidR="00336BCC">
            <w:pPr>
              <w:jc w:val="left"/>
            </w:pPr>
            <w:r>
              <w:rPr>
                <w:rFonts w:ascii="宋体" w:hAnsi="宋体"/>
              </w:rPr>
              <w:t>易方达中债</w:t>
            </w:r>
            <w:r>
              <w:rPr>
                <w:rFonts w:ascii="宋体" w:hAnsi="宋体"/>
              </w:rPr>
              <w:t>3-5</w:t>
            </w:r>
            <w:r>
              <w:rPr>
                <w:rFonts w:ascii="宋体" w:hAnsi="宋体"/>
              </w:rPr>
              <w:t>年期国债指数</w:t>
            </w:r>
          </w:p>
        </w:tc>
        <w:tc>
          <w:tcPr>
            <w:tcW w:w="2880" w:type="dxa"/>
          </w:tcPr>
          <w:p w:rsidR="00336BCC">
            <w:pPr>
              <w:jc w:val="center"/>
            </w:pPr>
            <w:r>
              <w:rPr>
                <w:rFonts w:ascii="宋体" w:hAnsi="宋体"/>
              </w:rPr>
              <w:t>2015-07-08</w:t>
            </w:r>
          </w:p>
        </w:tc>
        <w:tc>
          <w:tcPr>
            <w:tcW w:w="2880" w:type="dxa"/>
          </w:tcPr>
          <w:p w:rsidR="00336BCC">
            <w:pPr>
              <w:jc w:val="center"/>
            </w:pPr>
            <w:r>
              <w:rPr>
                <w:rFonts w:ascii="宋体" w:hAnsi="宋体"/>
              </w:rPr>
              <w:t>2020-03-10</w:t>
            </w:r>
          </w:p>
        </w:tc>
      </w:tr>
      <w:tr>
        <w:tblPrEx>
          <w:tblW w:w="0" w:type="auto"/>
          <w:jc w:val="center"/>
          <w:tblLook w:val="04A0"/>
        </w:tblPrEx>
        <w:trPr>
          <w:jc w:val="center"/>
        </w:trPr>
        <w:tc>
          <w:tcPr>
            <w:tcW w:w="8640" w:type="dxa"/>
          </w:tcPr>
          <w:p w:rsidR="00336BCC">
            <w:pPr>
              <w:jc w:val="left"/>
            </w:pPr>
            <w:r>
              <w:rPr>
                <w:rFonts w:ascii="宋体" w:hAnsi="宋体"/>
              </w:rPr>
              <w:t>易方达中债</w:t>
            </w:r>
            <w:r>
              <w:rPr>
                <w:rFonts w:ascii="宋体" w:hAnsi="宋体"/>
              </w:rPr>
              <w:t>7-10</w:t>
            </w:r>
            <w:r>
              <w:rPr>
                <w:rFonts w:ascii="宋体" w:hAnsi="宋体"/>
              </w:rPr>
              <w:t>年期国开行债券指数</w:t>
            </w:r>
          </w:p>
        </w:tc>
        <w:tc>
          <w:tcPr>
            <w:tcW w:w="2880" w:type="dxa"/>
          </w:tcPr>
          <w:p w:rsidR="00336BCC">
            <w:pPr>
              <w:jc w:val="center"/>
            </w:pPr>
            <w:r>
              <w:rPr>
                <w:rFonts w:ascii="宋体" w:hAnsi="宋体"/>
              </w:rPr>
              <w:t>2016-09-27</w:t>
            </w:r>
          </w:p>
        </w:tc>
        <w:tc>
          <w:tcPr>
            <w:tcW w:w="2880" w:type="dxa"/>
          </w:tcPr>
          <w:p w:rsidR="00336BCC">
            <w:pPr>
              <w:jc w:val="center"/>
            </w:pPr>
            <w:r>
              <w:rPr>
                <w:rFonts w:ascii="宋体" w:hAnsi="宋体"/>
              </w:rPr>
              <w:t>2020-03-10</w:t>
            </w:r>
          </w:p>
        </w:tc>
      </w:tr>
      <w:tr>
        <w:tblPrEx>
          <w:tblW w:w="0" w:type="auto"/>
          <w:jc w:val="center"/>
          <w:tblLook w:val="04A0"/>
        </w:tblPrEx>
        <w:trPr>
          <w:jc w:val="center"/>
        </w:trPr>
        <w:tc>
          <w:tcPr>
            <w:tcW w:w="8640" w:type="dxa"/>
          </w:tcPr>
          <w:p w:rsidR="00336BCC">
            <w:pPr>
              <w:jc w:val="left"/>
            </w:pPr>
            <w:r>
              <w:rPr>
                <w:rFonts w:ascii="宋体" w:hAnsi="宋体"/>
              </w:rPr>
              <w:t>易方达增强回报债券</w:t>
            </w:r>
          </w:p>
        </w:tc>
        <w:tc>
          <w:tcPr>
            <w:tcW w:w="2880" w:type="dxa"/>
          </w:tcPr>
          <w:p w:rsidR="00336BCC">
            <w:pPr>
              <w:jc w:val="center"/>
            </w:pPr>
            <w:r>
              <w:rPr>
                <w:rFonts w:ascii="宋体" w:hAnsi="宋体"/>
              </w:rPr>
              <w:t>2014-07-19</w:t>
            </w:r>
          </w:p>
        </w:tc>
        <w:tc>
          <w:tcPr>
            <w:tcW w:w="2880" w:type="dxa"/>
          </w:tcPr>
          <w:p w:rsidR="00336BCC">
            <w:pPr>
              <w:jc w:val="center"/>
            </w:pPr>
            <w:r>
              <w:rPr>
                <w:rFonts w:ascii="宋体" w:hAnsi="宋体"/>
              </w:rPr>
              <w:t>2020-05-27</w:t>
            </w:r>
          </w:p>
        </w:tc>
      </w:tr>
      <w:tr>
        <w:tblPrEx>
          <w:tblW w:w="0" w:type="auto"/>
          <w:jc w:val="center"/>
          <w:tblLook w:val="04A0"/>
        </w:tblPrEx>
        <w:trPr>
          <w:jc w:val="center"/>
        </w:trPr>
        <w:tc>
          <w:tcPr>
            <w:tcW w:w="8640" w:type="dxa"/>
          </w:tcPr>
          <w:p w:rsidR="00336BCC">
            <w:pPr>
              <w:jc w:val="left"/>
            </w:pPr>
            <w:r>
              <w:rPr>
                <w:rFonts w:ascii="宋体" w:hAnsi="宋体"/>
              </w:rPr>
              <w:t>易方达恒兴</w:t>
            </w:r>
            <w:r>
              <w:rPr>
                <w:rFonts w:ascii="宋体" w:hAnsi="宋体"/>
              </w:rPr>
              <w:t>3</w:t>
            </w:r>
            <w:r>
              <w:rPr>
                <w:rFonts w:ascii="宋体" w:hAnsi="宋体"/>
              </w:rPr>
              <w:t>个月定开债券发起式</w:t>
            </w:r>
          </w:p>
        </w:tc>
        <w:tc>
          <w:tcPr>
            <w:tcW w:w="2880" w:type="dxa"/>
          </w:tcPr>
          <w:p w:rsidR="00336BCC">
            <w:pPr>
              <w:jc w:val="center"/>
            </w:pPr>
            <w:r>
              <w:rPr>
                <w:rFonts w:ascii="宋体" w:hAnsi="宋体"/>
              </w:rPr>
              <w:t>2019-10-15</w:t>
            </w:r>
          </w:p>
        </w:tc>
        <w:tc>
          <w:tcPr>
            <w:tcW w:w="2880" w:type="dxa"/>
          </w:tcPr>
          <w:p w:rsidR="00336BCC">
            <w:pPr>
              <w:jc w:val="center"/>
            </w:pPr>
            <w:r>
              <w:rPr>
                <w:rFonts w:ascii="宋体" w:hAnsi="宋体"/>
              </w:rPr>
              <w:t>2020-12-11</w:t>
            </w:r>
          </w:p>
        </w:tc>
      </w:tr>
      <w:tr>
        <w:tblPrEx>
          <w:tblW w:w="0" w:type="auto"/>
          <w:jc w:val="center"/>
          <w:tblLook w:val="04A0"/>
        </w:tblPrEx>
        <w:trPr>
          <w:jc w:val="center"/>
        </w:trPr>
        <w:tc>
          <w:tcPr>
            <w:tcW w:w="8640" w:type="dxa"/>
          </w:tcPr>
          <w:p w:rsidR="00336BCC">
            <w:pPr>
              <w:jc w:val="left"/>
            </w:pPr>
            <w:r>
              <w:rPr>
                <w:rFonts w:ascii="宋体" w:hAnsi="宋体"/>
              </w:rPr>
              <w:t>易方达富财纯债债券</w:t>
            </w:r>
          </w:p>
        </w:tc>
        <w:tc>
          <w:tcPr>
            <w:tcW w:w="2880" w:type="dxa"/>
          </w:tcPr>
          <w:p w:rsidR="00336BCC">
            <w:pPr>
              <w:jc w:val="center"/>
            </w:pPr>
            <w:r>
              <w:rPr>
                <w:rFonts w:ascii="宋体" w:hAnsi="宋体"/>
              </w:rPr>
              <w:t>2018-10-26</w:t>
            </w:r>
          </w:p>
        </w:tc>
        <w:tc>
          <w:tcPr>
            <w:tcW w:w="2880" w:type="dxa"/>
          </w:tcPr>
          <w:p w:rsidR="00336BCC">
            <w:pPr>
              <w:jc w:val="center"/>
            </w:pPr>
            <w:r>
              <w:rPr>
                <w:rFonts w:ascii="宋体" w:hAnsi="宋体"/>
              </w:rPr>
              <w:t>2021-06-12</w:t>
            </w:r>
          </w:p>
        </w:tc>
      </w:tr>
    </w:tbl>
    <w:p w:rsidR="00336BCC"/>
    <w:tbl>
      <w:tblPr>
        <w:tblStyle w:val="TableGrid"/>
        <w:tblW w:w="0" w:type="auto"/>
        <w:jc w:val="center"/>
        <w:tblLook w:val="04A0"/>
      </w:tblPr>
      <w:tblGrid>
        <w:gridCol w:w="4261"/>
        <w:gridCol w:w="4261"/>
      </w:tblGrid>
      <w:tr>
        <w:tblPrEx>
          <w:tblW w:w="0" w:type="auto"/>
          <w:jc w:val="center"/>
          <w:tblLook w:val="04A0"/>
        </w:tblPrEx>
        <w:trPr>
          <w:jc w:val="center"/>
        </w:trPr>
        <w:tc>
          <w:tcPr>
            <w:tcW w:w="8640" w:type="dxa"/>
            <w:gridSpan w:val="2"/>
          </w:tcPr>
          <w:p w:rsidR="00336BCC">
            <w:r>
              <w:rPr>
                <w:rFonts w:ascii="宋体" w:hAnsi="宋体"/>
                <w:b/>
              </w:rPr>
              <w:t>现任基金经理助理的基金</w:t>
            </w:r>
          </w:p>
        </w:tc>
      </w:tr>
      <w:tr>
        <w:tblPrEx>
          <w:tblW w:w="0" w:type="auto"/>
          <w:jc w:val="center"/>
          <w:tblLook w:val="04A0"/>
        </w:tblPrEx>
        <w:trPr>
          <w:jc w:val="center"/>
        </w:trPr>
        <w:tc>
          <w:tcPr>
            <w:tcW w:w="4320" w:type="dxa"/>
          </w:tcPr>
          <w:p w:rsidR="00336BCC">
            <w:pPr>
              <w:jc w:val="left"/>
            </w:pPr>
            <w:r>
              <w:rPr>
                <w:rFonts w:ascii="宋体" w:hAnsi="宋体"/>
              </w:rPr>
              <w:t>易方达安心回报债券</w:t>
            </w:r>
          </w:p>
        </w:tc>
        <w:tc>
          <w:tcPr>
            <w:tcW w:w="4320" w:type="dxa"/>
          </w:tcPr>
          <w:p w:rsidR="00336BCC">
            <w:pPr>
              <w:jc w:val="left"/>
            </w:pPr>
            <w:r>
              <w:rPr>
                <w:rFonts w:ascii="宋体" w:hAnsi="宋体"/>
              </w:rPr>
              <w:t>易方达丰和债券</w:t>
            </w:r>
          </w:p>
        </w:tc>
      </w:tr>
    </w:tbl>
    <w:p w:rsidR="00336BCC">
      <w:pPr>
        <w:spacing w:line="360" w:lineRule="auto"/>
        <w:ind w:firstLine="420"/>
      </w:pPr>
      <w:r>
        <w:rPr>
          <w:rFonts w:ascii="宋体" w:hAnsi="宋体"/>
        </w:rPr>
        <w:t>周琼女士，金融硕士，本基金的基金经理助理。现任易方达基金管理有限公司基金经理助理。曾任凯仁投资咨询（上海）有限公司客户经理，易方达基金管理有限公司投资支持专员、研究员。周琼现任基金经理助理的基金如下：</w:t>
      </w:r>
    </w:p>
    <w:tbl>
      <w:tblPr>
        <w:tblStyle w:val="TableGrid"/>
        <w:tblW w:w="0" w:type="auto"/>
        <w:jc w:val="center"/>
        <w:tblLook w:val="04A0"/>
      </w:tblPr>
      <w:tblGrid>
        <w:gridCol w:w="4261"/>
        <w:gridCol w:w="4261"/>
      </w:tblGrid>
      <w:tr>
        <w:tblPrEx>
          <w:tblW w:w="0" w:type="auto"/>
          <w:jc w:val="center"/>
          <w:tblLook w:val="04A0"/>
        </w:tblPrEx>
        <w:trPr>
          <w:jc w:val="center"/>
        </w:trPr>
        <w:tc>
          <w:tcPr>
            <w:tcW w:w="8640" w:type="dxa"/>
            <w:gridSpan w:val="2"/>
          </w:tcPr>
          <w:p w:rsidR="00336BCC">
            <w:r>
              <w:rPr>
                <w:rFonts w:ascii="宋体" w:hAnsi="宋体"/>
                <w:b/>
              </w:rPr>
              <w:t>现任基金经理助理的基金</w:t>
            </w:r>
          </w:p>
        </w:tc>
      </w:tr>
      <w:tr>
        <w:tblPrEx>
          <w:tblW w:w="0" w:type="auto"/>
          <w:jc w:val="center"/>
          <w:tblLook w:val="04A0"/>
        </w:tblPrEx>
        <w:trPr>
          <w:jc w:val="center"/>
        </w:trPr>
        <w:tc>
          <w:tcPr>
            <w:tcW w:w="4320" w:type="dxa"/>
          </w:tcPr>
          <w:p w:rsidR="00336BCC">
            <w:pPr>
              <w:jc w:val="left"/>
            </w:pPr>
            <w:r>
              <w:rPr>
                <w:rFonts w:ascii="宋体" w:hAnsi="宋体"/>
              </w:rPr>
              <w:t>易方达鑫转招利混合</w:t>
            </w:r>
          </w:p>
        </w:tc>
        <w:tc>
          <w:tcPr>
            <w:tcW w:w="4320" w:type="dxa"/>
          </w:tcPr>
          <w:p w:rsidR="00336BCC">
            <w:pPr>
              <w:jc w:val="left"/>
            </w:pPr>
            <w:r>
              <w:rPr>
                <w:rFonts w:ascii="宋体" w:hAnsi="宋体"/>
              </w:rPr>
              <w:t>易方达招易一年持有混合</w:t>
            </w:r>
          </w:p>
        </w:tc>
      </w:tr>
      <w:tr>
        <w:tblPrEx>
          <w:tblW w:w="0" w:type="auto"/>
          <w:jc w:val="center"/>
          <w:tblLook w:val="04A0"/>
        </w:tblPrEx>
        <w:trPr>
          <w:jc w:val="center"/>
        </w:trPr>
        <w:tc>
          <w:tcPr>
            <w:tcW w:w="4320" w:type="dxa"/>
          </w:tcPr>
          <w:p w:rsidR="00336BCC">
            <w:pPr>
              <w:jc w:val="left"/>
            </w:pPr>
            <w:r>
              <w:rPr>
                <w:rFonts w:ascii="宋体" w:hAnsi="宋体"/>
              </w:rPr>
              <w:t>易方达鑫转添利混合</w:t>
            </w:r>
          </w:p>
        </w:tc>
        <w:tc>
          <w:tcPr>
            <w:tcW w:w="4320" w:type="dxa"/>
          </w:tcPr>
          <w:p w:rsidR="00336BCC">
            <w:pPr>
              <w:jc w:val="left"/>
            </w:pPr>
            <w:r>
              <w:rPr>
                <w:rFonts w:ascii="宋体" w:hAnsi="宋体"/>
              </w:rPr>
              <w:t>易方达瑞锦混合发起式</w:t>
            </w:r>
          </w:p>
        </w:tc>
      </w:tr>
      <w:tr>
        <w:tblPrEx>
          <w:tblW w:w="0" w:type="auto"/>
          <w:jc w:val="center"/>
          <w:tblLook w:val="04A0"/>
        </w:tblPrEx>
        <w:trPr>
          <w:jc w:val="center"/>
        </w:trPr>
        <w:tc>
          <w:tcPr>
            <w:tcW w:w="4320" w:type="dxa"/>
          </w:tcPr>
          <w:p w:rsidR="00336BCC">
            <w:pPr>
              <w:jc w:val="left"/>
            </w:pPr>
            <w:r>
              <w:rPr>
                <w:rFonts w:ascii="宋体" w:hAnsi="宋体"/>
              </w:rPr>
              <w:t>易方达丰华债券</w:t>
            </w:r>
          </w:p>
        </w:tc>
        <w:tc>
          <w:tcPr>
            <w:tcW w:w="4320" w:type="dxa"/>
          </w:tcPr>
          <w:p w:rsidR="00336BCC">
            <w:pPr>
              <w:jc w:val="left"/>
            </w:pPr>
            <w:r>
              <w:rPr>
                <w:rFonts w:ascii="宋体" w:hAnsi="宋体"/>
              </w:rPr>
              <w:t>易方达磐恒九个月持有混合</w:t>
            </w:r>
          </w:p>
        </w:tc>
      </w:tr>
      <w:tr>
        <w:tblPrEx>
          <w:tblW w:w="0" w:type="auto"/>
          <w:jc w:val="center"/>
          <w:tblLook w:val="04A0"/>
        </w:tblPrEx>
        <w:trPr>
          <w:jc w:val="center"/>
        </w:trPr>
        <w:tc>
          <w:tcPr>
            <w:tcW w:w="4320" w:type="dxa"/>
          </w:tcPr>
          <w:p w:rsidR="00336BCC">
            <w:pPr>
              <w:jc w:val="left"/>
            </w:pPr>
            <w:r>
              <w:rPr>
                <w:rFonts w:ascii="宋体" w:hAnsi="宋体"/>
              </w:rPr>
              <w:t>易方达丰和债券</w:t>
            </w:r>
          </w:p>
        </w:tc>
        <w:tc>
          <w:tcPr>
            <w:tcW w:w="4320" w:type="dxa"/>
          </w:tcPr>
          <w:p w:rsidR="00336BCC">
            <w:pPr>
              <w:jc w:val="left"/>
            </w:pPr>
            <w:r>
              <w:rPr>
                <w:rFonts w:ascii="宋体" w:hAnsi="宋体"/>
              </w:rPr>
              <w:t>易方达磐泰一年持有混合</w:t>
            </w:r>
          </w:p>
        </w:tc>
      </w:tr>
      <w:tr>
        <w:tblPrEx>
          <w:tblW w:w="0" w:type="auto"/>
          <w:jc w:val="center"/>
          <w:tblLook w:val="04A0"/>
        </w:tblPrEx>
        <w:trPr>
          <w:jc w:val="center"/>
        </w:trPr>
        <w:tc>
          <w:tcPr>
            <w:tcW w:w="4320" w:type="dxa"/>
          </w:tcPr>
          <w:p w:rsidR="00336BCC">
            <w:pPr>
              <w:jc w:val="left"/>
            </w:pPr>
            <w:r>
              <w:rPr>
                <w:rFonts w:ascii="宋体" w:hAnsi="宋体"/>
              </w:rPr>
              <w:t>易方达安心回报债券</w:t>
            </w:r>
          </w:p>
        </w:tc>
        <w:tc>
          <w:tcPr>
            <w:tcW w:w="4320" w:type="dxa"/>
          </w:tcPr>
          <w:p w:rsidR="00336BCC">
            <w:pPr>
              <w:jc w:val="left"/>
            </w:pPr>
            <w:r>
              <w:rPr>
                <w:rFonts w:ascii="宋体" w:hAnsi="宋体"/>
              </w:rPr>
              <w:t>易方达磐固六个月持有混合</w:t>
            </w:r>
          </w:p>
        </w:tc>
      </w:tr>
      <w:tr>
        <w:tblPrEx>
          <w:tblW w:w="0" w:type="auto"/>
          <w:jc w:val="center"/>
          <w:tblLook w:val="04A0"/>
        </w:tblPrEx>
        <w:trPr>
          <w:jc w:val="center"/>
        </w:trPr>
        <w:tc>
          <w:tcPr>
            <w:tcW w:w="4320" w:type="dxa"/>
          </w:tcPr>
          <w:p w:rsidR="00336BCC">
            <w:pPr>
              <w:jc w:val="left"/>
            </w:pPr>
            <w:r>
              <w:rPr>
                <w:rFonts w:ascii="宋体" w:hAnsi="宋体"/>
              </w:rPr>
              <w:t>易方达安盈回报混合</w:t>
            </w:r>
          </w:p>
        </w:tc>
        <w:tc>
          <w:tcPr>
            <w:tcW w:w="4320" w:type="dxa"/>
          </w:tcPr>
          <w:p w:rsidR="00336BCC">
            <w:pPr>
              <w:jc w:val="left"/>
            </w:pPr>
            <w:r>
              <w:rPr>
                <w:rFonts w:ascii="宋体" w:hAnsi="宋体"/>
              </w:rPr>
              <w:t>易方达悦享一年持有混合</w:t>
            </w:r>
          </w:p>
        </w:tc>
      </w:tr>
      <w:tr>
        <w:tblPrEx>
          <w:tblW w:w="0" w:type="auto"/>
          <w:jc w:val="center"/>
          <w:tblLook w:val="04A0"/>
        </w:tblPrEx>
        <w:trPr>
          <w:jc w:val="center"/>
        </w:trPr>
        <w:tc>
          <w:tcPr>
            <w:tcW w:w="4320" w:type="dxa"/>
          </w:tcPr>
          <w:p w:rsidR="00336BCC">
            <w:pPr>
              <w:jc w:val="left"/>
            </w:pPr>
            <w:r>
              <w:rPr>
                <w:rFonts w:ascii="宋体" w:hAnsi="宋体"/>
              </w:rPr>
              <w:t>易方达新收益混合</w:t>
            </w:r>
          </w:p>
        </w:tc>
        <w:tc>
          <w:tcPr>
            <w:tcW w:w="4320" w:type="dxa"/>
          </w:tcPr>
          <w:p w:rsidR="00336BCC">
            <w:pPr>
              <w:jc w:val="left"/>
            </w:pPr>
            <w:r>
              <w:rPr>
                <w:rFonts w:ascii="宋体" w:hAnsi="宋体"/>
              </w:rPr>
              <w:t>易方达悦兴一年持有混合</w:t>
            </w:r>
          </w:p>
        </w:tc>
      </w:tr>
      <w:tr>
        <w:tblPrEx>
          <w:tblW w:w="0" w:type="auto"/>
          <w:jc w:val="center"/>
          <w:tblLook w:val="04A0"/>
        </w:tblPrEx>
        <w:trPr>
          <w:jc w:val="center"/>
        </w:trPr>
        <w:tc>
          <w:tcPr>
            <w:tcW w:w="4320" w:type="dxa"/>
          </w:tcPr>
          <w:p w:rsidR="00336BCC">
            <w:pPr>
              <w:jc w:val="left"/>
            </w:pPr>
            <w:r>
              <w:rPr>
                <w:rFonts w:ascii="宋体" w:hAnsi="宋体"/>
              </w:rPr>
              <w:t>易方达瑞信混合</w:t>
            </w:r>
          </w:p>
        </w:tc>
        <w:tc>
          <w:tcPr>
            <w:tcW w:w="4320" w:type="dxa"/>
          </w:tcPr>
          <w:p w:rsidR="00336BCC">
            <w:pPr>
              <w:jc w:val="left"/>
            </w:pPr>
            <w:r>
              <w:rPr>
                <w:rFonts w:ascii="宋体" w:hAnsi="宋体"/>
              </w:rPr>
              <w:t>易方达悦通一年持有混合</w:t>
            </w:r>
          </w:p>
        </w:tc>
      </w:tr>
      <w:tr>
        <w:tblPrEx>
          <w:tblW w:w="0" w:type="auto"/>
          <w:jc w:val="center"/>
          <w:tblLook w:val="04A0"/>
        </w:tblPrEx>
        <w:trPr>
          <w:jc w:val="center"/>
        </w:trPr>
        <w:tc>
          <w:tcPr>
            <w:tcW w:w="4320" w:type="dxa"/>
          </w:tcPr>
          <w:p w:rsidR="00336BCC">
            <w:pPr>
              <w:jc w:val="left"/>
            </w:pPr>
            <w:r>
              <w:rPr>
                <w:rFonts w:ascii="宋体" w:hAnsi="宋体"/>
              </w:rPr>
              <w:t>易方达瑞和混合</w:t>
            </w:r>
          </w:p>
        </w:tc>
        <w:tc>
          <w:tcPr>
            <w:tcW w:w="4320" w:type="dxa"/>
          </w:tcPr>
          <w:p w:rsidR="00336BCC">
            <w:pPr>
              <w:jc w:val="left"/>
            </w:pPr>
            <w:r>
              <w:rPr>
                <w:rFonts w:ascii="宋体" w:hAnsi="宋体"/>
              </w:rPr>
              <w:t>易方达瑞安混合发起式</w:t>
            </w:r>
          </w:p>
        </w:tc>
      </w:tr>
      <w:tr>
        <w:tblPrEx>
          <w:tblW w:w="0" w:type="auto"/>
          <w:jc w:val="center"/>
          <w:tblLook w:val="04A0"/>
        </w:tblPrEx>
        <w:trPr>
          <w:jc w:val="center"/>
        </w:trPr>
        <w:tc>
          <w:tcPr>
            <w:tcW w:w="4320" w:type="dxa"/>
          </w:tcPr>
          <w:p w:rsidR="00336BCC">
            <w:pPr>
              <w:jc w:val="left"/>
            </w:pPr>
            <w:r>
              <w:rPr>
                <w:rFonts w:ascii="宋体" w:hAnsi="宋体"/>
              </w:rPr>
              <w:t>易方达纯债债券</w:t>
            </w:r>
          </w:p>
        </w:tc>
        <w:tc>
          <w:tcPr>
            <w:tcW w:w="4320" w:type="dxa"/>
          </w:tcPr>
          <w:p w:rsidR="00336BCC">
            <w:pPr>
              <w:jc w:val="left"/>
            </w:pPr>
            <w:r>
              <w:rPr>
                <w:rFonts w:ascii="宋体" w:hAnsi="宋体"/>
              </w:rPr>
              <w:t>易方达悦盈一年持有混合</w:t>
            </w:r>
          </w:p>
        </w:tc>
      </w:tr>
      <w:tr>
        <w:tblPrEx>
          <w:tblW w:w="0" w:type="auto"/>
          <w:jc w:val="center"/>
          <w:tblLook w:val="04A0"/>
        </w:tblPrEx>
        <w:trPr>
          <w:jc w:val="center"/>
        </w:trPr>
        <w:tc>
          <w:tcPr>
            <w:tcW w:w="4320" w:type="dxa"/>
          </w:tcPr>
          <w:p w:rsidR="00336BCC">
            <w:pPr>
              <w:jc w:val="left"/>
            </w:pPr>
            <w:r>
              <w:rPr>
                <w:rFonts w:ascii="宋体" w:hAnsi="宋体"/>
              </w:rPr>
              <w:t>易方达裕丰回报债券</w:t>
            </w:r>
          </w:p>
        </w:tc>
        <w:tc>
          <w:tcPr>
            <w:tcW w:w="4320" w:type="dxa"/>
          </w:tcPr>
          <w:p w:rsidR="00336BCC">
            <w:pPr>
              <w:jc w:val="left"/>
            </w:pPr>
            <w:r>
              <w:rPr>
                <w:rFonts w:ascii="宋体" w:hAnsi="宋体"/>
              </w:rPr>
              <w:t>易方达瑞康混合</w:t>
            </w:r>
          </w:p>
        </w:tc>
      </w:tr>
      <w:tr>
        <w:tblPrEx>
          <w:tblW w:w="0" w:type="auto"/>
          <w:jc w:val="center"/>
          <w:tblLook w:val="04A0"/>
        </w:tblPrEx>
        <w:trPr>
          <w:jc w:val="center"/>
        </w:trPr>
        <w:tc>
          <w:tcPr>
            <w:tcW w:w="4320" w:type="dxa"/>
          </w:tcPr>
          <w:p w:rsidR="00336BCC">
            <w:pPr>
              <w:jc w:val="left"/>
            </w:pPr>
            <w:r>
              <w:rPr>
                <w:rFonts w:ascii="宋体" w:hAnsi="宋体"/>
              </w:rPr>
              <w:t>易方达裕鑫债券</w:t>
            </w:r>
          </w:p>
        </w:tc>
        <w:tc>
          <w:tcPr>
            <w:tcW w:w="4320" w:type="dxa"/>
          </w:tcPr>
          <w:p w:rsidR="00336BCC">
            <w:pPr>
              <w:jc w:val="left"/>
            </w:pPr>
            <w:r>
              <w:rPr>
                <w:rFonts w:ascii="宋体" w:hAnsi="宋体"/>
              </w:rPr>
              <w:t>易方达悦弘一年持有混合</w:t>
            </w:r>
          </w:p>
        </w:tc>
      </w:tr>
      <w:tr>
        <w:tblPrEx>
          <w:tblW w:w="0" w:type="auto"/>
          <w:jc w:val="center"/>
          <w:tblLook w:val="04A0"/>
        </w:tblPrEx>
        <w:trPr>
          <w:jc w:val="center"/>
        </w:trPr>
        <w:tc>
          <w:tcPr>
            <w:tcW w:w="4320" w:type="dxa"/>
          </w:tcPr>
          <w:p w:rsidR="00336BCC">
            <w:pPr>
              <w:jc w:val="left"/>
            </w:pPr>
            <w:r>
              <w:rPr>
                <w:rFonts w:ascii="宋体" w:hAnsi="宋体"/>
              </w:rPr>
              <w:t>易方达鑫转增利混合</w:t>
            </w:r>
          </w:p>
        </w:tc>
        <w:tc>
          <w:tcPr>
            <w:tcW w:w="4320" w:type="dxa"/>
          </w:tcPr>
          <w:p w:rsidR="00336BCC">
            <w:pPr>
              <w:jc w:val="left"/>
            </w:pPr>
            <w:r>
              <w:rPr>
                <w:rFonts w:ascii="宋体" w:hAnsi="宋体"/>
              </w:rPr>
              <w:t>易方达悦安一年持有债券</w:t>
            </w:r>
          </w:p>
        </w:tc>
      </w:tr>
      <w:tr>
        <w:tblPrEx>
          <w:tblW w:w="0" w:type="auto"/>
          <w:jc w:val="center"/>
          <w:tblLook w:val="04A0"/>
        </w:tblPrEx>
        <w:trPr>
          <w:jc w:val="center"/>
        </w:trPr>
        <w:tc>
          <w:tcPr>
            <w:tcW w:w="4320" w:type="dxa"/>
          </w:tcPr>
          <w:p w:rsidR="00336BCC">
            <w:pPr>
              <w:jc w:val="left"/>
            </w:pPr>
            <w:r>
              <w:rPr>
                <w:rFonts w:ascii="宋体" w:hAnsi="宋体"/>
              </w:rPr>
              <w:t>易方达新享混合</w:t>
            </w:r>
          </w:p>
        </w:tc>
        <w:tc>
          <w:tcPr>
            <w:tcW w:w="4320" w:type="dxa"/>
          </w:tcPr>
          <w:p w:rsidR="00336BCC">
            <w:pPr>
              <w:jc w:val="left"/>
            </w:pPr>
            <w:r>
              <w:rPr>
                <w:rFonts w:ascii="宋体" w:hAnsi="宋体"/>
              </w:rPr>
              <w:t>易方达宁易一年持有混合</w:t>
            </w:r>
          </w:p>
        </w:tc>
      </w:tr>
      <w:tr>
        <w:tblPrEx>
          <w:tblW w:w="0" w:type="auto"/>
          <w:jc w:val="center"/>
          <w:tblLook w:val="04A0"/>
        </w:tblPrEx>
        <w:trPr>
          <w:jc w:val="center"/>
        </w:trPr>
        <w:tc>
          <w:tcPr>
            <w:tcW w:w="4320" w:type="dxa"/>
          </w:tcPr>
          <w:p w:rsidR="00336BCC">
            <w:pPr>
              <w:jc w:val="left"/>
            </w:pPr>
            <w:r>
              <w:rPr>
                <w:rFonts w:ascii="宋体" w:hAnsi="宋体"/>
              </w:rPr>
              <w:t>易方达新利混合</w:t>
            </w:r>
          </w:p>
        </w:tc>
        <w:tc>
          <w:tcPr>
            <w:tcW w:w="4320" w:type="dxa"/>
          </w:tcPr>
          <w:p w:rsidR="00336BCC">
            <w:pPr>
              <w:jc w:val="left"/>
            </w:pPr>
            <w:r>
              <w:rPr>
                <w:rFonts w:ascii="宋体" w:hAnsi="宋体"/>
              </w:rPr>
              <w:t>易方达稳泰一年持有混合</w:t>
            </w:r>
          </w:p>
        </w:tc>
      </w:tr>
      <w:tr>
        <w:tblPrEx>
          <w:tblW w:w="0" w:type="auto"/>
          <w:jc w:val="center"/>
          <w:tblLook w:val="04A0"/>
        </w:tblPrEx>
        <w:trPr>
          <w:jc w:val="center"/>
        </w:trPr>
        <w:tc>
          <w:tcPr>
            <w:tcW w:w="4320" w:type="dxa"/>
          </w:tcPr>
          <w:p w:rsidR="00336BCC">
            <w:pPr>
              <w:jc w:val="left"/>
            </w:pPr>
            <w:r>
              <w:rPr>
                <w:rFonts w:ascii="宋体" w:hAnsi="宋体"/>
              </w:rPr>
              <w:t>易方达新益混合</w:t>
            </w:r>
          </w:p>
        </w:tc>
        <w:tc>
          <w:tcPr>
            <w:tcW w:w="4320" w:type="dxa"/>
          </w:tcPr>
          <w:p w:rsidR="00336BCC">
            <w:pPr>
              <w:jc w:val="left"/>
            </w:pPr>
            <w:r>
              <w:rPr>
                <w:rFonts w:ascii="宋体" w:hAnsi="宋体"/>
              </w:rPr>
              <w:t>易方达悦信一年持有混合</w:t>
            </w:r>
          </w:p>
        </w:tc>
      </w:tr>
      <w:tr>
        <w:tblPrEx>
          <w:tblW w:w="0" w:type="auto"/>
          <w:jc w:val="center"/>
          <w:tblLook w:val="04A0"/>
        </w:tblPrEx>
        <w:trPr>
          <w:jc w:val="center"/>
        </w:trPr>
        <w:tc>
          <w:tcPr>
            <w:tcW w:w="4320" w:type="dxa"/>
          </w:tcPr>
          <w:p w:rsidR="00336BCC">
            <w:pPr>
              <w:jc w:val="left"/>
            </w:pPr>
            <w:r>
              <w:rPr>
                <w:rFonts w:ascii="宋体" w:hAnsi="宋体"/>
              </w:rPr>
              <w:t>易方达新鑫混合</w:t>
            </w:r>
          </w:p>
        </w:tc>
        <w:tc>
          <w:tcPr>
            <w:tcW w:w="4320" w:type="dxa"/>
          </w:tcPr>
          <w:p w:rsidR="00336BCC">
            <w:pPr>
              <w:jc w:val="left"/>
            </w:pPr>
            <w:r>
              <w:rPr>
                <w:rFonts w:ascii="宋体" w:hAnsi="宋体"/>
              </w:rPr>
              <w:t>易方达瑞富混合</w:t>
            </w:r>
          </w:p>
        </w:tc>
      </w:tr>
      <w:tr>
        <w:tblPrEx>
          <w:tblW w:w="0" w:type="auto"/>
          <w:jc w:val="center"/>
          <w:tblLook w:val="04A0"/>
        </w:tblPrEx>
        <w:trPr>
          <w:jc w:val="center"/>
        </w:trPr>
        <w:tc>
          <w:tcPr>
            <w:tcW w:w="4320" w:type="dxa"/>
          </w:tcPr>
          <w:p w:rsidR="00336BCC">
            <w:pPr>
              <w:jc w:val="left"/>
            </w:pPr>
            <w:r>
              <w:rPr>
                <w:rFonts w:ascii="宋体" w:hAnsi="宋体"/>
              </w:rPr>
              <w:t>易方达瑞兴混合</w:t>
            </w:r>
          </w:p>
        </w:tc>
        <w:tc>
          <w:tcPr>
            <w:tcW w:w="4320" w:type="dxa"/>
          </w:tcPr>
          <w:p w:rsidR="00336BCC">
            <w:pPr>
              <w:jc w:val="left"/>
            </w:pPr>
            <w:r>
              <w:rPr>
                <w:rFonts w:ascii="宋体" w:hAnsi="宋体"/>
              </w:rPr>
              <w:t>易方达悦夏一年持有混合</w:t>
            </w:r>
          </w:p>
        </w:tc>
      </w:tr>
      <w:tr>
        <w:tblPrEx>
          <w:tblW w:w="0" w:type="auto"/>
          <w:jc w:val="center"/>
          <w:tblLook w:val="04A0"/>
        </w:tblPrEx>
        <w:trPr>
          <w:jc w:val="center"/>
        </w:trPr>
        <w:tc>
          <w:tcPr>
            <w:tcW w:w="4320" w:type="dxa"/>
          </w:tcPr>
          <w:p w:rsidR="00336BCC">
            <w:pPr>
              <w:jc w:val="left"/>
            </w:pPr>
            <w:r>
              <w:rPr>
                <w:rFonts w:ascii="宋体" w:hAnsi="宋体"/>
              </w:rPr>
              <w:t>易方达瑞景混合</w:t>
            </w:r>
          </w:p>
        </w:tc>
        <w:tc>
          <w:tcPr>
            <w:tcW w:w="4320" w:type="dxa"/>
          </w:tcPr>
          <w:p w:rsidR="00336BCC">
            <w:pPr>
              <w:jc w:val="left"/>
            </w:pPr>
            <w:r>
              <w:rPr>
                <w:rFonts w:ascii="宋体" w:hAnsi="宋体"/>
              </w:rPr>
              <w:t>易方达悦丰一年持有混合</w:t>
            </w:r>
          </w:p>
        </w:tc>
      </w:tr>
      <w:tr>
        <w:tblPrEx>
          <w:tblW w:w="0" w:type="auto"/>
          <w:jc w:val="center"/>
          <w:tblLook w:val="04A0"/>
        </w:tblPrEx>
        <w:trPr>
          <w:jc w:val="center"/>
        </w:trPr>
        <w:tc>
          <w:tcPr>
            <w:tcW w:w="4320" w:type="dxa"/>
          </w:tcPr>
          <w:p w:rsidR="00336BCC">
            <w:pPr>
              <w:jc w:val="left"/>
            </w:pPr>
            <w:r>
              <w:rPr>
                <w:rFonts w:ascii="宋体" w:hAnsi="宋体"/>
              </w:rPr>
              <w:t>易方达瑞智混合</w:t>
            </w:r>
          </w:p>
        </w:tc>
        <w:tc>
          <w:tcPr>
            <w:tcW w:w="4320" w:type="dxa"/>
          </w:tcPr>
          <w:p w:rsidR="00336BCC">
            <w:pPr>
              <w:jc w:val="left"/>
            </w:pPr>
            <w:r>
              <w:rPr>
                <w:rFonts w:ascii="宋体" w:hAnsi="宋体"/>
              </w:rPr>
              <w:t>易方达悦浦一年持有混合</w:t>
            </w:r>
          </w:p>
        </w:tc>
      </w:tr>
      <w:tr>
        <w:tblPrEx>
          <w:tblW w:w="0" w:type="auto"/>
          <w:jc w:val="center"/>
          <w:tblLook w:val="04A0"/>
        </w:tblPrEx>
        <w:trPr>
          <w:jc w:val="center"/>
        </w:trPr>
        <w:tc>
          <w:tcPr>
            <w:tcW w:w="4320" w:type="dxa"/>
          </w:tcPr>
          <w:p w:rsidR="00336BCC">
            <w:pPr>
              <w:jc w:val="left"/>
            </w:pPr>
            <w:r>
              <w:rPr>
                <w:rFonts w:ascii="宋体" w:hAnsi="宋体"/>
              </w:rPr>
              <w:t>易方达瑞祥混合</w:t>
            </w:r>
          </w:p>
        </w:tc>
        <w:tc>
          <w:tcPr>
            <w:tcW w:w="4320" w:type="dxa"/>
          </w:tcPr>
          <w:p w:rsidR="00336BCC">
            <w:pPr>
              <w:jc w:val="left"/>
            </w:pPr>
            <w:r>
              <w:rPr>
                <w:rFonts w:ascii="宋体" w:hAnsi="宋体"/>
              </w:rPr>
              <w:t>易方达悦融一年持有混合</w:t>
            </w:r>
          </w:p>
        </w:tc>
      </w:tr>
      <w:tr>
        <w:tblPrEx>
          <w:tblW w:w="0" w:type="auto"/>
          <w:jc w:val="center"/>
          <w:tblLook w:val="04A0"/>
        </w:tblPrEx>
        <w:trPr>
          <w:jc w:val="center"/>
        </w:trPr>
        <w:tc>
          <w:tcPr>
            <w:tcW w:w="4320" w:type="dxa"/>
          </w:tcPr>
          <w:p w:rsidR="00336BCC">
            <w:pPr>
              <w:jc w:val="left"/>
            </w:pPr>
            <w:r>
              <w:rPr>
                <w:rFonts w:ascii="宋体" w:hAnsi="宋体"/>
              </w:rPr>
              <w:t>易方达瑞选混合</w:t>
            </w:r>
          </w:p>
        </w:tc>
        <w:tc>
          <w:tcPr>
            <w:tcW w:w="4320" w:type="dxa"/>
          </w:tcPr>
          <w:p w:rsidR="00336BCC">
            <w:pPr>
              <w:jc w:val="left"/>
            </w:pPr>
            <w:r>
              <w:rPr>
                <w:rFonts w:ascii="宋体" w:hAnsi="宋体"/>
              </w:rPr>
              <w:t>易方达悦稳一年持有混合</w:t>
            </w:r>
          </w:p>
        </w:tc>
      </w:tr>
      <w:tr>
        <w:tblPrEx>
          <w:tblW w:w="0" w:type="auto"/>
          <w:jc w:val="center"/>
          <w:tblLook w:val="04A0"/>
        </w:tblPrEx>
        <w:trPr>
          <w:jc w:val="center"/>
        </w:trPr>
        <w:tc>
          <w:tcPr>
            <w:tcW w:w="4320" w:type="dxa"/>
          </w:tcPr>
          <w:p w:rsidR="00336BCC">
            <w:pPr>
              <w:jc w:val="left"/>
            </w:pPr>
            <w:r>
              <w:rPr>
                <w:rFonts w:ascii="宋体" w:hAnsi="宋体"/>
              </w:rPr>
              <w:t>易方达瑞祺混合</w:t>
            </w:r>
          </w:p>
        </w:tc>
        <w:tc>
          <w:tcPr>
            <w:tcW w:w="4320" w:type="dxa"/>
          </w:tcPr>
          <w:p w:rsidR="00336BCC">
            <w:pPr>
              <w:jc w:val="left"/>
            </w:pPr>
            <w:r>
              <w:rPr>
                <w:rFonts w:ascii="宋体" w:hAnsi="宋体"/>
              </w:rPr>
              <w:t>易方达安心回馈混合</w:t>
            </w:r>
          </w:p>
        </w:tc>
      </w:tr>
      <w:tr>
        <w:tblPrEx>
          <w:tblW w:w="0" w:type="auto"/>
          <w:jc w:val="center"/>
          <w:tblLook w:val="04A0"/>
        </w:tblPrEx>
        <w:trPr>
          <w:jc w:val="center"/>
        </w:trPr>
        <w:tc>
          <w:tcPr>
            <w:tcW w:w="4320" w:type="dxa"/>
          </w:tcPr>
          <w:p w:rsidR="00336BCC">
            <w:pPr>
              <w:jc w:val="left"/>
            </w:pPr>
            <w:r>
              <w:rPr>
                <w:rFonts w:ascii="宋体" w:hAnsi="宋体"/>
              </w:rPr>
              <w:t>易方达裕富债券</w:t>
            </w:r>
          </w:p>
        </w:tc>
        <w:tc>
          <w:tcPr>
            <w:tcW w:w="4320" w:type="dxa"/>
          </w:tcPr>
          <w:p w:rsidR="00336BCC">
            <w:pPr>
              <w:jc w:val="left"/>
            </w:pPr>
            <w:r>
              <w:rPr>
                <w:rFonts w:ascii="宋体" w:hAnsi="宋体"/>
              </w:rPr>
              <w:t>易方达瑞弘混合</w:t>
            </w:r>
          </w:p>
        </w:tc>
      </w:tr>
      <w:tr>
        <w:tblPrEx>
          <w:tblW w:w="0" w:type="auto"/>
          <w:jc w:val="center"/>
          <w:tblLook w:val="04A0"/>
        </w:tblPrEx>
        <w:trPr>
          <w:jc w:val="center"/>
        </w:trPr>
        <w:tc>
          <w:tcPr>
            <w:tcW w:w="4320" w:type="dxa"/>
          </w:tcPr>
          <w:p w:rsidR="00336BCC">
            <w:pPr>
              <w:jc w:val="left"/>
            </w:pPr>
            <w:r>
              <w:rPr>
                <w:rFonts w:ascii="宋体" w:hAnsi="宋体"/>
              </w:rPr>
              <w:t>易方达瑞川混合发起式</w:t>
            </w:r>
          </w:p>
        </w:tc>
        <w:tc>
          <w:tcPr>
            <w:tcW w:w="4320" w:type="dxa"/>
          </w:tcPr>
          <w:p w:rsidR="00336BCC">
            <w:pPr>
              <w:jc w:val="left"/>
            </w:pPr>
            <w:r>
              <w:rPr>
                <w:rFonts w:ascii="宋体" w:hAnsi="宋体"/>
              </w:rPr>
              <w:t>易方达瑞通混合</w:t>
            </w:r>
          </w:p>
        </w:tc>
      </w:tr>
      <w:tr>
        <w:tblPrEx>
          <w:tblW w:w="0" w:type="auto"/>
          <w:jc w:val="center"/>
          <w:tblLook w:val="04A0"/>
        </w:tblPrEx>
        <w:trPr>
          <w:jc w:val="center"/>
        </w:trPr>
        <w:tc>
          <w:tcPr>
            <w:tcW w:w="4320" w:type="dxa"/>
          </w:tcPr>
          <w:p w:rsidR="00336BCC">
            <w:pPr>
              <w:jc w:val="left"/>
            </w:pPr>
            <w:r>
              <w:rPr>
                <w:rFonts w:ascii="宋体" w:hAnsi="宋体"/>
              </w:rPr>
              <w:t>易方达丰惠混合</w:t>
            </w:r>
          </w:p>
        </w:tc>
        <w:tc>
          <w:tcPr>
            <w:tcW w:w="4320" w:type="dxa"/>
          </w:tcPr>
          <w:p w:rsidR="00336BCC">
            <w:pPr>
              <w:jc w:val="left"/>
            </w:pPr>
            <w:r>
              <w:rPr>
                <w:rFonts w:ascii="宋体" w:hAnsi="宋体"/>
              </w:rPr>
              <w:t>易方达悦鑫一年持有混合</w:t>
            </w:r>
          </w:p>
        </w:tc>
      </w:tr>
    </w:tbl>
    <w:p w:rsidR="00336BCC">
      <w:pPr>
        <w:spacing w:line="360" w:lineRule="auto"/>
        <w:ind w:firstLine="420"/>
      </w:pPr>
      <w:r>
        <w:rPr>
          <w:rFonts w:ascii="宋体" w:hAnsi="宋体"/>
        </w:rPr>
        <w:t>本基金历任基金经理情况：马喜德，管理时间为</w:t>
      </w:r>
      <w:r>
        <w:rPr>
          <w:rFonts w:ascii="宋体" w:hAnsi="宋体"/>
        </w:rPr>
        <w:t>2012</w:t>
      </w:r>
      <w:r>
        <w:rPr>
          <w:rFonts w:ascii="宋体" w:hAnsi="宋体"/>
        </w:rPr>
        <w:t>年</w:t>
      </w:r>
      <w:r>
        <w:rPr>
          <w:rFonts w:ascii="宋体" w:hAnsi="宋体"/>
        </w:rPr>
        <w:t>5</w:t>
      </w:r>
      <w:r>
        <w:rPr>
          <w:rFonts w:ascii="宋体" w:hAnsi="宋体"/>
        </w:rPr>
        <w:t>月</w:t>
      </w:r>
      <w:r>
        <w:rPr>
          <w:rFonts w:ascii="宋体" w:hAnsi="宋体"/>
        </w:rPr>
        <w:t>3</w:t>
      </w:r>
      <w:r>
        <w:rPr>
          <w:rFonts w:ascii="宋体" w:hAnsi="宋体"/>
        </w:rPr>
        <w:t>日至</w:t>
      </w:r>
      <w:r>
        <w:rPr>
          <w:rFonts w:ascii="宋体" w:hAnsi="宋体"/>
        </w:rPr>
        <w:t>2013</w:t>
      </w:r>
      <w:r>
        <w:rPr>
          <w:rFonts w:ascii="宋体" w:hAnsi="宋体"/>
        </w:rPr>
        <w:t>年</w:t>
      </w:r>
      <w:r>
        <w:rPr>
          <w:rFonts w:ascii="宋体" w:hAnsi="宋体"/>
        </w:rPr>
        <w:t>4</w:t>
      </w:r>
      <w:r>
        <w:rPr>
          <w:rFonts w:ascii="宋体" w:hAnsi="宋体"/>
        </w:rPr>
        <w:t>月</w:t>
      </w:r>
      <w:r>
        <w:rPr>
          <w:rFonts w:ascii="宋体" w:hAnsi="宋体"/>
        </w:rPr>
        <w:t>21</w:t>
      </w:r>
      <w:r>
        <w:rPr>
          <w:rFonts w:ascii="宋体" w:hAnsi="宋体"/>
        </w:rPr>
        <w:t>日；刘琦，管理时间为</w:t>
      </w:r>
      <w:r>
        <w:rPr>
          <w:rFonts w:ascii="宋体" w:hAnsi="宋体"/>
        </w:rPr>
        <w:t>2013</w:t>
      </w:r>
      <w:r>
        <w:rPr>
          <w:rFonts w:ascii="宋体" w:hAnsi="宋体"/>
        </w:rPr>
        <w:t>年</w:t>
      </w:r>
      <w:r>
        <w:rPr>
          <w:rFonts w:ascii="宋体" w:hAnsi="宋体"/>
        </w:rPr>
        <w:t>4</w:t>
      </w:r>
      <w:r>
        <w:rPr>
          <w:rFonts w:ascii="宋体" w:hAnsi="宋体"/>
        </w:rPr>
        <w:t>月</w:t>
      </w:r>
      <w:r>
        <w:rPr>
          <w:rFonts w:ascii="宋体" w:hAnsi="宋体"/>
        </w:rPr>
        <w:t>22</w:t>
      </w:r>
      <w:r>
        <w:rPr>
          <w:rFonts w:ascii="宋体" w:hAnsi="宋体"/>
        </w:rPr>
        <w:t>日至</w:t>
      </w:r>
      <w:r>
        <w:rPr>
          <w:rFonts w:ascii="宋体" w:hAnsi="宋体"/>
        </w:rPr>
        <w:t>2015</w:t>
      </w:r>
      <w:r>
        <w:rPr>
          <w:rFonts w:ascii="宋体" w:hAnsi="宋体"/>
        </w:rPr>
        <w:t>年</w:t>
      </w:r>
      <w:r>
        <w:rPr>
          <w:rFonts w:ascii="宋体" w:hAnsi="宋体"/>
        </w:rPr>
        <w:t>1</w:t>
      </w:r>
      <w:r>
        <w:rPr>
          <w:rFonts w:ascii="宋体" w:hAnsi="宋体"/>
        </w:rPr>
        <w:t>月</w:t>
      </w:r>
      <w:r>
        <w:rPr>
          <w:rFonts w:ascii="宋体" w:hAnsi="宋体"/>
        </w:rPr>
        <w:t>9</w:t>
      </w:r>
      <w:r>
        <w:rPr>
          <w:rFonts w:ascii="宋体" w:hAnsi="宋体"/>
        </w:rPr>
        <w:t>日；胡剑，管理时间为</w:t>
      </w:r>
      <w:r>
        <w:rPr>
          <w:rFonts w:ascii="宋体" w:hAnsi="宋体"/>
        </w:rPr>
        <w:t>2013</w:t>
      </w:r>
      <w:r>
        <w:rPr>
          <w:rFonts w:ascii="宋体" w:hAnsi="宋体"/>
        </w:rPr>
        <w:t>年</w:t>
      </w:r>
      <w:r>
        <w:rPr>
          <w:rFonts w:ascii="宋体" w:hAnsi="宋体"/>
        </w:rPr>
        <w:t>4</w:t>
      </w:r>
      <w:r>
        <w:rPr>
          <w:rFonts w:ascii="宋体" w:hAnsi="宋体"/>
        </w:rPr>
        <w:t>月</w:t>
      </w:r>
      <w:r>
        <w:rPr>
          <w:rFonts w:ascii="宋体" w:hAnsi="宋体"/>
        </w:rPr>
        <w:t>22</w:t>
      </w:r>
      <w:r>
        <w:rPr>
          <w:rFonts w:ascii="宋体" w:hAnsi="宋体"/>
        </w:rPr>
        <w:t>日至</w:t>
      </w:r>
      <w:r>
        <w:rPr>
          <w:rFonts w:ascii="宋体" w:hAnsi="宋体"/>
        </w:rPr>
        <w:t>2015</w:t>
      </w:r>
      <w:r>
        <w:rPr>
          <w:rFonts w:ascii="宋体" w:hAnsi="宋体"/>
        </w:rPr>
        <w:t>年</w:t>
      </w:r>
      <w:r>
        <w:rPr>
          <w:rFonts w:ascii="宋体" w:hAnsi="宋体"/>
        </w:rPr>
        <w:t>3</w:t>
      </w:r>
      <w:r>
        <w:rPr>
          <w:rFonts w:ascii="宋体" w:hAnsi="宋体"/>
        </w:rPr>
        <w:t>月</w:t>
      </w:r>
      <w:r>
        <w:rPr>
          <w:rFonts w:ascii="宋体" w:hAnsi="宋体"/>
        </w:rPr>
        <w:t>13</w:t>
      </w:r>
      <w:r>
        <w:rPr>
          <w:rFonts w:ascii="宋体" w:hAnsi="宋体"/>
        </w:rPr>
        <w:t>日；王晓晨，管理时间为</w:t>
      </w:r>
      <w:r>
        <w:rPr>
          <w:rFonts w:ascii="宋体" w:hAnsi="宋体"/>
        </w:rPr>
        <w:t>2017</w:t>
      </w:r>
      <w:r>
        <w:rPr>
          <w:rFonts w:ascii="宋体" w:hAnsi="宋体"/>
        </w:rPr>
        <w:t>年</w:t>
      </w:r>
      <w:r>
        <w:rPr>
          <w:rFonts w:ascii="宋体" w:hAnsi="宋体"/>
        </w:rPr>
        <w:t>2</w:t>
      </w:r>
      <w:r>
        <w:rPr>
          <w:rFonts w:ascii="宋体" w:hAnsi="宋体"/>
        </w:rPr>
        <w:t>月</w:t>
      </w:r>
      <w:r>
        <w:rPr>
          <w:rFonts w:ascii="宋体" w:hAnsi="宋体"/>
        </w:rPr>
        <w:t>15</w:t>
      </w:r>
      <w:r>
        <w:rPr>
          <w:rFonts w:ascii="宋体" w:hAnsi="宋体"/>
        </w:rPr>
        <w:t>日至</w:t>
      </w:r>
      <w:r>
        <w:rPr>
          <w:rFonts w:ascii="宋体" w:hAnsi="宋体"/>
        </w:rPr>
        <w:t>2019</w:t>
      </w:r>
      <w:r>
        <w:rPr>
          <w:rFonts w:ascii="宋体" w:hAnsi="宋体"/>
        </w:rPr>
        <w:t>年</w:t>
      </w:r>
      <w:r>
        <w:rPr>
          <w:rFonts w:ascii="宋体" w:hAnsi="宋体"/>
        </w:rPr>
        <w:t>9</w:t>
      </w:r>
      <w:r>
        <w:rPr>
          <w:rFonts w:ascii="宋体" w:hAnsi="宋体"/>
        </w:rPr>
        <w:t>月</w:t>
      </w:r>
      <w:r>
        <w:rPr>
          <w:rFonts w:ascii="宋体" w:hAnsi="宋体"/>
        </w:rPr>
        <w:t>10</w:t>
      </w:r>
      <w:r>
        <w:rPr>
          <w:rFonts w:ascii="宋体" w:hAnsi="宋体"/>
        </w:rPr>
        <w:t>日。</w:t>
      </w:r>
    </w:p>
    <w:p w:rsidR="00336BCC">
      <w:pPr>
        <w:spacing w:line="360" w:lineRule="auto"/>
        <w:ind w:firstLine="420"/>
      </w:pPr>
      <w:r>
        <w:rPr>
          <w:rFonts w:ascii="宋体" w:hAnsi="宋体"/>
        </w:rPr>
        <w:t>3</w:t>
      </w:r>
      <w:r>
        <w:rPr>
          <w:rFonts w:ascii="宋体" w:hAnsi="宋体"/>
        </w:rPr>
        <w:t>、固定收益投资决策委员会成员</w:t>
      </w:r>
    </w:p>
    <w:p w:rsidR="00336BCC">
      <w:pPr>
        <w:spacing w:line="360" w:lineRule="auto"/>
        <w:ind w:firstLine="420"/>
      </w:pPr>
      <w:r>
        <w:rPr>
          <w:rFonts w:ascii="宋体" w:hAnsi="宋体"/>
        </w:rPr>
        <w:t>本公司固定收益投资决策委员会成员包括：马骏先生、胡剑先生、张清华先生、王晓晨女士、袁方女士、刘朝阳女士、祁广东先生。</w:t>
      </w:r>
    </w:p>
    <w:p w:rsidR="00336BCC">
      <w:pPr>
        <w:spacing w:line="360" w:lineRule="auto"/>
        <w:ind w:firstLine="420"/>
      </w:pPr>
      <w:r>
        <w:rPr>
          <w:rFonts w:ascii="宋体" w:hAnsi="宋体"/>
        </w:rPr>
        <w:t>马骏先生，同上。</w:t>
      </w:r>
    </w:p>
    <w:p w:rsidR="00336BCC">
      <w:pPr>
        <w:spacing w:line="360" w:lineRule="auto"/>
        <w:ind w:firstLine="420"/>
      </w:pPr>
      <w:r>
        <w:rPr>
          <w:rFonts w:ascii="宋体" w:hAnsi="宋体"/>
        </w:rPr>
        <w:t>胡剑先生，同上。</w:t>
      </w:r>
    </w:p>
    <w:p w:rsidR="00336BCC">
      <w:pPr>
        <w:spacing w:line="360" w:lineRule="auto"/>
        <w:ind w:firstLine="420"/>
      </w:pPr>
      <w:r>
        <w:rPr>
          <w:rFonts w:ascii="宋体" w:hAnsi="宋体"/>
        </w:rPr>
        <w:t>张清华先生，同上。</w:t>
      </w:r>
    </w:p>
    <w:p w:rsidR="00336BCC">
      <w:pPr>
        <w:spacing w:line="360" w:lineRule="auto"/>
        <w:ind w:firstLine="420"/>
      </w:pPr>
      <w:r>
        <w:rPr>
          <w:rFonts w:ascii="宋体" w:hAnsi="宋体"/>
        </w:rPr>
        <w:t>王晓晨女士，易方达基金管理有限公司固定收益全策略投资部总经理、基金经理，易方达资产管理（香港）有限公司就证券提供意见负责人员（</w:t>
      </w:r>
      <w:r>
        <w:rPr>
          <w:rFonts w:ascii="宋体" w:hAnsi="宋体"/>
        </w:rPr>
        <w:t>RO</w:t>
      </w:r>
      <w:r>
        <w:rPr>
          <w:rFonts w:ascii="宋体" w:hAnsi="宋体"/>
        </w:rPr>
        <w:t>）、提供资产管理负责人员（</w:t>
      </w:r>
      <w:r>
        <w:rPr>
          <w:rFonts w:ascii="宋体" w:hAnsi="宋体"/>
        </w:rPr>
        <w:t>RO</w:t>
      </w:r>
      <w:r>
        <w:rPr>
          <w:rFonts w:ascii="宋体" w:hAnsi="宋体"/>
        </w:rPr>
        <w:t>）。</w:t>
      </w:r>
    </w:p>
    <w:p w:rsidR="00336BCC">
      <w:pPr>
        <w:spacing w:line="360" w:lineRule="auto"/>
        <w:ind w:firstLine="420"/>
      </w:pPr>
      <w:r>
        <w:rPr>
          <w:rFonts w:ascii="宋体" w:hAnsi="宋体"/>
        </w:rPr>
        <w:t>袁方女士，易方达基金管理有限公司多资产养老金投资部总经理、基金经理。</w:t>
      </w:r>
    </w:p>
    <w:p w:rsidR="00336BCC">
      <w:pPr>
        <w:spacing w:line="360" w:lineRule="auto"/>
        <w:ind w:firstLine="420"/>
      </w:pPr>
      <w:r>
        <w:rPr>
          <w:rFonts w:ascii="宋体" w:hAnsi="宋体"/>
        </w:rPr>
        <w:t>刘朝阳女士，易方达基金管理有限公司现金管理部总经理、基金经理。</w:t>
      </w:r>
    </w:p>
    <w:p w:rsidR="00336BCC">
      <w:pPr>
        <w:spacing w:line="360" w:lineRule="auto"/>
        <w:ind w:firstLine="420"/>
      </w:pPr>
      <w:r>
        <w:rPr>
          <w:rFonts w:ascii="宋体" w:hAnsi="宋体"/>
        </w:rPr>
        <w:t>祁广东先生，易方达基金管理有限公司国际固定收益投资部总经理、基金经理，易方达资产管理（香港）有限公司副行政总裁兼首席投资官、就证券提供意见负责人员（</w:t>
      </w:r>
      <w:r>
        <w:rPr>
          <w:rFonts w:ascii="宋体" w:hAnsi="宋体"/>
        </w:rPr>
        <w:t>RO</w:t>
      </w:r>
      <w:r>
        <w:rPr>
          <w:rFonts w:ascii="宋体" w:hAnsi="宋体"/>
        </w:rPr>
        <w:t>）、提供资产管理负责人员（</w:t>
      </w:r>
      <w:r>
        <w:rPr>
          <w:rFonts w:ascii="宋体" w:hAnsi="宋体"/>
        </w:rPr>
        <w:t>RO</w:t>
      </w:r>
      <w:r>
        <w:rPr>
          <w:rFonts w:ascii="宋体" w:hAnsi="宋体"/>
        </w:rPr>
        <w:t>）、投资决策委员会委员。</w:t>
      </w:r>
    </w:p>
    <w:p w:rsidR="00BA4B87" w:rsidRPr="005A7DE6" w:rsidP="006B758F">
      <w:pPr>
        <w:pStyle w:val="PlainText"/>
        <w:adjustRightInd w:val="0"/>
        <w:snapToGrid w:val="0"/>
        <w:spacing w:line="360" w:lineRule="auto"/>
        <w:ind w:firstLine="420"/>
        <w:textAlignment w:val="baseline"/>
        <w:rPr>
          <w:rFonts w:asciiTheme="minorEastAsia" w:eastAsiaTheme="minorEastAsia" w:hAnsiTheme="minorEastAsia"/>
          <w:bCs/>
          <w:color w:val="000000" w:themeColor="text1"/>
          <w:kern w:val="0"/>
          <w:szCs w:val="24"/>
        </w:rPr>
      </w:pPr>
      <w:r w:rsidRPr="005A7DE6">
        <w:rPr>
          <w:rFonts w:asciiTheme="minorEastAsia" w:eastAsiaTheme="minorEastAsia" w:hAnsiTheme="minorEastAsia"/>
          <w:bCs/>
          <w:color w:val="000000" w:themeColor="text1"/>
          <w:kern w:val="0"/>
          <w:sz w:val="21"/>
        </w:rPr>
        <w:t>4</w:t>
      </w:r>
      <w:r w:rsidRPr="005A7DE6">
        <w:rPr>
          <w:rFonts w:asciiTheme="minorEastAsia" w:eastAsiaTheme="minorEastAsia" w:hAnsiTheme="minorEastAsia"/>
          <w:bCs/>
          <w:color w:val="000000" w:themeColor="text1"/>
          <w:kern w:val="0"/>
          <w:sz w:val="21"/>
        </w:rPr>
        <w:t>、</w:t>
      </w:r>
      <w:r w:rsidRPr="005A7DE6">
        <w:rPr>
          <w:rFonts w:asciiTheme="minorEastAsia" w:eastAsiaTheme="minorEastAsia" w:hAnsiTheme="minorEastAsia"/>
          <w:bCs/>
          <w:color w:val="000000" w:themeColor="text1"/>
          <w:kern w:val="0"/>
          <w:sz w:val="21"/>
        </w:rPr>
        <w:t>上述人员之间均不存在近亲属关系。</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szCs w:val="21"/>
        </w:rPr>
      </w:pPr>
      <w:bookmarkStart w:id="6" w:name="_Toc94172380"/>
      <w:r w:rsidRPr="005A7DE6">
        <w:rPr>
          <w:rFonts w:asciiTheme="minorEastAsia" w:eastAsiaTheme="minorEastAsia" w:hAnsiTheme="minorEastAsia"/>
          <w:b w:val="0"/>
          <w:bCs/>
          <w:color w:val="000000" w:themeColor="text1"/>
          <w:szCs w:val="21"/>
        </w:rPr>
        <w:t>（三）基金管理人的职责</w:t>
      </w:r>
      <w:bookmarkEnd w:id="6"/>
    </w:p>
    <w:p w:rsidR="00BA4B87" w:rsidRPr="005A7DE6" w:rsidP="006B758F">
      <w:pPr>
        <w:tabs>
          <w:tab w:val="left" w:pos="735"/>
        </w:tabs>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w:t>
      </w:r>
      <w:r w:rsidRPr="005A7DE6">
        <w:rPr>
          <w:rFonts w:asciiTheme="minorEastAsia" w:eastAsiaTheme="minorEastAsia" w:hAnsiTheme="minorEastAsia"/>
          <w:color w:val="000000" w:themeColor="text1"/>
        </w:rPr>
        <w:t>、</w:t>
      </w:r>
      <w:r w:rsidRPr="005A7DE6" w:rsidR="007C0F95">
        <w:rPr>
          <w:rFonts w:asciiTheme="minorEastAsia" w:eastAsiaTheme="minorEastAsia" w:hAnsiTheme="minorEastAsia" w:hint="eastAsia"/>
          <w:color w:val="000000" w:themeColor="text1"/>
        </w:rPr>
        <w:t>依法募集资金，办理基金份额的发售和登记事宜</w:t>
      </w:r>
      <w:r w:rsidRPr="005A7DE6">
        <w:rPr>
          <w:rFonts w:asciiTheme="minorEastAsia" w:eastAsiaTheme="minorEastAsia" w:hAnsiTheme="minorEastAsia"/>
          <w:color w:val="000000" w:themeColor="text1"/>
        </w:rPr>
        <w:t>；</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bookmarkStart w:id="7" w:name="_Toc319688260"/>
      <w:bookmarkStart w:id="8" w:name="_Toc319693383"/>
      <w:r w:rsidRPr="005A7DE6">
        <w:rPr>
          <w:rFonts w:asciiTheme="minorEastAsia" w:eastAsiaTheme="minorEastAsia" w:hAnsiTheme="minorEastAsia"/>
          <w:color w:val="000000" w:themeColor="text1"/>
        </w:rPr>
        <w:t>2</w:t>
      </w:r>
      <w:r w:rsidRPr="005A7DE6">
        <w:rPr>
          <w:rFonts w:asciiTheme="minorEastAsia" w:eastAsiaTheme="minorEastAsia" w:hAnsiTheme="minorEastAsia"/>
          <w:color w:val="000000" w:themeColor="text1"/>
        </w:rPr>
        <w:t>、办理基金备案手续；</w:t>
      </w:r>
      <w:bookmarkEnd w:id="7"/>
      <w:bookmarkEnd w:id="8"/>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w:t>
      </w:r>
      <w:r w:rsidRPr="005A7DE6">
        <w:rPr>
          <w:rFonts w:asciiTheme="minorEastAsia" w:eastAsiaTheme="minorEastAsia" w:hAnsiTheme="minorEastAsia"/>
          <w:color w:val="000000" w:themeColor="text1"/>
        </w:rPr>
        <w:t>、对所管理的不同基金财产分别管理、分别记账，进行证券投资；</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w:t>
      </w:r>
      <w:r w:rsidRPr="005A7DE6">
        <w:rPr>
          <w:rFonts w:asciiTheme="minorEastAsia" w:eastAsiaTheme="minorEastAsia" w:hAnsiTheme="minorEastAsia"/>
          <w:color w:val="000000" w:themeColor="text1"/>
        </w:rPr>
        <w:t>、按照基金合同的约定确定基金收益分配方案，及时向基金份额持有人分配收益；</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w:t>
      </w:r>
      <w:r w:rsidRPr="005A7DE6">
        <w:rPr>
          <w:rFonts w:asciiTheme="minorEastAsia" w:eastAsiaTheme="minorEastAsia" w:hAnsiTheme="minorEastAsia"/>
          <w:color w:val="000000" w:themeColor="text1"/>
        </w:rPr>
        <w:t>、进行基金会计核算并编制基金财务会计报告；</w:t>
      </w:r>
    </w:p>
    <w:p w:rsidR="00400506" w:rsidRPr="005A7DE6" w:rsidP="00400506">
      <w:pPr>
        <w:snapToGrid w:val="0"/>
        <w:spacing w:line="360" w:lineRule="auto"/>
        <w:ind w:firstLine="420" w:firstLineChars="200"/>
        <w:jc w:val="left"/>
        <w:rPr>
          <w:rFonts w:asciiTheme="minorEastAsia" w:eastAsiaTheme="minorEastAsia" w:hAnsiTheme="minorEastAsia"/>
          <w:color w:val="000000" w:themeColor="text1"/>
        </w:rPr>
      </w:pPr>
      <w:bookmarkStart w:id="9" w:name="_Toc319688261"/>
      <w:bookmarkStart w:id="10" w:name="_Toc319693384"/>
      <w:r w:rsidRPr="005A7DE6">
        <w:rPr>
          <w:rFonts w:asciiTheme="minorEastAsia" w:eastAsiaTheme="minorEastAsia" w:hAnsiTheme="minorEastAsia"/>
          <w:color w:val="000000" w:themeColor="text1"/>
        </w:rPr>
        <w:t>6</w:t>
      </w:r>
      <w:r w:rsidRPr="005A7DE6">
        <w:rPr>
          <w:rFonts w:asciiTheme="minorEastAsia" w:eastAsiaTheme="minorEastAsia" w:hAnsiTheme="minorEastAsia"/>
          <w:color w:val="000000" w:themeColor="text1"/>
        </w:rPr>
        <w:t>、</w:t>
      </w:r>
      <w:r w:rsidRPr="005A7DE6">
        <w:rPr>
          <w:rFonts w:asciiTheme="minorEastAsia" w:eastAsiaTheme="minorEastAsia" w:hAnsiTheme="minorEastAsia" w:hint="eastAsia"/>
          <w:bCs/>
          <w:color w:val="000000" w:themeColor="text1"/>
        </w:rPr>
        <w:t>编制季度报告、中期</w:t>
      </w:r>
      <w:r w:rsidRPr="005A7DE6">
        <w:rPr>
          <w:rFonts w:asciiTheme="minorEastAsia" w:eastAsiaTheme="minorEastAsia" w:hAnsiTheme="minorEastAsia"/>
          <w:bCs/>
          <w:color w:val="000000" w:themeColor="text1"/>
        </w:rPr>
        <w:t>报告</w:t>
      </w:r>
      <w:r w:rsidRPr="005A7DE6">
        <w:rPr>
          <w:rFonts w:asciiTheme="minorEastAsia" w:eastAsiaTheme="minorEastAsia" w:hAnsiTheme="minorEastAsia" w:hint="eastAsia"/>
          <w:bCs/>
          <w:color w:val="000000" w:themeColor="text1"/>
        </w:rPr>
        <w:t>和年度报告</w:t>
      </w:r>
      <w:r w:rsidRPr="005A7DE6">
        <w:rPr>
          <w:rFonts w:asciiTheme="minorEastAsia" w:eastAsiaTheme="minorEastAsia" w:hAnsiTheme="minorEastAsia"/>
          <w:color w:val="000000" w:themeColor="text1"/>
        </w:rPr>
        <w:t>；</w:t>
      </w:r>
    </w:p>
    <w:p w:rsidR="00400506" w:rsidRPr="005A7DE6" w:rsidP="00400506">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7</w:t>
      </w:r>
      <w:r w:rsidRPr="005A7DE6">
        <w:rPr>
          <w:rFonts w:asciiTheme="minorEastAsia" w:eastAsiaTheme="minorEastAsia" w:hAnsiTheme="minorEastAsia"/>
          <w:color w:val="000000" w:themeColor="text1"/>
        </w:rPr>
        <w:t>、计算并公告基金</w:t>
      </w:r>
      <w:r w:rsidRPr="005A7DE6">
        <w:rPr>
          <w:rFonts w:asciiTheme="minorEastAsia" w:eastAsiaTheme="minorEastAsia" w:hAnsiTheme="minorEastAsia" w:hint="eastAsia"/>
          <w:bCs/>
          <w:color w:val="000000" w:themeColor="text1"/>
        </w:rPr>
        <w:t>净值</w:t>
      </w:r>
      <w:r w:rsidRPr="005A7DE6">
        <w:rPr>
          <w:rFonts w:asciiTheme="minorEastAsia" w:eastAsiaTheme="minorEastAsia" w:hAnsiTheme="minorEastAsia"/>
          <w:bCs/>
          <w:color w:val="000000" w:themeColor="text1"/>
        </w:rPr>
        <w:t>信息</w:t>
      </w:r>
      <w:r w:rsidRPr="005A7DE6">
        <w:rPr>
          <w:rFonts w:asciiTheme="minorEastAsia" w:eastAsiaTheme="minorEastAsia" w:hAnsiTheme="minorEastAsia"/>
          <w:color w:val="000000" w:themeColor="text1"/>
        </w:rPr>
        <w:t>，确定基金份额申购、赎回价格；</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8</w:t>
      </w:r>
      <w:r w:rsidRPr="005A7DE6">
        <w:rPr>
          <w:rFonts w:asciiTheme="minorEastAsia" w:eastAsiaTheme="minorEastAsia" w:hAnsiTheme="minorEastAsia"/>
          <w:color w:val="000000" w:themeColor="text1"/>
        </w:rPr>
        <w:t>、办理与基金财产管理业务活动有关的信息披露事项；</w:t>
      </w:r>
      <w:bookmarkEnd w:id="9"/>
      <w:bookmarkEnd w:id="10"/>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9</w:t>
      </w:r>
      <w:r w:rsidRPr="005A7DE6">
        <w:rPr>
          <w:rFonts w:asciiTheme="minorEastAsia" w:eastAsiaTheme="minorEastAsia" w:hAnsiTheme="minorEastAsia"/>
          <w:color w:val="000000" w:themeColor="text1"/>
        </w:rPr>
        <w:t>、</w:t>
      </w:r>
      <w:r w:rsidRPr="005A7DE6" w:rsidR="00C831C6">
        <w:rPr>
          <w:rFonts w:asciiTheme="minorEastAsia" w:eastAsiaTheme="minorEastAsia" w:hAnsiTheme="minorEastAsia" w:hint="eastAsia"/>
          <w:color w:val="000000" w:themeColor="text1"/>
        </w:rPr>
        <w:t>按照规定</w:t>
      </w:r>
      <w:r w:rsidRPr="005A7DE6">
        <w:rPr>
          <w:rFonts w:asciiTheme="minorEastAsia" w:eastAsiaTheme="minorEastAsia" w:hAnsiTheme="minorEastAsia"/>
          <w:color w:val="000000" w:themeColor="text1"/>
        </w:rPr>
        <w:t>召集基金份额持有人大会；</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bookmarkStart w:id="11" w:name="_Toc319688262"/>
      <w:bookmarkStart w:id="12" w:name="_Toc319693385"/>
      <w:r w:rsidRPr="005A7DE6">
        <w:rPr>
          <w:rFonts w:asciiTheme="minorEastAsia" w:eastAsiaTheme="minorEastAsia" w:hAnsiTheme="minorEastAsia"/>
          <w:color w:val="000000" w:themeColor="text1"/>
        </w:rPr>
        <w:t>10</w:t>
      </w:r>
      <w:r w:rsidRPr="005A7DE6">
        <w:rPr>
          <w:rFonts w:asciiTheme="minorEastAsia" w:eastAsiaTheme="minorEastAsia" w:hAnsiTheme="minorEastAsia"/>
          <w:color w:val="000000" w:themeColor="text1"/>
        </w:rPr>
        <w:t>、保存基金财产管理业务活动的记录、账册、报表和其他相关资料；</w:t>
      </w:r>
      <w:bookmarkEnd w:id="11"/>
      <w:bookmarkEnd w:id="12"/>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11</w:t>
      </w:r>
      <w:r w:rsidRPr="005A7DE6">
        <w:rPr>
          <w:rFonts w:asciiTheme="minorEastAsia" w:eastAsiaTheme="minorEastAsia" w:hAnsiTheme="minorEastAsia"/>
          <w:color w:val="000000" w:themeColor="text1"/>
        </w:rPr>
        <w:t>、以基金管理人名义，代表基金份额持有人利益行使诉讼权利或者实施其他法律行为；</w:t>
      </w:r>
    </w:p>
    <w:p w:rsidR="00BA4B87" w:rsidRPr="005A7DE6" w:rsidP="006B758F">
      <w:pPr>
        <w:tabs>
          <w:tab w:val="left" w:pos="735"/>
        </w:tabs>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12</w:t>
      </w:r>
      <w:r w:rsidRPr="005A7DE6">
        <w:rPr>
          <w:rFonts w:asciiTheme="minorEastAsia" w:eastAsiaTheme="minorEastAsia" w:hAnsiTheme="minorEastAsia"/>
          <w:color w:val="000000" w:themeColor="text1"/>
        </w:rPr>
        <w:t>、国务院证券监督管理机构规定的其他职责。</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szCs w:val="21"/>
        </w:rPr>
      </w:pPr>
      <w:bookmarkStart w:id="13" w:name="_Toc94172381"/>
      <w:r w:rsidRPr="005A7DE6">
        <w:rPr>
          <w:rFonts w:asciiTheme="minorEastAsia" w:eastAsiaTheme="minorEastAsia" w:hAnsiTheme="minorEastAsia"/>
          <w:b w:val="0"/>
          <w:bCs/>
          <w:color w:val="000000" w:themeColor="text1"/>
          <w:szCs w:val="21"/>
        </w:rPr>
        <w:t>（四）基金管理人的承诺</w:t>
      </w:r>
      <w:bookmarkEnd w:id="13"/>
    </w:p>
    <w:p w:rsidR="00BA4B87"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w:t>
      </w:r>
      <w:r w:rsidRPr="005A7DE6">
        <w:rPr>
          <w:rFonts w:asciiTheme="minorEastAsia" w:eastAsiaTheme="minorEastAsia" w:hAnsiTheme="minorEastAsia"/>
          <w:color w:val="000000" w:themeColor="text1"/>
        </w:rPr>
        <w:t>、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BA4B87"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w:t>
      </w:r>
      <w:r w:rsidRPr="005A7DE6">
        <w:rPr>
          <w:rFonts w:asciiTheme="minorEastAsia" w:eastAsiaTheme="minorEastAsia" w:hAnsiTheme="minorEastAsia"/>
          <w:color w:val="000000" w:themeColor="text1"/>
        </w:rPr>
        <w:t>、本基金管理人承诺严格遵守《证券法》、《基金法》及有关法律法规，建立健全内部控制制</w:t>
      </w:r>
      <w:r w:rsidRPr="005A7DE6">
        <w:rPr>
          <w:rFonts w:asciiTheme="minorEastAsia" w:eastAsiaTheme="minorEastAsia" w:hAnsiTheme="minorEastAsia"/>
          <w:color w:val="000000" w:themeColor="text1"/>
        </w:rPr>
        <w:t>度，采取有效措施，防止下列行为发生：</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bookmarkStart w:id="14" w:name="_Toc319688264"/>
      <w:bookmarkStart w:id="15" w:name="_Toc319693387"/>
      <w:r w:rsidRPr="005A7DE6">
        <w:rPr>
          <w:rFonts w:asciiTheme="minorEastAsia" w:eastAsiaTheme="minorEastAsia" w:hAnsiTheme="minorEastAsia"/>
          <w:color w:val="000000" w:themeColor="text1"/>
        </w:rPr>
        <w:t>（</w:t>
      </w:r>
      <w:r w:rsidRPr="005A7DE6" w:rsidR="002F62DA">
        <w:rPr>
          <w:rFonts w:asciiTheme="minorEastAsia" w:eastAsiaTheme="minorEastAsia" w:hAnsiTheme="minorEastAsia"/>
          <w:color w:val="000000" w:themeColor="text1"/>
        </w:rPr>
        <w:t>1</w:t>
      </w:r>
      <w:r w:rsidRPr="005A7DE6">
        <w:rPr>
          <w:rFonts w:asciiTheme="minorEastAsia" w:eastAsiaTheme="minorEastAsia" w:hAnsiTheme="minorEastAsia"/>
          <w:color w:val="000000" w:themeColor="text1"/>
        </w:rPr>
        <w:t>）将其固有财产或者他人财产混同于基金财产从事证券投资；</w:t>
      </w:r>
      <w:bookmarkEnd w:id="14"/>
      <w:bookmarkEnd w:id="15"/>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sidR="00D55E50">
        <w:rPr>
          <w:rFonts w:asciiTheme="minorEastAsia" w:eastAsiaTheme="minorEastAsia" w:hAnsiTheme="minorEastAsia"/>
          <w:color w:val="000000" w:themeColor="text1"/>
        </w:rPr>
        <w:t>2</w:t>
      </w:r>
      <w:r w:rsidRPr="005A7DE6">
        <w:rPr>
          <w:rFonts w:asciiTheme="minorEastAsia" w:eastAsiaTheme="minorEastAsia" w:hAnsiTheme="minorEastAsia"/>
          <w:color w:val="000000" w:themeColor="text1"/>
        </w:rPr>
        <w:t>）不公平地对待其管理的不同基金财产；</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bookmarkStart w:id="16" w:name="_Toc319688265"/>
      <w:bookmarkStart w:id="17" w:name="_Toc319693388"/>
      <w:r w:rsidRPr="005A7DE6">
        <w:rPr>
          <w:rFonts w:asciiTheme="minorEastAsia" w:eastAsiaTheme="minorEastAsia" w:hAnsiTheme="minorEastAsia"/>
          <w:color w:val="000000" w:themeColor="text1"/>
        </w:rPr>
        <w:t>（</w:t>
      </w:r>
      <w:r w:rsidRPr="005A7DE6" w:rsidR="00D55E50">
        <w:rPr>
          <w:rFonts w:asciiTheme="minorEastAsia" w:eastAsiaTheme="minorEastAsia" w:hAnsiTheme="minorEastAsia"/>
          <w:color w:val="000000" w:themeColor="text1"/>
        </w:rPr>
        <w:t>3</w:t>
      </w:r>
      <w:r w:rsidRPr="005A7DE6">
        <w:rPr>
          <w:rFonts w:asciiTheme="minorEastAsia" w:eastAsiaTheme="minorEastAsia" w:hAnsiTheme="minorEastAsia"/>
          <w:color w:val="000000" w:themeColor="text1"/>
        </w:rPr>
        <w:t>）利用基金财产</w:t>
      </w:r>
      <w:r w:rsidRPr="005A7DE6" w:rsidR="008B1664">
        <w:rPr>
          <w:rFonts w:asciiTheme="minorEastAsia" w:eastAsiaTheme="minorEastAsia" w:hAnsiTheme="minorEastAsia" w:hint="eastAsia"/>
          <w:color w:val="000000" w:themeColor="text1"/>
        </w:rPr>
        <w:t>或者职务之便</w:t>
      </w:r>
      <w:r w:rsidRPr="005A7DE6">
        <w:rPr>
          <w:rFonts w:asciiTheme="minorEastAsia" w:eastAsiaTheme="minorEastAsia" w:hAnsiTheme="minorEastAsia"/>
          <w:color w:val="000000" w:themeColor="text1"/>
        </w:rPr>
        <w:t>为基金份额持有人以外的第三人谋取利益；</w:t>
      </w:r>
      <w:bookmarkEnd w:id="16"/>
      <w:bookmarkEnd w:id="17"/>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sidR="00D55E50">
        <w:rPr>
          <w:rFonts w:asciiTheme="minorEastAsia" w:eastAsiaTheme="minorEastAsia" w:hAnsiTheme="minorEastAsia"/>
          <w:color w:val="000000" w:themeColor="text1"/>
        </w:rPr>
        <w:t>4</w:t>
      </w:r>
      <w:r w:rsidRPr="005A7DE6">
        <w:rPr>
          <w:rFonts w:asciiTheme="minorEastAsia" w:eastAsiaTheme="minorEastAsia" w:hAnsiTheme="minorEastAsia"/>
          <w:color w:val="000000" w:themeColor="text1"/>
        </w:rPr>
        <w:t>）向基金份额持有人违规承诺收益或者承担损失；</w:t>
      </w:r>
    </w:p>
    <w:p w:rsidR="00C831C6"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sidR="00D55E50">
        <w:rPr>
          <w:rFonts w:asciiTheme="minorEastAsia" w:eastAsiaTheme="minorEastAsia" w:hAnsiTheme="minorEastAsia"/>
          <w:color w:val="000000" w:themeColor="text1"/>
        </w:rPr>
        <w:t>5</w:t>
      </w:r>
      <w:r w:rsidRPr="005A7DE6">
        <w:rPr>
          <w:rFonts w:asciiTheme="minorEastAsia" w:eastAsiaTheme="minorEastAsia" w:hAnsiTheme="minorEastAsia"/>
          <w:color w:val="000000" w:themeColor="text1"/>
        </w:rPr>
        <w:t>）</w:t>
      </w:r>
      <w:r w:rsidRPr="005A7DE6">
        <w:rPr>
          <w:rFonts w:asciiTheme="minorEastAsia" w:eastAsiaTheme="minorEastAsia" w:hAnsiTheme="minorEastAsia" w:hint="eastAsia"/>
          <w:color w:val="000000" w:themeColor="text1"/>
        </w:rPr>
        <w:t>侵占、挪用基金财产；</w:t>
      </w:r>
    </w:p>
    <w:p w:rsidR="00C831C6"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hint="eastAsia"/>
          <w:color w:val="000000" w:themeColor="text1"/>
        </w:rPr>
        <w:t>6</w:t>
      </w:r>
      <w:r w:rsidRPr="005A7DE6">
        <w:rPr>
          <w:rFonts w:asciiTheme="minorEastAsia" w:eastAsiaTheme="minorEastAsia" w:hAnsiTheme="minorEastAsia" w:hint="eastAsia"/>
          <w:color w:val="000000" w:themeColor="text1"/>
        </w:rPr>
        <w:t>）泄露因职务便利获取的未公开信息、利用该信息从事或者明示、暗示他人从事相关的交易活动；</w:t>
      </w:r>
    </w:p>
    <w:p w:rsidR="00C831C6"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hint="eastAsia"/>
          <w:color w:val="000000" w:themeColor="text1"/>
        </w:rPr>
        <w:t>7</w:t>
      </w:r>
      <w:r w:rsidRPr="005A7DE6">
        <w:rPr>
          <w:rFonts w:asciiTheme="minorEastAsia" w:eastAsiaTheme="minorEastAsia" w:hAnsiTheme="minorEastAsia" w:hint="eastAsia"/>
          <w:color w:val="000000" w:themeColor="text1"/>
        </w:rPr>
        <w:t>）玩忽职守，不按照规定履行职责；</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hint="eastAsia"/>
          <w:color w:val="000000" w:themeColor="text1"/>
        </w:rPr>
        <w:t>8</w:t>
      </w:r>
      <w:r w:rsidRPr="005A7DE6">
        <w:rPr>
          <w:rFonts w:asciiTheme="minorEastAsia" w:eastAsiaTheme="minorEastAsia" w:hAnsiTheme="minorEastAsia" w:hint="eastAsia"/>
          <w:color w:val="000000" w:themeColor="text1"/>
        </w:rPr>
        <w:t>）法律、行政法规和中国证监会规定禁止的其他行为。</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w:t>
      </w:r>
      <w:r w:rsidRPr="005A7DE6">
        <w:rPr>
          <w:rFonts w:asciiTheme="minorEastAsia" w:eastAsiaTheme="minorEastAsia" w:hAnsiTheme="minorEastAsia"/>
          <w:color w:val="000000" w:themeColor="text1"/>
        </w:rPr>
        <w:t>、本基金管理人承诺加强人员管理，强化职业操守，督促和约束员工遵守国家有关法律、法规及行业规范，诚实信用、勤勉尽责，不从事以下活动：</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sidR="00A2578B">
        <w:rPr>
          <w:rFonts w:asciiTheme="minorEastAsia" w:eastAsiaTheme="minorEastAsia" w:hAnsiTheme="minorEastAsia"/>
          <w:color w:val="000000" w:themeColor="text1"/>
        </w:rPr>
        <w:t>1</w:t>
      </w:r>
      <w:r w:rsidRPr="005A7DE6">
        <w:rPr>
          <w:rFonts w:asciiTheme="minorEastAsia" w:eastAsiaTheme="minorEastAsia" w:hAnsiTheme="minorEastAsia"/>
          <w:color w:val="000000" w:themeColor="text1"/>
        </w:rPr>
        <w:t>）越权或违规经营；</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sidR="00A2578B">
        <w:rPr>
          <w:rFonts w:asciiTheme="minorEastAsia" w:eastAsiaTheme="minorEastAsia" w:hAnsiTheme="minorEastAsia"/>
          <w:color w:val="000000" w:themeColor="text1"/>
        </w:rPr>
        <w:t>2</w:t>
      </w:r>
      <w:r w:rsidRPr="005A7DE6">
        <w:rPr>
          <w:rFonts w:asciiTheme="minorEastAsia" w:eastAsiaTheme="minorEastAsia" w:hAnsiTheme="minorEastAsia"/>
          <w:color w:val="000000" w:themeColor="text1"/>
        </w:rPr>
        <w:t>）违反基金合同或托管协议；</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sidR="00A2578B">
        <w:rPr>
          <w:rFonts w:asciiTheme="minorEastAsia" w:eastAsiaTheme="minorEastAsia" w:hAnsiTheme="minorEastAsia"/>
          <w:color w:val="000000" w:themeColor="text1"/>
        </w:rPr>
        <w:t>3</w:t>
      </w:r>
      <w:r w:rsidRPr="005A7DE6">
        <w:rPr>
          <w:rFonts w:asciiTheme="minorEastAsia" w:eastAsiaTheme="minorEastAsia" w:hAnsiTheme="minorEastAsia"/>
          <w:color w:val="000000" w:themeColor="text1"/>
        </w:rPr>
        <w:t>）故意损害基金份额持有人或其他基金相关机构的合法利益；</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bookmarkStart w:id="18" w:name="_Toc319688266"/>
      <w:bookmarkStart w:id="19" w:name="_Toc319693389"/>
      <w:r w:rsidRPr="005A7DE6">
        <w:rPr>
          <w:rFonts w:asciiTheme="minorEastAsia" w:eastAsiaTheme="minorEastAsia" w:hAnsiTheme="minorEastAsia"/>
          <w:color w:val="000000" w:themeColor="text1"/>
        </w:rPr>
        <w:t>（</w:t>
      </w:r>
      <w:r w:rsidRPr="005A7DE6" w:rsidR="00A2578B">
        <w:rPr>
          <w:rFonts w:asciiTheme="minorEastAsia" w:eastAsiaTheme="minorEastAsia" w:hAnsiTheme="minorEastAsia"/>
          <w:color w:val="000000" w:themeColor="text1"/>
        </w:rPr>
        <w:t>4</w:t>
      </w:r>
      <w:r w:rsidRPr="005A7DE6">
        <w:rPr>
          <w:rFonts w:asciiTheme="minorEastAsia" w:eastAsiaTheme="minorEastAsia" w:hAnsiTheme="minorEastAsia"/>
          <w:color w:val="000000" w:themeColor="text1"/>
        </w:rPr>
        <w:t>）在向中国证监会报送的资料中弄虚作假；</w:t>
      </w:r>
      <w:bookmarkEnd w:id="18"/>
      <w:bookmarkEnd w:id="19"/>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sidR="00A2578B">
        <w:rPr>
          <w:rFonts w:asciiTheme="minorEastAsia" w:eastAsiaTheme="minorEastAsia" w:hAnsiTheme="minorEastAsia"/>
          <w:color w:val="000000" w:themeColor="text1"/>
        </w:rPr>
        <w:t>5</w:t>
      </w:r>
      <w:r w:rsidRPr="005A7DE6">
        <w:rPr>
          <w:rFonts w:asciiTheme="minorEastAsia" w:eastAsiaTheme="minorEastAsia" w:hAnsiTheme="minorEastAsia"/>
          <w:color w:val="000000" w:themeColor="text1"/>
        </w:rPr>
        <w:t>）拒绝、干扰、阻挠或严重影响中国证监会依法监管；</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bookmarkStart w:id="20" w:name="_Toc319688267"/>
      <w:bookmarkStart w:id="21" w:name="_Toc319693390"/>
      <w:r w:rsidRPr="005A7DE6">
        <w:rPr>
          <w:rFonts w:asciiTheme="minorEastAsia" w:eastAsiaTheme="minorEastAsia" w:hAnsiTheme="minorEastAsia"/>
          <w:color w:val="000000" w:themeColor="text1"/>
        </w:rPr>
        <w:t>（</w:t>
      </w:r>
      <w:r w:rsidRPr="005A7DE6" w:rsidR="00A2578B">
        <w:rPr>
          <w:rFonts w:asciiTheme="minorEastAsia" w:eastAsiaTheme="minorEastAsia" w:hAnsiTheme="minorEastAsia"/>
          <w:color w:val="000000" w:themeColor="text1"/>
        </w:rPr>
        <w:t>6</w:t>
      </w:r>
      <w:r w:rsidRPr="005A7DE6">
        <w:rPr>
          <w:rFonts w:asciiTheme="minorEastAsia" w:eastAsiaTheme="minorEastAsia" w:hAnsiTheme="minorEastAsia"/>
          <w:color w:val="000000" w:themeColor="text1"/>
        </w:rPr>
        <w:t>）玩忽职守、滥用职权；</w:t>
      </w:r>
      <w:bookmarkEnd w:id="20"/>
      <w:bookmarkEnd w:id="21"/>
    </w:p>
    <w:p w:rsidR="00BA4B87" w:rsidRPr="005A7DE6" w:rsidP="006B758F">
      <w:pPr>
        <w:tabs>
          <w:tab w:val="left" w:pos="735"/>
          <w:tab w:val="num" w:pos="1320"/>
        </w:tabs>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sidR="00A2578B">
        <w:rPr>
          <w:rFonts w:asciiTheme="minorEastAsia" w:eastAsiaTheme="minorEastAsia" w:hAnsiTheme="minorEastAsia"/>
          <w:color w:val="000000" w:themeColor="text1"/>
        </w:rPr>
        <w:t>7</w:t>
      </w:r>
      <w:r w:rsidRPr="005A7DE6">
        <w:rPr>
          <w:rFonts w:asciiTheme="minorEastAsia" w:eastAsiaTheme="minorEastAsia" w:hAnsiTheme="minorEastAsia"/>
          <w:color w:val="000000" w:themeColor="text1"/>
        </w:rPr>
        <w:t>）违反现行有效的有关法律、法规、规章、基金合同和中国证监会的有关规定，泄漏在任职期间知悉的有关证券、基金的商业秘密，尚未依法公开的基金投资内容、基金投资计划等信息；</w:t>
      </w:r>
    </w:p>
    <w:p w:rsidR="00BA4B87" w:rsidRPr="005A7DE6" w:rsidP="006B758F">
      <w:pPr>
        <w:tabs>
          <w:tab w:val="left" w:pos="735"/>
          <w:tab w:val="num" w:pos="1320"/>
        </w:tabs>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sidR="00A2578B">
        <w:rPr>
          <w:rFonts w:asciiTheme="minorEastAsia" w:eastAsiaTheme="minorEastAsia" w:hAnsiTheme="minorEastAsia"/>
          <w:color w:val="000000" w:themeColor="text1"/>
        </w:rPr>
        <w:t>8</w:t>
      </w:r>
      <w:r w:rsidRPr="005A7DE6">
        <w:rPr>
          <w:rFonts w:asciiTheme="minorEastAsia" w:eastAsiaTheme="minorEastAsia" w:hAnsiTheme="minorEastAsia"/>
          <w:color w:val="000000" w:themeColor="text1"/>
        </w:rPr>
        <w:t>）违反证券交易场所业务规则，利用对敲、倒仓等手段操纵市场价格，扰乱市场秩序；</w:t>
      </w:r>
    </w:p>
    <w:p w:rsidR="00BA4B87" w:rsidRPr="005A7DE6" w:rsidP="006B758F">
      <w:pPr>
        <w:tabs>
          <w:tab w:val="left" w:pos="735"/>
          <w:tab w:val="num" w:pos="1320"/>
        </w:tabs>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sidR="00A2578B">
        <w:rPr>
          <w:rFonts w:asciiTheme="minorEastAsia" w:eastAsiaTheme="minorEastAsia" w:hAnsiTheme="minorEastAsia"/>
          <w:color w:val="000000" w:themeColor="text1"/>
        </w:rPr>
        <w:t>9</w:t>
      </w:r>
      <w:r w:rsidRPr="005A7DE6">
        <w:rPr>
          <w:rFonts w:asciiTheme="minorEastAsia" w:eastAsiaTheme="minorEastAsia" w:hAnsiTheme="minorEastAsia"/>
          <w:color w:val="000000" w:themeColor="text1"/>
        </w:rPr>
        <w:t>）贬损同行，以抬高自己；</w:t>
      </w:r>
    </w:p>
    <w:p w:rsidR="00BA4B87" w:rsidRPr="005A7DE6" w:rsidP="006B758F">
      <w:pPr>
        <w:tabs>
          <w:tab w:val="left" w:pos="735"/>
          <w:tab w:val="num" w:pos="1320"/>
        </w:tabs>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sidR="00A2578B">
        <w:rPr>
          <w:rFonts w:asciiTheme="minorEastAsia" w:eastAsiaTheme="minorEastAsia" w:hAnsiTheme="minorEastAsia"/>
          <w:color w:val="000000" w:themeColor="text1"/>
        </w:rPr>
        <w:t>10</w:t>
      </w:r>
      <w:r w:rsidRPr="005A7DE6">
        <w:rPr>
          <w:rFonts w:asciiTheme="minorEastAsia" w:eastAsiaTheme="minorEastAsia" w:hAnsiTheme="minorEastAsia"/>
          <w:color w:val="000000" w:themeColor="text1"/>
        </w:rPr>
        <w:t>）以不正当手段谋求业务发展；</w:t>
      </w:r>
    </w:p>
    <w:p w:rsidR="00BA4B87" w:rsidRPr="005A7DE6" w:rsidP="006B758F">
      <w:pPr>
        <w:tabs>
          <w:tab w:val="left" w:pos="735"/>
          <w:tab w:val="num" w:pos="1320"/>
        </w:tabs>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sidR="00A2578B">
        <w:rPr>
          <w:rFonts w:asciiTheme="minorEastAsia" w:eastAsiaTheme="minorEastAsia" w:hAnsiTheme="minorEastAsia"/>
          <w:color w:val="000000" w:themeColor="text1"/>
        </w:rPr>
        <w:t>11</w:t>
      </w:r>
      <w:r w:rsidRPr="005A7DE6">
        <w:rPr>
          <w:rFonts w:asciiTheme="minorEastAsia" w:eastAsiaTheme="minorEastAsia" w:hAnsiTheme="minorEastAsia"/>
          <w:color w:val="000000" w:themeColor="text1"/>
        </w:rPr>
        <w:t>）有悖社会公德，损害证券投资基金人员形象；</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sidR="00A2578B">
        <w:rPr>
          <w:rFonts w:asciiTheme="minorEastAsia" w:eastAsiaTheme="minorEastAsia" w:hAnsiTheme="minorEastAsia"/>
          <w:color w:val="000000" w:themeColor="text1"/>
        </w:rPr>
        <w:t>12</w:t>
      </w:r>
      <w:r w:rsidRPr="005A7DE6">
        <w:rPr>
          <w:rFonts w:asciiTheme="minorEastAsia" w:eastAsiaTheme="minorEastAsia" w:hAnsiTheme="minorEastAsia"/>
          <w:color w:val="000000" w:themeColor="text1"/>
        </w:rPr>
        <w:t>）在公开信息披露和广告中故意含有虚假、误导、欺诈成分；</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sidR="00A2578B">
        <w:rPr>
          <w:rFonts w:asciiTheme="minorEastAsia" w:eastAsiaTheme="minorEastAsia" w:hAnsiTheme="minorEastAsia"/>
          <w:color w:val="000000" w:themeColor="text1"/>
        </w:rPr>
        <w:t>13</w:t>
      </w:r>
      <w:r w:rsidRPr="005A7DE6">
        <w:rPr>
          <w:rFonts w:asciiTheme="minorEastAsia" w:eastAsiaTheme="minorEastAsia" w:hAnsiTheme="minorEastAsia"/>
          <w:color w:val="000000" w:themeColor="text1"/>
        </w:rPr>
        <w:t>）其他法律、行政法规以及中国证监会禁止的行为。</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bookmarkStart w:id="22" w:name="_Toc319688268"/>
      <w:bookmarkStart w:id="23" w:name="_Toc319693391"/>
      <w:r w:rsidRPr="005A7DE6">
        <w:rPr>
          <w:rFonts w:asciiTheme="minorEastAsia" w:eastAsiaTheme="minorEastAsia" w:hAnsiTheme="minorEastAsia"/>
          <w:color w:val="000000" w:themeColor="text1"/>
        </w:rPr>
        <w:t>4</w:t>
      </w:r>
      <w:r w:rsidRPr="005A7DE6">
        <w:rPr>
          <w:rFonts w:asciiTheme="minorEastAsia" w:eastAsiaTheme="minorEastAsia" w:hAnsiTheme="minorEastAsia"/>
          <w:color w:val="000000" w:themeColor="text1"/>
        </w:rPr>
        <w:t>、基金经理承诺</w:t>
      </w:r>
      <w:bookmarkEnd w:id="22"/>
      <w:bookmarkEnd w:id="23"/>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1</w:t>
      </w:r>
      <w:r w:rsidRPr="005A7DE6">
        <w:rPr>
          <w:rFonts w:asciiTheme="minorEastAsia" w:eastAsiaTheme="minorEastAsia" w:hAnsiTheme="minorEastAsia"/>
          <w:color w:val="000000" w:themeColor="text1"/>
        </w:rPr>
        <w:t>）依照有关</w:t>
      </w:r>
      <w:r w:rsidRPr="005A7DE6">
        <w:rPr>
          <w:rFonts w:asciiTheme="minorEastAsia" w:eastAsiaTheme="minorEastAsia" w:hAnsiTheme="minorEastAsia"/>
          <w:color w:val="000000" w:themeColor="text1"/>
        </w:rPr>
        <w:t>法律、法规和基金合同的规定，本着谨慎的原则为基金份额持有人谋取最大利益；</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bookmarkStart w:id="24" w:name="_Toc319688269"/>
      <w:bookmarkStart w:id="25" w:name="_Toc319693392"/>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2</w:t>
      </w:r>
      <w:r w:rsidRPr="005A7DE6">
        <w:rPr>
          <w:rFonts w:asciiTheme="minorEastAsia" w:eastAsiaTheme="minorEastAsia" w:hAnsiTheme="minorEastAsia"/>
          <w:color w:val="000000" w:themeColor="text1"/>
        </w:rPr>
        <w:t>）不利用职务之便为自己及其代理人、受雇人或任何第三人谋取利益；</w:t>
      </w:r>
      <w:bookmarkEnd w:id="24"/>
      <w:bookmarkEnd w:id="25"/>
    </w:p>
    <w:p w:rsidR="00BA4B87" w:rsidRPr="005A7DE6" w:rsidP="006B758F">
      <w:pPr>
        <w:autoSpaceDE w:val="0"/>
        <w:autoSpaceDN w:val="0"/>
        <w:adjustRightInd w:val="0"/>
        <w:snapToGrid w:val="0"/>
        <w:spacing w:line="360" w:lineRule="auto"/>
        <w:ind w:firstLine="420" w:firstLineChars="200"/>
        <w:jc w:val="left"/>
        <w:rPr>
          <w:rFonts w:asciiTheme="minorEastAsia" w:eastAsiaTheme="minorEastAsia" w:hAnsiTheme="minorEastAsia"/>
          <w:color w:val="000000" w:themeColor="text1"/>
          <w:kern w:val="0"/>
        </w:rPr>
      </w:pPr>
      <w:r w:rsidRPr="005A7DE6">
        <w:rPr>
          <w:rFonts w:asciiTheme="minorEastAsia" w:eastAsiaTheme="minorEastAsia" w:hAnsiTheme="minorEastAsia"/>
          <w:color w:val="000000" w:themeColor="text1"/>
          <w:kern w:val="0"/>
        </w:rPr>
        <w:t>（</w:t>
      </w:r>
      <w:r w:rsidRPr="005A7DE6">
        <w:rPr>
          <w:rFonts w:asciiTheme="minorEastAsia" w:eastAsiaTheme="minorEastAsia" w:hAnsiTheme="minorEastAsia"/>
          <w:color w:val="000000" w:themeColor="text1"/>
          <w:kern w:val="0"/>
        </w:rPr>
        <w:t>3</w:t>
      </w:r>
      <w:r w:rsidRPr="005A7DE6">
        <w:rPr>
          <w:rFonts w:asciiTheme="minorEastAsia" w:eastAsiaTheme="minorEastAsia" w:hAnsiTheme="minorEastAsia"/>
          <w:color w:val="000000" w:themeColor="text1"/>
          <w:kern w:val="0"/>
        </w:rPr>
        <w:t>）不</w:t>
      </w:r>
      <w:r w:rsidRPr="005A7DE6">
        <w:rPr>
          <w:rFonts w:asciiTheme="minorEastAsia" w:eastAsiaTheme="minorEastAsia" w:hAnsiTheme="minorEastAsia"/>
          <w:color w:val="000000" w:themeColor="text1"/>
          <w:kern w:val="0"/>
          <w:szCs w:val="21"/>
        </w:rPr>
        <w:t>违反现行有效的有关法律、法规、规章、基金合同和中国证监会的有关规定，</w:t>
      </w:r>
      <w:r w:rsidRPr="005A7DE6">
        <w:rPr>
          <w:rFonts w:asciiTheme="minorEastAsia" w:eastAsiaTheme="minorEastAsia" w:hAnsiTheme="minorEastAsia"/>
          <w:color w:val="000000" w:themeColor="text1"/>
          <w:kern w:val="0"/>
        </w:rPr>
        <w:t>泄漏在任职期间知悉的有关证券、基金的商业秘密、尚未依法公开的基金投资内容、基金投资计划等信息；</w:t>
      </w:r>
    </w:p>
    <w:p w:rsidR="00BA4B87" w:rsidRPr="005A7DE6" w:rsidP="006B758F">
      <w:pPr>
        <w:autoSpaceDE w:val="0"/>
        <w:autoSpaceDN w:val="0"/>
        <w:adjustRightInd w:val="0"/>
        <w:snapToGrid w:val="0"/>
        <w:spacing w:line="360" w:lineRule="auto"/>
        <w:ind w:firstLine="420" w:firstLineChars="200"/>
        <w:jc w:val="left"/>
        <w:rPr>
          <w:rFonts w:asciiTheme="minorEastAsia" w:eastAsiaTheme="minorEastAsia" w:hAnsiTheme="minorEastAsia"/>
          <w:color w:val="000000" w:themeColor="text1"/>
          <w:kern w:val="0"/>
        </w:rPr>
      </w:pPr>
      <w:r w:rsidRPr="005A7DE6">
        <w:rPr>
          <w:rFonts w:asciiTheme="minorEastAsia" w:eastAsiaTheme="minorEastAsia" w:hAnsiTheme="minorEastAsia"/>
          <w:color w:val="000000" w:themeColor="text1"/>
          <w:kern w:val="0"/>
        </w:rPr>
        <w:t>（</w:t>
      </w:r>
      <w:r w:rsidRPr="005A7DE6">
        <w:rPr>
          <w:rFonts w:asciiTheme="minorEastAsia" w:eastAsiaTheme="minorEastAsia" w:hAnsiTheme="minorEastAsia"/>
          <w:color w:val="000000" w:themeColor="text1"/>
          <w:kern w:val="0"/>
        </w:rPr>
        <w:t>4</w:t>
      </w:r>
      <w:r w:rsidRPr="005A7DE6">
        <w:rPr>
          <w:rFonts w:asciiTheme="minorEastAsia" w:eastAsiaTheme="minorEastAsia" w:hAnsiTheme="minorEastAsia"/>
          <w:color w:val="000000" w:themeColor="text1"/>
          <w:kern w:val="0"/>
        </w:rPr>
        <w:t>）不从事损害基金财产和基金份额持有人利益的证券交易及其他活动。</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szCs w:val="21"/>
        </w:rPr>
      </w:pPr>
      <w:bookmarkStart w:id="26" w:name="_Toc94172382"/>
      <w:r w:rsidRPr="005A7DE6">
        <w:rPr>
          <w:rFonts w:asciiTheme="minorEastAsia" w:eastAsiaTheme="minorEastAsia" w:hAnsiTheme="minorEastAsia"/>
          <w:b w:val="0"/>
          <w:bCs/>
          <w:color w:val="000000" w:themeColor="text1"/>
          <w:szCs w:val="21"/>
        </w:rPr>
        <w:t>（五）基金管理人的内部控制制度</w:t>
      </w:r>
      <w:bookmarkEnd w:id="26"/>
    </w:p>
    <w:p w:rsidR="004B13F2" w:rsidRPr="005A7DE6" w:rsidP="00D51FA7">
      <w:pPr>
        <w:pStyle w:val="a"/>
        <w:autoSpaceDE w:val="0"/>
        <w:autoSpaceDN w:val="0"/>
        <w:adjustRightInd w:val="0"/>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为保证公司规范化运作，有效地防范和化解经营风险，促进公司诚信、合法、有效经营，保障基金份额持有人利益，维护公司及公司股东的合法权益，本基金管理人建立了科学、严密、高效的内部控制体系。</w:t>
      </w:r>
    </w:p>
    <w:p w:rsidR="00336BCC">
      <w:pPr>
        <w:spacing w:line="360" w:lineRule="auto"/>
        <w:ind w:firstLine="420"/>
      </w:pPr>
      <w:r>
        <w:t>1</w:t>
      </w:r>
      <w:r>
        <w:t>、公司内部控制的总体目标</w:t>
      </w:r>
    </w:p>
    <w:p w:rsidR="00336BCC">
      <w:pPr>
        <w:spacing w:line="360" w:lineRule="auto"/>
        <w:ind w:firstLine="420"/>
      </w:pPr>
      <w:r>
        <w:t>（</w:t>
      </w:r>
      <w:r>
        <w:t>1</w:t>
      </w:r>
      <w:r>
        <w:t>）保证公司经营管理活动的合法合规性；</w:t>
      </w:r>
    </w:p>
    <w:p w:rsidR="00336BCC">
      <w:pPr>
        <w:spacing w:line="360" w:lineRule="auto"/>
        <w:ind w:firstLine="420"/>
      </w:pPr>
      <w:r>
        <w:t>（</w:t>
      </w:r>
      <w:r>
        <w:t>2</w:t>
      </w:r>
      <w:r>
        <w:t>）保证各类基金份额持有人及委托人的合法权益不受侵犯；</w:t>
      </w:r>
    </w:p>
    <w:p w:rsidR="00336BCC">
      <w:pPr>
        <w:spacing w:line="360" w:lineRule="auto"/>
        <w:ind w:firstLine="420"/>
      </w:pPr>
      <w:r>
        <w:t>（</w:t>
      </w:r>
      <w:r>
        <w:t>3</w:t>
      </w:r>
      <w:r>
        <w:t>）防范和化解经营风险，提高经营管理效率，确保业务稳健经营运行和受托资产安全完整，实现公司的持续、健康发展，促进公司实现发展战略；</w:t>
      </w:r>
    </w:p>
    <w:p w:rsidR="00336BCC">
      <w:pPr>
        <w:spacing w:line="360" w:lineRule="auto"/>
        <w:ind w:firstLine="420"/>
      </w:pPr>
      <w:r>
        <w:t>（</w:t>
      </w:r>
      <w:r>
        <w:t>4</w:t>
      </w:r>
      <w:r>
        <w:t>）督促公司全体员工恪守职业操守，正直诚信，廉洁自律，勤勉尽责；</w:t>
      </w:r>
    </w:p>
    <w:p w:rsidR="00336BCC">
      <w:pPr>
        <w:spacing w:line="360" w:lineRule="auto"/>
        <w:ind w:firstLine="420"/>
      </w:pPr>
      <w:r>
        <w:t>（</w:t>
      </w:r>
      <w:r>
        <w:t>5</w:t>
      </w:r>
      <w:r>
        <w:t>）维护公司的声誉，保持公司的良好形象。</w:t>
      </w:r>
    </w:p>
    <w:p w:rsidR="00336BCC">
      <w:pPr>
        <w:spacing w:line="360" w:lineRule="auto"/>
        <w:ind w:firstLine="420"/>
      </w:pPr>
      <w:r>
        <w:t>2</w:t>
      </w:r>
      <w:r>
        <w:t>、公司内部控制遵循的原则</w:t>
      </w:r>
    </w:p>
    <w:p w:rsidR="00336BCC">
      <w:pPr>
        <w:spacing w:line="360" w:lineRule="auto"/>
        <w:ind w:firstLine="420"/>
      </w:pPr>
      <w:r>
        <w:t>（</w:t>
      </w:r>
      <w:r>
        <w:t>1</w:t>
      </w:r>
      <w:r>
        <w:t>）健全性原则。内部控制应当包括公司的各项业务、各个部门或机构和各级人员</w:t>
      </w:r>
      <w:r>
        <w:t>,</w:t>
      </w:r>
      <w:r>
        <w:t>并涵盖到决策、执行、监督、反馈等各个环节。</w:t>
      </w:r>
    </w:p>
    <w:p w:rsidR="00336BCC">
      <w:pPr>
        <w:spacing w:line="360" w:lineRule="auto"/>
        <w:ind w:firstLine="420"/>
      </w:pPr>
      <w:r>
        <w:t>（</w:t>
      </w:r>
      <w:r>
        <w:t>2</w:t>
      </w:r>
      <w:r>
        <w:t>）有效性原则。通过科学的内控手段和方法，建立合理的内控程序，维护内控制度的有效执行。</w:t>
      </w:r>
    </w:p>
    <w:p w:rsidR="00336BCC">
      <w:pPr>
        <w:spacing w:line="360" w:lineRule="auto"/>
        <w:ind w:firstLine="420"/>
      </w:pPr>
      <w:r>
        <w:t>（</w:t>
      </w:r>
      <w:r>
        <w:t>3</w:t>
      </w:r>
      <w:r>
        <w:t>）独立性原则。公司机构、部门和岗位职责应当保持相对独立，除非法律法规另有规定，公司基金资产、自有资产、其他资产的运作应当分离。</w:t>
      </w:r>
    </w:p>
    <w:p w:rsidR="00336BCC">
      <w:pPr>
        <w:spacing w:line="360" w:lineRule="auto"/>
        <w:ind w:firstLine="420"/>
      </w:pPr>
      <w:r>
        <w:t>（</w:t>
      </w:r>
      <w:r>
        <w:t>4</w:t>
      </w:r>
      <w:r>
        <w:t>）相互制约原则。公司内部部门和岗位的设置应当体现权责分明、相互制衡。</w:t>
      </w:r>
    </w:p>
    <w:p w:rsidR="00336BCC">
      <w:pPr>
        <w:spacing w:line="360" w:lineRule="auto"/>
        <w:ind w:firstLine="420"/>
      </w:pPr>
      <w:r>
        <w:t>（</w:t>
      </w:r>
      <w:r>
        <w:t>5</w:t>
      </w:r>
      <w:r>
        <w:t>）成本效益原则。公</w:t>
      </w:r>
      <w:r>
        <w:t>司运用科学化的经营管理方法降低运作成本，提高经济效益，力争以合理的控制成本达到最佳的内部控制效果。</w:t>
      </w:r>
    </w:p>
    <w:p w:rsidR="00336BCC">
      <w:pPr>
        <w:spacing w:line="360" w:lineRule="auto"/>
        <w:ind w:firstLine="420"/>
      </w:pPr>
      <w:r>
        <w:t>3</w:t>
      </w:r>
      <w:r>
        <w:t>、内部控制的制度体系</w:t>
      </w:r>
    </w:p>
    <w:p w:rsidR="00336BCC">
      <w:pPr>
        <w:spacing w:line="360" w:lineRule="auto"/>
        <w:ind w:firstLine="420"/>
      </w:pPr>
      <w: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部门和业务管理制度。它们的制订、修改、实施、废止应该遵循相应的程序，每一层面的内容不得与其以上层面的内容相违背。公司重视对制度的持续检验，结合业务</w:t>
      </w:r>
      <w:r>
        <w:t>的发展、法规及监管环境的变化以及公司风险控制的要求，不断检讨和增强公司制度的完备性、有效性。</w:t>
      </w:r>
    </w:p>
    <w:p w:rsidR="00336BCC">
      <w:pPr>
        <w:spacing w:line="360" w:lineRule="auto"/>
        <w:ind w:firstLine="420"/>
      </w:pPr>
      <w:r>
        <w:t>4</w:t>
      </w:r>
      <w:r>
        <w:t>、关于授权、研究、投资、交易等方面的控制点</w:t>
      </w:r>
    </w:p>
    <w:p w:rsidR="00336BCC">
      <w:pPr>
        <w:spacing w:line="360" w:lineRule="auto"/>
        <w:ind w:firstLine="420"/>
      </w:pPr>
      <w:r>
        <w:t>（</w:t>
      </w:r>
      <w:r>
        <w:t>1</w:t>
      </w:r>
      <w:r>
        <w:t>）授权制度</w:t>
      </w:r>
    </w:p>
    <w:p w:rsidR="00336BCC">
      <w:pPr>
        <w:spacing w:line="360" w:lineRule="auto"/>
        <w:ind w:firstLine="420"/>
      </w:pPr>
      <w:r>
        <w:t>公司的授权制度贯穿于整个公司活动。股东会、董事会、监事会和管理层必须充分履行各自的职权，健全公司逐级授权制度，确保公司各项规章制度的贯彻执行；各项经营业务和管理程序必须遵从管理层制定的操作规程，经办人员的每一项工作必须是在业务授权范围内进行。公司重大业务的授权必须采取书面形式，授权书应当明确授权内容。公司授权应适当，对已获授权的部门和人员应建立有效的评价</w:t>
      </w:r>
      <w:r>
        <w:t>和反馈机制，对已不适用的授权应及时修改或取</w:t>
      </w:r>
      <w:r>
        <w:t>消授权。</w:t>
      </w:r>
    </w:p>
    <w:p w:rsidR="00336BCC">
      <w:pPr>
        <w:spacing w:line="360" w:lineRule="auto"/>
        <w:ind w:firstLine="420"/>
      </w:pPr>
      <w:r>
        <w:t>（</w:t>
      </w:r>
      <w:r>
        <w:t>2</w:t>
      </w:r>
      <w:r>
        <w:t>）公司研究业务</w:t>
      </w:r>
    </w:p>
    <w:p w:rsidR="00336BCC">
      <w:pPr>
        <w:spacing w:line="360" w:lineRule="auto"/>
        <w:ind w:firstLine="420"/>
      </w:pPr>
      <w:r>
        <w:t>研究工作应保持独立、客观，不受任何部门及个人的不正当影响；建立严谨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rsidR="00336BCC">
      <w:pPr>
        <w:spacing w:line="360" w:lineRule="auto"/>
        <w:ind w:firstLine="420"/>
      </w:pPr>
      <w:r>
        <w:t>（</w:t>
      </w:r>
      <w:r>
        <w:t>3</w:t>
      </w:r>
      <w:r>
        <w:t>）基金投资业务</w:t>
      </w:r>
    </w:p>
    <w:p w:rsidR="00336BCC">
      <w:pPr>
        <w:spacing w:line="360" w:lineRule="auto"/>
        <w:ind w:firstLine="420"/>
      </w:pPr>
      <w:r>
        <w:t>基金投资应确立科学的投资理念，根据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范围内；建立科学的投资业绩评价体系，及时回顾分析和评估投资结果。</w:t>
      </w:r>
    </w:p>
    <w:p w:rsidR="00336BCC">
      <w:pPr>
        <w:spacing w:line="360" w:lineRule="auto"/>
        <w:ind w:firstLine="420"/>
      </w:pPr>
      <w:r>
        <w:t>（</w:t>
      </w:r>
      <w:r>
        <w:t>4</w:t>
      </w:r>
      <w:r>
        <w:t>）交易业务</w:t>
      </w:r>
    </w:p>
    <w:p w:rsidR="00336BCC">
      <w:pPr>
        <w:spacing w:line="360" w:lineRule="auto"/>
        <w:ind w:firstLine="420"/>
      </w:pPr>
      <w:r>
        <w:t>建立集中交易部门和集中交易制度，投资指令通过集中交易部门完成；建立交易监测系统、预警系统和交易反馈系统，完善相关的安全设施；集中交易部门应对交易指令进行审</w:t>
      </w:r>
      <w:r>
        <w:t>核，建立公平的交易分配制度，确保公平对待不同基金；完善交易记录，并及时进行反馈、核对和存档保管；建立科学的投资交易绩效评价体系。</w:t>
      </w:r>
    </w:p>
    <w:p w:rsidR="00336BCC">
      <w:pPr>
        <w:spacing w:line="360" w:lineRule="auto"/>
        <w:ind w:firstLine="420"/>
      </w:pPr>
      <w:r>
        <w:t>（</w:t>
      </w:r>
      <w:r>
        <w:t>5</w:t>
      </w:r>
      <w:r>
        <w:t>）基金会计核算</w:t>
      </w:r>
    </w:p>
    <w:p w:rsidR="00336BCC">
      <w:pPr>
        <w:spacing w:line="360" w:lineRule="auto"/>
        <w:ind w:firstLine="420"/>
      </w:pPr>
      <w:r>
        <w:t>公司根据法律法规及业务的要求建立会计制度，并根据风险控制点建立健全规范的系统和流程，以基金为会计核算主体，独立建账、独立核算。通过合理的估值方法和估值程序等会计措施，真实、完整、及时地记载每一笔业务并正确进行会计核算和业务核算。同时建立会计档案保管制度，确保档案真实完整。</w:t>
      </w:r>
    </w:p>
    <w:p w:rsidR="00336BCC">
      <w:pPr>
        <w:spacing w:line="360" w:lineRule="auto"/>
        <w:ind w:firstLine="420"/>
      </w:pPr>
      <w:r>
        <w:t>（</w:t>
      </w:r>
      <w:r>
        <w:t>6</w:t>
      </w:r>
      <w:r>
        <w:t>）信息披露</w:t>
      </w:r>
    </w:p>
    <w:p w:rsidR="00336BCC">
      <w:pPr>
        <w:spacing w:line="360" w:lineRule="auto"/>
        <w:ind w:firstLine="420"/>
      </w:pPr>
      <w:r>
        <w:t>公司建立了完备的信息披露制度，指定了信息披露负责人，并建立了相应的制度流</w:t>
      </w:r>
      <w:r>
        <w:t>程规范相关信息的收集、组织、审核和发布，努力确保公开披露的信息真实、准确、完整、及时。</w:t>
      </w:r>
    </w:p>
    <w:p w:rsidR="00336BCC">
      <w:pPr>
        <w:spacing w:line="360" w:lineRule="auto"/>
        <w:ind w:firstLine="420"/>
      </w:pPr>
      <w:r>
        <w:t>（</w:t>
      </w:r>
      <w:r>
        <w:t>7</w:t>
      </w:r>
      <w:r>
        <w:t>）监察与合规管理</w:t>
      </w:r>
    </w:p>
    <w:p w:rsidR="00336BCC">
      <w:pPr>
        <w:spacing w:line="360" w:lineRule="auto"/>
        <w:ind w:firstLine="420"/>
      </w:pPr>
      <w:r>
        <w:t>公司设立督察长，由董事会聘任，向董事会负责。根据公司监察与合规管理工作的需要和董事会授权，督察长可以列席公司相关会议，调阅公司相关档案资料，就内部控制制度的执行情况独立地履行检查、评价、报告、建议职能。督察长定期和不定期向董事会报告公司内部控制执行情况，董事会对督察长的报告进行审议。</w:t>
      </w:r>
    </w:p>
    <w:p w:rsidR="00336BCC">
      <w:pPr>
        <w:spacing w:line="360" w:lineRule="auto"/>
        <w:ind w:firstLine="420"/>
      </w:pPr>
      <w:r>
        <w:t>公司设立监察合规管理部门，并保障其独立性。监察合规管理部门按照公司规定和督察长的安排履行监察与合规管理职责。</w:t>
      </w:r>
    </w:p>
    <w:p w:rsidR="00336BCC">
      <w:pPr>
        <w:spacing w:line="360" w:lineRule="auto"/>
        <w:ind w:firstLine="420"/>
      </w:pPr>
      <w:r>
        <w:t>监察合规管理部门通过定期或不定期检查内部控制制度的执行情况，督促公司和旗下基金的管理运作规范进行。</w:t>
      </w:r>
    </w:p>
    <w:p w:rsidR="00336BCC">
      <w:pPr>
        <w:spacing w:line="360" w:lineRule="auto"/>
        <w:ind w:firstLine="420"/>
      </w:pPr>
      <w:r>
        <w:t>公司董事会和管理层充分重视和支持监察与合规管理工作，对违反法律、法规和公司内部控制制度的，追究有关部门和人员的责任。</w:t>
      </w:r>
    </w:p>
    <w:p w:rsidR="00336BCC">
      <w:pPr>
        <w:spacing w:line="360" w:lineRule="auto"/>
        <w:ind w:firstLine="420"/>
      </w:pPr>
      <w:r>
        <w:t>5</w:t>
      </w:r>
      <w:r>
        <w:t>、基金管理人关于内部控制制度声明书</w:t>
      </w:r>
    </w:p>
    <w:p w:rsidR="00336BCC">
      <w:pPr>
        <w:spacing w:line="360" w:lineRule="auto"/>
        <w:ind w:firstLine="420"/>
      </w:pPr>
      <w:r>
        <w:t>（</w:t>
      </w:r>
      <w:r>
        <w:t>1</w:t>
      </w:r>
      <w:r>
        <w:t>）本公司承诺以上关于内部控制制度的披露真实、准确；</w:t>
      </w:r>
    </w:p>
    <w:p w:rsidR="004B13F2" w:rsidRPr="005A7DE6" w:rsidP="00D51FA7">
      <w:pPr>
        <w:pStyle w:val="a"/>
        <w:autoSpaceDE w:val="0"/>
        <w:autoSpaceDN w:val="0"/>
        <w:adjustRightInd w:val="0"/>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hint="eastAsia"/>
          <w:color w:val="000000" w:themeColor="text1"/>
          <w:szCs w:val="21"/>
        </w:rPr>
        <w:t>）本公司承诺根据市场变化和公司业务发展不断完善内部控制制度。</w:t>
      </w:r>
      <w:bookmarkStart w:id="27" w:name="_Toc296526926"/>
      <w:bookmarkStart w:id="28" w:name="_Toc296526927"/>
      <w:bookmarkStart w:id="29" w:name="_Toc296526928"/>
      <w:bookmarkStart w:id="30" w:name="_Toc296526929"/>
      <w:bookmarkStart w:id="31" w:name="_Toc296526931"/>
      <w:bookmarkStart w:id="32" w:name="_Toc296526932"/>
      <w:bookmarkStart w:id="33" w:name="_Toc296526933"/>
      <w:bookmarkStart w:id="34" w:name="_Toc296526934"/>
      <w:bookmarkStart w:id="35" w:name="_Toc296526936"/>
      <w:bookmarkStart w:id="36" w:name="_Toc296526958"/>
      <w:bookmarkStart w:id="37" w:name="_Toc272569765"/>
      <w:bookmarkStart w:id="38" w:name="_Toc272569766"/>
      <w:bookmarkStart w:id="39" w:name="_Toc272569767"/>
      <w:bookmarkStart w:id="40" w:name="_Toc272569768"/>
      <w:bookmarkStart w:id="41" w:name="_Toc272569769"/>
      <w:bookmarkStart w:id="42" w:name="_Toc272569770"/>
      <w:bookmarkStart w:id="43" w:name="_Toc272569771"/>
      <w:bookmarkStart w:id="44" w:name="_Toc272569772"/>
      <w:bookmarkStart w:id="45" w:name="_Toc272569773"/>
      <w:bookmarkStart w:id="46" w:name="_Toc296440126"/>
      <w:bookmarkStart w:id="47" w:name="_Toc296526963"/>
      <w:bookmarkStart w:id="48" w:name="_Toc296526974"/>
      <w:bookmarkStart w:id="49" w:name="_Toc323051000"/>
      <w:bookmarkStart w:id="50" w:name="_Toc308697488"/>
      <w:bookmarkStart w:id="51" w:name="_Toc309286010"/>
      <w:bookmarkStart w:id="52" w:name="_Toc296526989"/>
      <w:bookmarkStart w:id="53" w:name="_Toc323051008"/>
      <w:bookmarkStart w:id="54" w:name="_Toc296526992"/>
      <w:bookmarkStart w:id="55" w:name="_Toc296526993"/>
      <w:bookmarkStart w:id="56" w:name="_Toc277752499"/>
      <w:bookmarkStart w:id="57" w:name="_Toc277786078"/>
      <w:bookmarkStart w:id="58" w:name="_Toc277787599"/>
      <w:bookmarkStart w:id="59" w:name="_Toc277787873"/>
      <w:bookmarkStart w:id="60" w:name="_Toc278409384"/>
      <w:bookmarkStart w:id="61" w:name="_Toc308697497"/>
      <w:bookmarkStart w:id="62" w:name="_Toc309286019"/>
      <w:bookmarkStart w:id="63" w:name="_Toc308697498"/>
      <w:bookmarkStart w:id="64" w:name="_Toc309286020"/>
      <w:bookmarkStart w:id="65" w:name="_Toc308697499"/>
      <w:bookmarkStart w:id="66" w:name="_Toc309286021"/>
      <w:bookmarkStart w:id="67" w:name="_Toc308697500"/>
      <w:bookmarkStart w:id="68" w:name="_Toc309286022"/>
      <w:bookmarkStart w:id="69" w:name="_Toc308697501"/>
      <w:bookmarkStart w:id="70" w:name="_Toc309286023"/>
      <w:bookmarkStart w:id="71" w:name="_Toc308697502"/>
      <w:bookmarkStart w:id="72" w:name="_Toc309286024"/>
      <w:bookmarkStart w:id="73" w:name="_Toc308697503"/>
      <w:bookmarkStart w:id="74" w:name="_Toc309286025"/>
      <w:bookmarkStart w:id="75" w:name="_Toc308697504"/>
      <w:bookmarkStart w:id="76" w:name="_Toc309286026"/>
      <w:bookmarkStart w:id="77" w:name="_Toc308697505"/>
      <w:bookmarkStart w:id="78" w:name="_Toc309286027"/>
      <w:bookmarkStart w:id="79" w:name="_Toc308697506"/>
      <w:bookmarkStart w:id="80" w:name="_Toc309286028"/>
      <w:bookmarkStart w:id="81" w:name="_Toc308697507"/>
      <w:bookmarkStart w:id="82" w:name="_Toc309286029"/>
      <w:bookmarkStart w:id="83" w:name="_Toc308697508"/>
      <w:bookmarkStart w:id="84" w:name="_Toc309286030"/>
      <w:bookmarkStart w:id="85" w:name="_Toc308697509"/>
      <w:bookmarkStart w:id="86" w:name="_Toc309286031"/>
      <w:bookmarkStart w:id="87" w:name="_Toc308697510"/>
      <w:bookmarkStart w:id="88" w:name="_Toc309286032"/>
      <w:bookmarkStart w:id="89" w:name="_Toc308697511"/>
      <w:bookmarkStart w:id="90" w:name="_Toc309286033"/>
      <w:bookmarkStart w:id="91" w:name="_Toc308697512"/>
      <w:bookmarkStart w:id="92" w:name="_Toc309286034"/>
      <w:bookmarkStart w:id="93" w:name="_Toc308697513"/>
      <w:bookmarkStart w:id="94" w:name="_Toc309286035"/>
      <w:bookmarkStart w:id="95" w:name="_Toc277752504"/>
      <w:bookmarkStart w:id="96" w:name="_Toc277786083"/>
      <w:bookmarkStart w:id="97" w:name="_Toc277787604"/>
      <w:bookmarkStart w:id="98" w:name="_Toc277787878"/>
      <w:bookmarkStart w:id="99" w:name="_Toc278409389"/>
      <w:bookmarkStart w:id="100" w:name="_Toc277752505"/>
      <w:bookmarkStart w:id="101" w:name="_Toc277786084"/>
      <w:bookmarkStart w:id="102" w:name="_Toc277787605"/>
      <w:bookmarkStart w:id="103" w:name="_Toc277787879"/>
      <w:bookmarkStart w:id="104" w:name="_Toc278409390"/>
      <w:bookmarkStart w:id="105" w:name="_Toc277752506"/>
      <w:bookmarkStart w:id="106" w:name="_Toc277786085"/>
      <w:bookmarkStart w:id="107" w:name="_Toc277787606"/>
      <w:bookmarkStart w:id="108" w:name="_Toc277787880"/>
      <w:bookmarkStart w:id="109" w:name="_Toc278409391"/>
      <w:bookmarkStart w:id="110" w:name="_Toc277752507"/>
      <w:bookmarkStart w:id="111" w:name="_Toc277786086"/>
      <w:bookmarkStart w:id="112" w:name="_Toc277787607"/>
      <w:bookmarkStart w:id="113" w:name="_Toc277787881"/>
      <w:bookmarkStart w:id="114" w:name="_Toc278409392"/>
      <w:bookmarkStart w:id="115" w:name="_Toc277752508"/>
      <w:bookmarkStart w:id="116" w:name="_Toc277786087"/>
      <w:bookmarkStart w:id="117" w:name="_Toc277787608"/>
      <w:bookmarkStart w:id="118" w:name="_Toc277787882"/>
      <w:bookmarkStart w:id="119" w:name="_Toc278409393"/>
      <w:bookmarkStart w:id="120" w:name="_Toc277752509"/>
      <w:bookmarkStart w:id="121" w:name="_Toc277786088"/>
      <w:bookmarkStart w:id="122" w:name="_Toc277787609"/>
      <w:bookmarkStart w:id="123" w:name="_Toc277787883"/>
      <w:bookmarkStart w:id="124" w:name="_Toc278409394"/>
      <w:bookmarkStart w:id="125" w:name="_Toc308697516"/>
      <w:bookmarkStart w:id="126" w:name="_Toc309286038"/>
      <w:bookmarkStart w:id="127" w:name="_Toc308697517"/>
      <w:bookmarkStart w:id="128" w:name="_Toc309286039"/>
      <w:bookmarkStart w:id="129" w:name="_Toc296527004"/>
      <w:bookmarkStart w:id="130" w:name="_Hlt88827255"/>
      <w:bookmarkStart w:id="131" w:name="_Toc308697541"/>
      <w:bookmarkStart w:id="132" w:name="_Toc309286063"/>
      <w:bookmarkStart w:id="133" w:name="_Toc308697542"/>
      <w:bookmarkStart w:id="134" w:name="_Toc309286064"/>
      <w:bookmarkStart w:id="135" w:name="_Toc308697543"/>
      <w:bookmarkStart w:id="136" w:name="_Toc309286065"/>
      <w:bookmarkStart w:id="137" w:name="_Toc306614238"/>
      <w:bookmarkStart w:id="138" w:name="_Toc310512463"/>
      <w:bookmarkStart w:id="139" w:name="_Toc310512627"/>
      <w:bookmarkStart w:id="140" w:name="_Toc310512780"/>
      <w:bookmarkStart w:id="141" w:name="_Toc310512933"/>
      <w:bookmarkStart w:id="142" w:name="_Toc310513073"/>
      <w:bookmarkStart w:id="143" w:name="_Toc310513212"/>
      <w:bookmarkStart w:id="144" w:name="_Toc310513348"/>
      <w:bookmarkStart w:id="145" w:name="_Toc323051024"/>
      <w:bookmarkStart w:id="146" w:name="_Toc310512464"/>
      <w:bookmarkStart w:id="147" w:name="_Toc310512628"/>
      <w:bookmarkStart w:id="148" w:name="_Toc310512781"/>
      <w:bookmarkStart w:id="149" w:name="_Toc310512934"/>
      <w:bookmarkStart w:id="150" w:name="_Toc310513074"/>
      <w:bookmarkStart w:id="151" w:name="_Toc310513213"/>
      <w:bookmarkStart w:id="152" w:name="_Toc310513349"/>
      <w:bookmarkStart w:id="153" w:name="_Toc323051025"/>
      <w:bookmarkStart w:id="154" w:name="_Toc310512465"/>
      <w:bookmarkStart w:id="155" w:name="_Toc310512629"/>
      <w:bookmarkStart w:id="156" w:name="_Toc310512782"/>
      <w:bookmarkStart w:id="157" w:name="_Toc310512935"/>
      <w:bookmarkStart w:id="158" w:name="_Toc310513075"/>
      <w:bookmarkStart w:id="159" w:name="_Toc310513214"/>
      <w:bookmarkStart w:id="160" w:name="_Toc310513350"/>
      <w:bookmarkStart w:id="161" w:name="_Toc323051026"/>
      <w:bookmarkStart w:id="162" w:name="_Hlt88841837"/>
      <w:bookmarkStart w:id="163" w:name="_Hlt88900062"/>
      <w:bookmarkStart w:id="164" w:name="_Toc308697560"/>
      <w:bookmarkStart w:id="165" w:name="_Toc309286082"/>
      <w:bookmarkStart w:id="166" w:name="_Toc308697561"/>
      <w:bookmarkStart w:id="167" w:name="_Toc309286083"/>
      <w:bookmarkStart w:id="168" w:name="_Toc308697562"/>
      <w:bookmarkStart w:id="169" w:name="_Toc309286084"/>
      <w:bookmarkStart w:id="170" w:name="_Toc44229106"/>
      <w:bookmarkStart w:id="171" w:name="_Toc44229201"/>
      <w:bookmarkStart w:id="172" w:name="_Toc44229107"/>
      <w:bookmarkStart w:id="173" w:name="_Toc44229202"/>
      <w:bookmarkStart w:id="174" w:name="_Toc44229108"/>
      <w:bookmarkStart w:id="175" w:name="_Toc44229203"/>
      <w:bookmarkStart w:id="176" w:name="_Toc44229109"/>
      <w:bookmarkStart w:id="177" w:name="_Toc44229204"/>
      <w:bookmarkStart w:id="178" w:name="_Toc44229110"/>
      <w:bookmarkStart w:id="179" w:name="_Toc44229205"/>
      <w:bookmarkStart w:id="180" w:name="_Toc44229111"/>
      <w:bookmarkStart w:id="181" w:name="_Toc44229206"/>
      <w:bookmarkStart w:id="182" w:name="_Toc44229112"/>
      <w:bookmarkStart w:id="183" w:name="_Toc44229207"/>
      <w:bookmarkStart w:id="184" w:name="_Toc44229113"/>
      <w:bookmarkStart w:id="185" w:name="_Toc44229208"/>
      <w:bookmarkStart w:id="186" w:name="_Toc185222016"/>
      <w:bookmarkStart w:id="187" w:name="_Toc185222488"/>
      <w:bookmarkStart w:id="188" w:name="_Toc185222591"/>
      <w:bookmarkStart w:id="189" w:name="_Toc185222757"/>
      <w:bookmarkStart w:id="190" w:name="_Hlt80958353"/>
      <w:bookmarkStart w:id="191" w:name="_Toc278409426"/>
      <w:bookmarkStart w:id="192" w:name="_Toc323051053"/>
      <w:bookmarkStart w:id="193" w:name="_Toc323051054"/>
      <w:bookmarkStart w:id="194" w:name="_Toc323051055"/>
      <w:bookmarkStart w:id="195" w:name="_Toc308697583"/>
      <w:bookmarkStart w:id="196" w:name="_Toc309286105"/>
      <w:bookmarkStart w:id="197" w:name="_Toc308697584"/>
      <w:bookmarkStart w:id="198" w:name="_Toc309286106"/>
      <w:bookmarkStart w:id="199" w:name="_Toc308697585"/>
      <w:bookmarkStart w:id="200" w:name="_Toc309286107"/>
      <w:bookmarkStart w:id="201" w:name="_Toc308697586"/>
      <w:bookmarkStart w:id="202" w:name="_Toc309286108"/>
      <w:bookmarkStart w:id="203" w:name="_Toc308697587"/>
      <w:bookmarkStart w:id="204" w:name="_Toc309286109"/>
      <w:bookmarkStart w:id="205" w:name="_Toc308697588"/>
      <w:bookmarkStart w:id="206" w:name="_Toc309286110"/>
      <w:bookmarkStart w:id="207" w:name="_Toc308697589"/>
      <w:bookmarkStart w:id="208" w:name="_Toc309286111"/>
      <w:bookmarkStart w:id="209" w:name="_Toc308697590"/>
      <w:bookmarkStart w:id="210" w:name="_Toc309286112"/>
      <w:bookmarkStart w:id="211" w:name="_Toc308697591"/>
      <w:bookmarkStart w:id="212" w:name="_Toc309286113"/>
      <w:bookmarkStart w:id="213" w:name="_Toc308697592"/>
      <w:bookmarkStart w:id="214" w:name="_Toc309286114"/>
      <w:bookmarkStart w:id="215" w:name="_Toc308697593"/>
      <w:bookmarkStart w:id="216" w:name="_Toc309286115"/>
      <w:bookmarkStart w:id="217" w:name="_Toc308697594"/>
      <w:bookmarkStart w:id="218" w:name="_Toc309286116"/>
      <w:bookmarkStart w:id="219" w:name="_Toc308697595"/>
      <w:bookmarkStart w:id="220" w:name="_Toc309286117"/>
      <w:bookmarkStart w:id="221" w:name="_Toc308697596"/>
      <w:bookmarkStart w:id="222" w:name="_Toc309286118"/>
      <w:bookmarkStart w:id="223" w:name="_Toc308697597"/>
      <w:bookmarkStart w:id="224" w:name="_Toc309286119"/>
      <w:bookmarkStart w:id="225" w:name="_Toc308697598"/>
      <w:bookmarkStart w:id="226" w:name="_Toc309286120"/>
      <w:bookmarkStart w:id="227" w:name="_Toc308697599"/>
      <w:bookmarkStart w:id="228" w:name="_Toc309286121"/>
      <w:bookmarkStart w:id="229" w:name="_Toc308697600"/>
      <w:bookmarkStart w:id="230" w:name="_Toc309286122"/>
      <w:bookmarkStart w:id="231" w:name="_Toc308697601"/>
      <w:bookmarkStart w:id="232" w:name="_Toc309286123"/>
      <w:bookmarkStart w:id="233" w:name="_Toc308697602"/>
      <w:bookmarkStart w:id="234" w:name="_Toc309286124"/>
      <w:bookmarkStart w:id="235" w:name="_Toc308697603"/>
      <w:bookmarkStart w:id="236" w:name="_Toc309286125"/>
      <w:bookmarkStart w:id="237" w:name="_Toc308697604"/>
      <w:bookmarkStart w:id="238" w:name="_Toc309286126"/>
      <w:bookmarkStart w:id="239" w:name="_Toc308697605"/>
      <w:bookmarkStart w:id="240" w:name="_Toc309286127"/>
      <w:bookmarkStart w:id="241" w:name="_Toc308697606"/>
      <w:bookmarkStart w:id="242" w:name="_Toc309286128"/>
      <w:bookmarkStart w:id="243" w:name="_Toc308697607"/>
      <w:bookmarkStart w:id="244" w:name="_Toc309286129"/>
      <w:bookmarkStart w:id="245" w:name="_Toc308697608"/>
      <w:bookmarkStart w:id="246" w:name="_Toc309286130"/>
      <w:bookmarkStart w:id="247" w:name="_Toc308697609"/>
      <w:bookmarkStart w:id="248" w:name="_Toc309286131"/>
      <w:bookmarkStart w:id="249" w:name="_Toc308697610"/>
      <w:bookmarkStart w:id="250" w:name="_Toc309286132"/>
      <w:bookmarkStart w:id="251" w:name="_Toc308697611"/>
      <w:bookmarkStart w:id="252" w:name="_Toc309286133"/>
      <w:bookmarkStart w:id="253" w:name="_Toc308697612"/>
      <w:bookmarkStart w:id="254" w:name="_Toc309286134"/>
      <w:bookmarkStart w:id="255" w:name="_Toc308697613"/>
      <w:bookmarkStart w:id="256" w:name="_Toc309286135"/>
      <w:bookmarkStart w:id="257" w:name="_Toc308697614"/>
      <w:bookmarkStart w:id="258" w:name="_Toc309286136"/>
      <w:bookmarkStart w:id="259" w:name="_Toc308697615"/>
      <w:bookmarkStart w:id="260" w:name="_Toc309286137"/>
      <w:bookmarkStart w:id="261" w:name="_Toc308697616"/>
      <w:bookmarkStart w:id="262" w:name="_Toc309286138"/>
      <w:bookmarkStart w:id="263" w:name="_Toc308697617"/>
      <w:bookmarkStart w:id="264" w:name="_Toc309286139"/>
      <w:bookmarkStart w:id="265" w:name="_Toc308697618"/>
      <w:bookmarkStart w:id="266" w:name="_Toc309286140"/>
      <w:bookmarkStart w:id="267" w:name="_Toc308697619"/>
      <w:bookmarkStart w:id="268" w:name="_Toc309286141"/>
      <w:bookmarkStart w:id="269" w:name="_Toc308697620"/>
      <w:bookmarkStart w:id="270" w:name="_Toc309286142"/>
      <w:bookmarkStart w:id="271" w:name="_Toc308697621"/>
      <w:bookmarkStart w:id="272" w:name="_Toc309286143"/>
      <w:bookmarkStart w:id="273" w:name="_Toc308697622"/>
      <w:bookmarkStart w:id="274" w:name="_Toc309286144"/>
      <w:bookmarkStart w:id="275" w:name="_Toc308697623"/>
      <w:bookmarkStart w:id="276" w:name="_Toc309286145"/>
      <w:bookmarkStart w:id="277" w:name="_Toc308697624"/>
      <w:bookmarkStart w:id="278" w:name="_Toc309286146"/>
      <w:bookmarkStart w:id="279" w:name="_Toc308697625"/>
      <w:bookmarkStart w:id="280" w:name="_Toc309286147"/>
      <w:bookmarkStart w:id="281" w:name="_Toc308697626"/>
      <w:bookmarkStart w:id="282" w:name="_Toc309286148"/>
      <w:bookmarkStart w:id="283" w:name="_Toc308697627"/>
      <w:bookmarkStart w:id="284" w:name="_Toc309286149"/>
      <w:bookmarkStart w:id="285" w:name="_Toc308697628"/>
      <w:bookmarkStart w:id="286" w:name="_Toc309286150"/>
      <w:bookmarkStart w:id="287" w:name="_Toc308697629"/>
      <w:bookmarkStart w:id="288" w:name="_Toc309286151"/>
      <w:bookmarkStart w:id="289" w:name="_Toc308697630"/>
      <w:bookmarkStart w:id="290" w:name="_Toc309286152"/>
      <w:bookmarkStart w:id="291" w:name="_Toc308697631"/>
      <w:bookmarkStart w:id="292" w:name="_Toc309286153"/>
      <w:bookmarkStart w:id="293" w:name="_Toc308697632"/>
      <w:bookmarkStart w:id="294" w:name="_Toc309286154"/>
      <w:bookmarkStart w:id="295" w:name="_Toc308697633"/>
      <w:bookmarkStart w:id="296" w:name="_Toc309286155"/>
      <w:bookmarkStart w:id="297" w:name="_Toc308697634"/>
      <w:bookmarkStart w:id="298" w:name="_Toc309286156"/>
      <w:bookmarkStart w:id="299" w:name="_Toc308697635"/>
      <w:bookmarkStart w:id="300" w:name="_Toc309286157"/>
      <w:bookmarkStart w:id="301" w:name="_Toc308697636"/>
      <w:bookmarkStart w:id="302" w:name="_Toc309286158"/>
      <w:bookmarkStart w:id="303" w:name="_Toc308697637"/>
      <w:bookmarkStart w:id="304" w:name="_Toc309286159"/>
      <w:bookmarkStart w:id="305" w:name="_Toc308697638"/>
      <w:bookmarkStart w:id="306" w:name="_Toc309286160"/>
      <w:bookmarkStart w:id="307" w:name="_Toc308697639"/>
      <w:bookmarkStart w:id="308" w:name="_Toc309286161"/>
      <w:bookmarkStart w:id="309" w:name="_Toc308697640"/>
      <w:bookmarkStart w:id="310" w:name="_Toc309286162"/>
      <w:bookmarkStart w:id="311" w:name="_Toc308697641"/>
      <w:bookmarkStart w:id="312" w:name="_Toc309286163"/>
      <w:bookmarkStart w:id="313" w:name="_Toc308697642"/>
      <w:bookmarkStart w:id="314" w:name="_Toc309286164"/>
      <w:bookmarkStart w:id="315" w:name="_Toc308697643"/>
      <w:bookmarkStart w:id="316" w:name="_Toc309286165"/>
      <w:bookmarkStart w:id="317" w:name="_Toc308697644"/>
      <w:bookmarkStart w:id="318" w:name="_Toc309286166"/>
      <w:bookmarkStart w:id="319" w:name="_Toc308697645"/>
      <w:bookmarkStart w:id="320" w:name="_Toc309286167"/>
      <w:bookmarkStart w:id="321" w:name="_Toc308697646"/>
      <w:bookmarkStart w:id="322" w:name="_Toc309286168"/>
      <w:bookmarkStart w:id="323" w:name="_Toc308697647"/>
      <w:bookmarkStart w:id="324" w:name="_Toc309286169"/>
      <w:bookmarkStart w:id="325" w:name="_Toc308697648"/>
      <w:bookmarkStart w:id="326" w:name="_Toc309286170"/>
      <w:bookmarkStart w:id="327" w:name="_Toc308697649"/>
      <w:bookmarkStart w:id="328" w:name="_Toc309286171"/>
      <w:bookmarkStart w:id="329" w:name="_Toc308697650"/>
      <w:bookmarkStart w:id="330" w:name="_Toc309286172"/>
      <w:bookmarkStart w:id="331" w:name="_Toc308697651"/>
      <w:bookmarkStart w:id="332" w:name="_Toc309286173"/>
      <w:bookmarkStart w:id="333" w:name="_Toc308697652"/>
      <w:bookmarkStart w:id="334" w:name="_Toc309286174"/>
      <w:bookmarkStart w:id="335" w:name="_Toc308697653"/>
      <w:bookmarkStart w:id="336" w:name="_Toc309286175"/>
      <w:bookmarkStart w:id="337" w:name="_Toc308697654"/>
      <w:bookmarkStart w:id="338" w:name="_Toc309286176"/>
      <w:bookmarkStart w:id="339" w:name="_Toc308697655"/>
      <w:bookmarkStart w:id="340" w:name="_Toc309286177"/>
      <w:bookmarkStart w:id="341" w:name="_Toc308697656"/>
      <w:bookmarkStart w:id="342" w:name="_Toc309286178"/>
      <w:bookmarkStart w:id="343" w:name="_Toc308697657"/>
      <w:bookmarkStart w:id="344" w:name="_Toc309286179"/>
      <w:bookmarkStart w:id="345" w:name="_Toc308697658"/>
      <w:bookmarkStart w:id="346" w:name="_Toc309286180"/>
      <w:bookmarkStart w:id="347" w:name="_Toc308697659"/>
      <w:bookmarkStart w:id="348" w:name="_Toc309286181"/>
      <w:bookmarkStart w:id="349" w:name="_Toc308697660"/>
      <w:bookmarkStart w:id="350" w:name="_Toc309286182"/>
      <w:bookmarkStart w:id="351" w:name="_Toc308697661"/>
      <w:bookmarkStart w:id="352" w:name="_Toc309286183"/>
      <w:bookmarkStart w:id="353" w:name="_Toc308697662"/>
      <w:bookmarkStart w:id="354" w:name="_Toc309286184"/>
      <w:bookmarkStart w:id="355" w:name="_Toc308697663"/>
      <w:bookmarkStart w:id="356" w:name="_Toc309286185"/>
      <w:bookmarkStart w:id="357" w:name="_Toc308697664"/>
      <w:bookmarkStart w:id="358" w:name="_Toc309286186"/>
      <w:bookmarkStart w:id="359" w:name="_Toc308697665"/>
      <w:bookmarkStart w:id="360" w:name="_Toc309286187"/>
      <w:bookmarkStart w:id="361" w:name="_Toc308697666"/>
      <w:bookmarkStart w:id="362" w:name="_Toc309286188"/>
      <w:bookmarkStart w:id="363" w:name="_Toc308697667"/>
      <w:bookmarkStart w:id="364" w:name="_Toc309286189"/>
      <w:bookmarkStart w:id="365" w:name="_Toc308697668"/>
      <w:bookmarkStart w:id="366" w:name="_Toc309286190"/>
      <w:bookmarkStart w:id="367" w:name="_Toc308697669"/>
      <w:bookmarkStart w:id="368" w:name="_Toc309286191"/>
      <w:bookmarkStart w:id="369" w:name="_Toc308697670"/>
      <w:bookmarkStart w:id="370" w:name="_Toc309286192"/>
      <w:bookmarkStart w:id="371" w:name="_Toc308697671"/>
      <w:bookmarkStart w:id="372" w:name="_Toc309286193"/>
      <w:bookmarkStart w:id="373" w:name="_Toc308697672"/>
      <w:bookmarkStart w:id="374" w:name="_Toc309286194"/>
      <w:bookmarkStart w:id="375" w:name="_Toc308697673"/>
      <w:bookmarkStart w:id="376" w:name="_Toc309286195"/>
      <w:bookmarkStart w:id="377" w:name="_Toc308697674"/>
      <w:bookmarkStart w:id="378" w:name="_Toc309286196"/>
      <w:bookmarkStart w:id="379" w:name="_Toc308697675"/>
      <w:bookmarkStart w:id="380" w:name="_Toc309286197"/>
      <w:bookmarkStart w:id="381" w:name="_Toc308697676"/>
      <w:bookmarkStart w:id="382" w:name="_Toc309286198"/>
      <w:bookmarkStart w:id="383" w:name="_Toc308697677"/>
      <w:bookmarkStart w:id="384" w:name="_Toc309286199"/>
      <w:bookmarkStart w:id="385" w:name="_Toc308697678"/>
      <w:bookmarkStart w:id="386" w:name="_Toc309286200"/>
      <w:bookmarkStart w:id="387" w:name="_Toc308697679"/>
      <w:bookmarkStart w:id="388" w:name="_Toc309286201"/>
      <w:bookmarkStart w:id="389" w:name="_Toc308697680"/>
      <w:bookmarkStart w:id="390" w:name="_Toc309286202"/>
      <w:bookmarkStart w:id="391" w:name="_Toc308697681"/>
      <w:bookmarkStart w:id="392" w:name="_Toc309286203"/>
      <w:bookmarkStart w:id="393" w:name="_Toc308697682"/>
      <w:bookmarkStart w:id="394" w:name="_Toc309286204"/>
      <w:bookmarkStart w:id="395" w:name="_Toc308697683"/>
      <w:bookmarkStart w:id="396" w:name="_Toc309286205"/>
      <w:bookmarkStart w:id="397" w:name="_Toc308697684"/>
      <w:bookmarkStart w:id="398" w:name="_Toc309286206"/>
      <w:bookmarkStart w:id="399" w:name="_Toc308697685"/>
      <w:bookmarkStart w:id="400" w:name="_Toc309286207"/>
      <w:bookmarkStart w:id="401" w:name="_Toc97031319"/>
      <w:bookmarkStart w:id="402" w:name="_Toc97107279"/>
      <w:bookmarkStart w:id="403" w:name="_Toc272569090"/>
      <w:bookmarkStart w:id="404" w:name="_Toc272569242"/>
      <w:bookmarkStart w:id="405" w:name="_Toc272569426"/>
      <w:bookmarkStart w:id="406" w:name="_Toc272569563"/>
      <w:bookmarkStart w:id="407" w:name="_Toc272569699"/>
      <w:bookmarkStart w:id="408" w:name="_Toc272569850"/>
      <w:bookmarkStart w:id="409" w:name="_Toc272570173"/>
      <w:bookmarkStart w:id="410" w:name="_Toc272570307"/>
      <w:bookmarkStart w:id="411" w:name="_Toc272570440"/>
      <w:bookmarkStart w:id="412" w:name="_Toc272570574"/>
      <w:bookmarkStart w:id="413" w:name="_Toc272570707"/>
      <w:bookmarkStart w:id="414" w:name="_Toc272570840"/>
      <w:bookmarkStart w:id="415" w:name="_Toc272569091"/>
      <w:bookmarkStart w:id="416" w:name="_Toc272569243"/>
      <w:bookmarkStart w:id="417" w:name="_Toc272569427"/>
      <w:bookmarkStart w:id="418" w:name="_Toc272569564"/>
      <w:bookmarkStart w:id="419" w:name="_Toc272569700"/>
      <w:bookmarkStart w:id="420" w:name="_Toc272569851"/>
      <w:bookmarkStart w:id="421" w:name="_Toc272570174"/>
      <w:bookmarkStart w:id="422" w:name="_Toc272570308"/>
      <w:bookmarkStart w:id="423" w:name="_Toc272570441"/>
      <w:bookmarkStart w:id="424" w:name="_Toc272570575"/>
      <w:bookmarkStart w:id="425" w:name="_Toc272570708"/>
      <w:bookmarkStart w:id="426" w:name="_Toc272570841"/>
      <w:bookmarkStart w:id="427" w:name="_Toc272569093"/>
      <w:bookmarkStart w:id="428" w:name="_Toc272569245"/>
      <w:bookmarkStart w:id="429" w:name="_Toc272569429"/>
      <w:bookmarkStart w:id="430" w:name="_Toc272569566"/>
      <w:bookmarkStart w:id="431" w:name="_Toc272569702"/>
      <w:bookmarkStart w:id="432" w:name="_Toc272569853"/>
      <w:bookmarkStart w:id="433" w:name="_Toc272570176"/>
      <w:bookmarkStart w:id="434" w:name="_Toc272570310"/>
      <w:bookmarkStart w:id="435" w:name="_Toc272570443"/>
      <w:bookmarkStart w:id="436" w:name="_Toc272570577"/>
      <w:bookmarkStart w:id="437" w:name="_Toc272570710"/>
      <w:bookmarkStart w:id="438" w:name="_Toc272570843"/>
      <w:bookmarkStart w:id="439" w:name="_Toc272569094"/>
      <w:bookmarkStart w:id="440" w:name="_Toc272569246"/>
      <w:bookmarkStart w:id="441" w:name="_Toc272569430"/>
      <w:bookmarkStart w:id="442" w:name="_Toc272569567"/>
      <w:bookmarkStart w:id="443" w:name="_Toc272569703"/>
      <w:bookmarkStart w:id="444" w:name="_Toc272569854"/>
      <w:bookmarkStart w:id="445" w:name="_Toc272570177"/>
      <w:bookmarkStart w:id="446" w:name="_Toc272570311"/>
      <w:bookmarkStart w:id="447" w:name="_Toc272570444"/>
      <w:bookmarkStart w:id="448" w:name="_Toc272570578"/>
      <w:bookmarkStart w:id="449" w:name="_Toc272570711"/>
      <w:bookmarkStart w:id="450" w:name="_Toc272570844"/>
      <w:bookmarkStart w:id="451" w:name="_Toc272569095"/>
      <w:bookmarkStart w:id="452" w:name="_Toc272569247"/>
      <w:bookmarkStart w:id="453" w:name="_Toc272569431"/>
      <w:bookmarkStart w:id="454" w:name="_Toc272569568"/>
      <w:bookmarkStart w:id="455" w:name="_Toc272569704"/>
      <w:bookmarkStart w:id="456" w:name="_Toc272569855"/>
      <w:bookmarkStart w:id="457" w:name="_Toc272570178"/>
      <w:bookmarkStart w:id="458" w:name="_Toc272570312"/>
      <w:bookmarkStart w:id="459" w:name="_Toc272570445"/>
      <w:bookmarkStart w:id="460" w:name="_Toc272570579"/>
      <w:bookmarkStart w:id="461" w:name="_Toc272570712"/>
      <w:bookmarkStart w:id="462" w:name="_Toc272570845"/>
      <w:bookmarkStart w:id="463" w:name="_Toc272569096"/>
      <w:bookmarkStart w:id="464" w:name="_Toc272569248"/>
      <w:bookmarkStart w:id="465" w:name="_Toc272569432"/>
      <w:bookmarkStart w:id="466" w:name="_Toc272569569"/>
      <w:bookmarkStart w:id="467" w:name="_Toc272569705"/>
      <w:bookmarkStart w:id="468" w:name="_Toc272569856"/>
      <w:bookmarkStart w:id="469" w:name="_Toc272570179"/>
      <w:bookmarkStart w:id="470" w:name="_Toc272570313"/>
      <w:bookmarkStart w:id="471" w:name="_Toc272570446"/>
      <w:bookmarkStart w:id="472" w:name="_Toc272570580"/>
      <w:bookmarkStart w:id="473" w:name="_Toc272570713"/>
      <w:bookmarkStart w:id="474" w:name="_Toc272570846"/>
      <w:bookmarkStart w:id="475" w:name="_Toc272569097"/>
      <w:bookmarkStart w:id="476" w:name="_Toc272569249"/>
      <w:bookmarkStart w:id="477" w:name="_Toc272569433"/>
      <w:bookmarkStart w:id="478" w:name="_Toc272569570"/>
      <w:bookmarkStart w:id="479" w:name="_Toc272569706"/>
      <w:bookmarkStart w:id="480" w:name="_Toc272569857"/>
      <w:bookmarkStart w:id="481" w:name="_Toc272570180"/>
      <w:bookmarkStart w:id="482" w:name="_Toc272570314"/>
      <w:bookmarkStart w:id="483" w:name="_Toc272570447"/>
      <w:bookmarkStart w:id="484" w:name="_Toc272570581"/>
      <w:bookmarkStart w:id="485" w:name="_Toc272570714"/>
      <w:bookmarkStart w:id="486" w:name="_Toc272570847"/>
      <w:bookmarkStart w:id="487" w:name="_Toc272569098"/>
      <w:bookmarkStart w:id="488" w:name="_Toc272569250"/>
      <w:bookmarkStart w:id="489" w:name="_Toc272569434"/>
      <w:bookmarkStart w:id="490" w:name="_Toc272569571"/>
      <w:bookmarkStart w:id="491" w:name="_Toc272569707"/>
      <w:bookmarkStart w:id="492" w:name="_Toc272569858"/>
      <w:bookmarkStart w:id="493" w:name="_Toc272570181"/>
      <w:bookmarkStart w:id="494" w:name="_Toc272570315"/>
      <w:bookmarkStart w:id="495" w:name="_Toc272570448"/>
      <w:bookmarkStart w:id="496" w:name="_Toc272570582"/>
      <w:bookmarkStart w:id="497" w:name="_Toc272570715"/>
      <w:bookmarkStart w:id="498" w:name="_Toc272570848"/>
      <w:bookmarkStart w:id="499" w:name="_Toc272569099"/>
      <w:bookmarkStart w:id="500" w:name="_Toc272569251"/>
      <w:bookmarkStart w:id="501" w:name="_Toc272569435"/>
      <w:bookmarkStart w:id="502" w:name="_Toc272569572"/>
      <w:bookmarkStart w:id="503" w:name="_Toc272569708"/>
      <w:bookmarkStart w:id="504" w:name="_Toc272569859"/>
      <w:bookmarkStart w:id="505" w:name="_Toc272570182"/>
      <w:bookmarkStart w:id="506" w:name="_Toc272570316"/>
      <w:bookmarkStart w:id="507" w:name="_Toc272570449"/>
      <w:bookmarkStart w:id="508" w:name="_Toc272570583"/>
      <w:bookmarkStart w:id="509" w:name="_Toc272570716"/>
      <w:bookmarkStart w:id="510" w:name="_Toc272570849"/>
      <w:bookmarkStart w:id="511" w:name="_Toc272569100"/>
      <w:bookmarkStart w:id="512" w:name="_Toc272569252"/>
      <w:bookmarkStart w:id="513" w:name="_Toc272569436"/>
      <w:bookmarkStart w:id="514" w:name="_Toc272569573"/>
      <w:bookmarkStart w:id="515" w:name="_Toc272569709"/>
      <w:bookmarkStart w:id="516" w:name="_Toc272569860"/>
      <w:bookmarkStart w:id="517" w:name="_Toc272570183"/>
      <w:bookmarkStart w:id="518" w:name="_Toc272570317"/>
      <w:bookmarkStart w:id="519" w:name="_Toc272570450"/>
      <w:bookmarkStart w:id="520" w:name="_Toc272570584"/>
      <w:bookmarkStart w:id="521" w:name="_Toc272570717"/>
      <w:bookmarkStart w:id="522" w:name="_Toc272570850"/>
      <w:bookmarkStart w:id="523" w:name="_Toc272569102"/>
      <w:bookmarkStart w:id="524" w:name="_Toc272569254"/>
      <w:bookmarkStart w:id="525" w:name="_Toc272569438"/>
      <w:bookmarkStart w:id="526" w:name="_Toc272569575"/>
      <w:bookmarkStart w:id="527" w:name="_Toc272569711"/>
      <w:bookmarkStart w:id="528" w:name="_Toc272569862"/>
      <w:bookmarkStart w:id="529" w:name="_Toc272570185"/>
      <w:bookmarkStart w:id="530" w:name="_Toc272570319"/>
      <w:bookmarkStart w:id="531" w:name="_Toc272570452"/>
      <w:bookmarkStart w:id="532" w:name="_Toc272570586"/>
      <w:bookmarkStart w:id="533" w:name="_Toc272570719"/>
      <w:bookmarkStart w:id="534" w:name="_Toc272570852"/>
      <w:bookmarkStart w:id="535" w:name="_Toc272569103"/>
      <w:bookmarkStart w:id="536" w:name="_Toc272569255"/>
      <w:bookmarkStart w:id="537" w:name="_Toc272569439"/>
      <w:bookmarkStart w:id="538" w:name="_Toc272569576"/>
      <w:bookmarkStart w:id="539" w:name="_Toc272569712"/>
      <w:bookmarkStart w:id="540" w:name="_Toc272569863"/>
      <w:bookmarkStart w:id="541" w:name="_Toc272570186"/>
      <w:bookmarkStart w:id="542" w:name="_Toc272570320"/>
      <w:bookmarkStart w:id="543" w:name="_Toc272570453"/>
      <w:bookmarkStart w:id="544" w:name="_Toc272570587"/>
      <w:bookmarkStart w:id="545" w:name="_Toc272570720"/>
      <w:bookmarkStart w:id="546" w:name="_Toc272570853"/>
      <w:bookmarkStart w:id="547" w:name="_Toc272569104"/>
      <w:bookmarkStart w:id="548" w:name="_Toc272569256"/>
      <w:bookmarkStart w:id="549" w:name="_Toc272569440"/>
      <w:bookmarkStart w:id="550" w:name="_Toc272569577"/>
      <w:bookmarkStart w:id="551" w:name="_Toc272569713"/>
      <w:bookmarkStart w:id="552" w:name="_Toc272569864"/>
      <w:bookmarkStart w:id="553" w:name="_Toc272570187"/>
      <w:bookmarkStart w:id="554" w:name="_Toc272570321"/>
      <w:bookmarkStart w:id="555" w:name="_Toc272570454"/>
      <w:bookmarkStart w:id="556" w:name="_Toc272570588"/>
      <w:bookmarkStart w:id="557" w:name="_Toc272570721"/>
      <w:bookmarkStart w:id="558" w:name="_Toc272570854"/>
      <w:bookmarkStart w:id="559" w:name="_Toc272569105"/>
      <w:bookmarkStart w:id="560" w:name="_Toc272569257"/>
      <w:bookmarkStart w:id="561" w:name="_Toc272569441"/>
      <w:bookmarkStart w:id="562" w:name="_Toc272569578"/>
      <w:bookmarkStart w:id="563" w:name="_Toc272569714"/>
      <w:bookmarkStart w:id="564" w:name="_Toc272569865"/>
      <w:bookmarkStart w:id="565" w:name="_Toc272570188"/>
      <w:bookmarkStart w:id="566" w:name="_Toc272570322"/>
      <w:bookmarkStart w:id="567" w:name="_Toc272570455"/>
      <w:bookmarkStart w:id="568" w:name="_Toc272570589"/>
      <w:bookmarkStart w:id="569" w:name="_Toc272570722"/>
      <w:bookmarkStart w:id="570" w:name="_Toc272570855"/>
      <w:bookmarkStart w:id="571" w:name="_Toc272569106"/>
      <w:bookmarkStart w:id="572" w:name="_Toc272569258"/>
      <w:bookmarkStart w:id="573" w:name="_Toc272569442"/>
      <w:bookmarkStart w:id="574" w:name="_Toc272569579"/>
      <w:bookmarkStart w:id="575" w:name="_Toc272569715"/>
      <w:bookmarkStart w:id="576" w:name="_Toc272569866"/>
      <w:bookmarkStart w:id="577" w:name="_Toc272570189"/>
      <w:bookmarkStart w:id="578" w:name="_Toc272570323"/>
      <w:bookmarkStart w:id="579" w:name="_Toc272570456"/>
      <w:bookmarkStart w:id="580" w:name="_Toc272570590"/>
      <w:bookmarkStart w:id="581" w:name="_Toc272570723"/>
      <w:bookmarkStart w:id="582" w:name="_Toc272570856"/>
      <w:bookmarkStart w:id="583" w:name="_Toc272569107"/>
      <w:bookmarkStart w:id="584" w:name="_Toc272569259"/>
      <w:bookmarkStart w:id="585" w:name="_Toc272569443"/>
      <w:bookmarkStart w:id="586" w:name="_Toc272569580"/>
      <w:bookmarkStart w:id="587" w:name="_Toc272569716"/>
      <w:bookmarkStart w:id="588" w:name="_Toc272569867"/>
      <w:bookmarkStart w:id="589" w:name="_Toc272570190"/>
      <w:bookmarkStart w:id="590" w:name="_Toc272570324"/>
      <w:bookmarkStart w:id="591" w:name="_Toc272570457"/>
      <w:bookmarkStart w:id="592" w:name="_Toc272570591"/>
      <w:bookmarkStart w:id="593" w:name="_Toc272570724"/>
      <w:bookmarkStart w:id="594" w:name="_Toc272570857"/>
      <w:bookmarkStart w:id="595" w:name="_Toc272569108"/>
      <w:bookmarkStart w:id="596" w:name="_Toc272569260"/>
      <w:bookmarkStart w:id="597" w:name="_Toc272569444"/>
      <w:bookmarkStart w:id="598" w:name="_Toc272569581"/>
      <w:bookmarkStart w:id="599" w:name="_Toc272569717"/>
      <w:bookmarkStart w:id="600" w:name="_Toc272569868"/>
      <w:bookmarkStart w:id="601" w:name="_Toc272570191"/>
      <w:bookmarkStart w:id="602" w:name="_Toc272570325"/>
      <w:bookmarkStart w:id="603" w:name="_Toc272570458"/>
      <w:bookmarkStart w:id="604" w:name="_Toc272570592"/>
      <w:bookmarkStart w:id="605" w:name="_Toc272570725"/>
      <w:bookmarkStart w:id="606" w:name="_Toc272570858"/>
      <w:bookmarkStart w:id="607" w:name="_Toc272569109"/>
      <w:bookmarkStart w:id="608" w:name="_Toc272569261"/>
      <w:bookmarkStart w:id="609" w:name="_Toc272569445"/>
      <w:bookmarkStart w:id="610" w:name="_Toc272569582"/>
      <w:bookmarkStart w:id="611" w:name="_Toc272569718"/>
      <w:bookmarkStart w:id="612" w:name="_Toc272569869"/>
      <w:bookmarkStart w:id="613" w:name="_Toc272570192"/>
      <w:bookmarkStart w:id="614" w:name="_Toc272570326"/>
      <w:bookmarkStart w:id="615" w:name="_Toc272570459"/>
      <w:bookmarkStart w:id="616" w:name="_Toc272570593"/>
      <w:bookmarkStart w:id="617" w:name="_Toc272570726"/>
      <w:bookmarkStart w:id="618" w:name="_Toc272570859"/>
      <w:bookmarkStart w:id="619" w:name="_Toc308697698"/>
      <w:bookmarkStart w:id="620" w:name="_Toc309286220"/>
      <w:bookmarkStart w:id="621" w:name="_Toc308697699"/>
      <w:bookmarkStart w:id="622" w:name="_Toc309286221"/>
      <w:bookmarkStart w:id="623" w:name="_Toc308697700"/>
      <w:bookmarkStart w:id="624" w:name="_Toc309286222"/>
      <w:bookmarkStart w:id="625" w:name="_Toc308697701"/>
      <w:bookmarkStart w:id="626" w:name="_Toc309286223"/>
      <w:bookmarkStart w:id="627" w:name="_Toc308697702"/>
      <w:bookmarkStart w:id="628" w:name="_Toc309286224"/>
      <w:bookmarkStart w:id="629" w:name="_Toc308697703"/>
      <w:bookmarkStart w:id="630" w:name="_Toc309286225"/>
      <w:bookmarkStart w:id="631" w:name="_Toc308697704"/>
      <w:bookmarkStart w:id="632" w:name="_Toc309286226"/>
      <w:bookmarkStart w:id="633" w:name="_Toc308697705"/>
      <w:bookmarkStart w:id="634" w:name="_Toc309286227"/>
      <w:bookmarkStart w:id="635" w:name="_Toc308697706"/>
      <w:bookmarkStart w:id="636" w:name="_Toc309286228"/>
      <w:bookmarkStart w:id="637" w:name="_Toc296440221"/>
      <w:bookmarkStart w:id="638" w:name="_Toc272569113"/>
      <w:bookmarkStart w:id="639" w:name="_Toc272569265"/>
      <w:bookmarkStart w:id="640" w:name="_Toc272569449"/>
      <w:bookmarkStart w:id="641" w:name="_Toc272569586"/>
      <w:bookmarkStart w:id="642" w:name="_Toc272569722"/>
      <w:bookmarkStart w:id="643" w:name="_Toc272569873"/>
      <w:bookmarkStart w:id="644" w:name="_Toc272569114"/>
      <w:bookmarkStart w:id="645" w:name="_Toc272569266"/>
      <w:bookmarkStart w:id="646" w:name="_Toc272569450"/>
      <w:bookmarkStart w:id="647" w:name="_Toc272569587"/>
      <w:bookmarkStart w:id="648" w:name="_Toc272569723"/>
      <w:bookmarkStart w:id="649" w:name="_Toc272569874"/>
      <w:bookmarkStart w:id="650" w:name="_Toc272569115"/>
      <w:bookmarkStart w:id="651" w:name="_Toc272569267"/>
      <w:bookmarkStart w:id="652" w:name="_Toc272569451"/>
      <w:bookmarkStart w:id="653" w:name="_Toc272569588"/>
      <w:bookmarkStart w:id="654" w:name="_Toc272569724"/>
      <w:bookmarkStart w:id="655" w:name="_Toc272569875"/>
      <w:bookmarkStart w:id="656" w:name="_Toc272569116"/>
      <w:bookmarkStart w:id="657" w:name="_Toc272569268"/>
      <w:bookmarkStart w:id="658" w:name="_Toc272569452"/>
      <w:bookmarkStart w:id="659" w:name="_Toc272569589"/>
      <w:bookmarkStart w:id="660" w:name="_Toc272569725"/>
      <w:bookmarkStart w:id="661" w:name="_Toc272569876"/>
      <w:bookmarkStart w:id="662" w:name="_Toc272569117"/>
      <w:bookmarkStart w:id="663" w:name="_Toc272569269"/>
      <w:bookmarkStart w:id="664" w:name="_Toc272569453"/>
      <w:bookmarkStart w:id="665" w:name="_Toc272569590"/>
      <w:bookmarkStart w:id="666" w:name="_Toc272569726"/>
      <w:bookmarkStart w:id="667" w:name="_Toc272569877"/>
      <w:bookmarkStart w:id="668" w:name="_Toc272569118"/>
      <w:bookmarkStart w:id="669" w:name="_Toc272569270"/>
      <w:bookmarkStart w:id="670" w:name="_Toc272569454"/>
      <w:bookmarkStart w:id="671" w:name="_Toc272569591"/>
      <w:bookmarkStart w:id="672" w:name="_Toc272569727"/>
      <w:bookmarkStart w:id="673" w:name="_Toc272569878"/>
      <w:bookmarkStart w:id="674" w:name="_Toc308697714"/>
      <w:bookmarkStart w:id="675" w:name="_Toc309286236"/>
      <w:bookmarkStart w:id="676" w:name="_Hlt133147570"/>
      <w:bookmarkStart w:id="677" w:name="_Hlt133151691"/>
      <w:bookmarkStart w:id="678" w:name="_Hlt73429199"/>
      <w:bookmarkStart w:id="679" w:name="_Toc308697716"/>
      <w:bookmarkStart w:id="680" w:name="_Toc309286238"/>
      <w:bookmarkStart w:id="681" w:name="_Toc308697717"/>
      <w:bookmarkStart w:id="682" w:name="_Toc309286239"/>
      <w:bookmarkStart w:id="683" w:name="_Toc308697718"/>
      <w:bookmarkStart w:id="684" w:name="_Toc309286240"/>
      <w:bookmarkStart w:id="685" w:name="_Toc308697719"/>
      <w:bookmarkStart w:id="686" w:name="_Toc309286241"/>
      <w:bookmarkStart w:id="687" w:name="_Toc308697720"/>
      <w:bookmarkStart w:id="688" w:name="_Toc309286242"/>
      <w:bookmarkStart w:id="689" w:name="_Toc308697721"/>
      <w:bookmarkStart w:id="690" w:name="_Toc309286243"/>
      <w:bookmarkStart w:id="691" w:name="_Toc308697722"/>
      <w:bookmarkStart w:id="692" w:name="_Toc309286244"/>
      <w:bookmarkStart w:id="693" w:name="_Toc308697723"/>
      <w:bookmarkStart w:id="694" w:name="_Toc309286245"/>
      <w:bookmarkStart w:id="695" w:name="_Toc38438275"/>
      <w:bookmarkStart w:id="696" w:name="_Toc38438612"/>
      <w:bookmarkStart w:id="697" w:name="_Toc38438949"/>
      <w:bookmarkStart w:id="698" w:name="_Toc38439286"/>
      <w:bookmarkStart w:id="699" w:name="_Toc38439623"/>
      <w:bookmarkStart w:id="700" w:name="_Toc38439960"/>
      <w:bookmarkStart w:id="701" w:name="_Toc38440297"/>
      <w:bookmarkStart w:id="702" w:name="_Toc38440630"/>
      <w:bookmarkStart w:id="703" w:name="_Toc38440829"/>
      <w:bookmarkStart w:id="704" w:name="_Toc38441161"/>
      <w:bookmarkStart w:id="705" w:name="_Toc38441493"/>
      <w:bookmarkStart w:id="706" w:name="_Toc38441821"/>
      <w:bookmarkStart w:id="707" w:name="_Toc38442153"/>
      <w:bookmarkStart w:id="708" w:name="_Toc38442485"/>
      <w:bookmarkStart w:id="709" w:name="_Toc38442816"/>
      <w:bookmarkStart w:id="710" w:name="_Toc38443147"/>
      <w:bookmarkStart w:id="711" w:name="_Toc38443478"/>
      <w:bookmarkStart w:id="712" w:name="_Toc38443809"/>
      <w:bookmarkStart w:id="713" w:name="_Toc38438277"/>
      <w:bookmarkStart w:id="714" w:name="_Toc38438614"/>
      <w:bookmarkStart w:id="715" w:name="_Toc38438951"/>
      <w:bookmarkStart w:id="716" w:name="_Toc38439288"/>
      <w:bookmarkStart w:id="717" w:name="_Toc38439625"/>
      <w:bookmarkStart w:id="718" w:name="_Toc38439962"/>
      <w:bookmarkStart w:id="719" w:name="_Toc38440299"/>
      <w:bookmarkStart w:id="720" w:name="_Toc38440632"/>
      <w:bookmarkStart w:id="721" w:name="_Toc38440831"/>
      <w:bookmarkStart w:id="722" w:name="_Toc38441163"/>
      <w:bookmarkStart w:id="723" w:name="_Toc38441495"/>
      <w:bookmarkStart w:id="724" w:name="_Toc38441823"/>
      <w:bookmarkStart w:id="725" w:name="_Toc38442155"/>
      <w:bookmarkStart w:id="726" w:name="_Toc38442487"/>
      <w:bookmarkStart w:id="727" w:name="_Toc38442818"/>
      <w:bookmarkStart w:id="728" w:name="_Toc38443149"/>
      <w:bookmarkStart w:id="729" w:name="_Toc38443480"/>
      <w:bookmarkStart w:id="730" w:name="_Toc38443811"/>
      <w:bookmarkStart w:id="731" w:name="_Toc38438278"/>
      <w:bookmarkStart w:id="732" w:name="_Toc38438615"/>
      <w:bookmarkStart w:id="733" w:name="_Toc38438952"/>
      <w:bookmarkStart w:id="734" w:name="_Toc38439289"/>
      <w:bookmarkStart w:id="735" w:name="_Toc38439626"/>
      <w:bookmarkStart w:id="736" w:name="_Toc38439963"/>
      <w:bookmarkStart w:id="737" w:name="_Toc38440300"/>
      <w:bookmarkStart w:id="738" w:name="_Toc38440633"/>
      <w:bookmarkStart w:id="739" w:name="_Toc38440832"/>
      <w:bookmarkStart w:id="740" w:name="_Toc38441164"/>
      <w:bookmarkStart w:id="741" w:name="_Toc38441496"/>
      <w:bookmarkStart w:id="742" w:name="_Toc38441824"/>
      <w:bookmarkStart w:id="743" w:name="_Toc38442156"/>
      <w:bookmarkStart w:id="744" w:name="_Toc38442488"/>
      <w:bookmarkStart w:id="745" w:name="_Toc38442819"/>
      <w:bookmarkStart w:id="746" w:name="_Toc38443150"/>
      <w:bookmarkStart w:id="747" w:name="_Toc38443481"/>
      <w:bookmarkStart w:id="748" w:name="_Toc38443812"/>
      <w:bookmarkStart w:id="749" w:name="_Toc38438279"/>
      <w:bookmarkStart w:id="750" w:name="_Toc38438616"/>
      <w:bookmarkStart w:id="751" w:name="_Toc38438953"/>
      <w:bookmarkStart w:id="752" w:name="_Toc38439290"/>
      <w:bookmarkStart w:id="753" w:name="_Toc38439627"/>
      <w:bookmarkStart w:id="754" w:name="_Toc38439964"/>
      <w:bookmarkStart w:id="755" w:name="_Toc38440301"/>
      <w:bookmarkStart w:id="756" w:name="_Toc38440634"/>
      <w:bookmarkStart w:id="757" w:name="_Toc38440833"/>
      <w:bookmarkStart w:id="758" w:name="_Toc38441165"/>
      <w:bookmarkStart w:id="759" w:name="_Toc38441497"/>
      <w:bookmarkStart w:id="760" w:name="_Toc38441825"/>
      <w:bookmarkStart w:id="761" w:name="_Toc38442157"/>
      <w:bookmarkStart w:id="762" w:name="_Toc38442489"/>
      <w:bookmarkStart w:id="763" w:name="_Toc38442820"/>
      <w:bookmarkStart w:id="764" w:name="_Toc38443151"/>
      <w:bookmarkStart w:id="765" w:name="_Toc38443482"/>
      <w:bookmarkStart w:id="766" w:name="_Toc38443813"/>
      <w:bookmarkStart w:id="767" w:name="_Toc38438280"/>
      <w:bookmarkStart w:id="768" w:name="_Toc38438617"/>
      <w:bookmarkStart w:id="769" w:name="_Toc38438954"/>
      <w:bookmarkStart w:id="770" w:name="_Toc38439291"/>
      <w:bookmarkStart w:id="771" w:name="_Toc38439628"/>
      <w:bookmarkStart w:id="772" w:name="_Toc38439965"/>
      <w:bookmarkStart w:id="773" w:name="_Toc38440302"/>
      <w:bookmarkStart w:id="774" w:name="_Toc38440635"/>
      <w:bookmarkStart w:id="775" w:name="_Toc38440834"/>
      <w:bookmarkStart w:id="776" w:name="_Toc38441166"/>
      <w:bookmarkStart w:id="777" w:name="_Toc38441498"/>
      <w:bookmarkStart w:id="778" w:name="_Toc38441826"/>
      <w:bookmarkStart w:id="779" w:name="_Toc38442158"/>
      <w:bookmarkStart w:id="780" w:name="_Toc38442490"/>
      <w:bookmarkStart w:id="781" w:name="_Toc38442821"/>
      <w:bookmarkStart w:id="782" w:name="_Toc38443152"/>
      <w:bookmarkStart w:id="783" w:name="_Toc38443483"/>
      <w:bookmarkStart w:id="784" w:name="_Toc38443814"/>
      <w:bookmarkStart w:id="785" w:name="_Toc38438281"/>
      <w:bookmarkStart w:id="786" w:name="_Toc38438618"/>
      <w:bookmarkStart w:id="787" w:name="_Toc38438955"/>
      <w:bookmarkStart w:id="788" w:name="_Toc38439292"/>
      <w:bookmarkStart w:id="789" w:name="_Toc38439629"/>
      <w:bookmarkStart w:id="790" w:name="_Toc38439966"/>
      <w:bookmarkStart w:id="791" w:name="_Toc38440303"/>
      <w:bookmarkStart w:id="792" w:name="_Toc38440636"/>
      <w:bookmarkStart w:id="793" w:name="_Toc38440835"/>
      <w:bookmarkStart w:id="794" w:name="_Toc38441167"/>
      <w:bookmarkStart w:id="795" w:name="_Toc38441499"/>
      <w:bookmarkStart w:id="796" w:name="_Toc38441827"/>
      <w:bookmarkStart w:id="797" w:name="_Toc38442159"/>
      <w:bookmarkStart w:id="798" w:name="_Toc38442491"/>
      <w:bookmarkStart w:id="799" w:name="_Toc38442822"/>
      <w:bookmarkStart w:id="800" w:name="_Toc38443153"/>
      <w:bookmarkStart w:id="801" w:name="_Toc38443484"/>
      <w:bookmarkStart w:id="802" w:name="_Toc38443815"/>
      <w:bookmarkStart w:id="803" w:name="_Toc38438282"/>
      <w:bookmarkStart w:id="804" w:name="_Toc38438619"/>
      <w:bookmarkStart w:id="805" w:name="_Toc38438956"/>
      <w:bookmarkStart w:id="806" w:name="_Toc38439293"/>
      <w:bookmarkStart w:id="807" w:name="_Toc38439630"/>
      <w:bookmarkStart w:id="808" w:name="_Toc38439967"/>
      <w:bookmarkStart w:id="809" w:name="_Toc38440304"/>
      <w:bookmarkStart w:id="810" w:name="_Toc38440637"/>
      <w:bookmarkStart w:id="811" w:name="_Toc38440836"/>
      <w:bookmarkStart w:id="812" w:name="_Toc38441168"/>
      <w:bookmarkStart w:id="813" w:name="_Toc38441500"/>
      <w:bookmarkStart w:id="814" w:name="_Toc38441828"/>
      <w:bookmarkStart w:id="815" w:name="_Toc38442160"/>
      <w:bookmarkStart w:id="816" w:name="_Toc38442492"/>
      <w:bookmarkStart w:id="817" w:name="_Toc38442823"/>
      <w:bookmarkStart w:id="818" w:name="_Toc38443154"/>
      <w:bookmarkStart w:id="819" w:name="_Toc38443485"/>
      <w:bookmarkStart w:id="820" w:name="_Toc38443816"/>
      <w:bookmarkStart w:id="821" w:name="_Toc38438283"/>
      <w:bookmarkStart w:id="822" w:name="_Toc38438620"/>
      <w:bookmarkStart w:id="823" w:name="_Toc38438957"/>
      <w:bookmarkStart w:id="824" w:name="_Toc38439294"/>
      <w:bookmarkStart w:id="825" w:name="_Toc38439631"/>
      <w:bookmarkStart w:id="826" w:name="_Toc38439968"/>
      <w:bookmarkStart w:id="827" w:name="_Toc38440305"/>
      <w:bookmarkStart w:id="828" w:name="_Toc38440638"/>
      <w:bookmarkStart w:id="829" w:name="_Toc38440837"/>
      <w:bookmarkStart w:id="830" w:name="_Toc38441169"/>
      <w:bookmarkStart w:id="831" w:name="_Toc38441501"/>
      <w:bookmarkStart w:id="832" w:name="_Toc38441829"/>
      <w:bookmarkStart w:id="833" w:name="_Toc38442161"/>
      <w:bookmarkStart w:id="834" w:name="_Toc38442493"/>
      <w:bookmarkStart w:id="835" w:name="_Toc38442824"/>
      <w:bookmarkStart w:id="836" w:name="_Toc38443155"/>
      <w:bookmarkStart w:id="837" w:name="_Toc38443486"/>
      <w:bookmarkStart w:id="838" w:name="_Toc38443817"/>
      <w:bookmarkStart w:id="839" w:name="_Toc38438284"/>
      <w:bookmarkStart w:id="840" w:name="_Toc38438621"/>
      <w:bookmarkStart w:id="841" w:name="_Toc38438958"/>
      <w:bookmarkStart w:id="842" w:name="_Toc38439295"/>
      <w:bookmarkStart w:id="843" w:name="_Toc38439632"/>
      <w:bookmarkStart w:id="844" w:name="_Toc38439969"/>
      <w:bookmarkStart w:id="845" w:name="_Toc38440306"/>
      <w:bookmarkStart w:id="846" w:name="_Toc38440639"/>
      <w:bookmarkStart w:id="847" w:name="_Toc38440838"/>
      <w:bookmarkStart w:id="848" w:name="_Toc38441170"/>
      <w:bookmarkStart w:id="849" w:name="_Toc38441502"/>
      <w:bookmarkStart w:id="850" w:name="_Toc38441830"/>
      <w:bookmarkStart w:id="851" w:name="_Toc38442162"/>
      <w:bookmarkStart w:id="852" w:name="_Toc38442494"/>
      <w:bookmarkStart w:id="853" w:name="_Toc38442825"/>
      <w:bookmarkStart w:id="854" w:name="_Toc38443156"/>
      <w:bookmarkStart w:id="855" w:name="_Toc38443487"/>
      <w:bookmarkStart w:id="856" w:name="_Toc38443818"/>
      <w:bookmarkStart w:id="857" w:name="_Toc38438285"/>
      <w:bookmarkStart w:id="858" w:name="_Toc38438622"/>
      <w:bookmarkStart w:id="859" w:name="_Toc38438959"/>
      <w:bookmarkStart w:id="860" w:name="_Toc38439296"/>
      <w:bookmarkStart w:id="861" w:name="_Toc38439633"/>
      <w:bookmarkStart w:id="862" w:name="_Toc38439970"/>
      <w:bookmarkStart w:id="863" w:name="_Toc38440307"/>
      <w:bookmarkStart w:id="864" w:name="_Toc38440640"/>
      <w:bookmarkStart w:id="865" w:name="_Toc38440839"/>
      <w:bookmarkStart w:id="866" w:name="_Toc38441171"/>
      <w:bookmarkStart w:id="867" w:name="_Toc38441503"/>
      <w:bookmarkStart w:id="868" w:name="_Toc38441831"/>
      <w:bookmarkStart w:id="869" w:name="_Toc38442163"/>
      <w:bookmarkStart w:id="870" w:name="_Toc38442495"/>
      <w:bookmarkStart w:id="871" w:name="_Toc38442826"/>
      <w:bookmarkStart w:id="872" w:name="_Toc38443157"/>
      <w:bookmarkStart w:id="873" w:name="_Toc38443488"/>
      <w:bookmarkStart w:id="874" w:name="_Toc38443819"/>
      <w:bookmarkStart w:id="875" w:name="_Toc38438286"/>
      <w:bookmarkStart w:id="876" w:name="_Toc38438623"/>
      <w:bookmarkStart w:id="877" w:name="_Toc38438960"/>
      <w:bookmarkStart w:id="878" w:name="_Toc38439297"/>
      <w:bookmarkStart w:id="879" w:name="_Toc38439634"/>
      <w:bookmarkStart w:id="880" w:name="_Toc38439971"/>
      <w:bookmarkStart w:id="881" w:name="_Toc38440308"/>
      <w:bookmarkStart w:id="882" w:name="_Toc38440641"/>
      <w:bookmarkStart w:id="883" w:name="_Toc38440840"/>
      <w:bookmarkStart w:id="884" w:name="_Toc38441172"/>
      <w:bookmarkStart w:id="885" w:name="_Toc38441504"/>
      <w:bookmarkStart w:id="886" w:name="_Toc38441832"/>
      <w:bookmarkStart w:id="887" w:name="_Toc38442164"/>
      <w:bookmarkStart w:id="888" w:name="_Toc38442496"/>
      <w:bookmarkStart w:id="889" w:name="_Toc38442827"/>
      <w:bookmarkStart w:id="890" w:name="_Toc38443158"/>
      <w:bookmarkStart w:id="891" w:name="_Toc38443489"/>
      <w:bookmarkStart w:id="892" w:name="_Toc38443820"/>
      <w:bookmarkStart w:id="893" w:name="_Toc38438287"/>
      <w:bookmarkStart w:id="894" w:name="_Toc38438624"/>
      <w:bookmarkStart w:id="895" w:name="_Toc38438961"/>
      <w:bookmarkStart w:id="896" w:name="_Toc38439298"/>
      <w:bookmarkStart w:id="897" w:name="_Toc38439635"/>
      <w:bookmarkStart w:id="898" w:name="_Toc38439972"/>
      <w:bookmarkStart w:id="899" w:name="_Toc38440309"/>
      <w:bookmarkStart w:id="900" w:name="_Toc38440642"/>
      <w:bookmarkStart w:id="901" w:name="_Toc38440841"/>
      <w:bookmarkStart w:id="902" w:name="_Toc38441173"/>
      <w:bookmarkStart w:id="903" w:name="_Toc38441505"/>
      <w:bookmarkStart w:id="904" w:name="_Toc38441833"/>
      <w:bookmarkStart w:id="905" w:name="_Toc38442165"/>
      <w:bookmarkStart w:id="906" w:name="_Toc38442497"/>
      <w:bookmarkStart w:id="907" w:name="_Toc38442828"/>
      <w:bookmarkStart w:id="908" w:name="_Toc38443159"/>
      <w:bookmarkStart w:id="909" w:name="_Toc38443490"/>
      <w:bookmarkStart w:id="910" w:name="_Toc38443821"/>
      <w:bookmarkStart w:id="911" w:name="_Toc38438288"/>
      <w:bookmarkStart w:id="912" w:name="_Toc38438625"/>
      <w:bookmarkStart w:id="913" w:name="_Toc38438962"/>
      <w:bookmarkStart w:id="914" w:name="_Toc38439299"/>
      <w:bookmarkStart w:id="915" w:name="_Toc38439636"/>
      <w:bookmarkStart w:id="916" w:name="_Toc38439973"/>
      <w:bookmarkStart w:id="917" w:name="_Toc38440310"/>
      <w:bookmarkStart w:id="918" w:name="_Toc38440643"/>
      <w:bookmarkStart w:id="919" w:name="_Toc38440842"/>
      <w:bookmarkStart w:id="920" w:name="_Toc38441174"/>
      <w:bookmarkStart w:id="921" w:name="_Toc38441506"/>
      <w:bookmarkStart w:id="922" w:name="_Toc38441834"/>
      <w:bookmarkStart w:id="923" w:name="_Toc38442166"/>
      <w:bookmarkStart w:id="924" w:name="_Toc38442498"/>
      <w:bookmarkStart w:id="925" w:name="_Toc38442829"/>
      <w:bookmarkStart w:id="926" w:name="_Toc38443160"/>
      <w:bookmarkStart w:id="927" w:name="_Toc38443491"/>
      <w:bookmarkStart w:id="928" w:name="_Toc38443822"/>
      <w:bookmarkStart w:id="929" w:name="_Toc38438289"/>
      <w:bookmarkStart w:id="930" w:name="_Toc38438626"/>
      <w:bookmarkStart w:id="931" w:name="_Toc38438963"/>
      <w:bookmarkStart w:id="932" w:name="_Toc38439300"/>
      <w:bookmarkStart w:id="933" w:name="_Toc38439637"/>
      <w:bookmarkStart w:id="934" w:name="_Toc38439974"/>
      <w:bookmarkStart w:id="935" w:name="_Toc38440311"/>
      <w:bookmarkStart w:id="936" w:name="_Toc38440644"/>
      <w:bookmarkStart w:id="937" w:name="_Toc38440843"/>
      <w:bookmarkStart w:id="938" w:name="_Toc38441175"/>
      <w:bookmarkStart w:id="939" w:name="_Toc38441507"/>
      <w:bookmarkStart w:id="940" w:name="_Toc38441835"/>
      <w:bookmarkStart w:id="941" w:name="_Toc38442167"/>
      <w:bookmarkStart w:id="942" w:name="_Toc38442499"/>
      <w:bookmarkStart w:id="943" w:name="_Toc38442830"/>
      <w:bookmarkStart w:id="944" w:name="_Toc38443161"/>
      <w:bookmarkStart w:id="945" w:name="_Toc38443492"/>
      <w:bookmarkStart w:id="946" w:name="_Toc38443823"/>
      <w:bookmarkStart w:id="947" w:name="_Toc38438290"/>
      <w:bookmarkStart w:id="948" w:name="_Toc38438627"/>
      <w:bookmarkStart w:id="949" w:name="_Toc38438964"/>
      <w:bookmarkStart w:id="950" w:name="_Toc38439301"/>
      <w:bookmarkStart w:id="951" w:name="_Toc38439638"/>
      <w:bookmarkStart w:id="952" w:name="_Toc38439975"/>
      <w:bookmarkStart w:id="953" w:name="_Toc38440312"/>
      <w:bookmarkStart w:id="954" w:name="_Toc38440645"/>
      <w:bookmarkStart w:id="955" w:name="_Toc38440844"/>
      <w:bookmarkStart w:id="956" w:name="_Toc38441176"/>
      <w:bookmarkStart w:id="957" w:name="_Toc38441508"/>
      <w:bookmarkStart w:id="958" w:name="_Toc38441836"/>
      <w:bookmarkStart w:id="959" w:name="_Toc38442168"/>
      <w:bookmarkStart w:id="960" w:name="_Toc38442500"/>
      <w:bookmarkStart w:id="961" w:name="_Toc38442831"/>
      <w:bookmarkStart w:id="962" w:name="_Toc38443162"/>
      <w:bookmarkStart w:id="963" w:name="_Toc38443493"/>
      <w:bookmarkStart w:id="964" w:name="_Toc38443824"/>
      <w:bookmarkStart w:id="965" w:name="_Toc38438291"/>
      <w:bookmarkStart w:id="966" w:name="_Toc38438628"/>
      <w:bookmarkStart w:id="967" w:name="_Toc38438965"/>
      <w:bookmarkStart w:id="968" w:name="_Toc38439302"/>
      <w:bookmarkStart w:id="969" w:name="_Toc38439639"/>
      <w:bookmarkStart w:id="970" w:name="_Toc38439976"/>
      <w:bookmarkStart w:id="971" w:name="_Toc38440313"/>
      <w:bookmarkStart w:id="972" w:name="_Toc38440646"/>
      <w:bookmarkStart w:id="973" w:name="_Toc38440845"/>
      <w:bookmarkStart w:id="974" w:name="_Toc38441177"/>
      <w:bookmarkStart w:id="975" w:name="_Toc38441509"/>
      <w:bookmarkStart w:id="976" w:name="_Toc38441837"/>
      <w:bookmarkStart w:id="977" w:name="_Toc38442169"/>
      <w:bookmarkStart w:id="978" w:name="_Toc38442501"/>
      <w:bookmarkStart w:id="979" w:name="_Toc38442832"/>
      <w:bookmarkStart w:id="980" w:name="_Toc38443163"/>
      <w:bookmarkStart w:id="981" w:name="_Toc38443494"/>
      <w:bookmarkStart w:id="982" w:name="_Toc38443825"/>
      <w:bookmarkStart w:id="983" w:name="_Toc38438292"/>
      <w:bookmarkStart w:id="984" w:name="_Toc38438629"/>
      <w:bookmarkStart w:id="985" w:name="_Toc38438966"/>
      <w:bookmarkStart w:id="986" w:name="_Toc38439303"/>
      <w:bookmarkStart w:id="987" w:name="_Toc38439640"/>
      <w:bookmarkStart w:id="988" w:name="_Toc38439977"/>
      <w:bookmarkStart w:id="989" w:name="_Toc38440314"/>
      <w:bookmarkStart w:id="990" w:name="_Toc38440647"/>
      <w:bookmarkStart w:id="991" w:name="_Toc38440846"/>
      <w:bookmarkStart w:id="992" w:name="_Toc38441178"/>
      <w:bookmarkStart w:id="993" w:name="_Toc38441510"/>
      <w:bookmarkStart w:id="994" w:name="_Toc38441838"/>
      <w:bookmarkStart w:id="995" w:name="_Toc38442170"/>
      <w:bookmarkStart w:id="996" w:name="_Toc38442502"/>
      <w:bookmarkStart w:id="997" w:name="_Toc38442833"/>
      <w:bookmarkStart w:id="998" w:name="_Toc38443164"/>
      <w:bookmarkStart w:id="999" w:name="_Toc38443495"/>
      <w:bookmarkStart w:id="1000" w:name="_Toc38443826"/>
      <w:bookmarkStart w:id="1001" w:name="_Toc38438293"/>
      <w:bookmarkStart w:id="1002" w:name="_Toc38438630"/>
      <w:bookmarkStart w:id="1003" w:name="_Toc38438967"/>
      <w:bookmarkStart w:id="1004" w:name="_Toc38439304"/>
      <w:bookmarkStart w:id="1005" w:name="_Toc38439641"/>
      <w:bookmarkStart w:id="1006" w:name="_Toc38439978"/>
      <w:bookmarkStart w:id="1007" w:name="_Toc38440315"/>
      <w:bookmarkStart w:id="1008" w:name="_Toc38440648"/>
      <w:bookmarkStart w:id="1009" w:name="_Toc38440847"/>
      <w:bookmarkStart w:id="1010" w:name="_Toc38441179"/>
      <w:bookmarkStart w:id="1011" w:name="_Toc38441511"/>
      <w:bookmarkStart w:id="1012" w:name="_Toc38441839"/>
      <w:bookmarkStart w:id="1013" w:name="_Toc38442171"/>
      <w:bookmarkStart w:id="1014" w:name="_Toc38442503"/>
      <w:bookmarkStart w:id="1015" w:name="_Toc38442834"/>
      <w:bookmarkStart w:id="1016" w:name="_Toc38443165"/>
      <w:bookmarkStart w:id="1017" w:name="_Toc38443496"/>
      <w:bookmarkStart w:id="1018" w:name="_Toc38443827"/>
      <w:bookmarkStart w:id="1019" w:name="_Toc38438296"/>
      <w:bookmarkStart w:id="1020" w:name="_Toc38438633"/>
      <w:bookmarkStart w:id="1021" w:name="_Toc38438970"/>
      <w:bookmarkStart w:id="1022" w:name="_Toc38439307"/>
      <w:bookmarkStart w:id="1023" w:name="_Toc38439644"/>
      <w:bookmarkStart w:id="1024" w:name="_Toc38439981"/>
      <w:bookmarkStart w:id="1025" w:name="_Toc38440318"/>
      <w:bookmarkStart w:id="1026" w:name="_Toc38440651"/>
      <w:bookmarkStart w:id="1027" w:name="_Toc38440850"/>
      <w:bookmarkStart w:id="1028" w:name="_Toc38441182"/>
      <w:bookmarkStart w:id="1029" w:name="_Toc38441514"/>
      <w:bookmarkStart w:id="1030" w:name="_Toc38441842"/>
      <w:bookmarkStart w:id="1031" w:name="_Toc38442174"/>
      <w:bookmarkStart w:id="1032" w:name="_Toc38442506"/>
      <w:bookmarkStart w:id="1033" w:name="_Toc38442837"/>
      <w:bookmarkStart w:id="1034" w:name="_Toc38443168"/>
      <w:bookmarkStart w:id="1035" w:name="_Toc38443499"/>
      <w:bookmarkStart w:id="1036" w:name="_Toc38443830"/>
      <w:bookmarkStart w:id="1037" w:name="_Toc38438297"/>
      <w:bookmarkStart w:id="1038" w:name="_Toc38438634"/>
      <w:bookmarkStart w:id="1039" w:name="_Toc38438971"/>
      <w:bookmarkStart w:id="1040" w:name="_Toc38439308"/>
      <w:bookmarkStart w:id="1041" w:name="_Toc38439645"/>
      <w:bookmarkStart w:id="1042" w:name="_Toc38439982"/>
      <w:bookmarkStart w:id="1043" w:name="_Toc38440319"/>
      <w:bookmarkStart w:id="1044" w:name="_Toc38440652"/>
      <w:bookmarkStart w:id="1045" w:name="_Toc38440851"/>
      <w:bookmarkStart w:id="1046" w:name="_Toc38441183"/>
      <w:bookmarkStart w:id="1047" w:name="_Toc38441515"/>
      <w:bookmarkStart w:id="1048" w:name="_Toc38441843"/>
      <w:bookmarkStart w:id="1049" w:name="_Toc38442175"/>
      <w:bookmarkStart w:id="1050" w:name="_Toc38442507"/>
      <w:bookmarkStart w:id="1051" w:name="_Toc38442838"/>
      <w:bookmarkStart w:id="1052" w:name="_Toc38443169"/>
      <w:bookmarkStart w:id="1053" w:name="_Toc38443500"/>
      <w:bookmarkStart w:id="1054" w:name="_Toc38443831"/>
      <w:bookmarkStart w:id="1055" w:name="_Toc38438298"/>
      <w:bookmarkStart w:id="1056" w:name="_Toc38438635"/>
      <w:bookmarkStart w:id="1057" w:name="_Toc38438972"/>
      <w:bookmarkStart w:id="1058" w:name="_Toc38439309"/>
      <w:bookmarkStart w:id="1059" w:name="_Toc38439646"/>
      <w:bookmarkStart w:id="1060" w:name="_Toc38439983"/>
      <w:bookmarkStart w:id="1061" w:name="_Toc38440320"/>
      <w:bookmarkStart w:id="1062" w:name="_Toc38440653"/>
      <w:bookmarkStart w:id="1063" w:name="_Toc38440852"/>
      <w:bookmarkStart w:id="1064" w:name="_Toc38441184"/>
      <w:bookmarkStart w:id="1065" w:name="_Toc38441516"/>
      <w:bookmarkStart w:id="1066" w:name="_Toc38441844"/>
      <w:bookmarkStart w:id="1067" w:name="_Toc38442176"/>
      <w:bookmarkStart w:id="1068" w:name="_Toc38442508"/>
      <w:bookmarkStart w:id="1069" w:name="_Toc38442839"/>
      <w:bookmarkStart w:id="1070" w:name="_Toc38443170"/>
      <w:bookmarkStart w:id="1071" w:name="_Toc38443501"/>
      <w:bookmarkStart w:id="1072" w:name="_Toc38443832"/>
      <w:bookmarkStart w:id="1073" w:name="_Toc38438299"/>
      <w:bookmarkStart w:id="1074" w:name="_Toc38438636"/>
      <w:bookmarkStart w:id="1075" w:name="_Toc38438973"/>
      <w:bookmarkStart w:id="1076" w:name="_Toc38439310"/>
      <w:bookmarkStart w:id="1077" w:name="_Toc38439647"/>
      <w:bookmarkStart w:id="1078" w:name="_Toc38439984"/>
      <w:bookmarkStart w:id="1079" w:name="_Toc38440321"/>
      <w:bookmarkStart w:id="1080" w:name="_Toc38440654"/>
      <w:bookmarkStart w:id="1081" w:name="_Toc38440853"/>
      <w:bookmarkStart w:id="1082" w:name="_Toc38441185"/>
      <w:bookmarkStart w:id="1083" w:name="_Toc38441517"/>
      <w:bookmarkStart w:id="1084" w:name="_Toc38441845"/>
      <w:bookmarkStart w:id="1085" w:name="_Toc38442177"/>
      <w:bookmarkStart w:id="1086" w:name="_Toc38442509"/>
      <w:bookmarkStart w:id="1087" w:name="_Toc38442840"/>
      <w:bookmarkStart w:id="1088" w:name="_Toc38443171"/>
      <w:bookmarkStart w:id="1089" w:name="_Toc38443502"/>
      <w:bookmarkStart w:id="1090" w:name="_Toc38443833"/>
      <w:bookmarkStart w:id="1091" w:name="_Toc38438301"/>
      <w:bookmarkStart w:id="1092" w:name="_Toc38438638"/>
      <w:bookmarkStart w:id="1093" w:name="_Toc38438975"/>
      <w:bookmarkStart w:id="1094" w:name="_Toc38439312"/>
      <w:bookmarkStart w:id="1095" w:name="_Toc38439649"/>
      <w:bookmarkStart w:id="1096" w:name="_Toc38439986"/>
      <w:bookmarkStart w:id="1097" w:name="_Toc38440323"/>
      <w:bookmarkStart w:id="1098" w:name="_Toc38440656"/>
      <w:bookmarkStart w:id="1099" w:name="_Toc38440855"/>
      <w:bookmarkStart w:id="1100" w:name="_Toc38441187"/>
      <w:bookmarkStart w:id="1101" w:name="_Toc38441519"/>
      <w:bookmarkStart w:id="1102" w:name="_Toc38441847"/>
      <w:bookmarkStart w:id="1103" w:name="_Toc38442179"/>
      <w:bookmarkStart w:id="1104" w:name="_Toc38442511"/>
      <w:bookmarkStart w:id="1105" w:name="_Toc38442842"/>
      <w:bookmarkStart w:id="1106" w:name="_Toc38443173"/>
      <w:bookmarkStart w:id="1107" w:name="_Toc38443504"/>
      <w:bookmarkStart w:id="1108" w:name="_Toc38443835"/>
      <w:bookmarkStart w:id="1109" w:name="_Toc38438302"/>
      <w:bookmarkStart w:id="1110" w:name="_Toc38438639"/>
      <w:bookmarkStart w:id="1111" w:name="_Toc38438976"/>
      <w:bookmarkStart w:id="1112" w:name="_Toc38439313"/>
      <w:bookmarkStart w:id="1113" w:name="_Toc38439650"/>
      <w:bookmarkStart w:id="1114" w:name="_Toc38439987"/>
      <w:bookmarkStart w:id="1115" w:name="_Toc38440324"/>
      <w:bookmarkStart w:id="1116" w:name="_Toc38440657"/>
      <w:bookmarkStart w:id="1117" w:name="_Toc38440856"/>
      <w:bookmarkStart w:id="1118" w:name="_Toc38441188"/>
      <w:bookmarkStart w:id="1119" w:name="_Toc38441520"/>
      <w:bookmarkStart w:id="1120" w:name="_Toc38441848"/>
      <w:bookmarkStart w:id="1121" w:name="_Toc38442180"/>
      <w:bookmarkStart w:id="1122" w:name="_Toc38442512"/>
      <w:bookmarkStart w:id="1123" w:name="_Toc38442843"/>
      <w:bookmarkStart w:id="1124" w:name="_Toc38443174"/>
      <w:bookmarkStart w:id="1125" w:name="_Toc38443505"/>
      <w:bookmarkStart w:id="1126" w:name="_Toc38443836"/>
      <w:bookmarkStart w:id="1127" w:name="_Toc38438303"/>
      <w:bookmarkStart w:id="1128" w:name="_Toc38438640"/>
      <w:bookmarkStart w:id="1129" w:name="_Toc38438977"/>
      <w:bookmarkStart w:id="1130" w:name="_Toc38439314"/>
      <w:bookmarkStart w:id="1131" w:name="_Toc38439651"/>
      <w:bookmarkStart w:id="1132" w:name="_Toc38439988"/>
      <w:bookmarkStart w:id="1133" w:name="_Toc38440325"/>
      <w:bookmarkStart w:id="1134" w:name="_Toc38440658"/>
      <w:bookmarkStart w:id="1135" w:name="_Toc38440857"/>
      <w:bookmarkStart w:id="1136" w:name="_Toc38441189"/>
      <w:bookmarkStart w:id="1137" w:name="_Toc38441521"/>
      <w:bookmarkStart w:id="1138" w:name="_Toc38441849"/>
      <w:bookmarkStart w:id="1139" w:name="_Toc38442181"/>
      <w:bookmarkStart w:id="1140" w:name="_Toc38442513"/>
      <w:bookmarkStart w:id="1141" w:name="_Toc38442844"/>
      <w:bookmarkStart w:id="1142" w:name="_Toc38443175"/>
      <w:bookmarkStart w:id="1143" w:name="_Toc38443506"/>
      <w:bookmarkStart w:id="1144" w:name="_Toc38443837"/>
      <w:bookmarkStart w:id="1145" w:name="_Toc38438304"/>
      <w:bookmarkStart w:id="1146" w:name="_Toc38438641"/>
      <w:bookmarkStart w:id="1147" w:name="_Toc38438978"/>
      <w:bookmarkStart w:id="1148" w:name="_Toc38439315"/>
      <w:bookmarkStart w:id="1149" w:name="_Toc38439652"/>
      <w:bookmarkStart w:id="1150" w:name="_Toc38439989"/>
      <w:bookmarkStart w:id="1151" w:name="_Toc38440326"/>
      <w:bookmarkStart w:id="1152" w:name="_Toc38440659"/>
      <w:bookmarkStart w:id="1153" w:name="_Toc38440858"/>
      <w:bookmarkStart w:id="1154" w:name="_Toc38441190"/>
      <w:bookmarkStart w:id="1155" w:name="_Toc38441522"/>
      <w:bookmarkStart w:id="1156" w:name="_Toc38441850"/>
      <w:bookmarkStart w:id="1157" w:name="_Toc38442182"/>
      <w:bookmarkStart w:id="1158" w:name="_Toc38442514"/>
      <w:bookmarkStart w:id="1159" w:name="_Toc38442845"/>
      <w:bookmarkStart w:id="1160" w:name="_Toc38443176"/>
      <w:bookmarkStart w:id="1161" w:name="_Toc38443507"/>
      <w:bookmarkStart w:id="1162" w:name="_Toc38443838"/>
      <w:bookmarkStart w:id="1163" w:name="_Toc38438305"/>
      <w:bookmarkStart w:id="1164" w:name="_Toc38438642"/>
      <w:bookmarkStart w:id="1165" w:name="_Toc38438979"/>
      <w:bookmarkStart w:id="1166" w:name="_Toc38439316"/>
      <w:bookmarkStart w:id="1167" w:name="_Toc38439653"/>
      <w:bookmarkStart w:id="1168" w:name="_Toc38439990"/>
      <w:bookmarkStart w:id="1169" w:name="_Toc38440327"/>
      <w:bookmarkStart w:id="1170" w:name="_Toc38440660"/>
      <w:bookmarkStart w:id="1171" w:name="_Toc38440859"/>
      <w:bookmarkStart w:id="1172" w:name="_Toc38441191"/>
      <w:bookmarkStart w:id="1173" w:name="_Toc38441523"/>
      <w:bookmarkStart w:id="1174" w:name="_Toc38441851"/>
      <w:bookmarkStart w:id="1175" w:name="_Toc38442183"/>
      <w:bookmarkStart w:id="1176" w:name="_Toc38442515"/>
      <w:bookmarkStart w:id="1177" w:name="_Toc38442846"/>
      <w:bookmarkStart w:id="1178" w:name="_Toc38443177"/>
      <w:bookmarkStart w:id="1179" w:name="_Toc38443508"/>
      <w:bookmarkStart w:id="1180" w:name="_Toc38443839"/>
      <w:bookmarkStart w:id="1181" w:name="_Toc38438306"/>
      <w:bookmarkStart w:id="1182" w:name="_Toc38438643"/>
      <w:bookmarkStart w:id="1183" w:name="_Toc38438980"/>
      <w:bookmarkStart w:id="1184" w:name="_Toc38439317"/>
      <w:bookmarkStart w:id="1185" w:name="_Toc38439654"/>
      <w:bookmarkStart w:id="1186" w:name="_Toc38439991"/>
      <w:bookmarkStart w:id="1187" w:name="_Toc38440328"/>
      <w:bookmarkStart w:id="1188" w:name="_Toc38440661"/>
      <w:bookmarkStart w:id="1189" w:name="_Toc38440860"/>
      <w:bookmarkStart w:id="1190" w:name="_Toc38441192"/>
      <w:bookmarkStart w:id="1191" w:name="_Toc38441524"/>
      <w:bookmarkStart w:id="1192" w:name="_Toc38441852"/>
      <w:bookmarkStart w:id="1193" w:name="_Toc38442184"/>
      <w:bookmarkStart w:id="1194" w:name="_Toc38442516"/>
      <w:bookmarkStart w:id="1195" w:name="_Toc38442847"/>
      <w:bookmarkStart w:id="1196" w:name="_Toc38443178"/>
      <w:bookmarkStart w:id="1197" w:name="_Toc38443509"/>
      <w:bookmarkStart w:id="1198" w:name="_Toc38443840"/>
      <w:bookmarkStart w:id="1199" w:name="_Toc38438310"/>
      <w:bookmarkStart w:id="1200" w:name="_Toc38438647"/>
      <w:bookmarkStart w:id="1201" w:name="_Toc38438984"/>
      <w:bookmarkStart w:id="1202" w:name="_Toc38439321"/>
      <w:bookmarkStart w:id="1203" w:name="_Toc38439658"/>
      <w:bookmarkStart w:id="1204" w:name="_Toc38439995"/>
      <w:bookmarkStart w:id="1205" w:name="_Toc38440332"/>
      <w:bookmarkStart w:id="1206" w:name="_Toc38440665"/>
      <w:bookmarkStart w:id="1207" w:name="_Toc38440864"/>
      <w:bookmarkStart w:id="1208" w:name="_Toc38441196"/>
      <w:bookmarkStart w:id="1209" w:name="_Toc38441528"/>
      <w:bookmarkStart w:id="1210" w:name="_Toc38441856"/>
      <w:bookmarkStart w:id="1211" w:name="_Toc38442188"/>
      <w:bookmarkStart w:id="1212" w:name="_Toc38442520"/>
      <w:bookmarkStart w:id="1213" w:name="_Toc38442851"/>
      <w:bookmarkStart w:id="1214" w:name="_Toc38443182"/>
      <w:bookmarkStart w:id="1215" w:name="_Toc38443513"/>
      <w:bookmarkStart w:id="1216" w:name="_Toc38443844"/>
      <w:bookmarkStart w:id="1217" w:name="_Toc38438311"/>
      <w:bookmarkStart w:id="1218" w:name="_Toc38438648"/>
      <w:bookmarkStart w:id="1219" w:name="_Toc38438985"/>
      <w:bookmarkStart w:id="1220" w:name="_Toc38439322"/>
      <w:bookmarkStart w:id="1221" w:name="_Toc38439659"/>
      <w:bookmarkStart w:id="1222" w:name="_Toc38439996"/>
      <w:bookmarkStart w:id="1223" w:name="_Toc38440333"/>
      <w:bookmarkStart w:id="1224" w:name="_Toc38440666"/>
      <w:bookmarkStart w:id="1225" w:name="_Toc38440865"/>
      <w:bookmarkStart w:id="1226" w:name="_Toc38441197"/>
      <w:bookmarkStart w:id="1227" w:name="_Toc38441529"/>
      <w:bookmarkStart w:id="1228" w:name="_Toc38441857"/>
      <w:bookmarkStart w:id="1229" w:name="_Toc38442189"/>
      <w:bookmarkStart w:id="1230" w:name="_Toc38442521"/>
      <w:bookmarkStart w:id="1231" w:name="_Toc38442852"/>
      <w:bookmarkStart w:id="1232" w:name="_Toc38443183"/>
      <w:bookmarkStart w:id="1233" w:name="_Toc38443514"/>
      <w:bookmarkStart w:id="1234" w:name="_Toc38443845"/>
      <w:bookmarkStart w:id="1235" w:name="_Toc38438312"/>
      <w:bookmarkStart w:id="1236" w:name="_Toc38438649"/>
      <w:bookmarkStart w:id="1237" w:name="_Toc38438986"/>
      <w:bookmarkStart w:id="1238" w:name="_Toc38439323"/>
      <w:bookmarkStart w:id="1239" w:name="_Toc38439660"/>
      <w:bookmarkStart w:id="1240" w:name="_Toc38439997"/>
      <w:bookmarkStart w:id="1241" w:name="_Toc38440334"/>
      <w:bookmarkStart w:id="1242" w:name="_Toc38440667"/>
      <w:bookmarkStart w:id="1243" w:name="_Toc38440866"/>
      <w:bookmarkStart w:id="1244" w:name="_Toc38441198"/>
      <w:bookmarkStart w:id="1245" w:name="_Toc38441530"/>
      <w:bookmarkStart w:id="1246" w:name="_Toc38441858"/>
      <w:bookmarkStart w:id="1247" w:name="_Toc38442190"/>
      <w:bookmarkStart w:id="1248" w:name="_Toc38442522"/>
      <w:bookmarkStart w:id="1249" w:name="_Toc38442853"/>
      <w:bookmarkStart w:id="1250" w:name="_Toc38443184"/>
      <w:bookmarkStart w:id="1251" w:name="_Toc38443515"/>
      <w:bookmarkStart w:id="1252" w:name="_Toc38443846"/>
      <w:bookmarkStart w:id="1253" w:name="_Toc38438313"/>
      <w:bookmarkStart w:id="1254" w:name="_Toc38438650"/>
      <w:bookmarkStart w:id="1255" w:name="_Toc38438987"/>
      <w:bookmarkStart w:id="1256" w:name="_Toc38439324"/>
      <w:bookmarkStart w:id="1257" w:name="_Toc38439661"/>
      <w:bookmarkStart w:id="1258" w:name="_Toc38439998"/>
      <w:bookmarkStart w:id="1259" w:name="_Toc38440335"/>
      <w:bookmarkStart w:id="1260" w:name="_Toc38440668"/>
      <w:bookmarkStart w:id="1261" w:name="_Toc38440867"/>
      <w:bookmarkStart w:id="1262" w:name="_Toc38441199"/>
      <w:bookmarkStart w:id="1263" w:name="_Toc38441531"/>
      <w:bookmarkStart w:id="1264" w:name="_Toc38441859"/>
      <w:bookmarkStart w:id="1265" w:name="_Toc38442191"/>
      <w:bookmarkStart w:id="1266" w:name="_Toc38442523"/>
      <w:bookmarkStart w:id="1267" w:name="_Toc38442854"/>
      <w:bookmarkStart w:id="1268" w:name="_Toc38443185"/>
      <w:bookmarkStart w:id="1269" w:name="_Toc38443516"/>
      <w:bookmarkStart w:id="1270" w:name="_Toc38443847"/>
      <w:bookmarkStart w:id="1271" w:name="_Toc38438314"/>
      <w:bookmarkStart w:id="1272" w:name="_Toc38438651"/>
      <w:bookmarkStart w:id="1273" w:name="_Toc38438988"/>
      <w:bookmarkStart w:id="1274" w:name="_Toc38439325"/>
      <w:bookmarkStart w:id="1275" w:name="_Toc38439662"/>
      <w:bookmarkStart w:id="1276" w:name="_Toc38439999"/>
      <w:bookmarkStart w:id="1277" w:name="_Toc38440336"/>
      <w:bookmarkStart w:id="1278" w:name="_Toc38440669"/>
      <w:bookmarkStart w:id="1279" w:name="_Toc38440868"/>
      <w:bookmarkStart w:id="1280" w:name="_Toc38441200"/>
      <w:bookmarkStart w:id="1281" w:name="_Toc38441532"/>
      <w:bookmarkStart w:id="1282" w:name="_Toc38441860"/>
      <w:bookmarkStart w:id="1283" w:name="_Toc38442192"/>
      <w:bookmarkStart w:id="1284" w:name="_Toc38442524"/>
      <w:bookmarkStart w:id="1285" w:name="_Toc38442855"/>
      <w:bookmarkStart w:id="1286" w:name="_Toc38443186"/>
      <w:bookmarkStart w:id="1287" w:name="_Toc38443517"/>
      <w:bookmarkStart w:id="1288" w:name="_Toc38443848"/>
      <w:bookmarkStart w:id="1289" w:name="_Toc38438315"/>
      <w:bookmarkStart w:id="1290" w:name="_Toc38438652"/>
      <w:bookmarkStart w:id="1291" w:name="_Toc38438989"/>
      <w:bookmarkStart w:id="1292" w:name="_Toc38439326"/>
      <w:bookmarkStart w:id="1293" w:name="_Toc38439663"/>
      <w:bookmarkStart w:id="1294" w:name="_Toc38440000"/>
      <w:bookmarkStart w:id="1295" w:name="_Toc38440337"/>
      <w:bookmarkStart w:id="1296" w:name="_Toc38440670"/>
      <w:bookmarkStart w:id="1297" w:name="_Toc38440869"/>
      <w:bookmarkStart w:id="1298" w:name="_Toc38441201"/>
      <w:bookmarkStart w:id="1299" w:name="_Toc38441533"/>
      <w:bookmarkStart w:id="1300" w:name="_Toc38441861"/>
      <w:bookmarkStart w:id="1301" w:name="_Toc38442193"/>
      <w:bookmarkStart w:id="1302" w:name="_Toc38442525"/>
      <w:bookmarkStart w:id="1303" w:name="_Toc38442856"/>
      <w:bookmarkStart w:id="1304" w:name="_Toc38443187"/>
      <w:bookmarkStart w:id="1305" w:name="_Toc38443518"/>
      <w:bookmarkStart w:id="1306" w:name="_Toc38443849"/>
      <w:bookmarkStart w:id="1307" w:name="_Toc38438316"/>
      <w:bookmarkStart w:id="1308" w:name="_Toc38438653"/>
      <w:bookmarkStart w:id="1309" w:name="_Toc38438990"/>
      <w:bookmarkStart w:id="1310" w:name="_Toc38439327"/>
      <w:bookmarkStart w:id="1311" w:name="_Toc38439664"/>
      <w:bookmarkStart w:id="1312" w:name="_Toc38440001"/>
      <w:bookmarkStart w:id="1313" w:name="_Toc38440338"/>
      <w:bookmarkStart w:id="1314" w:name="_Toc38440671"/>
      <w:bookmarkStart w:id="1315" w:name="_Toc38440870"/>
      <w:bookmarkStart w:id="1316" w:name="_Toc38441202"/>
      <w:bookmarkStart w:id="1317" w:name="_Toc38441534"/>
      <w:bookmarkStart w:id="1318" w:name="_Toc38441862"/>
      <w:bookmarkStart w:id="1319" w:name="_Toc38442194"/>
      <w:bookmarkStart w:id="1320" w:name="_Toc38442526"/>
      <w:bookmarkStart w:id="1321" w:name="_Toc38442857"/>
      <w:bookmarkStart w:id="1322" w:name="_Toc38443188"/>
      <w:bookmarkStart w:id="1323" w:name="_Toc38443519"/>
      <w:bookmarkStart w:id="1324" w:name="_Toc38443850"/>
      <w:bookmarkStart w:id="1325" w:name="_Toc38438317"/>
      <w:bookmarkStart w:id="1326" w:name="_Toc38438654"/>
      <w:bookmarkStart w:id="1327" w:name="_Toc38438991"/>
      <w:bookmarkStart w:id="1328" w:name="_Toc38439328"/>
      <w:bookmarkStart w:id="1329" w:name="_Toc38439665"/>
      <w:bookmarkStart w:id="1330" w:name="_Toc38440002"/>
      <w:bookmarkStart w:id="1331" w:name="_Toc38440339"/>
      <w:bookmarkStart w:id="1332" w:name="_Toc38440672"/>
      <w:bookmarkStart w:id="1333" w:name="_Toc38440871"/>
      <w:bookmarkStart w:id="1334" w:name="_Toc38441203"/>
      <w:bookmarkStart w:id="1335" w:name="_Toc38441535"/>
      <w:bookmarkStart w:id="1336" w:name="_Toc38441863"/>
      <w:bookmarkStart w:id="1337" w:name="_Toc38442195"/>
      <w:bookmarkStart w:id="1338" w:name="_Toc38442527"/>
      <w:bookmarkStart w:id="1339" w:name="_Toc38442858"/>
      <w:bookmarkStart w:id="1340" w:name="_Toc38443189"/>
      <w:bookmarkStart w:id="1341" w:name="_Toc38443520"/>
      <w:bookmarkStart w:id="1342" w:name="_Toc38443851"/>
      <w:bookmarkStart w:id="1343" w:name="_Toc38438318"/>
      <w:bookmarkStart w:id="1344" w:name="_Toc38438655"/>
      <w:bookmarkStart w:id="1345" w:name="_Toc38438992"/>
      <w:bookmarkStart w:id="1346" w:name="_Toc38439329"/>
      <w:bookmarkStart w:id="1347" w:name="_Toc38439666"/>
      <w:bookmarkStart w:id="1348" w:name="_Toc38440003"/>
      <w:bookmarkStart w:id="1349" w:name="_Toc38440340"/>
      <w:bookmarkStart w:id="1350" w:name="_Toc38440673"/>
      <w:bookmarkStart w:id="1351" w:name="_Toc38440872"/>
      <w:bookmarkStart w:id="1352" w:name="_Toc38441204"/>
      <w:bookmarkStart w:id="1353" w:name="_Toc38441536"/>
      <w:bookmarkStart w:id="1354" w:name="_Toc38441864"/>
      <w:bookmarkStart w:id="1355" w:name="_Toc38442196"/>
      <w:bookmarkStart w:id="1356" w:name="_Toc38442528"/>
      <w:bookmarkStart w:id="1357" w:name="_Toc38442859"/>
      <w:bookmarkStart w:id="1358" w:name="_Toc38443190"/>
      <w:bookmarkStart w:id="1359" w:name="_Toc38443521"/>
      <w:bookmarkStart w:id="1360" w:name="_Toc38443852"/>
      <w:bookmarkStart w:id="1361" w:name="_Toc38438319"/>
      <w:bookmarkStart w:id="1362" w:name="_Toc38438656"/>
      <w:bookmarkStart w:id="1363" w:name="_Toc38438993"/>
      <w:bookmarkStart w:id="1364" w:name="_Toc38439330"/>
      <w:bookmarkStart w:id="1365" w:name="_Toc38439667"/>
      <w:bookmarkStart w:id="1366" w:name="_Toc38440004"/>
      <w:bookmarkStart w:id="1367" w:name="_Toc38440341"/>
      <w:bookmarkStart w:id="1368" w:name="_Toc38440674"/>
      <w:bookmarkStart w:id="1369" w:name="_Toc38440873"/>
      <w:bookmarkStart w:id="1370" w:name="_Toc38441205"/>
      <w:bookmarkStart w:id="1371" w:name="_Toc38441537"/>
      <w:bookmarkStart w:id="1372" w:name="_Toc38441865"/>
      <w:bookmarkStart w:id="1373" w:name="_Toc38442197"/>
      <w:bookmarkStart w:id="1374" w:name="_Toc38442529"/>
      <w:bookmarkStart w:id="1375" w:name="_Toc38442860"/>
      <w:bookmarkStart w:id="1376" w:name="_Toc38443191"/>
      <w:bookmarkStart w:id="1377" w:name="_Toc38443522"/>
      <w:bookmarkStart w:id="1378" w:name="_Toc38443853"/>
      <w:bookmarkStart w:id="1379" w:name="_Toc38438320"/>
      <w:bookmarkStart w:id="1380" w:name="_Toc38438657"/>
      <w:bookmarkStart w:id="1381" w:name="_Toc38438994"/>
      <w:bookmarkStart w:id="1382" w:name="_Toc38439331"/>
      <w:bookmarkStart w:id="1383" w:name="_Toc38439668"/>
      <w:bookmarkStart w:id="1384" w:name="_Toc38440005"/>
      <w:bookmarkStart w:id="1385" w:name="_Toc38440342"/>
      <w:bookmarkStart w:id="1386" w:name="_Toc38440675"/>
      <w:bookmarkStart w:id="1387" w:name="_Toc38440874"/>
      <w:bookmarkStart w:id="1388" w:name="_Toc38441206"/>
      <w:bookmarkStart w:id="1389" w:name="_Toc38441538"/>
      <w:bookmarkStart w:id="1390" w:name="_Toc38441866"/>
      <w:bookmarkStart w:id="1391" w:name="_Toc38442198"/>
      <w:bookmarkStart w:id="1392" w:name="_Toc38442530"/>
      <w:bookmarkStart w:id="1393" w:name="_Toc38442861"/>
      <w:bookmarkStart w:id="1394" w:name="_Toc38443192"/>
      <w:bookmarkStart w:id="1395" w:name="_Toc38443523"/>
      <w:bookmarkStart w:id="1396" w:name="_Toc38443854"/>
      <w:bookmarkStart w:id="1397" w:name="_Toc38438321"/>
      <w:bookmarkStart w:id="1398" w:name="_Toc38438658"/>
      <w:bookmarkStart w:id="1399" w:name="_Toc38438995"/>
      <w:bookmarkStart w:id="1400" w:name="_Toc38439332"/>
      <w:bookmarkStart w:id="1401" w:name="_Toc38439669"/>
      <w:bookmarkStart w:id="1402" w:name="_Toc38440006"/>
      <w:bookmarkStart w:id="1403" w:name="_Toc38440343"/>
      <w:bookmarkStart w:id="1404" w:name="_Toc38440676"/>
      <w:bookmarkStart w:id="1405" w:name="_Toc38440875"/>
      <w:bookmarkStart w:id="1406" w:name="_Toc38441207"/>
      <w:bookmarkStart w:id="1407" w:name="_Toc38441539"/>
      <w:bookmarkStart w:id="1408" w:name="_Toc38441867"/>
      <w:bookmarkStart w:id="1409" w:name="_Toc38442199"/>
      <w:bookmarkStart w:id="1410" w:name="_Toc38442531"/>
      <w:bookmarkStart w:id="1411" w:name="_Toc38442862"/>
      <w:bookmarkStart w:id="1412" w:name="_Toc38443193"/>
      <w:bookmarkStart w:id="1413" w:name="_Toc38443524"/>
      <w:bookmarkStart w:id="1414" w:name="_Toc38443855"/>
      <w:bookmarkStart w:id="1415" w:name="_Toc38438322"/>
      <w:bookmarkStart w:id="1416" w:name="_Toc38438659"/>
      <w:bookmarkStart w:id="1417" w:name="_Toc38438996"/>
      <w:bookmarkStart w:id="1418" w:name="_Toc38439333"/>
      <w:bookmarkStart w:id="1419" w:name="_Toc38439670"/>
      <w:bookmarkStart w:id="1420" w:name="_Toc38440007"/>
      <w:bookmarkStart w:id="1421" w:name="_Toc38440344"/>
      <w:bookmarkStart w:id="1422" w:name="_Toc38440677"/>
      <w:bookmarkStart w:id="1423" w:name="_Toc38440876"/>
      <w:bookmarkStart w:id="1424" w:name="_Toc38441208"/>
      <w:bookmarkStart w:id="1425" w:name="_Toc38441540"/>
      <w:bookmarkStart w:id="1426" w:name="_Toc38441868"/>
      <w:bookmarkStart w:id="1427" w:name="_Toc38442200"/>
      <w:bookmarkStart w:id="1428" w:name="_Toc38442532"/>
      <w:bookmarkStart w:id="1429" w:name="_Toc38442863"/>
      <w:bookmarkStart w:id="1430" w:name="_Toc38443194"/>
      <w:bookmarkStart w:id="1431" w:name="_Toc38443525"/>
      <w:bookmarkStart w:id="1432" w:name="_Toc38443856"/>
      <w:bookmarkStart w:id="1433" w:name="_Toc38438323"/>
      <w:bookmarkStart w:id="1434" w:name="_Toc38438660"/>
      <w:bookmarkStart w:id="1435" w:name="_Toc38438997"/>
      <w:bookmarkStart w:id="1436" w:name="_Toc38439334"/>
      <w:bookmarkStart w:id="1437" w:name="_Toc38439671"/>
      <w:bookmarkStart w:id="1438" w:name="_Toc38440008"/>
      <w:bookmarkStart w:id="1439" w:name="_Toc38440345"/>
      <w:bookmarkStart w:id="1440" w:name="_Toc38440678"/>
      <w:bookmarkStart w:id="1441" w:name="_Toc38440877"/>
      <w:bookmarkStart w:id="1442" w:name="_Toc38441209"/>
      <w:bookmarkStart w:id="1443" w:name="_Toc38441541"/>
      <w:bookmarkStart w:id="1444" w:name="_Toc38441869"/>
      <w:bookmarkStart w:id="1445" w:name="_Toc38442201"/>
      <w:bookmarkStart w:id="1446" w:name="_Toc38442533"/>
      <w:bookmarkStart w:id="1447" w:name="_Toc38442864"/>
      <w:bookmarkStart w:id="1448" w:name="_Toc38443195"/>
      <w:bookmarkStart w:id="1449" w:name="_Toc38443526"/>
      <w:bookmarkStart w:id="1450" w:name="_Toc38443857"/>
      <w:bookmarkStart w:id="1451" w:name="_Toc38438324"/>
      <w:bookmarkStart w:id="1452" w:name="_Toc38438661"/>
      <w:bookmarkStart w:id="1453" w:name="_Toc38438998"/>
      <w:bookmarkStart w:id="1454" w:name="_Toc38439335"/>
      <w:bookmarkStart w:id="1455" w:name="_Toc38439672"/>
      <w:bookmarkStart w:id="1456" w:name="_Toc38440009"/>
      <w:bookmarkStart w:id="1457" w:name="_Toc38440346"/>
      <w:bookmarkStart w:id="1458" w:name="_Toc38440679"/>
      <w:bookmarkStart w:id="1459" w:name="_Toc38440878"/>
      <w:bookmarkStart w:id="1460" w:name="_Toc38441210"/>
      <w:bookmarkStart w:id="1461" w:name="_Toc38441542"/>
      <w:bookmarkStart w:id="1462" w:name="_Toc38441870"/>
      <w:bookmarkStart w:id="1463" w:name="_Toc38442202"/>
      <w:bookmarkStart w:id="1464" w:name="_Toc38442534"/>
      <w:bookmarkStart w:id="1465" w:name="_Toc38442865"/>
      <w:bookmarkStart w:id="1466" w:name="_Toc38443196"/>
      <w:bookmarkStart w:id="1467" w:name="_Toc38443527"/>
      <w:bookmarkStart w:id="1468" w:name="_Toc38443858"/>
      <w:bookmarkStart w:id="1469" w:name="_Toc38438325"/>
      <w:bookmarkStart w:id="1470" w:name="_Toc38438662"/>
      <w:bookmarkStart w:id="1471" w:name="_Toc38438999"/>
      <w:bookmarkStart w:id="1472" w:name="_Toc38439336"/>
      <w:bookmarkStart w:id="1473" w:name="_Toc38439673"/>
      <w:bookmarkStart w:id="1474" w:name="_Toc38440010"/>
      <w:bookmarkStart w:id="1475" w:name="_Toc38440347"/>
      <w:bookmarkStart w:id="1476" w:name="_Toc38440879"/>
      <w:bookmarkStart w:id="1477" w:name="_Toc38441211"/>
      <w:bookmarkStart w:id="1478" w:name="_Toc38441543"/>
      <w:bookmarkStart w:id="1479" w:name="_Toc38441871"/>
      <w:bookmarkStart w:id="1480" w:name="_Toc38442203"/>
      <w:bookmarkStart w:id="1481" w:name="_Toc38442535"/>
      <w:bookmarkStart w:id="1482" w:name="_Toc38442866"/>
      <w:bookmarkStart w:id="1483" w:name="_Toc38443197"/>
      <w:bookmarkStart w:id="1484" w:name="_Toc38443528"/>
      <w:bookmarkStart w:id="1485" w:name="_Toc38443859"/>
      <w:bookmarkStart w:id="1486" w:name="_Toc38438326"/>
      <w:bookmarkStart w:id="1487" w:name="_Toc38438663"/>
      <w:bookmarkStart w:id="1488" w:name="_Toc38439000"/>
      <w:bookmarkStart w:id="1489" w:name="_Toc38439337"/>
      <w:bookmarkStart w:id="1490" w:name="_Toc38439674"/>
      <w:bookmarkStart w:id="1491" w:name="_Toc38440011"/>
      <w:bookmarkStart w:id="1492" w:name="_Toc38440348"/>
      <w:bookmarkStart w:id="1493" w:name="_Toc38440880"/>
      <w:bookmarkStart w:id="1494" w:name="_Toc38441212"/>
      <w:bookmarkStart w:id="1495" w:name="_Toc38441544"/>
      <w:bookmarkStart w:id="1496" w:name="_Toc38441872"/>
      <w:bookmarkStart w:id="1497" w:name="_Toc38442204"/>
      <w:bookmarkStart w:id="1498" w:name="_Toc38442536"/>
      <w:bookmarkStart w:id="1499" w:name="_Toc38442867"/>
      <w:bookmarkStart w:id="1500" w:name="_Toc38443198"/>
      <w:bookmarkStart w:id="1501" w:name="_Toc38443529"/>
      <w:bookmarkStart w:id="1502" w:name="_Toc38443860"/>
      <w:bookmarkStart w:id="1503" w:name="_Toc38438327"/>
      <w:bookmarkStart w:id="1504" w:name="_Toc38438664"/>
      <w:bookmarkStart w:id="1505" w:name="_Toc38439001"/>
      <w:bookmarkStart w:id="1506" w:name="_Toc38439338"/>
      <w:bookmarkStart w:id="1507" w:name="_Toc38439675"/>
      <w:bookmarkStart w:id="1508" w:name="_Toc38440012"/>
      <w:bookmarkStart w:id="1509" w:name="_Toc38440349"/>
      <w:bookmarkStart w:id="1510" w:name="_Toc38440881"/>
      <w:bookmarkStart w:id="1511" w:name="_Toc38441213"/>
      <w:bookmarkStart w:id="1512" w:name="_Toc38441545"/>
      <w:bookmarkStart w:id="1513" w:name="_Toc38441873"/>
      <w:bookmarkStart w:id="1514" w:name="_Toc38442205"/>
      <w:bookmarkStart w:id="1515" w:name="_Toc38442537"/>
      <w:bookmarkStart w:id="1516" w:name="_Toc38442868"/>
      <w:bookmarkStart w:id="1517" w:name="_Toc38443199"/>
      <w:bookmarkStart w:id="1518" w:name="_Toc38443530"/>
      <w:bookmarkStart w:id="1519" w:name="_Toc38443861"/>
      <w:bookmarkStart w:id="1520" w:name="_Toc38438328"/>
      <w:bookmarkStart w:id="1521" w:name="_Toc38438665"/>
      <w:bookmarkStart w:id="1522" w:name="_Toc38439002"/>
      <w:bookmarkStart w:id="1523" w:name="_Toc38439339"/>
      <w:bookmarkStart w:id="1524" w:name="_Toc38439676"/>
      <w:bookmarkStart w:id="1525" w:name="_Toc38440013"/>
      <w:bookmarkStart w:id="1526" w:name="_Toc38440350"/>
      <w:bookmarkStart w:id="1527" w:name="_Toc38440882"/>
      <w:bookmarkStart w:id="1528" w:name="_Toc38441214"/>
      <w:bookmarkStart w:id="1529" w:name="_Toc38441546"/>
      <w:bookmarkStart w:id="1530" w:name="_Toc38441874"/>
      <w:bookmarkStart w:id="1531" w:name="_Toc38442206"/>
      <w:bookmarkStart w:id="1532" w:name="_Toc38442538"/>
      <w:bookmarkStart w:id="1533" w:name="_Toc38442869"/>
      <w:bookmarkStart w:id="1534" w:name="_Toc38443200"/>
      <w:bookmarkStart w:id="1535" w:name="_Toc38443531"/>
      <w:bookmarkStart w:id="1536" w:name="_Toc38443862"/>
      <w:bookmarkStart w:id="1537" w:name="_Toc38438329"/>
      <w:bookmarkStart w:id="1538" w:name="_Toc38438666"/>
      <w:bookmarkStart w:id="1539" w:name="_Toc38439003"/>
      <w:bookmarkStart w:id="1540" w:name="_Toc38439340"/>
      <w:bookmarkStart w:id="1541" w:name="_Toc38439677"/>
      <w:bookmarkStart w:id="1542" w:name="_Toc38440014"/>
      <w:bookmarkStart w:id="1543" w:name="_Toc38440351"/>
      <w:bookmarkStart w:id="1544" w:name="_Toc38440883"/>
      <w:bookmarkStart w:id="1545" w:name="_Toc38441215"/>
      <w:bookmarkStart w:id="1546" w:name="_Toc38441547"/>
      <w:bookmarkStart w:id="1547" w:name="_Toc38441875"/>
      <w:bookmarkStart w:id="1548" w:name="_Toc38442207"/>
      <w:bookmarkStart w:id="1549" w:name="_Toc38442539"/>
      <w:bookmarkStart w:id="1550" w:name="_Toc38442870"/>
      <w:bookmarkStart w:id="1551" w:name="_Toc38443201"/>
      <w:bookmarkStart w:id="1552" w:name="_Toc38443532"/>
      <w:bookmarkStart w:id="1553" w:name="_Toc38443863"/>
      <w:bookmarkStart w:id="1554" w:name="_Toc38438330"/>
      <w:bookmarkStart w:id="1555" w:name="_Toc38438667"/>
      <w:bookmarkStart w:id="1556" w:name="_Toc38439004"/>
      <w:bookmarkStart w:id="1557" w:name="_Toc38439341"/>
      <w:bookmarkStart w:id="1558" w:name="_Toc38439678"/>
      <w:bookmarkStart w:id="1559" w:name="_Toc38440015"/>
      <w:bookmarkStart w:id="1560" w:name="_Toc38440352"/>
      <w:bookmarkStart w:id="1561" w:name="_Toc38440884"/>
      <w:bookmarkStart w:id="1562" w:name="_Toc38441216"/>
      <w:bookmarkStart w:id="1563" w:name="_Toc38441548"/>
      <w:bookmarkStart w:id="1564" w:name="_Toc38441876"/>
      <w:bookmarkStart w:id="1565" w:name="_Toc38442208"/>
      <w:bookmarkStart w:id="1566" w:name="_Toc38442540"/>
      <w:bookmarkStart w:id="1567" w:name="_Toc38442871"/>
      <w:bookmarkStart w:id="1568" w:name="_Toc38443202"/>
      <w:bookmarkStart w:id="1569" w:name="_Toc38443533"/>
      <w:bookmarkStart w:id="1570" w:name="_Toc38443864"/>
      <w:bookmarkStart w:id="1571" w:name="_Toc38438331"/>
      <w:bookmarkStart w:id="1572" w:name="_Toc38438668"/>
      <w:bookmarkStart w:id="1573" w:name="_Toc38439005"/>
      <w:bookmarkStart w:id="1574" w:name="_Toc38439342"/>
      <w:bookmarkStart w:id="1575" w:name="_Toc38439679"/>
      <w:bookmarkStart w:id="1576" w:name="_Toc38440016"/>
      <w:bookmarkStart w:id="1577" w:name="_Toc38440353"/>
      <w:bookmarkStart w:id="1578" w:name="_Toc38440885"/>
      <w:bookmarkStart w:id="1579" w:name="_Toc38441217"/>
      <w:bookmarkStart w:id="1580" w:name="_Toc38441549"/>
      <w:bookmarkStart w:id="1581" w:name="_Toc38441877"/>
      <w:bookmarkStart w:id="1582" w:name="_Toc38442209"/>
      <w:bookmarkStart w:id="1583" w:name="_Toc38442541"/>
      <w:bookmarkStart w:id="1584" w:name="_Toc38442872"/>
      <w:bookmarkStart w:id="1585" w:name="_Toc38443203"/>
      <w:bookmarkStart w:id="1586" w:name="_Toc38443534"/>
      <w:bookmarkStart w:id="1587" w:name="_Toc38443865"/>
      <w:bookmarkStart w:id="1588" w:name="_Toc38438332"/>
      <w:bookmarkStart w:id="1589" w:name="_Toc38438669"/>
      <w:bookmarkStart w:id="1590" w:name="_Toc38439006"/>
      <w:bookmarkStart w:id="1591" w:name="_Toc38439343"/>
      <w:bookmarkStart w:id="1592" w:name="_Toc38439680"/>
      <w:bookmarkStart w:id="1593" w:name="_Toc38440017"/>
      <w:bookmarkStart w:id="1594" w:name="_Toc38440354"/>
      <w:bookmarkStart w:id="1595" w:name="_Toc38440886"/>
      <w:bookmarkStart w:id="1596" w:name="_Toc38441218"/>
      <w:bookmarkStart w:id="1597" w:name="_Toc38441550"/>
      <w:bookmarkStart w:id="1598" w:name="_Toc38441878"/>
      <w:bookmarkStart w:id="1599" w:name="_Toc38442210"/>
      <w:bookmarkStart w:id="1600" w:name="_Toc38442542"/>
      <w:bookmarkStart w:id="1601" w:name="_Toc38442873"/>
      <w:bookmarkStart w:id="1602" w:name="_Toc38443204"/>
      <w:bookmarkStart w:id="1603" w:name="_Toc38443535"/>
      <w:bookmarkStart w:id="1604" w:name="_Toc38443866"/>
      <w:bookmarkStart w:id="1605" w:name="_Toc38438333"/>
      <w:bookmarkStart w:id="1606" w:name="_Toc38438670"/>
      <w:bookmarkStart w:id="1607" w:name="_Toc38439007"/>
      <w:bookmarkStart w:id="1608" w:name="_Toc38439344"/>
      <w:bookmarkStart w:id="1609" w:name="_Toc38439681"/>
      <w:bookmarkStart w:id="1610" w:name="_Toc38440018"/>
      <w:bookmarkStart w:id="1611" w:name="_Toc38440355"/>
      <w:bookmarkStart w:id="1612" w:name="_Toc38440887"/>
      <w:bookmarkStart w:id="1613" w:name="_Toc38441219"/>
      <w:bookmarkStart w:id="1614" w:name="_Toc38441551"/>
      <w:bookmarkStart w:id="1615" w:name="_Toc38441879"/>
      <w:bookmarkStart w:id="1616" w:name="_Toc38442211"/>
      <w:bookmarkStart w:id="1617" w:name="_Toc38442543"/>
      <w:bookmarkStart w:id="1618" w:name="_Toc38442874"/>
      <w:bookmarkStart w:id="1619" w:name="_Toc38443205"/>
      <w:bookmarkStart w:id="1620" w:name="_Toc38443536"/>
      <w:bookmarkStart w:id="1621" w:name="_Toc38443867"/>
      <w:bookmarkStart w:id="1622" w:name="_Toc38438334"/>
      <w:bookmarkStart w:id="1623" w:name="_Toc38438671"/>
      <w:bookmarkStart w:id="1624" w:name="_Toc38439008"/>
      <w:bookmarkStart w:id="1625" w:name="_Toc38439345"/>
      <w:bookmarkStart w:id="1626" w:name="_Toc38439682"/>
      <w:bookmarkStart w:id="1627" w:name="_Toc38440019"/>
      <w:bookmarkStart w:id="1628" w:name="_Toc38440356"/>
      <w:bookmarkStart w:id="1629" w:name="_Toc38440888"/>
      <w:bookmarkStart w:id="1630" w:name="_Toc38441220"/>
      <w:bookmarkStart w:id="1631" w:name="_Toc38441552"/>
      <w:bookmarkStart w:id="1632" w:name="_Toc38441880"/>
      <w:bookmarkStart w:id="1633" w:name="_Toc38442212"/>
      <w:bookmarkStart w:id="1634" w:name="_Toc38442544"/>
      <w:bookmarkStart w:id="1635" w:name="_Toc38442875"/>
      <w:bookmarkStart w:id="1636" w:name="_Toc38443206"/>
      <w:bookmarkStart w:id="1637" w:name="_Toc38443537"/>
      <w:bookmarkStart w:id="1638" w:name="_Toc38443868"/>
      <w:bookmarkStart w:id="1639" w:name="_Toc38438335"/>
      <w:bookmarkStart w:id="1640" w:name="_Toc38438672"/>
      <w:bookmarkStart w:id="1641" w:name="_Toc38439009"/>
      <w:bookmarkStart w:id="1642" w:name="_Toc38439346"/>
      <w:bookmarkStart w:id="1643" w:name="_Toc38439683"/>
      <w:bookmarkStart w:id="1644" w:name="_Toc38440020"/>
      <w:bookmarkStart w:id="1645" w:name="_Toc38440357"/>
      <w:bookmarkStart w:id="1646" w:name="_Toc38440889"/>
      <w:bookmarkStart w:id="1647" w:name="_Toc38441221"/>
      <w:bookmarkStart w:id="1648" w:name="_Toc38441553"/>
      <w:bookmarkStart w:id="1649" w:name="_Toc38441881"/>
      <w:bookmarkStart w:id="1650" w:name="_Toc38442213"/>
      <w:bookmarkStart w:id="1651" w:name="_Toc38442545"/>
      <w:bookmarkStart w:id="1652" w:name="_Toc38442876"/>
      <w:bookmarkStart w:id="1653" w:name="_Toc38443207"/>
      <w:bookmarkStart w:id="1654" w:name="_Toc38443538"/>
      <w:bookmarkStart w:id="1655" w:name="_Toc38443869"/>
      <w:bookmarkStart w:id="1656" w:name="_Toc38438336"/>
      <w:bookmarkStart w:id="1657" w:name="_Toc38438673"/>
      <w:bookmarkStart w:id="1658" w:name="_Toc38439010"/>
      <w:bookmarkStart w:id="1659" w:name="_Toc38439347"/>
      <w:bookmarkStart w:id="1660" w:name="_Toc38439684"/>
      <w:bookmarkStart w:id="1661" w:name="_Toc38440021"/>
      <w:bookmarkStart w:id="1662" w:name="_Toc38440358"/>
      <w:bookmarkStart w:id="1663" w:name="_Toc38440890"/>
      <w:bookmarkStart w:id="1664" w:name="_Toc38441222"/>
      <w:bookmarkStart w:id="1665" w:name="_Toc38441554"/>
      <w:bookmarkStart w:id="1666" w:name="_Toc38441882"/>
      <w:bookmarkStart w:id="1667" w:name="_Toc38442214"/>
      <w:bookmarkStart w:id="1668" w:name="_Toc38442546"/>
      <w:bookmarkStart w:id="1669" w:name="_Toc38442877"/>
      <w:bookmarkStart w:id="1670" w:name="_Toc38443208"/>
      <w:bookmarkStart w:id="1671" w:name="_Toc38443539"/>
      <w:bookmarkStart w:id="1672" w:name="_Toc38443870"/>
      <w:bookmarkStart w:id="1673" w:name="_Toc38438337"/>
      <w:bookmarkStart w:id="1674" w:name="_Toc38438674"/>
      <w:bookmarkStart w:id="1675" w:name="_Toc38439011"/>
      <w:bookmarkStart w:id="1676" w:name="_Toc38439348"/>
      <w:bookmarkStart w:id="1677" w:name="_Toc38439685"/>
      <w:bookmarkStart w:id="1678" w:name="_Toc38440022"/>
      <w:bookmarkStart w:id="1679" w:name="_Toc38440359"/>
      <w:bookmarkStart w:id="1680" w:name="_Toc38440891"/>
      <w:bookmarkStart w:id="1681" w:name="_Toc38441223"/>
      <w:bookmarkStart w:id="1682" w:name="_Toc38441555"/>
      <w:bookmarkStart w:id="1683" w:name="_Toc38441883"/>
      <w:bookmarkStart w:id="1684" w:name="_Toc38442215"/>
      <w:bookmarkStart w:id="1685" w:name="_Toc38442547"/>
      <w:bookmarkStart w:id="1686" w:name="_Toc38442878"/>
      <w:bookmarkStart w:id="1687" w:name="_Toc38443209"/>
      <w:bookmarkStart w:id="1688" w:name="_Toc38443540"/>
      <w:bookmarkStart w:id="1689" w:name="_Toc38443871"/>
      <w:bookmarkStart w:id="1690" w:name="_Toc38438338"/>
      <w:bookmarkStart w:id="1691" w:name="_Toc38438675"/>
      <w:bookmarkStart w:id="1692" w:name="_Toc38439012"/>
      <w:bookmarkStart w:id="1693" w:name="_Toc38439349"/>
      <w:bookmarkStart w:id="1694" w:name="_Toc38439686"/>
      <w:bookmarkStart w:id="1695" w:name="_Toc38440023"/>
      <w:bookmarkStart w:id="1696" w:name="_Toc38440360"/>
      <w:bookmarkStart w:id="1697" w:name="_Toc38440892"/>
      <w:bookmarkStart w:id="1698" w:name="_Toc38441224"/>
      <w:bookmarkStart w:id="1699" w:name="_Toc38441556"/>
      <w:bookmarkStart w:id="1700" w:name="_Toc38441884"/>
      <w:bookmarkStart w:id="1701" w:name="_Toc38442216"/>
      <w:bookmarkStart w:id="1702" w:name="_Toc38442548"/>
      <w:bookmarkStart w:id="1703" w:name="_Toc38442879"/>
      <w:bookmarkStart w:id="1704" w:name="_Toc38443210"/>
      <w:bookmarkStart w:id="1705" w:name="_Toc38443541"/>
      <w:bookmarkStart w:id="1706" w:name="_Toc38443872"/>
      <w:bookmarkStart w:id="1707" w:name="_Toc38438339"/>
      <w:bookmarkStart w:id="1708" w:name="_Toc38438676"/>
      <w:bookmarkStart w:id="1709" w:name="_Toc38439013"/>
      <w:bookmarkStart w:id="1710" w:name="_Toc38439350"/>
      <w:bookmarkStart w:id="1711" w:name="_Toc38439687"/>
      <w:bookmarkStart w:id="1712" w:name="_Toc38440024"/>
      <w:bookmarkStart w:id="1713" w:name="_Toc38440361"/>
      <w:bookmarkStart w:id="1714" w:name="_Toc38440893"/>
      <w:bookmarkStart w:id="1715" w:name="_Toc38441225"/>
      <w:bookmarkStart w:id="1716" w:name="_Toc38441557"/>
      <w:bookmarkStart w:id="1717" w:name="_Toc38441885"/>
      <w:bookmarkStart w:id="1718" w:name="_Toc38442217"/>
      <w:bookmarkStart w:id="1719" w:name="_Toc38442549"/>
      <w:bookmarkStart w:id="1720" w:name="_Toc38442880"/>
      <w:bookmarkStart w:id="1721" w:name="_Toc38443211"/>
      <w:bookmarkStart w:id="1722" w:name="_Toc38443542"/>
      <w:bookmarkStart w:id="1723" w:name="_Toc38443873"/>
      <w:bookmarkStart w:id="1724" w:name="_Toc38438340"/>
      <w:bookmarkStart w:id="1725" w:name="_Toc38438677"/>
      <w:bookmarkStart w:id="1726" w:name="_Toc38439014"/>
      <w:bookmarkStart w:id="1727" w:name="_Toc38439351"/>
      <w:bookmarkStart w:id="1728" w:name="_Toc38439688"/>
      <w:bookmarkStart w:id="1729" w:name="_Toc38440025"/>
      <w:bookmarkStart w:id="1730" w:name="_Toc38440362"/>
      <w:bookmarkStart w:id="1731" w:name="_Toc38440894"/>
      <w:bookmarkStart w:id="1732" w:name="_Toc38441226"/>
      <w:bookmarkStart w:id="1733" w:name="_Toc38441558"/>
      <w:bookmarkStart w:id="1734" w:name="_Toc38441886"/>
      <w:bookmarkStart w:id="1735" w:name="_Toc38442218"/>
      <w:bookmarkStart w:id="1736" w:name="_Toc38442550"/>
      <w:bookmarkStart w:id="1737" w:name="_Toc38442881"/>
      <w:bookmarkStart w:id="1738" w:name="_Toc38443212"/>
      <w:bookmarkStart w:id="1739" w:name="_Toc38443543"/>
      <w:bookmarkStart w:id="1740" w:name="_Toc38443874"/>
      <w:bookmarkStart w:id="1741" w:name="_Toc38438341"/>
      <w:bookmarkStart w:id="1742" w:name="_Toc38438678"/>
      <w:bookmarkStart w:id="1743" w:name="_Toc38439015"/>
      <w:bookmarkStart w:id="1744" w:name="_Toc38439352"/>
      <w:bookmarkStart w:id="1745" w:name="_Toc38439689"/>
      <w:bookmarkStart w:id="1746" w:name="_Toc38440026"/>
      <w:bookmarkStart w:id="1747" w:name="_Toc38440363"/>
      <w:bookmarkStart w:id="1748" w:name="_Toc38440895"/>
      <w:bookmarkStart w:id="1749" w:name="_Toc38441227"/>
      <w:bookmarkStart w:id="1750" w:name="_Toc38441559"/>
      <w:bookmarkStart w:id="1751" w:name="_Toc38441887"/>
      <w:bookmarkStart w:id="1752" w:name="_Toc38442219"/>
      <w:bookmarkStart w:id="1753" w:name="_Toc38442551"/>
      <w:bookmarkStart w:id="1754" w:name="_Toc38442882"/>
      <w:bookmarkStart w:id="1755" w:name="_Toc38443213"/>
      <w:bookmarkStart w:id="1756" w:name="_Toc38443544"/>
      <w:bookmarkStart w:id="1757" w:name="_Toc38443875"/>
      <w:bookmarkStart w:id="1758" w:name="_Toc38438342"/>
      <w:bookmarkStart w:id="1759" w:name="_Toc38438679"/>
      <w:bookmarkStart w:id="1760" w:name="_Toc38439016"/>
      <w:bookmarkStart w:id="1761" w:name="_Toc38439353"/>
      <w:bookmarkStart w:id="1762" w:name="_Toc38439690"/>
      <w:bookmarkStart w:id="1763" w:name="_Toc38440027"/>
      <w:bookmarkStart w:id="1764" w:name="_Toc38440364"/>
      <w:bookmarkStart w:id="1765" w:name="_Toc38440896"/>
      <w:bookmarkStart w:id="1766" w:name="_Toc38441228"/>
      <w:bookmarkStart w:id="1767" w:name="_Toc38441560"/>
      <w:bookmarkStart w:id="1768" w:name="_Toc38441888"/>
      <w:bookmarkStart w:id="1769" w:name="_Toc38442220"/>
      <w:bookmarkStart w:id="1770" w:name="_Toc38442552"/>
      <w:bookmarkStart w:id="1771" w:name="_Toc38442883"/>
      <w:bookmarkStart w:id="1772" w:name="_Toc38443214"/>
      <w:bookmarkStart w:id="1773" w:name="_Toc38443545"/>
      <w:bookmarkStart w:id="1774" w:name="_Toc38443876"/>
      <w:bookmarkStart w:id="1775" w:name="_Toc38438343"/>
      <w:bookmarkStart w:id="1776" w:name="_Toc38438680"/>
      <w:bookmarkStart w:id="1777" w:name="_Toc38439017"/>
      <w:bookmarkStart w:id="1778" w:name="_Toc38439354"/>
      <w:bookmarkStart w:id="1779" w:name="_Toc38439691"/>
      <w:bookmarkStart w:id="1780" w:name="_Toc38440028"/>
      <w:bookmarkStart w:id="1781" w:name="_Toc38440365"/>
      <w:bookmarkStart w:id="1782" w:name="_Toc38440897"/>
      <w:bookmarkStart w:id="1783" w:name="_Toc38441229"/>
      <w:bookmarkStart w:id="1784" w:name="_Toc38441561"/>
      <w:bookmarkStart w:id="1785" w:name="_Toc38441889"/>
      <w:bookmarkStart w:id="1786" w:name="_Toc38442221"/>
      <w:bookmarkStart w:id="1787" w:name="_Toc38442553"/>
      <w:bookmarkStart w:id="1788" w:name="_Toc38442884"/>
      <w:bookmarkStart w:id="1789" w:name="_Toc38443215"/>
      <w:bookmarkStart w:id="1790" w:name="_Toc38443546"/>
      <w:bookmarkStart w:id="1791" w:name="_Toc38443877"/>
      <w:bookmarkStart w:id="1792" w:name="_Toc38438350"/>
      <w:bookmarkStart w:id="1793" w:name="_Toc38438687"/>
      <w:bookmarkStart w:id="1794" w:name="_Toc38439024"/>
      <w:bookmarkStart w:id="1795" w:name="_Toc38439361"/>
      <w:bookmarkStart w:id="1796" w:name="_Toc38439698"/>
      <w:bookmarkStart w:id="1797" w:name="_Toc38440035"/>
      <w:bookmarkStart w:id="1798" w:name="_Toc38440372"/>
      <w:bookmarkStart w:id="1799" w:name="_Toc38440904"/>
      <w:bookmarkStart w:id="1800" w:name="_Toc38441236"/>
      <w:bookmarkStart w:id="1801" w:name="_Toc38441568"/>
      <w:bookmarkStart w:id="1802" w:name="_Toc38441896"/>
      <w:bookmarkStart w:id="1803" w:name="_Toc38442228"/>
      <w:bookmarkStart w:id="1804" w:name="_Toc38442560"/>
      <w:bookmarkStart w:id="1805" w:name="_Toc38442891"/>
      <w:bookmarkStart w:id="1806" w:name="_Toc38443222"/>
      <w:bookmarkStart w:id="1807" w:name="_Toc38443553"/>
      <w:bookmarkStart w:id="1808" w:name="_Toc38443883"/>
      <w:bookmarkStart w:id="1809" w:name="_Toc38438351"/>
      <w:bookmarkStart w:id="1810" w:name="_Toc38438688"/>
      <w:bookmarkStart w:id="1811" w:name="_Toc38439025"/>
      <w:bookmarkStart w:id="1812" w:name="_Toc38439362"/>
      <w:bookmarkStart w:id="1813" w:name="_Toc38439699"/>
      <w:bookmarkStart w:id="1814" w:name="_Toc38440036"/>
      <w:bookmarkStart w:id="1815" w:name="_Toc38440373"/>
      <w:bookmarkStart w:id="1816" w:name="_Toc38440905"/>
      <w:bookmarkStart w:id="1817" w:name="_Toc38441237"/>
      <w:bookmarkStart w:id="1818" w:name="_Toc38441569"/>
      <w:bookmarkStart w:id="1819" w:name="_Toc38441897"/>
      <w:bookmarkStart w:id="1820" w:name="_Toc38442229"/>
      <w:bookmarkStart w:id="1821" w:name="_Toc38442561"/>
      <w:bookmarkStart w:id="1822" w:name="_Toc38442892"/>
      <w:bookmarkStart w:id="1823" w:name="_Toc38443223"/>
      <w:bookmarkStart w:id="1824" w:name="_Toc38443554"/>
      <w:bookmarkStart w:id="1825" w:name="_Toc38443884"/>
      <w:bookmarkStart w:id="1826" w:name="_Toc38438352"/>
      <w:bookmarkStart w:id="1827" w:name="_Toc38438689"/>
      <w:bookmarkStart w:id="1828" w:name="_Toc38439026"/>
      <w:bookmarkStart w:id="1829" w:name="_Toc38439363"/>
      <w:bookmarkStart w:id="1830" w:name="_Toc38439700"/>
      <w:bookmarkStart w:id="1831" w:name="_Toc38440037"/>
      <w:bookmarkStart w:id="1832" w:name="_Toc38440374"/>
      <w:bookmarkStart w:id="1833" w:name="_Toc38440906"/>
      <w:bookmarkStart w:id="1834" w:name="_Toc38441238"/>
      <w:bookmarkStart w:id="1835" w:name="_Toc38441570"/>
      <w:bookmarkStart w:id="1836" w:name="_Toc38441898"/>
      <w:bookmarkStart w:id="1837" w:name="_Toc38442230"/>
      <w:bookmarkStart w:id="1838" w:name="_Toc38442562"/>
      <w:bookmarkStart w:id="1839" w:name="_Toc38442893"/>
      <w:bookmarkStart w:id="1840" w:name="_Toc38443224"/>
      <w:bookmarkStart w:id="1841" w:name="_Toc38443555"/>
      <w:bookmarkStart w:id="1842" w:name="_Toc38443885"/>
      <w:bookmarkStart w:id="1843" w:name="_Toc38438353"/>
      <w:bookmarkStart w:id="1844" w:name="_Toc38438690"/>
      <w:bookmarkStart w:id="1845" w:name="_Toc38439027"/>
      <w:bookmarkStart w:id="1846" w:name="_Toc38439364"/>
      <w:bookmarkStart w:id="1847" w:name="_Toc38439701"/>
      <w:bookmarkStart w:id="1848" w:name="_Toc38440038"/>
      <w:bookmarkStart w:id="1849" w:name="_Toc38440375"/>
      <w:bookmarkStart w:id="1850" w:name="_Toc38440907"/>
      <w:bookmarkStart w:id="1851" w:name="_Toc38441239"/>
      <w:bookmarkStart w:id="1852" w:name="_Toc38441571"/>
      <w:bookmarkStart w:id="1853" w:name="_Toc38441899"/>
      <w:bookmarkStart w:id="1854" w:name="_Toc38442231"/>
      <w:bookmarkStart w:id="1855" w:name="_Toc38442563"/>
      <w:bookmarkStart w:id="1856" w:name="_Toc38442894"/>
      <w:bookmarkStart w:id="1857" w:name="_Toc38443225"/>
      <w:bookmarkStart w:id="1858" w:name="_Toc38443556"/>
      <w:bookmarkStart w:id="1859" w:name="_Toc38443886"/>
      <w:bookmarkStart w:id="1860" w:name="_Toc38438354"/>
      <w:bookmarkStart w:id="1861" w:name="_Toc38438691"/>
      <w:bookmarkStart w:id="1862" w:name="_Toc38439028"/>
      <w:bookmarkStart w:id="1863" w:name="_Toc38439365"/>
      <w:bookmarkStart w:id="1864" w:name="_Toc38439702"/>
      <w:bookmarkStart w:id="1865" w:name="_Toc38440039"/>
      <w:bookmarkStart w:id="1866" w:name="_Toc38440376"/>
      <w:bookmarkStart w:id="1867" w:name="_Toc38440908"/>
      <w:bookmarkStart w:id="1868" w:name="_Toc38441240"/>
      <w:bookmarkStart w:id="1869" w:name="_Toc38441572"/>
      <w:bookmarkStart w:id="1870" w:name="_Toc38441900"/>
      <w:bookmarkStart w:id="1871" w:name="_Toc38442232"/>
      <w:bookmarkStart w:id="1872" w:name="_Toc38442564"/>
      <w:bookmarkStart w:id="1873" w:name="_Toc38442895"/>
      <w:bookmarkStart w:id="1874" w:name="_Toc38443226"/>
      <w:bookmarkStart w:id="1875" w:name="_Toc38443557"/>
      <w:bookmarkStart w:id="1876" w:name="_Toc38443887"/>
      <w:bookmarkStart w:id="1877" w:name="_Toc38438355"/>
      <w:bookmarkStart w:id="1878" w:name="_Toc38438692"/>
      <w:bookmarkStart w:id="1879" w:name="_Toc38439029"/>
      <w:bookmarkStart w:id="1880" w:name="_Toc38439366"/>
      <w:bookmarkStart w:id="1881" w:name="_Toc38439703"/>
      <w:bookmarkStart w:id="1882" w:name="_Toc38440040"/>
      <w:bookmarkStart w:id="1883" w:name="_Toc38440377"/>
      <w:bookmarkStart w:id="1884" w:name="_Toc38440909"/>
      <w:bookmarkStart w:id="1885" w:name="_Toc38441241"/>
      <w:bookmarkStart w:id="1886" w:name="_Toc38441573"/>
      <w:bookmarkStart w:id="1887" w:name="_Toc38441901"/>
      <w:bookmarkStart w:id="1888" w:name="_Toc38442233"/>
      <w:bookmarkStart w:id="1889" w:name="_Toc38442565"/>
      <w:bookmarkStart w:id="1890" w:name="_Toc38442896"/>
      <w:bookmarkStart w:id="1891" w:name="_Toc38443227"/>
      <w:bookmarkStart w:id="1892" w:name="_Toc38443558"/>
      <w:bookmarkStart w:id="1893" w:name="_Toc38443888"/>
      <w:bookmarkStart w:id="1894" w:name="_Toc38438356"/>
      <w:bookmarkStart w:id="1895" w:name="_Toc38438693"/>
      <w:bookmarkStart w:id="1896" w:name="_Toc38439030"/>
      <w:bookmarkStart w:id="1897" w:name="_Toc38439367"/>
      <w:bookmarkStart w:id="1898" w:name="_Toc38439704"/>
      <w:bookmarkStart w:id="1899" w:name="_Toc38440041"/>
      <w:bookmarkStart w:id="1900" w:name="_Toc38440378"/>
      <w:bookmarkStart w:id="1901" w:name="_Toc38440910"/>
      <w:bookmarkStart w:id="1902" w:name="_Toc38441242"/>
      <w:bookmarkStart w:id="1903" w:name="_Toc38441574"/>
      <w:bookmarkStart w:id="1904" w:name="_Toc38441902"/>
      <w:bookmarkStart w:id="1905" w:name="_Toc38442234"/>
      <w:bookmarkStart w:id="1906" w:name="_Toc38442566"/>
      <w:bookmarkStart w:id="1907" w:name="_Toc38442897"/>
      <w:bookmarkStart w:id="1908" w:name="_Toc38443228"/>
      <w:bookmarkStart w:id="1909" w:name="_Toc38443559"/>
      <w:bookmarkStart w:id="1910" w:name="_Toc38443889"/>
      <w:bookmarkStart w:id="1911" w:name="_Toc38438357"/>
      <w:bookmarkStart w:id="1912" w:name="_Toc38438694"/>
      <w:bookmarkStart w:id="1913" w:name="_Toc38439031"/>
      <w:bookmarkStart w:id="1914" w:name="_Toc38439368"/>
      <w:bookmarkStart w:id="1915" w:name="_Toc38439705"/>
      <w:bookmarkStart w:id="1916" w:name="_Toc38440042"/>
      <w:bookmarkStart w:id="1917" w:name="_Toc38440379"/>
      <w:bookmarkStart w:id="1918" w:name="_Toc38440911"/>
      <w:bookmarkStart w:id="1919" w:name="_Toc38441243"/>
      <w:bookmarkStart w:id="1920" w:name="_Toc38441575"/>
      <w:bookmarkStart w:id="1921" w:name="_Toc38441903"/>
      <w:bookmarkStart w:id="1922" w:name="_Toc38442235"/>
      <w:bookmarkStart w:id="1923" w:name="_Toc38442567"/>
      <w:bookmarkStart w:id="1924" w:name="_Toc38442898"/>
      <w:bookmarkStart w:id="1925" w:name="_Toc38443229"/>
      <w:bookmarkStart w:id="1926" w:name="_Toc38443560"/>
      <w:bookmarkStart w:id="1927" w:name="_Toc38443890"/>
      <w:bookmarkStart w:id="1928" w:name="_Toc38438358"/>
      <w:bookmarkStart w:id="1929" w:name="_Toc38438695"/>
      <w:bookmarkStart w:id="1930" w:name="_Toc38439032"/>
      <w:bookmarkStart w:id="1931" w:name="_Toc38439369"/>
      <w:bookmarkStart w:id="1932" w:name="_Toc38439706"/>
      <w:bookmarkStart w:id="1933" w:name="_Toc38440043"/>
      <w:bookmarkStart w:id="1934" w:name="_Toc38440380"/>
      <w:bookmarkStart w:id="1935" w:name="_Toc38440912"/>
      <w:bookmarkStart w:id="1936" w:name="_Toc38441244"/>
      <w:bookmarkStart w:id="1937" w:name="_Toc38441576"/>
      <w:bookmarkStart w:id="1938" w:name="_Toc38441904"/>
      <w:bookmarkStart w:id="1939" w:name="_Toc38442236"/>
      <w:bookmarkStart w:id="1940" w:name="_Toc38442568"/>
      <w:bookmarkStart w:id="1941" w:name="_Toc38442899"/>
      <w:bookmarkStart w:id="1942" w:name="_Toc38443230"/>
      <w:bookmarkStart w:id="1943" w:name="_Toc38443561"/>
      <w:bookmarkStart w:id="1944" w:name="_Toc38443891"/>
      <w:bookmarkStart w:id="1945" w:name="_Toc38438359"/>
      <w:bookmarkStart w:id="1946" w:name="_Toc38438696"/>
      <w:bookmarkStart w:id="1947" w:name="_Toc38439033"/>
      <w:bookmarkStart w:id="1948" w:name="_Toc38439370"/>
      <w:bookmarkStart w:id="1949" w:name="_Toc38439707"/>
      <w:bookmarkStart w:id="1950" w:name="_Toc38440044"/>
      <w:bookmarkStart w:id="1951" w:name="_Toc38440381"/>
      <w:bookmarkStart w:id="1952" w:name="_Toc38440913"/>
      <w:bookmarkStart w:id="1953" w:name="_Toc38441245"/>
      <w:bookmarkStart w:id="1954" w:name="_Toc38441577"/>
      <w:bookmarkStart w:id="1955" w:name="_Toc38441905"/>
      <w:bookmarkStart w:id="1956" w:name="_Toc38442237"/>
      <w:bookmarkStart w:id="1957" w:name="_Toc38442569"/>
      <w:bookmarkStart w:id="1958" w:name="_Toc38442900"/>
      <w:bookmarkStart w:id="1959" w:name="_Toc38443231"/>
      <w:bookmarkStart w:id="1960" w:name="_Toc38443562"/>
      <w:bookmarkStart w:id="1961" w:name="_Toc38443892"/>
      <w:bookmarkStart w:id="1962" w:name="_Toc38438360"/>
      <w:bookmarkStart w:id="1963" w:name="_Toc38438697"/>
      <w:bookmarkStart w:id="1964" w:name="_Toc38439034"/>
      <w:bookmarkStart w:id="1965" w:name="_Toc38439371"/>
      <w:bookmarkStart w:id="1966" w:name="_Toc38439708"/>
      <w:bookmarkStart w:id="1967" w:name="_Toc38440045"/>
      <w:bookmarkStart w:id="1968" w:name="_Toc38440382"/>
      <w:bookmarkStart w:id="1969" w:name="_Toc38440914"/>
      <w:bookmarkStart w:id="1970" w:name="_Toc38441246"/>
      <w:bookmarkStart w:id="1971" w:name="_Toc38441578"/>
      <w:bookmarkStart w:id="1972" w:name="_Toc38441906"/>
      <w:bookmarkStart w:id="1973" w:name="_Toc38442238"/>
      <w:bookmarkStart w:id="1974" w:name="_Toc38442570"/>
      <w:bookmarkStart w:id="1975" w:name="_Toc38442901"/>
      <w:bookmarkStart w:id="1976" w:name="_Toc38443232"/>
      <w:bookmarkStart w:id="1977" w:name="_Toc38443563"/>
      <w:bookmarkStart w:id="1978" w:name="_Toc38443893"/>
      <w:bookmarkStart w:id="1979" w:name="_Toc38438361"/>
      <w:bookmarkStart w:id="1980" w:name="_Toc38438698"/>
      <w:bookmarkStart w:id="1981" w:name="_Toc38439035"/>
      <w:bookmarkStart w:id="1982" w:name="_Toc38439372"/>
      <w:bookmarkStart w:id="1983" w:name="_Toc38439709"/>
      <w:bookmarkStart w:id="1984" w:name="_Toc38440046"/>
      <w:bookmarkStart w:id="1985" w:name="_Toc38440383"/>
      <w:bookmarkStart w:id="1986" w:name="_Toc38440915"/>
      <w:bookmarkStart w:id="1987" w:name="_Toc38441247"/>
      <w:bookmarkStart w:id="1988" w:name="_Toc38441579"/>
      <w:bookmarkStart w:id="1989" w:name="_Toc38441907"/>
      <w:bookmarkStart w:id="1990" w:name="_Toc38442239"/>
      <w:bookmarkStart w:id="1991" w:name="_Toc38442571"/>
      <w:bookmarkStart w:id="1992" w:name="_Toc38442902"/>
      <w:bookmarkStart w:id="1993" w:name="_Toc38443233"/>
      <w:bookmarkStart w:id="1994" w:name="_Toc38443564"/>
      <w:bookmarkStart w:id="1995" w:name="_Toc38443894"/>
      <w:bookmarkStart w:id="1996" w:name="_Toc38438362"/>
      <w:bookmarkStart w:id="1997" w:name="_Toc38438699"/>
      <w:bookmarkStart w:id="1998" w:name="_Toc38439036"/>
      <w:bookmarkStart w:id="1999" w:name="_Toc38439373"/>
      <w:bookmarkStart w:id="2000" w:name="_Toc38439710"/>
      <w:bookmarkStart w:id="2001" w:name="_Toc38440047"/>
      <w:bookmarkStart w:id="2002" w:name="_Toc38440384"/>
      <w:bookmarkStart w:id="2003" w:name="_Toc38440916"/>
      <w:bookmarkStart w:id="2004" w:name="_Toc38441248"/>
      <w:bookmarkStart w:id="2005" w:name="_Toc38441580"/>
      <w:bookmarkStart w:id="2006" w:name="_Toc38441908"/>
      <w:bookmarkStart w:id="2007" w:name="_Toc38442240"/>
      <w:bookmarkStart w:id="2008" w:name="_Toc38442572"/>
      <w:bookmarkStart w:id="2009" w:name="_Toc38442903"/>
      <w:bookmarkStart w:id="2010" w:name="_Toc38443234"/>
      <w:bookmarkStart w:id="2011" w:name="_Toc38443565"/>
      <w:bookmarkStart w:id="2012" w:name="_Toc38443895"/>
      <w:bookmarkStart w:id="2013" w:name="_Toc38438363"/>
      <w:bookmarkStart w:id="2014" w:name="_Toc38438700"/>
      <w:bookmarkStart w:id="2015" w:name="_Toc38439037"/>
      <w:bookmarkStart w:id="2016" w:name="_Toc38439374"/>
      <w:bookmarkStart w:id="2017" w:name="_Toc38439711"/>
      <w:bookmarkStart w:id="2018" w:name="_Toc38440048"/>
      <w:bookmarkStart w:id="2019" w:name="_Toc38440385"/>
      <w:bookmarkStart w:id="2020" w:name="_Toc38440917"/>
      <w:bookmarkStart w:id="2021" w:name="_Toc38441249"/>
      <w:bookmarkStart w:id="2022" w:name="_Toc38441581"/>
      <w:bookmarkStart w:id="2023" w:name="_Toc38441909"/>
      <w:bookmarkStart w:id="2024" w:name="_Toc38442241"/>
      <w:bookmarkStart w:id="2025" w:name="_Toc38442573"/>
      <w:bookmarkStart w:id="2026" w:name="_Toc38442904"/>
      <w:bookmarkStart w:id="2027" w:name="_Toc38443235"/>
      <w:bookmarkStart w:id="2028" w:name="_Toc38443566"/>
      <w:bookmarkStart w:id="2029" w:name="_Toc38443896"/>
      <w:bookmarkStart w:id="2030" w:name="_Toc38438364"/>
      <w:bookmarkStart w:id="2031" w:name="_Toc38438701"/>
      <w:bookmarkStart w:id="2032" w:name="_Toc38439038"/>
      <w:bookmarkStart w:id="2033" w:name="_Toc38439375"/>
      <w:bookmarkStart w:id="2034" w:name="_Toc38439712"/>
      <w:bookmarkStart w:id="2035" w:name="_Toc38440049"/>
      <w:bookmarkStart w:id="2036" w:name="_Toc38440386"/>
      <w:bookmarkStart w:id="2037" w:name="_Toc38440918"/>
      <w:bookmarkStart w:id="2038" w:name="_Toc38441250"/>
      <w:bookmarkStart w:id="2039" w:name="_Toc38441582"/>
      <w:bookmarkStart w:id="2040" w:name="_Toc38441910"/>
      <w:bookmarkStart w:id="2041" w:name="_Toc38442242"/>
      <w:bookmarkStart w:id="2042" w:name="_Toc38442574"/>
      <w:bookmarkStart w:id="2043" w:name="_Toc38442905"/>
      <w:bookmarkStart w:id="2044" w:name="_Toc38443236"/>
      <w:bookmarkStart w:id="2045" w:name="_Toc38443567"/>
      <w:bookmarkStart w:id="2046" w:name="_Toc38443897"/>
      <w:bookmarkStart w:id="2047" w:name="_Toc38438365"/>
      <w:bookmarkStart w:id="2048" w:name="_Toc38438702"/>
      <w:bookmarkStart w:id="2049" w:name="_Toc38439039"/>
      <w:bookmarkStart w:id="2050" w:name="_Toc38439376"/>
      <w:bookmarkStart w:id="2051" w:name="_Toc38439713"/>
      <w:bookmarkStart w:id="2052" w:name="_Toc38440050"/>
      <w:bookmarkStart w:id="2053" w:name="_Toc38440387"/>
      <w:bookmarkStart w:id="2054" w:name="_Toc38440919"/>
      <w:bookmarkStart w:id="2055" w:name="_Toc38441251"/>
      <w:bookmarkStart w:id="2056" w:name="_Toc38441583"/>
      <w:bookmarkStart w:id="2057" w:name="_Toc38441911"/>
      <w:bookmarkStart w:id="2058" w:name="_Toc38442243"/>
      <w:bookmarkStart w:id="2059" w:name="_Toc38442575"/>
      <w:bookmarkStart w:id="2060" w:name="_Toc38442906"/>
      <w:bookmarkStart w:id="2061" w:name="_Toc38443237"/>
      <w:bookmarkStart w:id="2062" w:name="_Toc38443568"/>
      <w:bookmarkStart w:id="2063" w:name="_Toc38443898"/>
      <w:bookmarkStart w:id="2064" w:name="_Toc38438366"/>
      <w:bookmarkStart w:id="2065" w:name="_Toc38438703"/>
      <w:bookmarkStart w:id="2066" w:name="_Toc38439040"/>
      <w:bookmarkStart w:id="2067" w:name="_Toc38439377"/>
      <w:bookmarkStart w:id="2068" w:name="_Toc38439714"/>
      <w:bookmarkStart w:id="2069" w:name="_Toc38440051"/>
      <w:bookmarkStart w:id="2070" w:name="_Toc38440388"/>
      <w:bookmarkStart w:id="2071" w:name="_Toc38440920"/>
      <w:bookmarkStart w:id="2072" w:name="_Toc38441252"/>
      <w:bookmarkStart w:id="2073" w:name="_Toc38441584"/>
      <w:bookmarkStart w:id="2074" w:name="_Toc38441912"/>
      <w:bookmarkStart w:id="2075" w:name="_Toc38442244"/>
      <w:bookmarkStart w:id="2076" w:name="_Toc38442576"/>
      <w:bookmarkStart w:id="2077" w:name="_Toc38442907"/>
      <w:bookmarkStart w:id="2078" w:name="_Toc38443238"/>
      <w:bookmarkStart w:id="2079" w:name="_Toc38443569"/>
      <w:bookmarkStart w:id="2080" w:name="_Toc38443899"/>
      <w:bookmarkStart w:id="2081" w:name="_Toc38438367"/>
      <w:bookmarkStart w:id="2082" w:name="_Toc38438704"/>
      <w:bookmarkStart w:id="2083" w:name="_Toc38439041"/>
      <w:bookmarkStart w:id="2084" w:name="_Toc38439378"/>
      <w:bookmarkStart w:id="2085" w:name="_Toc38439715"/>
      <w:bookmarkStart w:id="2086" w:name="_Toc38440052"/>
      <w:bookmarkStart w:id="2087" w:name="_Toc38440389"/>
      <w:bookmarkStart w:id="2088" w:name="_Toc38440921"/>
      <w:bookmarkStart w:id="2089" w:name="_Toc38441253"/>
      <w:bookmarkStart w:id="2090" w:name="_Toc38441585"/>
      <w:bookmarkStart w:id="2091" w:name="_Toc38441913"/>
      <w:bookmarkStart w:id="2092" w:name="_Toc38442245"/>
      <w:bookmarkStart w:id="2093" w:name="_Toc38442577"/>
      <w:bookmarkStart w:id="2094" w:name="_Toc38442908"/>
      <w:bookmarkStart w:id="2095" w:name="_Toc38443239"/>
      <w:bookmarkStart w:id="2096" w:name="_Toc38443570"/>
      <w:bookmarkStart w:id="2097" w:name="_Toc38443900"/>
      <w:bookmarkStart w:id="2098" w:name="_Toc38438368"/>
      <w:bookmarkStart w:id="2099" w:name="_Toc38438705"/>
      <w:bookmarkStart w:id="2100" w:name="_Toc38439042"/>
      <w:bookmarkStart w:id="2101" w:name="_Toc38439379"/>
      <w:bookmarkStart w:id="2102" w:name="_Toc38439716"/>
      <w:bookmarkStart w:id="2103" w:name="_Toc38440053"/>
      <w:bookmarkStart w:id="2104" w:name="_Toc38440390"/>
      <w:bookmarkStart w:id="2105" w:name="_Toc38440922"/>
      <w:bookmarkStart w:id="2106" w:name="_Toc38441254"/>
      <w:bookmarkStart w:id="2107" w:name="_Toc38441586"/>
      <w:bookmarkStart w:id="2108" w:name="_Toc38441914"/>
      <w:bookmarkStart w:id="2109" w:name="_Toc38442246"/>
      <w:bookmarkStart w:id="2110" w:name="_Toc38442578"/>
      <w:bookmarkStart w:id="2111" w:name="_Toc38442909"/>
      <w:bookmarkStart w:id="2112" w:name="_Toc38443240"/>
      <w:bookmarkStart w:id="2113" w:name="_Toc38443571"/>
      <w:bookmarkStart w:id="2114" w:name="_Toc38443901"/>
      <w:bookmarkStart w:id="2115" w:name="_Toc38438369"/>
      <w:bookmarkStart w:id="2116" w:name="_Toc38438706"/>
      <w:bookmarkStart w:id="2117" w:name="_Toc38439043"/>
      <w:bookmarkStart w:id="2118" w:name="_Toc38439380"/>
      <w:bookmarkStart w:id="2119" w:name="_Toc38439717"/>
      <w:bookmarkStart w:id="2120" w:name="_Toc38440054"/>
      <w:bookmarkStart w:id="2121" w:name="_Toc38440391"/>
      <w:bookmarkStart w:id="2122" w:name="_Toc38440923"/>
      <w:bookmarkStart w:id="2123" w:name="_Toc38441255"/>
      <w:bookmarkStart w:id="2124" w:name="_Toc38441587"/>
      <w:bookmarkStart w:id="2125" w:name="_Toc38441915"/>
      <w:bookmarkStart w:id="2126" w:name="_Toc38442247"/>
      <w:bookmarkStart w:id="2127" w:name="_Toc38442579"/>
      <w:bookmarkStart w:id="2128" w:name="_Toc38442910"/>
      <w:bookmarkStart w:id="2129" w:name="_Toc38443241"/>
      <w:bookmarkStart w:id="2130" w:name="_Toc38443572"/>
      <w:bookmarkStart w:id="2131" w:name="_Toc38443902"/>
      <w:bookmarkStart w:id="2132" w:name="_Toc38438371"/>
      <w:bookmarkStart w:id="2133" w:name="_Toc38438708"/>
      <w:bookmarkStart w:id="2134" w:name="_Toc38439045"/>
      <w:bookmarkStart w:id="2135" w:name="_Toc38439382"/>
      <w:bookmarkStart w:id="2136" w:name="_Toc38439719"/>
      <w:bookmarkStart w:id="2137" w:name="_Toc38440056"/>
      <w:bookmarkStart w:id="2138" w:name="_Toc38440393"/>
      <w:bookmarkStart w:id="2139" w:name="_Toc38440925"/>
      <w:bookmarkStart w:id="2140" w:name="_Toc38441257"/>
      <w:bookmarkStart w:id="2141" w:name="_Toc38441589"/>
      <w:bookmarkStart w:id="2142" w:name="_Toc38441917"/>
      <w:bookmarkStart w:id="2143" w:name="_Toc38442249"/>
      <w:bookmarkStart w:id="2144" w:name="_Toc38442581"/>
      <w:bookmarkStart w:id="2145" w:name="_Toc38442912"/>
      <w:bookmarkStart w:id="2146" w:name="_Toc38443243"/>
      <w:bookmarkStart w:id="2147" w:name="_Toc38443574"/>
      <w:bookmarkStart w:id="2148" w:name="_Toc38443904"/>
      <w:bookmarkStart w:id="2149" w:name="_Toc38438372"/>
      <w:bookmarkStart w:id="2150" w:name="_Toc38438709"/>
      <w:bookmarkStart w:id="2151" w:name="_Toc38439046"/>
      <w:bookmarkStart w:id="2152" w:name="_Toc38439383"/>
      <w:bookmarkStart w:id="2153" w:name="_Toc38439720"/>
      <w:bookmarkStart w:id="2154" w:name="_Toc38440057"/>
      <w:bookmarkStart w:id="2155" w:name="_Toc38440394"/>
      <w:bookmarkStart w:id="2156" w:name="_Toc38440926"/>
      <w:bookmarkStart w:id="2157" w:name="_Toc38441258"/>
      <w:bookmarkStart w:id="2158" w:name="_Toc38441590"/>
      <w:bookmarkStart w:id="2159" w:name="_Toc38441918"/>
      <w:bookmarkStart w:id="2160" w:name="_Toc38442250"/>
      <w:bookmarkStart w:id="2161" w:name="_Toc38442582"/>
      <w:bookmarkStart w:id="2162" w:name="_Toc38442913"/>
      <w:bookmarkStart w:id="2163" w:name="_Toc38443244"/>
      <w:bookmarkStart w:id="2164" w:name="_Toc38443575"/>
      <w:bookmarkStart w:id="2165" w:name="_Toc38443905"/>
      <w:bookmarkStart w:id="2166" w:name="_Toc38438373"/>
      <w:bookmarkStart w:id="2167" w:name="_Toc38438710"/>
      <w:bookmarkStart w:id="2168" w:name="_Toc38439047"/>
      <w:bookmarkStart w:id="2169" w:name="_Toc38439384"/>
      <w:bookmarkStart w:id="2170" w:name="_Toc38439721"/>
      <w:bookmarkStart w:id="2171" w:name="_Toc38440058"/>
      <w:bookmarkStart w:id="2172" w:name="_Toc38440395"/>
      <w:bookmarkStart w:id="2173" w:name="_Toc38440927"/>
      <w:bookmarkStart w:id="2174" w:name="_Toc38441259"/>
      <w:bookmarkStart w:id="2175" w:name="_Toc38441591"/>
      <w:bookmarkStart w:id="2176" w:name="_Toc38441919"/>
      <w:bookmarkStart w:id="2177" w:name="_Toc38442251"/>
      <w:bookmarkStart w:id="2178" w:name="_Toc38442583"/>
      <w:bookmarkStart w:id="2179" w:name="_Toc38442914"/>
      <w:bookmarkStart w:id="2180" w:name="_Toc38443245"/>
      <w:bookmarkStart w:id="2181" w:name="_Toc38443576"/>
      <w:bookmarkStart w:id="2182" w:name="_Toc38443906"/>
      <w:bookmarkStart w:id="2183" w:name="_Toc38438374"/>
      <w:bookmarkStart w:id="2184" w:name="_Toc38438711"/>
      <w:bookmarkStart w:id="2185" w:name="_Toc38439048"/>
      <w:bookmarkStart w:id="2186" w:name="_Toc38439385"/>
      <w:bookmarkStart w:id="2187" w:name="_Toc38439722"/>
      <w:bookmarkStart w:id="2188" w:name="_Toc38440059"/>
      <w:bookmarkStart w:id="2189" w:name="_Toc38440396"/>
      <w:bookmarkStart w:id="2190" w:name="_Toc38440928"/>
      <w:bookmarkStart w:id="2191" w:name="_Toc38441260"/>
      <w:bookmarkStart w:id="2192" w:name="_Toc38441592"/>
      <w:bookmarkStart w:id="2193" w:name="_Toc38441920"/>
      <w:bookmarkStart w:id="2194" w:name="_Toc38442252"/>
      <w:bookmarkStart w:id="2195" w:name="_Toc38442584"/>
      <w:bookmarkStart w:id="2196" w:name="_Toc38442915"/>
      <w:bookmarkStart w:id="2197" w:name="_Toc38443246"/>
      <w:bookmarkStart w:id="2198" w:name="_Toc38443577"/>
      <w:bookmarkStart w:id="2199" w:name="_Toc38443907"/>
      <w:bookmarkStart w:id="2200" w:name="_Toc38438375"/>
      <w:bookmarkStart w:id="2201" w:name="_Toc38438712"/>
      <w:bookmarkStart w:id="2202" w:name="_Toc38439049"/>
      <w:bookmarkStart w:id="2203" w:name="_Toc38439386"/>
      <w:bookmarkStart w:id="2204" w:name="_Toc38439723"/>
      <w:bookmarkStart w:id="2205" w:name="_Toc38440060"/>
      <w:bookmarkStart w:id="2206" w:name="_Toc38440397"/>
      <w:bookmarkStart w:id="2207" w:name="_Toc38440929"/>
      <w:bookmarkStart w:id="2208" w:name="_Toc38441261"/>
      <w:bookmarkStart w:id="2209" w:name="_Toc38441593"/>
      <w:bookmarkStart w:id="2210" w:name="_Toc38441921"/>
      <w:bookmarkStart w:id="2211" w:name="_Toc38442253"/>
      <w:bookmarkStart w:id="2212" w:name="_Toc38442585"/>
      <w:bookmarkStart w:id="2213" w:name="_Toc38442916"/>
      <w:bookmarkStart w:id="2214" w:name="_Toc38443247"/>
      <w:bookmarkStart w:id="2215" w:name="_Toc38443578"/>
      <w:bookmarkStart w:id="2216" w:name="_Toc38443908"/>
      <w:bookmarkStart w:id="2217" w:name="_Toc38438376"/>
      <w:bookmarkStart w:id="2218" w:name="_Toc38438713"/>
      <w:bookmarkStart w:id="2219" w:name="_Toc38439050"/>
      <w:bookmarkStart w:id="2220" w:name="_Toc38439387"/>
      <w:bookmarkStart w:id="2221" w:name="_Toc38439724"/>
      <w:bookmarkStart w:id="2222" w:name="_Toc38440061"/>
      <w:bookmarkStart w:id="2223" w:name="_Toc38440398"/>
      <w:bookmarkStart w:id="2224" w:name="_Toc38440930"/>
      <w:bookmarkStart w:id="2225" w:name="_Toc38441262"/>
      <w:bookmarkStart w:id="2226" w:name="_Toc38441594"/>
      <w:bookmarkStart w:id="2227" w:name="_Toc38441922"/>
      <w:bookmarkStart w:id="2228" w:name="_Toc38442254"/>
      <w:bookmarkStart w:id="2229" w:name="_Toc38442586"/>
      <w:bookmarkStart w:id="2230" w:name="_Toc38442917"/>
      <w:bookmarkStart w:id="2231" w:name="_Toc38443248"/>
      <w:bookmarkStart w:id="2232" w:name="_Toc38443579"/>
      <w:bookmarkStart w:id="2233" w:name="_Toc38443909"/>
      <w:bookmarkStart w:id="2234" w:name="_Toc38438377"/>
      <w:bookmarkStart w:id="2235" w:name="_Toc38438714"/>
      <w:bookmarkStart w:id="2236" w:name="_Toc38439051"/>
      <w:bookmarkStart w:id="2237" w:name="_Toc38439388"/>
      <w:bookmarkStart w:id="2238" w:name="_Toc38439725"/>
      <w:bookmarkStart w:id="2239" w:name="_Toc38440062"/>
      <w:bookmarkStart w:id="2240" w:name="_Toc38440399"/>
      <w:bookmarkStart w:id="2241" w:name="_Toc38440931"/>
      <w:bookmarkStart w:id="2242" w:name="_Toc38441263"/>
      <w:bookmarkStart w:id="2243" w:name="_Toc38441595"/>
      <w:bookmarkStart w:id="2244" w:name="_Toc38441923"/>
      <w:bookmarkStart w:id="2245" w:name="_Toc38442255"/>
      <w:bookmarkStart w:id="2246" w:name="_Toc38442587"/>
      <w:bookmarkStart w:id="2247" w:name="_Toc38442918"/>
      <w:bookmarkStart w:id="2248" w:name="_Toc38443249"/>
      <w:bookmarkStart w:id="2249" w:name="_Toc38443580"/>
      <w:bookmarkStart w:id="2250" w:name="_Toc38443910"/>
      <w:bookmarkStart w:id="2251" w:name="_Toc38438378"/>
      <w:bookmarkStart w:id="2252" w:name="_Toc38438715"/>
      <w:bookmarkStart w:id="2253" w:name="_Toc38439052"/>
      <w:bookmarkStart w:id="2254" w:name="_Toc38439389"/>
      <w:bookmarkStart w:id="2255" w:name="_Toc38439726"/>
      <w:bookmarkStart w:id="2256" w:name="_Toc38440063"/>
      <w:bookmarkStart w:id="2257" w:name="_Toc38440400"/>
      <w:bookmarkStart w:id="2258" w:name="_Toc38440932"/>
      <w:bookmarkStart w:id="2259" w:name="_Toc38441264"/>
      <w:bookmarkStart w:id="2260" w:name="_Toc38441596"/>
      <w:bookmarkStart w:id="2261" w:name="_Toc38441924"/>
      <w:bookmarkStart w:id="2262" w:name="_Toc38442256"/>
      <w:bookmarkStart w:id="2263" w:name="_Toc38442588"/>
      <w:bookmarkStart w:id="2264" w:name="_Toc38442919"/>
      <w:bookmarkStart w:id="2265" w:name="_Toc38443250"/>
      <w:bookmarkStart w:id="2266" w:name="_Toc38443581"/>
      <w:bookmarkStart w:id="2267" w:name="_Toc38443911"/>
      <w:bookmarkStart w:id="2268" w:name="_Toc38438379"/>
      <w:bookmarkStart w:id="2269" w:name="_Toc38438716"/>
      <w:bookmarkStart w:id="2270" w:name="_Toc38439053"/>
      <w:bookmarkStart w:id="2271" w:name="_Toc38439390"/>
      <w:bookmarkStart w:id="2272" w:name="_Toc38439727"/>
      <w:bookmarkStart w:id="2273" w:name="_Toc38440064"/>
      <w:bookmarkStart w:id="2274" w:name="_Toc38440401"/>
      <w:bookmarkStart w:id="2275" w:name="_Toc38440933"/>
      <w:bookmarkStart w:id="2276" w:name="_Toc38441265"/>
      <w:bookmarkStart w:id="2277" w:name="_Toc38441597"/>
      <w:bookmarkStart w:id="2278" w:name="_Toc38441925"/>
      <w:bookmarkStart w:id="2279" w:name="_Toc38442257"/>
      <w:bookmarkStart w:id="2280" w:name="_Toc38442589"/>
      <w:bookmarkStart w:id="2281" w:name="_Toc38442920"/>
      <w:bookmarkStart w:id="2282" w:name="_Toc38443251"/>
      <w:bookmarkStart w:id="2283" w:name="_Toc38443582"/>
      <w:bookmarkStart w:id="2284" w:name="_Toc38443912"/>
      <w:bookmarkStart w:id="2285" w:name="_Toc38438380"/>
      <w:bookmarkStart w:id="2286" w:name="_Toc38438717"/>
      <w:bookmarkStart w:id="2287" w:name="_Toc38439054"/>
      <w:bookmarkStart w:id="2288" w:name="_Toc38439391"/>
      <w:bookmarkStart w:id="2289" w:name="_Toc38439728"/>
      <w:bookmarkStart w:id="2290" w:name="_Toc38440065"/>
      <w:bookmarkStart w:id="2291" w:name="_Toc38440402"/>
      <w:bookmarkStart w:id="2292" w:name="_Toc38440934"/>
      <w:bookmarkStart w:id="2293" w:name="_Toc38441266"/>
      <w:bookmarkStart w:id="2294" w:name="_Toc38441598"/>
      <w:bookmarkStart w:id="2295" w:name="_Toc38441926"/>
      <w:bookmarkStart w:id="2296" w:name="_Toc38442258"/>
      <w:bookmarkStart w:id="2297" w:name="_Toc38442590"/>
      <w:bookmarkStart w:id="2298" w:name="_Toc38442921"/>
      <w:bookmarkStart w:id="2299" w:name="_Toc38443252"/>
      <w:bookmarkStart w:id="2300" w:name="_Toc38443583"/>
      <w:bookmarkStart w:id="2301" w:name="_Toc38443913"/>
      <w:bookmarkStart w:id="2302" w:name="_Toc38438381"/>
      <w:bookmarkStart w:id="2303" w:name="_Toc38438718"/>
      <w:bookmarkStart w:id="2304" w:name="_Toc38439055"/>
      <w:bookmarkStart w:id="2305" w:name="_Toc38439392"/>
      <w:bookmarkStart w:id="2306" w:name="_Toc38439729"/>
      <w:bookmarkStart w:id="2307" w:name="_Toc38440066"/>
      <w:bookmarkStart w:id="2308" w:name="_Toc38440403"/>
      <w:bookmarkStart w:id="2309" w:name="_Toc38440935"/>
      <w:bookmarkStart w:id="2310" w:name="_Toc38441267"/>
      <w:bookmarkStart w:id="2311" w:name="_Toc38441599"/>
      <w:bookmarkStart w:id="2312" w:name="_Toc38441927"/>
      <w:bookmarkStart w:id="2313" w:name="_Toc38442259"/>
      <w:bookmarkStart w:id="2314" w:name="_Toc38442591"/>
      <w:bookmarkStart w:id="2315" w:name="_Toc38442922"/>
      <w:bookmarkStart w:id="2316" w:name="_Toc38443253"/>
      <w:bookmarkStart w:id="2317" w:name="_Toc38443584"/>
      <w:bookmarkStart w:id="2318" w:name="_Toc38443914"/>
      <w:bookmarkStart w:id="2319" w:name="_Toc38438382"/>
      <w:bookmarkStart w:id="2320" w:name="_Toc38438719"/>
      <w:bookmarkStart w:id="2321" w:name="_Toc38439056"/>
      <w:bookmarkStart w:id="2322" w:name="_Toc38439393"/>
      <w:bookmarkStart w:id="2323" w:name="_Toc38439730"/>
      <w:bookmarkStart w:id="2324" w:name="_Toc38440067"/>
      <w:bookmarkStart w:id="2325" w:name="_Toc38440404"/>
      <w:bookmarkStart w:id="2326" w:name="_Toc38440936"/>
      <w:bookmarkStart w:id="2327" w:name="_Toc38441268"/>
      <w:bookmarkStart w:id="2328" w:name="_Toc38441600"/>
      <w:bookmarkStart w:id="2329" w:name="_Toc38441928"/>
      <w:bookmarkStart w:id="2330" w:name="_Toc38442260"/>
      <w:bookmarkStart w:id="2331" w:name="_Toc38442592"/>
      <w:bookmarkStart w:id="2332" w:name="_Toc38442923"/>
      <w:bookmarkStart w:id="2333" w:name="_Toc38443254"/>
      <w:bookmarkStart w:id="2334" w:name="_Toc38443585"/>
      <w:bookmarkStart w:id="2335" w:name="_Toc38443915"/>
      <w:bookmarkStart w:id="2336" w:name="_Toc38438383"/>
      <w:bookmarkStart w:id="2337" w:name="_Toc38438720"/>
      <w:bookmarkStart w:id="2338" w:name="_Toc38439057"/>
      <w:bookmarkStart w:id="2339" w:name="_Toc38439394"/>
      <w:bookmarkStart w:id="2340" w:name="_Toc38439731"/>
      <w:bookmarkStart w:id="2341" w:name="_Toc38440068"/>
      <w:bookmarkStart w:id="2342" w:name="_Toc38440405"/>
      <w:bookmarkStart w:id="2343" w:name="_Toc38440937"/>
      <w:bookmarkStart w:id="2344" w:name="_Toc38441269"/>
      <w:bookmarkStart w:id="2345" w:name="_Toc38441601"/>
      <w:bookmarkStart w:id="2346" w:name="_Toc38441929"/>
      <w:bookmarkStart w:id="2347" w:name="_Toc38442261"/>
      <w:bookmarkStart w:id="2348" w:name="_Toc38442593"/>
      <w:bookmarkStart w:id="2349" w:name="_Toc38442924"/>
      <w:bookmarkStart w:id="2350" w:name="_Toc38443255"/>
      <w:bookmarkStart w:id="2351" w:name="_Toc38443586"/>
      <w:bookmarkStart w:id="2352" w:name="_Toc38443916"/>
      <w:bookmarkStart w:id="2353" w:name="_Toc38438384"/>
      <w:bookmarkStart w:id="2354" w:name="_Toc38438721"/>
      <w:bookmarkStart w:id="2355" w:name="_Toc38439058"/>
      <w:bookmarkStart w:id="2356" w:name="_Toc38439395"/>
      <w:bookmarkStart w:id="2357" w:name="_Toc38439732"/>
      <w:bookmarkStart w:id="2358" w:name="_Toc38440069"/>
      <w:bookmarkStart w:id="2359" w:name="_Toc38440406"/>
      <w:bookmarkStart w:id="2360" w:name="_Toc38440938"/>
      <w:bookmarkStart w:id="2361" w:name="_Toc38441270"/>
      <w:bookmarkStart w:id="2362" w:name="_Toc38441602"/>
      <w:bookmarkStart w:id="2363" w:name="_Toc38441930"/>
      <w:bookmarkStart w:id="2364" w:name="_Toc38442262"/>
      <w:bookmarkStart w:id="2365" w:name="_Toc38442594"/>
      <w:bookmarkStart w:id="2366" w:name="_Toc38442925"/>
      <w:bookmarkStart w:id="2367" w:name="_Toc38443256"/>
      <w:bookmarkStart w:id="2368" w:name="_Toc38443587"/>
      <w:bookmarkStart w:id="2369" w:name="_Toc38443917"/>
      <w:bookmarkStart w:id="2370" w:name="_Toc38438385"/>
      <w:bookmarkStart w:id="2371" w:name="_Toc38438722"/>
      <w:bookmarkStart w:id="2372" w:name="_Toc38439059"/>
      <w:bookmarkStart w:id="2373" w:name="_Toc38439396"/>
      <w:bookmarkStart w:id="2374" w:name="_Toc38439733"/>
      <w:bookmarkStart w:id="2375" w:name="_Toc38440070"/>
      <w:bookmarkStart w:id="2376" w:name="_Toc38440407"/>
      <w:bookmarkStart w:id="2377" w:name="_Toc38440939"/>
      <w:bookmarkStart w:id="2378" w:name="_Toc38441271"/>
      <w:bookmarkStart w:id="2379" w:name="_Toc38441603"/>
      <w:bookmarkStart w:id="2380" w:name="_Toc38441931"/>
      <w:bookmarkStart w:id="2381" w:name="_Toc38442263"/>
      <w:bookmarkStart w:id="2382" w:name="_Toc38442595"/>
      <w:bookmarkStart w:id="2383" w:name="_Toc38442926"/>
      <w:bookmarkStart w:id="2384" w:name="_Toc38443257"/>
      <w:bookmarkStart w:id="2385" w:name="_Toc38443588"/>
      <w:bookmarkStart w:id="2386" w:name="_Toc38443918"/>
      <w:bookmarkStart w:id="2387" w:name="_Toc38438386"/>
      <w:bookmarkStart w:id="2388" w:name="_Toc38438723"/>
      <w:bookmarkStart w:id="2389" w:name="_Toc38439060"/>
      <w:bookmarkStart w:id="2390" w:name="_Toc38439397"/>
      <w:bookmarkStart w:id="2391" w:name="_Toc38439734"/>
      <w:bookmarkStart w:id="2392" w:name="_Toc38440071"/>
      <w:bookmarkStart w:id="2393" w:name="_Toc38440408"/>
      <w:bookmarkStart w:id="2394" w:name="_Toc38440940"/>
      <w:bookmarkStart w:id="2395" w:name="_Toc38441272"/>
      <w:bookmarkStart w:id="2396" w:name="_Toc38441604"/>
      <w:bookmarkStart w:id="2397" w:name="_Toc38441932"/>
      <w:bookmarkStart w:id="2398" w:name="_Toc38442264"/>
      <w:bookmarkStart w:id="2399" w:name="_Toc38442596"/>
      <w:bookmarkStart w:id="2400" w:name="_Toc38442927"/>
      <w:bookmarkStart w:id="2401" w:name="_Toc38443258"/>
      <w:bookmarkStart w:id="2402" w:name="_Toc38443589"/>
      <w:bookmarkStart w:id="2403" w:name="_Toc38443919"/>
      <w:bookmarkStart w:id="2404" w:name="_Toc38438387"/>
      <w:bookmarkStart w:id="2405" w:name="_Toc38438724"/>
      <w:bookmarkStart w:id="2406" w:name="_Toc38439061"/>
      <w:bookmarkStart w:id="2407" w:name="_Toc38439398"/>
      <w:bookmarkStart w:id="2408" w:name="_Toc38439735"/>
      <w:bookmarkStart w:id="2409" w:name="_Toc38440072"/>
      <w:bookmarkStart w:id="2410" w:name="_Toc38440409"/>
      <w:bookmarkStart w:id="2411" w:name="_Toc38440941"/>
      <w:bookmarkStart w:id="2412" w:name="_Toc38441273"/>
      <w:bookmarkStart w:id="2413" w:name="_Toc38441605"/>
      <w:bookmarkStart w:id="2414" w:name="_Toc38441933"/>
      <w:bookmarkStart w:id="2415" w:name="_Toc38442265"/>
      <w:bookmarkStart w:id="2416" w:name="_Toc38442597"/>
      <w:bookmarkStart w:id="2417" w:name="_Toc38442928"/>
      <w:bookmarkStart w:id="2418" w:name="_Toc38443259"/>
      <w:bookmarkStart w:id="2419" w:name="_Toc38443590"/>
      <w:bookmarkStart w:id="2420" w:name="_Toc38443920"/>
      <w:bookmarkStart w:id="2421" w:name="_Toc38438388"/>
      <w:bookmarkStart w:id="2422" w:name="_Toc38438725"/>
      <w:bookmarkStart w:id="2423" w:name="_Toc38439062"/>
      <w:bookmarkStart w:id="2424" w:name="_Toc38439399"/>
      <w:bookmarkStart w:id="2425" w:name="_Toc38439736"/>
      <w:bookmarkStart w:id="2426" w:name="_Toc38440073"/>
      <w:bookmarkStart w:id="2427" w:name="_Toc38440410"/>
      <w:bookmarkStart w:id="2428" w:name="_Toc38440942"/>
      <w:bookmarkStart w:id="2429" w:name="_Toc38441274"/>
      <w:bookmarkStart w:id="2430" w:name="_Toc38441606"/>
      <w:bookmarkStart w:id="2431" w:name="_Toc38441934"/>
      <w:bookmarkStart w:id="2432" w:name="_Toc38442266"/>
      <w:bookmarkStart w:id="2433" w:name="_Toc38442598"/>
      <w:bookmarkStart w:id="2434" w:name="_Toc38442929"/>
      <w:bookmarkStart w:id="2435" w:name="_Toc38443260"/>
      <w:bookmarkStart w:id="2436" w:name="_Toc38443591"/>
      <w:bookmarkStart w:id="2437" w:name="_Toc38443921"/>
      <w:bookmarkStart w:id="2438" w:name="_Toc38438389"/>
      <w:bookmarkStart w:id="2439" w:name="_Toc38438726"/>
      <w:bookmarkStart w:id="2440" w:name="_Toc38439063"/>
      <w:bookmarkStart w:id="2441" w:name="_Toc38439400"/>
      <w:bookmarkStart w:id="2442" w:name="_Toc38439737"/>
      <w:bookmarkStart w:id="2443" w:name="_Toc38440074"/>
      <w:bookmarkStart w:id="2444" w:name="_Toc38440411"/>
      <w:bookmarkStart w:id="2445" w:name="_Toc38440943"/>
      <w:bookmarkStart w:id="2446" w:name="_Toc38441275"/>
      <w:bookmarkStart w:id="2447" w:name="_Toc38441607"/>
      <w:bookmarkStart w:id="2448" w:name="_Toc38441935"/>
      <w:bookmarkStart w:id="2449" w:name="_Toc38442267"/>
      <w:bookmarkStart w:id="2450" w:name="_Toc38442599"/>
      <w:bookmarkStart w:id="2451" w:name="_Toc38442930"/>
      <w:bookmarkStart w:id="2452" w:name="_Toc38443261"/>
      <w:bookmarkStart w:id="2453" w:name="_Toc38443592"/>
      <w:bookmarkStart w:id="2454" w:name="_Toc38443922"/>
      <w:bookmarkStart w:id="2455" w:name="_Toc38438390"/>
      <w:bookmarkStart w:id="2456" w:name="_Toc38438727"/>
      <w:bookmarkStart w:id="2457" w:name="_Toc38439064"/>
      <w:bookmarkStart w:id="2458" w:name="_Toc38439401"/>
      <w:bookmarkStart w:id="2459" w:name="_Toc38439738"/>
      <w:bookmarkStart w:id="2460" w:name="_Toc38440075"/>
      <w:bookmarkStart w:id="2461" w:name="_Toc38440412"/>
      <w:bookmarkStart w:id="2462" w:name="_Toc38440944"/>
      <w:bookmarkStart w:id="2463" w:name="_Toc38441276"/>
      <w:bookmarkStart w:id="2464" w:name="_Toc38441608"/>
      <w:bookmarkStart w:id="2465" w:name="_Toc38441936"/>
      <w:bookmarkStart w:id="2466" w:name="_Toc38442268"/>
      <w:bookmarkStart w:id="2467" w:name="_Toc38442600"/>
      <w:bookmarkStart w:id="2468" w:name="_Toc38442931"/>
      <w:bookmarkStart w:id="2469" w:name="_Toc38443262"/>
      <w:bookmarkStart w:id="2470" w:name="_Toc38443593"/>
      <w:bookmarkStart w:id="2471" w:name="_Toc38443923"/>
      <w:bookmarkStart w:id="2472" w:name="_Toc38438391"/>
      <w:bookmarkStart w:id="2473" w:name="_Toc38438728"/>
      <w:bookmarkStart w:id="2474" w:name="_Toc38439065"/>
      <w:bookmarkStart w:id="2475" w:name="_Toc38439402"/>
      <w:bookmarkStart w:id="2476" w:name="_Toc38439739"/>
      <w:bookmarkStart w:id="2477" w:name="_Toc38440076"/>
      <w:bookmarkStart w:id="2478" w:name="_Toc38440413"/>
      <w:bookmarkStart w:id="2479" w:name="_Toc38440945"/>
      <w:bookmarkStart w:id="2480" w:name="_Toc38441277"/>
      <w:bookmarkStart w:id="2481" w:name="_Toc38441609"/>
      <w:bookmarkStart w:id="2482" w:name="_Toc38441937"/>
      <w:bookmarkStart w:id="2483" w:name="_Toc38442269"/>
      <w:bookmarkStart w:id="2484" w:name="_Toc38442601"/>
      <w:bookmarkStart w:id="2485" w:name="_Toc38442932"/>
      <w:bookmarkStart w:id="2486" w:name="_Toc38443263"/>
      <w:bookmarkStart w:id="2487" w:name="_Toc38443594"/>
      <w:bookmarkStart w:id="2488" w:name="_Toc38443924"/>
      <w:bookmarkStart w:id="2489" w:name="_Toc38438392"/>
      <w:bookmarkStart w:id="2490" w:name="_Toc38438729"/>
      <w:bookmarkStart w:id="2491" w:name="_Toc38439066"/>
      <w:bookmarkStart w:id="2492" w:name="_Toc38439403"/>
      <w:bookmarkStart w:id="2493" w:name="_Toc38439740"/>
      <w:bookmarkStart w:id="2494" w:name="_Toc38440077"/>
      <w:bookmarkStart w:id="2495" w:name="_Toc38440414"/>
      <w:bookmarkStart w:id="2496" w:name="_Toc38440946"/>
      <w:bookmarkStart w:id="2497" w:name="_Toc38441278"/>
      <w:bookmarkStart w:id="2498" w:name="_Toc38441610"/>
      <w:bookmarkStart w:id="2499" w:name="_Toc38441938"/>
      <w:bookmarkStart w:id="2500" w:name="_Toc38442270"/>
      <w:bookmarkStart w:id="2501" w:name="_Toc38442602"/>
      <w:bookmarkStart w:id="2502" w:name="_Toc38442933"/>
      <w:bookmarkStart w:id="2503" w:name="_Toc38443264"/>
      <w:bookmarkStart w:id="2504" w:name="_Toc38443595"/>
      <w:bookmarkStart w:id="2505" w:name="_Toc38443925"/>
      <w:bookmarkStart w:id="2506" w:name="_Toc38438393"/>
      <w:bookmarkStart w:id="2507" w:name="_Toc38438730"/>
      <w:bookmarkStart w:id="2508" w:name="_Toc38439067"/>
      <w:bookmarkStart w:id="2509" w:name="_Toc38439404"/>
      <w:bookmarkStart w:id="2510" w:name="_Toc38439741"/>
      <w:bookmarkStart w:id="2511" w:name="_Toc38440078"/>
      <w:bookmarkStart w:id="2512" w:name="_Toc38440415"/>
      <w:bookmarkStart w:id="2513" w:name="_Toc38440947"/>
      <w:bookmarkStart w:id="2514" w:name="_Toc38441279"/>
      <w:bookmarkStart w:id="2515" w:name="_Toc38441611"/>
      <w:bookmarkStart w:id="2516" w:name="_Toc38441939"/>
      <w:bookmarkStart w:id="2517" w:name="_Toc38442271"/>
      <w:bookmarkStart w:id="2518" w:name="_Toc38442603"/>
      <w:bookmarkStart w:id="2519" w:name="_Toc38442934"/>
      <w:bookmarkStart w:id="2520" w:name="_Toc38443265"/>
      <w:bookmarkStart w:id="2521" w:name="_Toc38443596"/>
      <w:bookmarkStart w:id="2522" w:name="_Toc38443926"/>
      <w:bookmarkStart w:id="2523" w:name="_Toc38438394"/>
      <w:bookmarkStart w:id="2524" w:name="_Toc38438731"/>
      <w:bookmarkStart w:id="2525" w:name="_Toc38439068"/>
      <w:bookmarkStart w:id="2526" w:name="_Toc38439405"/>
      <w:bookmarkStart w:id="2527" w:name="_Toc38439742"/>
      <w:bookmarkStart w:id="2528" w:name="_Toc38440079"/>
      <w:bookmarkStart w:id="2529" w:name="_Toc38440416"/>
      <w:bookmarkStart w:id="2530" w:name="_Toc38440948"/>
      <w:bookmarkStart w:id="2531" w:name="_Toc38441280"/>
      <w:bookmarkStart w:id="2532" w:name="_Toc38441612"/>
      <w:bookmarkStart w:id="2533" w:name="_Toc38441940"/>
      <w:bookmarkStart w:id="2534" w:name="_Toc38442272"/>
      <w:bookmarkStart w:id="2535" w:name="_Toc38442604"/>
      <w:bookmarkStart w:id="2536" w:name="_Toc38442935"/>
      <w:bookmarkStart w:id="2537" w:name="_Toc38443266"/>
      <w:bookmarkStart w:id="2538" w:name="_Toc38443597"/>
      <w:bookmarkStart w:id="2539" w:name="_Toc38443927"/>
      <w:bookmarkStart w:id="2540" w:name="_Toc38438395"/>
      <w:bookmarkStart w:id="2541" w:name="_Toc38438732"/>
      <w:bookmarkStart w:id="2542" w:name="_Toc38439069"/>
      <w:bookmarkStart w:id="2543" w:name="_Toc38439406"/>
      <w:bookmarkStart w:id="2544" w:name="_Toc38439743"/>
      <w:bookmarkStart w:id="2545" w:name="_Toc38440080"/>
      <w:bookmarkStart w:id="2546" w:name="_Toc38440417"/>
      <w:bookmarkStart w:id="2547" w:name="_Toc38440949"/>
      <w:bookmarkStart w:id="2548" w:name="_Toc38441281"/>
      <w:bookmarkStart w:id="2549" w:name="_Toc38441613"/>
      <w:bookmarkStart w:id="2550" w:name="_Toc38441941"/>
      <w:bookmarkStart w:id="2551" w:name="_Toc38442273"/>
      <w:bookmarkStart w:id="2552" w:name="_Toc38442605"/>
      <w:bookmarkStart w:id="2553" w:name="_Toc38442936"/>
      <w:bookmarkStart w:id="2554" w:name="_Toc38443267"/>
      <w:bookmarkStart w:id="2555" w:name="_Toc38443598"/>
      <w:bookmarkStart w:id="2556" w:name="_Toc38443928"/>
      <w:bookmarkStart w:id="2557" w:name="_Toc38438396"/>
      <w:bookmarkStart w:id="2558" w:name="_Toc38438733"/>
      <w:bookmarkStart w:id="2559" w:name="_Toc38439070"/>
      <w:bookmarkStart w:id="2560" w:name="_Toc38439407"/>
      <w:bookmarkStart w:id="2561" w:name="_Toc38439744"/>
      <w:bookmarkStart w:id="2562" w:name="_Toc38440081"/>
      <w:bookmarkStart w:id="2563" w:name="_Toc38440418"/>
      <w:bookmarkStart w:id="2564" w:name="_Toc38440950"/>
      <w:bookmarkStart w:id="2565" w:name="_Toc38441282"/>
      <w:bookmarkStart w:id="2566" w:name="_Toc38441614"/>
      <w:bookmarkStart w:id="2567" w:name="_Toc38441942"/>
      <w:bookmarkStart w:id="2568" w:name="_Toc38442274"/>
      <w:bookmarkStart w:id="2569" w:name="_Toc38442606"/>
      <w:bookmarkStart w:id="2570" w:name="_Toc38442937"/>
      <w:bookmarkStart w:id="2571" w:name="_Toc38443268"/>
      <w:bookmarkStart w:id="2572" w:name="_Toc38443599"/>
      <w:bookmarkStart w:id="2573" w:name="_Toc38443929"/>
      <w:bookmarkStart w:id="2574" w:name="_Toc38438397"/>
      <w:bookmarkStart w:id="2575" w:name="_Toc38438734"/>
      <w:bookmarkStart w:id="2576" w:name="_Toc38439071"/>
      <w:bookmarkStart w:id="2577" w:name="_Toc38439408"/>
      <w:bookmarkStart w:id="2578" w:name="_Toc38439745"/>
      <w:bookmarkStart w:id="2579" w:name="_Toc38440082"/>
      <w:bookmarkStart w:id="2580" w:name="_Toc38440419"/>
      <w:bookmarkStart w:id="2581" w:name="_Toc38440951"/>
      <w:bookmarkStart w:id="2582" w:name="_Toc38441283"/>
      <w:bookmarkStart w:id="2583" w:name="_Toc38441615"/>
      <w:bookmarkStart w:id="2584" w:name="_Toc38441943"/>
      <w:bookmarkStart w:id="2585" w:name="_Toc38442275"/>
      <w:bookmarkStart w:id="2586" w:name="_Toc38442607"/>
      <w:bookmarkStart w:id="2587" w:name="_Toc38442938"/>
      <w:bookmarkStart w:id="2588" w:name="_Toc38443269"/>
      <w:bookmarkStart w:id="2589" w:name="_Toc38443600"/>
      <w:bookmarkStart w:id="2590" w:name="_Toc38443930"/>
      <w:bookmarkStart w:id="2591" w:name="_Toc38438398"/>
      <w:bookmarkStart w:id="2592" w:name="_Toc38438735"/>
      <w:bookmarkStart w:id="2593" w:name="_Toc38439072"/>
      <w:bookmarkStart w:id="2594" w:name="_Toc38439409"/>
      <w:bookmarkStart w:id="2595" w:name="_Toc38439746"/>
      <w:bookmarkStart w:id="2596" w:name="_Toc38440083"/>
      <w:bookmarkStart w:id="2597" w:name="_Toc38440420"/>
      <w:bookmarkStart w:id="2598" w:name="_Toc38440952"/>
      <w:bookmarkStart w:id="2599" w:name="_Toc38441284"/>
      <w:bookmarkStart w:id="2600" w:name="_Toc38441616"/>
      <w:bookmarkStart w:id="2601" w:name="_Toc38441944"/>
      <w:bookmarkStart w:id="2602" w:name="_Toc38442276"/>
      <w:bookmarkStart w:id="2603" w:name="_Toc38442608"/>
      <w:bookmarkStart w:id="2604" w:name="_Toc38442939"/>
      <w:bookmarkStart w:id="2605" w:name="_Toc38443270"/>
      <w:bookmarkStart w:id="2606" w:name="_Toc38443601"/>
      <w:bookmarkStart w:id="2607" w:name="_Toc38443931"/>
      <w:bookmarkStart w:id="2608" w:name="_Toc38438400"/>
      <w:bookmarkStart w:id="2609" w:name="_Toc38438737"/>
      <w:bookmarkStart w:id="2610" w:name="_Toc38439074"/>
      <w:bookmarkStart w:id="2611" w:name="_Toc38439411"/>
      <w:bookmarkStart w:id="2612" w:name="_Toc38439748"/>
      <w:bookmarkStart w:id="2613" w:name="_Toc38440085"/>
      <w:bookmarkStart w:id="2614" w:name="_Toc38440422"/>
      <w:bookmarkStart w:id="2615" w:name="_Toc38440954"/>
      <w:bookmarkStart w:id="2616" w:name="_Toc38441286"/>
      <w:bookmarkStart w:id="2617" w:name="_Toc38441618"/>
      <w:bookmarkStart w:id="2618" w:name="_Toc38441946"/>
      <w:bookmarkStart w:id="2619" w:name="_Toc38442278"/>
      <w:bookmarkStart w:id="2620" w:name="_Toc38442610"/>
      <w:bookmarkStart w:id="2621" w:name="_Toc38442941"/>
      <w:bookmarkStart w:id="2622" w:name="_Toc38443272"/>
      <w:bookmarkStart w:id="2623" w:name="_Toc38443603"/>
      <w:bookmarkStart w:id="2624" w:name="_Toc38443933"/>
      <w:bookmarkStart w:id="2625" w:name="_Toc38438401"/>
      <w:bookmarkStart w:id="2626" w:name="_Toc38438738"/>
      <w:bookmarkStart w:id="2627" w:name="_Toc38439075"/>
      <w:bookmarkStart w:id="2628" w:name="_Toc38439412"/>
      <w:bookmarkStart w:id="2629" w:name="_Toc38439749"/>
      <w:bookmarkStart w:id="2630" w:name="_Toc38440086"/>
      <w:bookmarkStart w:id="2631" w:name="_Toc38440423"/>
      <w:bookmarkStart w:id="2632" w:name="_Toc38440955"/>
      <w:bookmarkStart w:id="2633" w:name="_Toc38441287"/>
      <w:bookmarkStart w:id="2634" w:name="_Toc38441619"/>
      <w:bookmarkStart w:id="2635" w:name="_Toc38441947"/>
      <w:bookmarkStart w:id="2636" w:name="_Toc38442279"/>
      <w:bookmarkStart w:id="2637" w:name="_Toc38442611"/>
      <w:bookmarkStart w:id="2638" w:name="_Toc38442942"/>
      <w:bookmarkStart w:id="2639" w:name="_Toc38443273"/>
      <w:bookmarkStart w:id="2640" w:name="_Toc38443604"/>
      <w:bookmarkStart w:id="2641" w:name="_Toc38443934"/>
      <w:bookmarkStart w:id="2642" w:name="_Toc38438402"/>
      <w:bookmarkStart w:id="2643" w:name="_Toc38438739"/>
      <w:bookmarkStart w:id="2644" w:name="_Toc38439076"/>
      <w:bookmarkStart w:id="2645" w:name="_Toc38439413"/>
      <w:bookmarkStart w:id="2646" w:name="_Toc38439750"/>
      <w:bookmarkStart w:id="2647" w:name="_Toc38440087"/>
      <w:bookmarkStart w:id="2648" w:name="_Toc38440424"/>
      <w:bookmarkStart w:id="2649" w:name="_Toc38440956"/>
      <w:bookmarkStart w:id="2650" w:name="_Toc38441288"/>
      <w:bookmarkStart w:id="2651" w:name="_Toc38441620"/>
      <w:bookmarkStart w:id="2652" w:name="_Toc38441948"/>
      <w:bookmarkStart w:id="2653" w:name="_Toc38442280"/>
      <w:bookmarkStart w:id="2654" w:name="_Toc38442612"/>
      <w:bookmarkStart w:id="2655" w:name="_Toc38442943"/>
      <w:bookmarkStart w:id="2656" w:name="_Toc38443274"/>
      <w:bookmarkStart w:id="2657" w:name="_Toc38443605"/>
      <w:bookmarkStart w:id="2658" w:name="_Toc38443935"/>
      <w:bookmarkStart w:id="2659" w:name="_Toc38438404"/>
      <w:bookmarkStart w:id="2660" w:name="_Toc38438741"/>
      <w:bookmarkStart w:id="2661" w:name="_Toc38439078"/>
      <w:bookmarkStart w:id="2662" w:name="_Toc38439415"/>
      <w:bookmarkStart w:id="2663" w:name="_Toc38439752"/>
      <w:bookmarkStart w:id="2664" w:name="_Toc38440089"/>
      <w:bookmarkStart w:id="2665" w:name="_Toc38440426"/>
      <w:bookmarkStart w:id="2666" w:name="_Toc38440958"/>
      <w:bookmarkStart w:id="2667" w:name="_Toc38441290"/>
      <w:bookmarkStart w:id="2668" w:name="_Toc38441622"/>
      <w:bookmarkStart w:id="2669" w:name="_Toc38441950"/>
      <w:bookmarkStart w:id="2670" w:name="_Toc38442282"/>
      <w:bookmarkStart w:id="2671" w:name="_Toc38442614"/>
      <w:bookmarkStart w:id="2672" w:name="_Toc38442945"/>
      <w:bookmarkStart w:id="2673" w:name="_Toc38443276"/>
      <w:bookmarkStart w:id="2674" w:name="_Toc38443607"/>
      <w:bookmarkStart w:id="2675" w:name="_Toc38443937"/>
      <w:bookmarkStart w:id="2676" w:name="_Toc38438405"/>
      <w:bookmarkStart w:id="2677" w:name="_Toc38438742"/>
      <w:bookmarkStart w:id="2678" w:name="_Toc38439079"/>
      <w:bookmarkStart w:id="2679" w:name="_Toc38439416"/>
      <w:bookmarkStart w:id="2680" w:name="_Toc38439753"/>
      <w:bookmarkStart w:id="2681" w:name="_Toc38440090"/>
      <w:bookmarkStart w:id="2682" w:name="_Toc38440427"/>
      <w:bookmarkStart w:id="2683" w:name="_Toc38440959"/>
      <w:bookmarkStart w:id="2684" w:name="_Toc38441291"/>
      <w:bookmarkStart w:id="2685" w:name="_Toc38441623"/>
      <w:bookmarkStart w:id="2686" w:name="_Toc38441951"/>
      <w:bookmarkStart w:id="2687" w:name="_Toc38442283"/>
      <w:bookmarkStart w:id="2688" w:name="_Toc38442615"/>
      <w:bookmarkStart w:id="2689" w:name="_Toc38442946"/>
      <w:bookmarkStart w:id="2690" w:name="_Toc38443277"/>
      <w:bookmarkStart w:id="2691" w:name="_Toc38443608"/>
      <w:bookmarkStart w:id="2692" w:name="_Toc38443938"/>
      <w:bookmarkStart w:id="2693" w:name="_Toc38438406"/>
      <w:bookmarkStart w:id="2694" w:name="_Toc38438743"/>
      <w:bookmarkStart w:id="2695" w:name="_Toc38439080"/>
      <w:bookmarkStart w:id="2696" w:name="_Toc38439417"/>
      <w:bookmarkStart w:id="2697" w:name="_Toc38439754"/>
      <w:bookmarkStart w:id="2698" w:name="_Toc38440091"/>
      <w:bookmarkStart w:id="2699" w:name="_Toc38440428"/>
      <w:bookmarkStart w:id="2700" w:name="_Toc38440960"/>
      <w:bookmarkStart w:id="2701" w:name="_Toc38441292"/>
      <w:bookmarkStart w:id="2702" w:name="_Toc38441624"/>
      <w:bookmarkStart w:id="2703" w:name="_Toc38441952"/>
      <w:bookmarkStart w:id="2704" w:name="_Toc38442284"/>
      <w:bookmarkStart w:id="2705" w:name="_Toc38442616"/>
      <w:bookmarkStart w:id="2706" w:name="_Toc38442947"/>
      <w:bookmarkStart w:id="2707" w:name="_Toc38443278"/>
      <w:bookmarkStart w:id="2708" w:name="_Toc38443609"/>
      <w:bookmarkStart w:id="2709" w:name="_Toc38443939"/>
      <w:bookmarkStart w:id="2710" w:name="_Toc38438407"/>
      <w:bookmarkStart w:id="2711" w:name="_Toc38438744"/>
      <w:bookmarkStart w:id="2712" w:name="_Toc38439081"/>
      <w:bookmarkStart w:id="2713" w:name="_Toc38439418"/>
      <w:bookmarkStart w:id="2714" w:name="_Toc38439755"/>
      <w:bookmarkStart w:id="2715" w:name="_Toc38440092"/>
      <w:bookmarkStart w:id="2716" w:name="_Toc38440429"/>
      <w:bookmarkStart w:id="2717" w:name="_Toc38440961"/>
      <w:bookmarkStart w:id="2718" w:name="_Toc38441293"/>
      <w:bookmarkStart w:id="2719" w:name="_Toc38441625"/>
      <w:bookmarkStart w:id="2720" w:name="_Toc38441953"/>
      <w:bookmarkStart w:id="2721" w:name="_Toc38442285"/>
      <w:bookmarkStart w:id="2722" w:name="_Toc38442617"/>
      <w:bookmarkStart w:id="2723" w:name="_Toc38442948"/>
      <w:bookmarkStart w:id="2724" w:name="_Toc38443279"/>
      <w:bookmarkStart w:id="2725" w:name="_Toc38443610"/>
      <w:bookmarkStart w:id="2726" w:name="_Toc38443940"/>
      <w:bookmarkStart w:id="2727" w:name="_Toc38438408"/>
      <w:bookmarkStart w:id="2728" w:name="_Toc38438745"/>
      <w:bookmarkStart w:id="2729" w:name="_Toc38439082"/>
      <w:bookmarkStart w:id="2730" w:name="_Toc38439419"/>
      <w:bookmarkStart w:id="2731" w:name="_Toc38439756"/>
      <w:bookmarkStart w:id="2732" w:name="_Toc38440093"/>
      <w:bookmarkStart w:id="2733" w:name="_Toc38440430"/>
      <w:bookmarkStart w:id="2734" w:name="_Toc38440962"/>
      <w:bookmarkStart w:id="2735" w:name="_Toc38441294"/>
      <w:bookmarkStart w:id="2736" w:name="_Toc38441626"/>
      <w:bookmarkStart w:id="2737" w:name="_Toc38441954"/>
      <w:bookmarkStart w:id="2738" w:name="_Toc38442286"/>
      <w:bookmarkStart w:id="2739" w:name="_Toc38442618"/>
      <w:bookmarkStart w:id="2740" w:name="_Toc38442949"/>
      <w:bookmarkStart w:id="2741" w:name="_Toc38443280"/>
      <w:bookmarkStart w:id="2742" w:name="_Toc38443611"/>
      <w:bookmarkStart w:id="2743" w:name="_Toc38443941"/>
      <w:bookmarkStart w:id="2744" w:name="_Toc38438409"/>
      <w:bookmarkStart w:id="2745" w:name="_Toc38438746"/>
      <w:bookmarkStart w:id="2746" w:name="_Toc38439083"/>
      <w:bookmarkStart w:id="2747" w:name="_Toc38439420"/>
      <w:bookmarkStart w:id="2748" w:name="_Toc38439757"/>
      <w:bookmarkStart w:id="2749" w:name="_Toc38440094"/>
      <w:bookmarkStart w:id="2750" w:name="_Toc38440431"/>
      <w:bookmarkStart w:id="2751" w:name="_Toc38440963"/>
      <w:bookmarkStart w:id="2752" w:name="_Toc38441295"/>
      <w:bookmarkStart w:id="2753" w:name="_Toc38441627"/>
      <w:bookmarkStart w:id="2754" w:name="_Toc38441955"/>
      <w:bookmarkStart w:id="2755" w:name="_Toc38442287"/>
      <w:bookmarkStart w:id="2756" w:name="_Toc38442619"/>
      <w:bookmarkStart w:id="2757" w:name="_Toc38442950"/>
      <w:bookmarkStart w:id="2758" w:name="_Toc38443281"/>
      <w:bookmarkStart w:id="2759" w:name="_Toc38443612"/>
      <w:bookmarkStart w:id="2760" w:name="_Toc38443942"/>
      <w:bookmarkStart w:id="2761" w:name="_Toc38438410"/>
      <w:bookmarkStart w:id="2762" w:name="_Toc38438747"/>
      <w:bookmarkStart w:id="2763" w:name="_Toc38439084"/>
      <w:bookmarkStart w:id="2764" w:name="_Toc38439421"/>
      <w:bookmarkStart w:id="2765" w:name="_Toc38439758"/>
      <w:bookmarkStart w:id="2766" w:name="_Toc38440095"/>
      <w:bookmarkStart w:id="2767" w:name="_Toc38440432"/>
      <w:bookmarkStart w:id="2768" w:name="_Toc38440964"/>
      <w:bookmarkStart w:id="2769" w:name="_Toc38441296"/>
      <w:bookmarkStart w:id="2770" w:name="_Toc38441628"/>
      <w:bookmarkStart w:id="2771" w:name="_Toc38441956"/>
      <w:bookmarkStart w:id="2772" w:name="_Toc38442288"/>
      <w:bookmarkStart w:id="2773" w:name="_Toc38442620"/>
      <w:bookmarkStart w:id="2774" w:name="_Toc38442951"/>
      <w:bookmarkStart w:id="2775" w:name="_Toc38443282"/>
      <w:bookmarkStart w:id="2776" w:name="_Toc38443613"/>
      <w:bookmarkStart w:id="2777" w:name="_Toc38443943"/>
      <w:bookmarkStart w:id="2778" w:name="_Toc38438411"/>
      <w:bookmarkStart w:id="2779" w:name="_Toc38438748"/>
      <w:bookmarkStart w:id="2780" w:name="_Toc38439085"/>
      <w:bookmarkStart w:id="2781" w:name="_Toc38439422"/>
      <w:bookmarkStart w:id="2782" w:name="_Toc38439759"/>
      <w:bookmarkStart w:id="2783" w:name="_Toc38440096"/>
      <w:bookmarkStart w:id="2784" w:name="_Toc38440433"/>
      <w:bookmarkStart w:id="2785" w:name="_Toc38440965"/>
      <w:bookmarkStart w:id="2786" w:name="_Toc38441297"/>
      <w:bookmarkStart w:id="2787" w:name="_Toc38441629"/>
      <w:bookmarkStart w:id="2788" w:name="_Toc38441957"/>
      <w:bookmarkStart w:id="2789" w:name="_Toc38442289"/>
      <w:bookmarkStart w:id="2790" w:name="_Toc38442621"/>
      <w:bookmarkStart w:id="2791" w:name="_Toc38442952"/>
      <w:bookmarkStart w:id="2792" w:name="_Toc38443283"/>
      <w:bookmarkStart w:id="2793" w:name="_Toc38443614"/>
      <w:bookmarkStart w:id="2794" w:name="_Toc38443944"/>
      <w:bookmarkStart w:id="2795" w:name="_Toc38438412"/>
      <w:bookmarkStart w:id="2796" w:name="_Toc38438749"/>
      <w:bookmarkStart w:id="2797" w:name="_Toc38439086"/>
      <w:bookmarkStart w:id="2798" w:name="_Toc38439423"/>
      <w:bookmarkStart w:id="2799" w:name="_Toc38439760"/>
      <w:bookmarkStart w:id="2800" w:name="_Toc38440097"/>
      <w:bookmarkStart w:id="2801" w:name="_Toc38440434"/>
      <w:bookmarkStart w:id="2802" w:name="_Toc38440966"/>
      <w:bookmarkStart w:id="2803" w:name="_Toc38441298"/>
      <w:bookmarkStart w:id="2804" w:name="_Toc38441630"/>
      <w:bookmarkStart w:id="2805" w:name="_Toc38441958"/>
      <w:bookmarkStart w:id="2806" w:name="_Toc38442290"/>
      <w:bookmarkStart w:id="2807" w:name="_Toc38442622"/>
      <w:bookmarkStart w:id="2808" w:name="_Toc38442953"/>
      <w:bookmarkStart w:id="2809" w:name="_Toc38443284"/>
      <w:bookmarkStart w:id="2810" w:name="_Toc38443615"/>
      <w:bookmarkStart w:id="2811" w:name="_Toc38443945"/>
      <w:bookmarkStart w:id="2812" w:name="_Toc38438413"/>
      <w:bookmarkStart w:id="2813" w:name="_Toc38438750"/>
      <w:bookmarkStart w:id="2814" w:name="_Toc38439087"/>
      <w:bookmarkStart w:id="2815" w:name="_Toc38439424"/>
      <w:bookmarkStart w:id="2816" w:name="_Toc38439761"/>
      <w:bookmarkStart w:id="2817" w:name="_Toc38440098"/>
      <w:bookmarkStart w:id="2818" w:name="_Toc38440435"/>
      <w:bookmarkStart w:id="2819" w:name="_Toc38440967"/>
      <w:bookmarkStart w:id="2820" w:name="_Toc38441299"/>
      <w:bookmarkStart w:id="2821" w:name="_Toc38441631"/>
      <w:bookmarkStart w:id="2822" w:name="_Toc38441959"/>
      <w:bookmarkStart w:id="2823" w:name="_Toc38442291"/>
      <w:bookmarkStart w:id="2824" w:name="_Toc38442623"/>
      <w:bookmarkStart w:id="2825" w:name="_Toc38442954"/>
      <w:bookmarkStart w:id="2826" w:name="_Toc38443285"/>
      <w:bookmarkStart w:id="2827" w:name="_Toc38443616"/>
      <w:bookmarkStart w:id="2828" w:name="_Toc38443946"/>
      <w:bookmarkStart w:id="2829" w:name="_Toc38438414"/>
      <w:bookmarkStart w:id="2830" w:name="_Toc38438751"/>
      <w:bookmarkStart w:id="2831" w:name="_Toc38439088"/>
      <w:bookmarkStart w:id="2832" w:name="_Toc38439425"/>
      <w:bookmarkStart w:id="2833" w:name="_Toc38439762"/>
      <w:bookmarkStart w:id="2834" w:name="_Toc38440099"/>
      <w:bookmarkStart w:id="2835" w:name="_Toc38440436"/>
      <w:bookmarkStart w:id="2836" w:name="_Toc38440968"/>
      <w:bookmarkStart w:id="2837" w:name="_Toc38441300"/>
      <w:bookmarkStart w:id="2838" w:name="_Toc38441632"/>
      <w:bookmarkStart w:id="2839" w:name="_Toc38441960"/>
      <w:bookmarkStart w:id="2840" w:name="_Toc38442292"/>
      <w:bookmarkStart w:id="2841" w:name="_Toc38442624"/>
      <w:bookmarkStart w:id="2842" w:name="_Toc38442955"/>
      <w:bookmarkStart w:id="2843" w:name="_Toc38443286"/>
      <w:bookmarkStart w:id="2844" w:name="_Toc38443617"/>
      <w:bookmarkStart w:id="2845" w:name="_Toc38443947"/>
      <w:bookmarkStart w:id="2846" w:name="_Toc38438415"/>
      <w:bookmarkStart w:id="2847" w:name="_Toc38438752"/>
      <w:bookmarkStart w:id="2848" w:name="_Toc38439089"/>
      <w:bookmarkStart w:id="2849" w:name="_Toc38439426"/>
      <w:bookmarkStart w:id="2850" w:name="_Toc38439763"/>
      <w:bookmarkStart w:id="2851" w:name="_Toc38440100"/>
      <w:bookmarkStart w:id="2852" w:name="_Toc38440437"/>
      <w:bookmarkStart w:id="2853" w:name="_Toc38440969"/>
      <w:bookmarkStart w:id="2854" w:name="_Toc38441301"/>
      <w:bookmarkStart w:id="2855" w:name="_Toc38441633"/>
      <w:bookmarkStart w:id="2856" w:name="_Toc38441961"/>
      <w:bookmarkStart w:id="2857" w:name="_Toc38442293"/>
      <w:bookmarkStart w:id="2858" w:name="_Toc38442625"/>
      <w:bookmarkStart w:id="2859" w:name="_Toc38442956"/>
      <w:bookmarkStart w:id="2860" w:name="_Toc38443287"/>
      <w:bookmarkStart w:id="2861" w:name="_Toc38443618"/>
      <w:bookmarkStart w:id="2862" w:name="_Toc38443948"/>
      <w:bookmarkStart w:id="2863" w:name="_Toc38438416"/>
      <w:bookmarkStart w:id="2864" w:name="_Toc38438753"/>
      <w:bookmarkStart w:id="2865" w:name="_Toc38439090"/>
      <w:bookmarkStart w:id="2866" w:name="_Toc38439427"/>
      <w:bookmarkStart w:id="2867" w:name="_Toc38439764"/>
      <w:bookmarkStart w:id="2868" w:name="_Toc38440101"/>
      <w:bookmarkStart w:id="2869" w:name="_Toc38440438"/>
      <w:bookmarkStart w:id="2870" w:name="_Toc38440970"/>
      <w:bookmarkStart w:id="2871" w:name="_Toc38441302"/>
      <w:bookmarkStart w:id="2872" w:name="_Toc38441634"/>
      <w:bookmarkStart w:id="2873" w:name="_Toc38441962"/>
      <w:bookmarkStart w:id="2874" w:name="_Toc38442294"/>
      <w:bookmarkStart w:id="2875" w:name="_Toc38442626"/>
      <w:bookmarkStart w:id="2876" w:name="_Toc38442957"/>
      <w:bookmarkStart w:id="2877" w:name="_Toc38443288"/>
      <w:bookmarkStart w:id="2878" w:name="_Toc38443619"/>
      <w:bookmarkStart w:id="2879" w:name="_Toc38443949"/>
      <w:bookmarkStart w:id="2880" w:name="_Toc38438417"/>
      <w:bookmarkStart w:id="2881" w:name="_Toc38438754"/>
      <w:bookmarkStart w:id="2882" w:name="_Toc38439091"/>
      <w:bookmarkStart w:id="2883" w:name="_Toc38439428"/>
      <w:bookmarkStart w:id="2884" w:name="_Toc38439765"/>
      <w:bookmarkStart w:id="2885" w:name="_Toc38440102"/>
      <w:bookmarkStart w:id="2886" w:name="_Toc38440439"/>
      <w:bookmarkStart w:id="2887" w:name="_Toc38440971"/>
      <w:bookmarkStart w:id="2888" w:name="_Toc38441303"/>
      <w:bookmarkStart w:id="2889" w:name="_Toc38441635"/>
      <w:bookmarkStart w:id="2890" w:name="_Toc38441963"/>
      <w:bookmarkStart w:id="2891" w:name="_Toc38442295"/>
      <w:bookmarkStart w:id="2892" w:name="_Toc38442627"/>
      <w:bookmarkStart w:id="2893" w:name="_Toc38442958"/>
      <w:bookmarkStart w:id="2894" w:name="_Toc38443289"/>
      <w:bookmarkStart w:id="2895" w:name="_Toc38443620"/>
      <w:bookmarkStart w:id="2896" w:name="_Toc38443950"/>
      <w:bookmarkStart w:id="2897" w:name="_Toc38438418"/>
      <w:bookmarkStart w:id="2898" w:name="_Toc38438755"/>
      <w:bookmarkStart w:id="2899" w:name="_Toc38439092"/>
      <w:bookmarkStart w:id="2900" w:name="_Toc38439429"/>
      <w:bookmarkStart w:id="2901" w:name="_Toc38439766"/>
      <w:bookmarkStart w:id="2902" w:name="_Toc38440103"/>
      <w:bookmarkStart w:id="2903" w:name="_Toc38440440"/>
      <w:bookmarkStart w:id="2904" w:name="_Toc38440972"/>
      <w:bookmarkStart w:id="2905" w:name="_Toc38441304"/>
      <w:bookmarkStart w:id="2906" w:name="_Toc38441636"/>
      <w:bookmarkStart w:id="2907" w:name="_Toc38441964"/>
      <w:bookmarkStart w:id="2908" w:name="_Toc38442296"/>
      <w:bookmarkStart w:id="2909" w:name="_Toc38442628"/>
      <w:bookmarkStart w:id="2910" w:name="_Toc38442959"/>
      <w:bookmarkStart w:id="2911" w:name="_Toc38443290"/>
      <w:bookmarkStart w:id="2912" w:name="_Toc38443621"/>
      <w:bookmarkStart w:id="2913" w:name="_Toc38443951"/>
      <w:bookmarkStart w:id="2914" w:name="_Toc38438419"/>
      <w:bookmarkStart w:id="2915" w:name="_Toc38438756"/>
      <w:bookmarkStart w:id="2916" w:name="_Toc38439093"/>
      <w:bookmarkStart w:id="2917" w:name="_Toc38439430"/>
      <w:bookmarkStart w:id="2918" w:name="_Toc38439767"/>
      <w:bookmarkStart w:id="2919" w:name="_Toc38440104"/>
      <w:bookmarkStart w:id="2920" w:name="_Toc38440441"/>
      <w:bookmarkStart w:id="2921" w:name="_Toc38440973"/>
      <w:bookmarkStart w:id="2922" w:name="_Toc38441305"/>
      <w:bookmarkStart w:id="2923" w:name="_Toc38441637"/>
      <w:bookmarkStart w:id="2924" w:name="_Toc38441965"/>
      <w:bookmarkStart w:id="2925" w:name="_Toc38442297"/>
      <w:bookmarkStart w:id="2926" w:name="_Toc38442629"/>
      <w:bookmarkStart w:id="2927" w:name="_Toc38442960"/>
      <w:bookmarkStart w:id="2928" w:name="_Toc38443291"/>
      <w:bookmarkStart w:id="2929" w:name="_Toc38443622"/>
      <w:bookmarkStart w:id="2930" w:name="_Toc38443952"/>
      <w:bookmarkStart w:id="2931" w:name="_Toc38438420"/>
      <w:bookmarkStart w:id="2932" w:name="_Toc38438757"/>
      <w:bookmarkStart w:id="2933" w:name="_Toc38439094"/>
      <w:bookmarkStart w:id="2934" w:name="_Toc38439431"/>
      <w:bookmarkStart w:id="2935" w:name="_Toc38439768"/>
      <w:bookmarkStart w:id="2936" w:name="_Toc38440105"/>
      <w:bookmarkStart w:id="2937" w:name="_Toc38440442"/>
      <w:bookmarkStart w:id="2938" w:name="_Toc38440974"/>
      <w:bookmarkStart w:id="2939" w:name="_Toc38441306"/>
      <w:bookmarkStart w:id="2940" w:name="_Toc38441638"/>
      <w:bookmarkStart w:id="2941" w:name="_Toc38441966"/>
      <w:bookmarkStart w:id="2942" w:name="_Toc38442298"/>
      <w:bookmarkStart w:id="2943" w:name="_Toc38442630"/>
      <w:bookmarkStart w:id="2944" w:name="_Toc38442961"/>
      <w:bookmarkStart w:id="2945" w:name="_Toc38443292"/>
      <w:bookmarkStart w:id="2946" w:name="_Toc38443623"/>
      <w:bookmarkStart w:id="2947" w:name="_Toc38443953"/>
      <w:bookmarkStart w:id="2948" w:name="_Toc38438421"/>
      <w:bookmarkStart w:id="2949" w:name="_Toc38438758"/>
      <w:bookmarkStart w:id="2950" w:name="_Toc38439095"/>
      <w:bookmarkStart w:id="2951" w:name="_Toc38439432"/>
      <w:bookmarkStart w:id="2952" w:name="_Toc38439769"/>
      <w:bookmarkStart w:id="2953" w:name="_Toc38440106"/>
      <w:bookmarkStart w:id="2954" w:name="_Toc38440443"/>
      <w:bookmarkStart w:id="2955" w:name="_Toc38440975"/>
      <w:bookmarkStart w:id="2956" w:name="_Toc38441307"/>
      <w:bookmarkStart w:id="2957" w:name="_Toc38441639"/>
      <w:bookmarkStart w:id="2958" w:name="_Toc38441967"/>
      <w:bookmarkStart w:id="2959" w:name="_Toc38442299"/>
      <w:bookmarkStart w:id="2960" w:name="_Toc38442631"/>
      <w:bookmarkStart w:id="2961" w:name="_Toc38442962"/>
      <w:bookmarkStart w:id="2962" w:name="_Toc38443293"/>
      <w:bookmarkStart w:id="2963" w:name="_Toc38443624"/>
      <w:bookmarkStart w:id="2964" w:name="_Toc38443954"/>
      <w:bookmarkStart w:id="2965" w:name="_Toc38438422"/>
      <w:bookmarkStart w:id="2966" w:name="_Toc38438759"/>
      <w:bookmarkStart w:id="2967" w:name="_Toc38439096"/>
      <w:bookmarkStart w:id="2968" w:name="_Toc38439433"/>
      <w:bookmarkStart w:id="2969" w:name="_Toc38439770"/>
      <w:bookmarkStart w:id="2970" w:name="_Toc38440107"/>
      <w:bookmarkStart w:id="2971" w:name="_Toc38440444"/>
      <w:bookmarkStart w:id="2972" w:name="_Toc38440976"/>
      <w:bookmarkStart w:id="2973" w:name="_Toc38441308"/>
      <w:bookmarkStart w:id="2974" w:name="_Toc38441640"/>
      <w:bookmarkStart w:id="2975" w:name="_Toc38441968"/>
      <w:bookmarkStart w:id="2976" w:name="_Toc38442300"/>
      <w:bookmarkStart w:id="2977" w:name="_Toc38442632"/>
      <w:bookmarkStart w:id="2978" w:name="_Toc38442963"/>
      <w:bookmarkStart w:id="2979" w:name="_Toc38443294"/>
      <w:bookmarkStart w:id="2980" w:name="_Toc38443625"/>
      <w:bookmarkStart w:id="2981" w:name="_Toc38443955"/>
      <w:bookmarkStart w:id="2982" w:name="_Toc38438423"/>
      <w:bookmarkStart w:id="2983" w:name="_Toc38438760"/>
      <w:bookmarkStart w:id="2984" w:name="_Toc38439097"/>
      <w:bookmarkStart w:id="2985" w:name="_Toc38439434"/>
      <w:bookmarkStart w:id="2986" w:name="_Toc38439771"/>
      <w:bookmarkStart w:id="2987" w:name="_Toc38440108"/>
      <w:bookmarkStart w:id="2988" w:name="_Toc38440445"/>
      <w:bookmarkStart w:id="2989" w:name="_Toc38440977"/>
      <w:bookmarkStart w:id="2990" w:name="_Toc38441309"/>
      <w:bookmarkStart w:id="2991" w:name="_Toc38441641"/>
      <w:bookmarkStart w:id="2992" w:name="_Toc38441969"/>
      <w:bookmarkStart w:id="2993" w:name="_Toc38442301"/>
      <w:bookmarkStart w:id="2994" w:name="_Toc38442633"/>
      <w:bookmarkStart w:id="2995" w:name="_Toc38442964"/>
      <w:bookmarkStart w:id="2996" w:name="_Toc38443295"/>
      <w:bookmarkStart w:id="2997" w:name="_Toc38443626"/>
      <w:bookmarkStart w:id="2998" w:name="_Toc38443956"/>
      <w:bookmarkStart w:id="2999" w:name="_Toc38438424"/>
      <w:bookmarkStart w:id="3000" w:name="_Toc38438761"/>
      <w:bookmarkStart w:id="3001" w:name="_Toc38439098"/>
      <w:bookmarkStart w:id="3002" w:name="_Toc38439435"/>
      <w:bookmarkStart w:id="3003" w:name="_Toc38439772"/>
      <w:bookmarkStart w:id="3004" w:name="_Toc38440109"/>
      <w:bookmarkStart w:id="3005" w:name="_Toc38440446"/>
      <w:bookmarkStart w:id="3006" w:name="_Toc38440978"/>
      <w:bookmarkStart w:id="3007" w:name="_Toc38441310"/>
      <w:bookmarkStart w:id="3008" w:name="_Toc38441642"/>
      <w:bookmarkStart w:id="3009" w:name="_Toc38441970"/>
      <w:bookmarkStart w:id="3010" w:name="_Toc38442302"/>
      <w:bookmarkStart w:id="3011" w:name="_Toc38442634"/>
      <w:bookmarkStart w:id="3012" w:name="_Toc38442965"/>
      <w:bookmarkStart w:id="3013" w:name="_Toc38443296"/>
      <w:bookmarkStart w:id="3014" w:name="_Toc38443627"/>
      <w:bookmarkStart w:id="3015" w:name="_Toc38443957"/>
      <w:bookmarkStart w:id="3016" w:name="_Toc38438425"/>
      <w:bookmarkStart w:id="3017" w:name="_Toc38438762"/>
      <w:bookmarkStart w:id="3018" w:name="_Toc38439099"/>
      <w:bookmarkStart w:id="3019" w:name="_Toc38439436"/>
      <w:bookmarkStart w:id="3020" w:name="_Toc38439773"/>
      <w:bookmarkStart w:id="3021" w:name="_Toc38440110"/>
      <w:bookmarkStart w:id="3022" w:name="_Toc38440447"/>
      <w:bookmarkStart w:id="3023" w:name="_Toc38440979"/>
      <w:bookmarkStart w:id="3024" w:name="_Toc38441311"/>
      <w:bookmarkStart w:id="3025" w:name="_Toc38441643"/>
      <w:bookmarkStart w:id="3026" w:name="_Toc38441971"/>
      <w:bookmarkStart w:id="3027" w:name="_Toc38442303"/>
      <w:bookmarkStart w:id="3028" w:name="_Toc38442635"/>
      <w:bookmarkStart w:id="3029" w:name="_Toc38442966"/>
      <w:bookmarkStart w:id="3030" w:name="_Toc38443297"/>
      <w:bookmarkStart w:id="3031" w:name="_Toc38443628"/>
      <w:bookmarkStart w:id="3032" w:name="_Toc38443958"/>
      <w:bookmarkStart w:id="3033" w:name="_Toc38438426"/>
      <w:bookmarkStart w:id="3034" w:name="_Toc38438763"/>
      <w:bookmarkStart w:id="3035" w:name="_Toc38439100"/>
      <w:bookmarkStart w:id="3036" w:name="_Toc38439437"/>
      <w:bookmarkStart w:id="3037" w:name="_Toc38439774"/>
      <w:bookmarkStart w:id="3038" w:name="_Toc38440111"/>
      <w:bookmarkStart w:id="3039" w:name="_Toc38440448"/>
      <w:bookmarkStart w:id="3040" w:name="_Toc38440980"/>
      <w:bookmarkStart w:id="3041" w:name="_Toc38441312"/>
      <w:bookmarkStart w:id="3042" w:name="_Toc38441644"/>
      <w:bookmarkStart w:id="3043" w:name="_Toc38441972"/>
      <w:bookmarkStart w:id="3044" w:name="_Toc38442304"/>
      <w:bookmarkStart w:id="3045" w:name="_Toc38442636"/>
      <w:bookmarkStart w:id="3046" w:name="_Toc38442967"/>
      <w:bookmarkStart w:id="3047" w:name="_Toc38443298"/>
      <w:bookmarkStart w:id="3048" w:name="_Toc38443629"/>
      <w:bookmarkStart w:id="3049" w:name="_Toc38443959"/>
      <w:bookmarkStart w:id="3050" w:name="_Toc38438427"/>
      <w:bookmarkStart w:id="3051" w:name="_Toc38438764"/>
      <w:bookmarkStart w:id="3052" w:name="_Toc38439101"/>
      <w:bookmarkStart w:id="3053" w:name="_Toc38439438"/>
      <w:bookmarkStart w:id="3054" w:name="_Toc38439775"/>
      <w:bookmarkStart w:id="3055" w:name="_Toc38440112"/>
      <w:bookmarkStart w:id="3056" w:name="_Toc38440449"/>
      <w:bookmarkStart w:id="3057" w:name="_Toc38440981"/>
      <w:bookmarkStart w:id="3058" w:name="_Toc38441313"/>
      <w:bookmarkStart w:id="3059" w:name="_Toc38441645"/>
      <w:bookmarkStart w:id="3060" w:name="_Toc38441973"/>
      <w:bookmarkStart w:id="3061" w:name="_Toc38442305"/>
      <w:bookmarkStart w:id="3062" w:name="_Toc38442637"/>
      <w:bookmarkStart w:id="3063" w:name="_Toc38442968"/>
      <w:bookmarkStart w:id="3064" w:name="_Toc38443299"/>
      <w:bookmarkStart w:id="3065" w:name="_Toc38443630"/>
      <w:bookmarkStart w:id="3066" w:name="_Toc38443960"/>
      <w:bookmarkStart w:id="3067" w:name="_Toc38438428"/>
      <w:bookmarkStart w:id="3068" w:name="_Toc38438765"/>
      <w:bookmarkStart w:id="3069" w:name="_Toc38439102"/>
      <w:bookmarkStart w:id="3070" w:name="_Toc38439439"/>
      <w:bookmarkStart w:id="3071" w:name="_Toc38439776"/>
      <w:bookmarkStart w:id="3072" w:name="_Toc38440113"/>
      <w:bookmarkStart w:id="3073" w:name="_Toc38440450"/>
      <w:bookmarkStart w:id="3074" w:name="_Toc38440982"/>
      <w:bookmarkStart w:id="3075" w:name="_Toc38441314"/>
      <w:bookmarkStart w:id="3076" w:name="_Toc38441646"/>
      <w:bookmarkStart w:id="3077" w:name="_Toc38441974"/>
      <w:bookmarkStart w:id="3078" w:name="_Toc38442306"/>
      <w:bookmarkStart w:id="3079" w:name="_Toc38442638"/>
      <w:bookmarkStart w:id="3080" w:name="_Toc38442969"/>
      <w:bookmarkStart w:id="3081" w:name="_Toc38443300"/>
      <w:bookmarkStart w:id="3082" w:name="_Toc38443631"/>
      <w:bookmarkStart w:id="3083" w:name="_Toc38443961"/>
      <w:bookmarkStart w:id="3084" w:name="_Toc38438429"/>
      <w:bookmarkStart w:id="3085" w:name="_Toc38438766"/>
      <w:bookmarkStart w:id="3086" w:name="_Toc38439103"/>
      <w:bookmarkStart w:id="3087" w:name="_Toc38439440"/>
      <w:bookmarkStart w:id="3088" w:name="_Toc38439777"/>
      <w:bookmarkStart w:id="3089" w:name="_Toc38440114"/>
      <w:bookmarkStart w:id="3090" w:name="_Toc38440451"/>
      <w:bookmarkStart w:id="3091" w:name="_Toc38440983"/>
      <w:bookmarkStart w:id="3092" w:name="_Toc38441315"/>
      <w:bookmarkStart w:id="3093" w:name="_Toc38441647"/>
      <w:bookmarkStart w:id="3094" w:name="_Toc38441975"/>
      <w:bookmarkStart w:id="3095" w:name="_Toc38442307"/>
      <w:bookmarkStart w:id="3096" w:name="_Toc38442639"/>
      <w:bookmarkStart w:id="3097" w:name="_Toc38442970"/>
      <w:bookmarkStart w:id="3098" w:name="_Toc38443301"/>
      <w:bookmarkStart w:id="3099" w:name="_Toc38443632"/>
      <w:bookmarkStart w:id="3100" w:name="_Toc38443962"/>
      <w:bookmarkStart w:id="3101" w:name="_Toc38438430"/>
      <w:bookmarkStart w:id="3102" w:name="_Toc38438767"/>
      <w:bookmarkStart w:id="3103" w:name="_Toc38439104"/>
      <w:bookmarkStart w:id="3104" w:name="_Toc38439441"/>
      <w:bookmarkStart w:id="3105" w:name="_Toc38439778"/>
      <w:bookmarkStart w:id="3106" w:name="_Toc38440115"/>
      <w:bookmarkStart w:id="3107" w:name="_Toc38440452"/>
      <w:bookmarkStart w:id="3108" w:name="_Toc38440984"/>
      <w:bookmarkStart w:id="3109" w:name="_Toc38441316"/>
      <w:bookmarkStart w:id="3110" w:name="_Toc38441648"/>
      <w:bookmarkStart w:id="3111" w:name="_Toc38441976"/>
      <w:bookmarkStart w:id="3112" w:name="_Toc38442308"/>
      <w:bookmarkStart w:id="3113" w:name="_Toc38442640"/>
      <w:bookmarkStart w:id="3114" w:name="_Toc38442971"/>
      <w:bookmarkStart w:id="3115" w:name="_Toc38443302"/>
      <w:bookmarkStart w:id="3116" w:name="_Toc38443633"/>
      <w:bookmarkStart w:id="3117" w:name="_Toc38443963"/>
      <w:bookmarkStart w:id="3118" w:name="_Toc38438431"/>
      <w:bookmarkStart w:id="3119" w:name="_Toc38438768"/>
      <w:bookmarkStart w:id="3120" w:name="_Toc38439105"/>
      <w:bookmarkStart w:id="3121" w:name="_Toc38439442"/>
      <w:bookmarkStart w:id="3122" w:name="_Toc38439779"/>
      <w:bookmarkStart w:id="3123" w:name="_Toc38440116"/>
      <w:bookmarkStart w:id="3124" w:name="_Toc38440453"/>
      <w:bookmarkStart w:id="3125" w:name="_Toc38440985"/>
      <w:bookmarkStart w:id="3126" w:name="_Toc38441317"/>
      <w:bookmarkStart w:id="3127" w:name="_Toc38441649"/>
      <w:bookmarkStart w:id="3128" w:name="_Toc38441977"/>
      <w:bookmarkStart w:id="3129" w:name="_Toc38442309"/>
      <w:bookmarkStart w:id="3130" w:name="_Toc38442641"/>
      <w:bookmarkStart w:id="3131" w:name="_Toc38442972"/>
      <w:bookmarkStart w:id="3132" w:name="_Toc38443303"/>
      <w:bookmarkStart w:id="3133" w:name="_Toc38443634"/>
      <w:bookmarkStart w:id="3134" w:name="_Toc38443964"/>
      <w:bookmarkStart w:id="3135" w:name="_Toc38438432"/>
      <w:bookmarkStart w:id="3136" w:name="_Toc38438769"/>
      <w:bookmarkStart w:id="3137" w:name="_Toc38439106"/>
      <w:bookmarkStart w:id="3138" w:name="_Toc38439443"/>
      <w:bookmarkStart w:id="3139" w:name="_Toc38439780"/>
      <w:bookmarkStart w:id="3140" w:name="_Toc38440117"/>
      <w:bookmarkStart w:id="3141" w:name="_Toc38440454"/>
      <w:bookmarkStart w:id="3142" w:name="_Toc38440986"/>
      <w:bookmarkStart w:id="3143" w:name="_Toc38441318"/>
      <w:bookmarkStart w:id="3144" w:name="_Toc38441650"/>
      <w:bookmarkStart w:id="3145" w:name="_Toc38441978"/>
      <w:bookmarkStart w:id="3146" w:name="_Toc38442310"/>
      <w:bookmarkStart w:id="3147" w:name="_Toc38442642"/>
      <w:bookmarkStart w:id="3148" w:name="_Toc38442973"/>
      <w:bookmarkStart w:id="3149" w:name="_Toc38443304"/>
      <w:bookmarkStart w:id="3150" w:name="_Toc38443635"/>
      <w:bookmarkStart w:id="3151" w:name="_Toc38443965"/>
      <w:bookmarkStart w:id="3152" w:name="_Toc38438433"/>
      <w:bookmarkStart w:id="3153" w:name="_Toc38438770"/>
      <w:bookmarkStart w:id="3154" w:name="_Toc38439107"/>
      <w:bookmarkStart w:id="3155" w:name="_Toc38439444"/>
      <w:bookmarkStart w:id="3156" w:name="_Toc38439781"/>
      <w:bookmarkStart w:id="3157" w:name="_Toc38440118"/>
      <w:bookmarkStart w:id="3158" w:name="_Toc38440455"/>
      <w:bookmarkStart w:id="3159" w:name="_Toc38440987"/>
      <w:bookmarkStart w:id="3160" w:name="_Toc38441319"/>
      <w:bookmarkStart w:id="3161" w:name="_Toc38441651"/>
      <w:bookmarkStart w:id="3162" w:name="_Toc38441979"/>
      <w:bookmarkStart w:id="3163" w:name="_Toc38442311"/>
      <w:bookmarkStart w:id="3164" w:name="_Toc38442643"/>
      <w:bookmarkStart w:id="3165" w:name="_Toc38442974"/>
      <w:bookmarkStart w:id="3166" w:name="_Toc38443305"/>
      <w:bookmarkStart w:id="3167" w:name="_Toc38443636"/>
      <w:bookmarkStart w:id="3168" w:name="_Toc38443966"/>
      <w:bookmarkStart w:id="3169" w:name="_Toc38438434"/>
      <w:bookmarkStart w:id="3170" w:name="_Toc38438771"/>
      <w:bookmarkStart w:id="3171" w:name="_Toc38439108"/>
      <w:bookmarkStart w:id="3172" w:name="_Toc38439445"/>
      <w:bookmarkStart w:id="3173" w:name="_Toc38439782"/>
      <w:bookmarkStart w:id="3174" w:name="_Toc38440119"/>
      <w:bookmarkStart w:id="3175" w:name="_Toc38440456"/>
      <w:bookmarkStart w:id="3176" w:name="_Toc38440988"/>
      <w:bookmarkStart w:id="3177" w:name="_Toc38441320"/>
      <w:bookmarkStart w:id="3178" w:name="_Toc38441652"/>
      <w:bookmarkStart w:id="3179" w:name="_Toc38441980"/>
      <w:bookmarkStart w:id="3180" w:name="_Toc38442312"/>
      <w:bookmarkStart w:id="3181" w:name="_Toc38442644"/>
      <w:bookmarkStart w:id="3182" w:name="_Toc38442975"/>
      <w:bookmarkStart w:id="3183" w:name="_Toc38443306"/>
      <w:bookmarkStart w:id="3184" w:name="_Toc38443637"/>
      <w:bookmarkStart w:id="3185" w:name="_Toc38443967"/>
      <w:bookmarkStart w:id="3186" w:name="_Toc38438435"/>
      <w:bookmarkStart w:id="3187" w:name="_Toc38438772"/>
      <w:bookmarkStart w:id="3188" w:name="_Toc38439109"/>
      <w:bookmarkStart w:id="3189" w:name="_Toc38439446"/>
      <w:bookmarkStart w:id="3190" w:name="_Toc38439783"/>
      <w:bookmarkStart w:id="3191" w:name="_Toc38440120"/>
      <w:bookmarkStart w:id="3192" w:name="_Toc38440457"/>
      <w:bookmarkStart w:id="3193" w:name="_Toc38440989"/>
      <w:bookmarkStart w:id="3194" w:name="_Toc38441321"/>
      <w:bookmarkStart w:id="3195" w:name="_Toc38441653"/>
      <w:bookmarkStart w:id="3196" w:name="_Toc38441981"/>
      <w:bookmarkStart w:id="3197" w:name="_Toc38442313"/>
      <w:bookmarkStart w:id="3198" w:name="_Toc38442645"/>
      <w:bookmarkStart w:id="3199" w:name="_Toc38442976"/>
      <w:bookmarkStart w:id="3200" w:name="_Toc38443307"/>
      <w:bookmarkStart w:id="3201" w:name="_Toc38443638"/>
      <w:bookmarkStart w:id="3202" w:name="_Toc38443968"/>
      <w:bookmarkStart w:id="3203" w:name="_Toc38438436"/>
      <w:bookmarkStart w:id="3204" w:name="_Toc38438773"/>
      <w:bookmarkStart w:id="3205" w:name="_Toc38439110"/>
      <w:bookmarkStart w:id="3206" w:name="_Toc38439447"/>
      <w:bookmarkStart w:id="3207" w:name="_Toc38439784"/>
      <w:bookmarkStart w:id="3208" w:name="_Toc38440121"/>
      <w:bookmarkStart w:id="3209" w:name="_Toc38440458"/>
      <w:bookmarkStart w:id="3210" w:name="_Toc38440990"/>
      <w:bookmarkStart w:id="3211" w:name="_Toc38441322"/>
      <w:bookmarkStart w:id="3212" w:name="_Toc38441654"/>
      <w:bookmarkStart w:id="3213" w:name="_Toc38441982"/>
      <w:bookmarkStart w:id="3214" w:name="_Toc38442314"/>
      <w:bookmarkStart w:id="3215" w:name="_Toc38442646"/>
      <w:bookmarkStart w:id="3216" w:name="_Toc38442977"/>
      <w:bookmarkStart w:id="3217" w:name="_Toc38443308"/>
      <w:bookmarkStart w:id="3218" w:name="_Toc38443639"/>
      <w:bookmarkStart w:id="3219" w:name="_Toc38443969"/>
      <w:bookmarkStart w:id="3220" w:name="_Toc38438437"/>
      <w:bookmarkStart w:id="3221" w:name="_Toc38438774"/>
      <w:bookmarkStart w:id="3222" w:name="_Toc38439111"/>
      <w:bookmarkStart w:id="3223" w:name="_Toc38439448"/>
      <w:bookmarkStart w:id="3224" w:name="_Toc38439785"/>
      <w:bookmarkStart w:id="3225" w:name="_Toc38440122"/>
      <w:bookmarkStart w:id="3226" w:name="_Toc38440459"/>
      <w:bookmarkStart w:id="3227" w:name="_Toc38440991"/>
      <w:bookmarkStart w:id="3228" w:name="_Toc38441323"/>
      <w:bookmarkStart w:id="3229" w:name="_Toc38441655"/>
      <w:bookmarkStart w:id="3230" w:name="_Toc38441983"/>
      <w:bookmarkStart w:id="3231" w:name="_Toc38442315"/>
      <w:bookmarkStart w:id="3232" w:name="_Toc38442647"/>
      <w:bookmarkStart w:id="3233" w:name="_Toc38442978"/>
      <w:bookmarkStart w:id="3234" w:name="_Toc38443309"/>
      <w:bookmarkStart w:id="3235" w:name="_Toc38443640"/>
      <w:bookmarkStart w:id="3236" w:name="_Toc38443970"/>
      <w:bookmarkStart w:id="3237" w:name="_Toc38438438"/>
      <w:bookmarkStart w:id="3238" w:name="_Toc38438775"/>
      <w:bookmarkStart w:id="3239" w:name="_Toc38439112"/>
      <w:bookmarkStart w:id="3240" w:name="_Toc38439449"/>
      <w:bookmarkStart w:id="3241" w:name="_Toc38439786"/>
      <w:bookmarkStart w:id="3242" w:name="_Toc38440123"/>
      <w:bookmarkStart w:id="3243" w:name="_Toc38440460"/>
      <w:bookmarkStart w:id="3244" w:name="_Toc38440992"/>
      <w:bookmarkStart w:id="3245" w:name="_Toc38441324"/>
      <w:bookmarkStart w:id="3246" w:name="_Toc38441656"/>
      <w:bookmarkStart w:id="3247" w:name="_Toc38441984"/>
      <w:bookmarkStart w:id="3248" w:name="_Toc38442316"/>
      <w:bookmarkStart w:id="3249" w:name="_Toc38442648"/>
      <w:bookmarkStart w:id="3250" w:name="_Toc38442979"/>
      <w:bookmarkStart w:id="3251" w:name="_Toc38443310"/>
      <w:bookmarkStart w:id="3252" w:name="_Toc38443641"/>
      <w:bookmarkStart w:id="3253" w:name="_Toc38443971"/>
      <w:bookmarkStart w:id="3254" w:name="_Toc38438439"/>
      <w:bookmarkStart w:id="3255" w:name="_Toc38438776"/>
      <w:bookmarkStart w:id="3256" w:name="_Toc38439113"/>
      <w:bookmarkStart w:id="3257" w:name="_Toc38439450"/>
      <w:bookmarkStart w:id="3258" w:name="_Toc38439787"/>
      <w:bookmarkStart w:id="3259" w:name="_Toc38440124"/>
      <w:bookmarkStart w:id="3260" w:name="_Toc38440461"/>
      <w:bookmarkStart w:id="3261" w:name="_Toc38440993"/>
      <w:bookmarkStart w:id="3262" w:name="_Toc38441325"/>
      <w:bookmarkStart w:id="3263" w:name="_Toc38441657"/>
      <w:bookmarkStart w:id="3264" w:name="_Toc38441985"/>
      <w:bookmarkStart w:id="3265" w:name="_Toc38442317"/>
      <w:bookmarkStart w:id="3266" w:name="_Toc38442649"/>
      <w:bookmarkStart w:id="3267" w:name="_Toc38442980"/>
      <w:bookmarkStart w:id="3268" w:name="_Toc38443311"/>
      <w:bookmarkStart w:id="3269" w:name="_Toc38443642"/>
      <w:bookmarkStart w:id="3270" w:name="_Toc38443972"/>
      <w:bookmarkStart w:id="3271" w:name="_Toc38438440"/>
      <w:bookmarkStart w:id="3272" w:name="_Toc38438777"/>
      <w:bookmarkStart w:id="3273" w:name="_Toc38439114"/>
      <w:bookmarkStart w:id="3274" w:name="_Toc38439451"/>
      <w:bookmarkStart w:id="3275" w:name="_Toc38439788"/>
      <w:bookmarkStart w:id="3276" w:name="_Toc38440125"/>
      <w:bookmarkStart w:id="3277" w:name="_Toc38440462"/>
      <w:bookmarkStart w:id="3278" w:name="_Toc38440994"/>
      <w:bookmarkStart w:id="3279" w:name="_Toc38441326"/>
      <w:bookmarkStart w:id="3280" w:name="_Toc38441658"/>
      <w:bookmarkStart w:id="3281" w:name="_Toc38441986"/>
      <w:bookmarkStart w:id="3282" w:name="_Toc38442318"/>
      <w:bookmarkStart w:id="3283" w:name="_Toc38442650"/>
      <w:bookmarkStart w:id="3284" w:name="_Toc38442981"/>
      <w:bookmarkStart w:id="3285" w:name="_Toc38443312"/>
      <w:bookmarkStart w:id="3286" w:name="_Toc38443643"/>
      <w:bookmarkStart w:id="3287" w:name="_Toc38443973"/>
      <w:bookmarkStart w:id="3288" w:name="_Toc38438441"/>
      <w:bookmarkStart w:id="3289" w:name="_Toc38438778"/>
      <w:bookmarkStart w:id="3290" w:name="_Toc38439115"/>
      <w:bookmarkStart w:id="3291" w:name="_Toc38439452"/>
      <w:bookmarkStart w:id="3292" w:name="_Toc38439789"/>
      <w:bookmarkStart w:id="3293" w:name="_Toc38440126"/>
      <w:bookmarkStart w:id="3294" w:name="_Toc38440463"/>
      <w:bookmarkStart w:id="3295" w:name="_Toc38440995"/>
      <w:bookmarkStart w:id="3296" w:name="_Toc38441327"/>
      <w:bookmarkStart w:id="3297" w:name="_Toc38441659"/>
      <w:bookmarkStart w:id="3298" w:name="_Toc38441987"/>
      <w:bookmarkStart w:id="3299" w:name="_Toc38442319"/>
      <w:bookmarkStart w:id="3300" w:name="_Toc38442651"/>
      <w:bookmarkStart w:id="3301" w:name="_Toc38442982"/>
      <w:bookmarkStart w:id="3302" w:name="_Toc38443313"/>
      <w:bookmarkStart w:id="3303" w:name="_Toc38443644"/>
      <w:bookmarkStart w:id="3304" w:name="_Toc38443974"/>
      <w:bookmarkStart w:id="3305" w:name="_Toc38438442"/>
      <w:bookmarkStart w:id="3306" w:name="_Toc38438779"/>
      <w:bookmarkStart w:id="3307" w:name="_Toc38439116"/>
      <w:bookmarkStart w:id="3308" w:name="_Toc38439453"/>
      <w:bookmarkStart w:id="3309" w:name="_Toc38439790"/>
      <w:bookmarkStart w:id="3310" w:name="_Toc38440127"/>
      <w:bookmarkStart w:id="3311" w:name="_Toc38440464"/>
      <w:bookmarkStart w:id="3312" w:name="_Toc38440996"/>
      <w:bookmarkStart w:id="3313" w:name="_Toc38441328"/>
      <w:bookmarkStart w:id="3314" w:name="_Toc38441660"/>
      <w:bookmarkStart w:id="3315" w:name="_Toc38441988"/>
      <w:bookmarkStart w:id="3316" w:name="_Toc38442320"/>
      <w:bookmarkStart w:id="3317" w:name="_Toc38442652"/>
      <w:bookmarkStart w:id="3318" w:name="_Toc38442983"/>
      <w:bookmarkStart w:id="3319" w:name="_Toc38443314"/>
      <w:bookmarkStart w:id="3320" w:name="_Toc38443645"/>
      <w:bookmarkStart w:id="3321" w:name="_Toc38443975"/>
      <w:bookmarkStart w:id="3322" w:name="_Toc38438443"/>
      <w:bookmarkStart w:id="3323" w:name="_Toc38438780"/>
      <w:bookmarkStart w:id="3324" w:name="_Toc38439117"/>
      <w:bookmarkStart w:id="3325" w:name="_Toc38439454"/>
      <w:bookmarkStart w:id="3326" w:name="_Toc38439791"/>
      <w:bookmarkStart w:id="3327" w:name="_Toc38440128"/>
      <w:bookmarkStart w:id="3328" w:name="_Toc38440465"/>
      <w:bookmarkStart w:id="3329" w:name="_Toc38440997"/>
      <w:bookmarkStart w:id="3330" w:name="_Toc38441329"/>
      <w:bookmarkStart w:id="3331" w:name="_Toc38441661"/>
      <w:bookmarkStart w:id="3332" w:name="_Toc38441989"/>
      <w:bookmarkStart w:id="3333" w:name="_Toc38442321"/>
      <w:bookmarkStart w:id="3334" w:name="_Toc38442653"/>
      <w:bookmarkStart w:id="3335" w:name="_Toc38442984"/>
      <w:bookmarkStart w:id="3336" w:name="_Toc38443315"/>
      <w:bookmarkStart w:id="3337" w:name="_Toc38443646"/>
      <w:bookmarkStart w:id="3338" w:name="_Toc38443976"/>
      <w:bookmarkStart w:id="3339" w:name="_Toc38438444"/>
      <w:bookmarkStart w:id="3340" w:name="_Toc38438781"/>
      <w:bookmarkStart w:id="3341" w:name="_Toc38439118"/>
      <w:bookmarkStart w:id="3342" w:name="_Toc38439455"/>
      <w:bookmarkStart w:id="3343" w:name="_Toc38439792"/>
      <w:bookmarkStart w:id="3344" w:name="_Toc38440129"/>
      <w:bookmarkStart w:id="3345" w:name="_Toc38440466"/>
      <w:bookmarkStart w:id="3346" w:name="_Toc38440998"/>
      <w:bookmarkStart w:id="3347" w:name="_Toc38441330"/>
      <w:bookmarkStart w:id="3348" w:name="_Toc38441662"/>
      <w:bookmarkStart w:id="3349" w:name="_Toc38441990"/>
      <w:bookmarkStart w:id="3350" w:name="_Toc38442322"/>
      <w:bookmarkStart w:id="3351" w:name="_Toc38442654"/>
      <w:bookmarkStart w:id="3352" w:name="_Toc38442985"/>
      <w:bookmarkStart w:id="3353" w:name="_Toc38443316"/>
      <w:bookmarkStart w:id="3354" w:name="_Toc38443647"/>
      <w:bookmarkStart w:id="3355" w:name="_Toc38443977"/>
      <w:bookmarkStart w:id="3356" w:name="_Toc38438445"/>
      <w:bookmarkStart w:id="3357" w:name="_Toc38438782"/>
      <w:bookmarkStart w:id="3358" w:name="_Toc38439119"/>
      <w:bookmarkStart w:id="3359" w:name="_Toc38439456"/>
      <w:bookmarkStart w:id="3360" w:name="_Toc38439793"/>
      <w:bookmarkStart w:id="3361" w:name="_Toc38440130"/>
      <w:bookmarkStart w:id="3362" w:name="_Toc38440467"/>
      <w:bookmarkStart w:id="3363" w:name="_Toc38440999"/>
      <w:bookmarkStart w:id="3364" w:name="_Toc38441331"/>
      <w:bookmarkStart w:id="3365" w:name="_Toc38441663"/>
      <w:bookmarkStart w:id="3366" w:name="_Toc38441991"/>
      <w:bookmarkStart w:id="3367" w:name="_Toc38442323"/>
      <w:bookmarkStart w:id="3368" w:name="_Toc38442655"/>
      <w:bookmarkStart w:id="3369" w:name="_Toc38442986"/>
      <w:bookmarkStart w:id="3370" w:name="_Toc38443317"/>
      <w:bookmarkStart w:id="3371" w:name="_Toc38443648"/>
      <w:bookmarkStart w:id="3372" w:name="_Toc38443978"/>
      <w:bookmarkStart w:id="3373" w:name="_Toc38438446"/>
      <w:bookmarkStart w:id="3374" w:name="_Toc38438783"/>
      <w:bookmarkStart w:id="3375" w:name="_Toc38439120"/>
      <w:bookmarkStart w:id="3376" w:name="_Toc38439457"/>
      <w:bookmarkStart w:id="3377" w:name="_Toc38439794"/>
      <w:bookmarkStart w:id="3378" w:name="_Toc38440131"/>
      <w:bookmarkStart w:id="3379" w:name="_Toc38440468"/>
      <w:bookmarkStart w:id="3380" w:name="_Toc38441000"/>
      <w:bookmarkStart w:id="3381" w:name="_Toc38441332"/>
      <w:bookmarkStart w:id="3382" w:name="_Toc38441664"/>
      <w:bookmarkStart w:id="3383" w:name="_Toc38441992"/>
      <w:bookmarkStart w:id="3384" w:name="_Toc38442324"/>
      <w:bookmarkStart w:id="3385" w:name="_Toc38442656"/>
      <w:bookmarkStart w:id="3386" w:name="_Toc38442987"/>
      <w:bookmarkStart w:id="3387" w:name="_Toc38443318"/>
      <w:bookmarkStart w:id="3388" w:name="_Toc38443649"/>
      <w:bookmarkStart w:id="3389" w:name="_Toc38443979"/>
      <w:bookmarkStart w:id="3390" w:name="_Toc38438447"/>
      <w:bookmarkStart w:id="3391" w:name="_Toc38438784"/>
      <w:bookmarkStart w:id="3392" w:name="_Toc38439121"/>
      <w:bookmarkStart w:id="3393" w:name="_Toc38439458"/>
      <w:bookmarkStart w:id="3394" w:name="_Toc38439795"/>
      <w:bookmarkStart w:id="3395" w:name="_Toc38440132"/>
      <w:bookmarkStart w:id="3396" w:name="_Toc38440469"/>
      <w:bookmarkStart w:id="3397" w:name="_Toc38441001"/>
      <w:bookmarkStart w:id="3398" w:name="_Toc38441333"/>
      <w:bookmarkStart w:id="3399" w:name="_Toc38441665"/>
      <w:bookmarkStart w:id="3400" w:name="_Toc38441993"/>
      <w:bookmarkStart w:id="3401" w:name="_Toc38442325"/>
      <w:bookmarkStart w:id="3402" w:name="_Toc38442657"/>
      <w:bookmarkStart w:id="3403" w:name="_Toc38442988"/>
      <w:bookmarkStart w:id="3404" w:name="_Toc38443319"/>
      <w:bookmarkStart w:id="3405" w:name="_Toc38443650"/>
      <w:bookmarkStart w:id="3406" w:name="_Toc38443980"/>
      <w:bookmarkStart w:id="3407" w:name="_Toc38438448"/>
      <w:bookmarkStart w:id="3408" w:name="_Toc38438785"/>
      <w:bookmarkStart w:id="3409" w:name="_Toc38439122"/>
      <w:bookmarkStart w:id="3410" w:name="_Toc38439459"/>
      <w:bookmarkStart w:id="3411" w:name="_Toc38439796"/>
      <w:bookmarkStart w:id="3412" w:name="_Toc38440133"/>
      <w:bookmarkStart w:id="3413" w:name="_Toc38440470"/>
      <w:bookmarkStart w:id="3414" w:name="_Toc38441002"/>
      <w:bookmarkStart w:id="3415" w:name="_Toc38441334"/>
      <w:bookmarkStart w:id="3416" w:name="_Toc38441666"/>
      <w:bookmarkStart w:id="3417" w:name="_Toc38441994"/>
      <w:bookmarkStart w:id="3418" w:name="_Toc38442326"/>
      <w:bookmarkStart w:id="3419" w:name="_Toc38442658"/>
      <w:bookmarkStart w:id="3420" w:name="_Toc38442989"/>
      <w:bookmarkStart w:id="3421" w:name="_Toc38443320"/>
      <w:bookmarkStart w:id="3422" w:name="_Toc38443651"/>
      <w:bookmarkStart w:id="3423" w:name="_Toc38443981"/>
      <w:bookmarkStart w:id="3424" w:name="_Toc38438449"/>
      <w:bookmarkStart w:id="3425" w:name="_Toc38438786"/>
      <w:bookmarkStart w:id="3426" w:name="_Toc38439123"/>
      <w:bookmarkStart w:id="3427" w:name="_Toc38439460"/>
      <w:bookmarkStart w:id="3428" w:name="_Toc38439797"/>
      <w:bookmarkStart w:id="3429" w:name="_Toc38440134"/>
      <w:bookmarkStart w:id="3430" w:name="_Toc38440471"/>
      <w:bookmarkStart w:id="3431" w:name="_Toc38441003"/>
      <w:bookmarkStart w:id="3432" w:name="_Toc38441335"/>
      <w:bookmarkStart w:id="3433" w:name="_Toc38441667"/>
      <w:bookmarkStart w:id="3434" w:name="_Toc38441995"/>
      <w:bookmarkStart w:id="3435" w:name="_Toc38442327"/>
      <w:bookmarkStart w:id="3436" w:name="_Toc38442659"/>
      <w:bookmarkStart w:id="3437" w:name="_Toc38442990"/>
      <w:bookmarkStart w:id="3438" w:name="_Toc38443321"/>
      <w:bookmarkStart w:id="3439" w:name="_Toc38443652"/>
      <w:bookmarkStart w:id="3440" w:name="_Toc38443982"/>
      <w:bookmarkStart w:id="3441" w:name="_Toc38438450"/>
      <w:bookmarkStart w:id="3442" w:name="_Toc38438787"/>
      <w:bookmarkStart w:id="3443" w:name="_Toc38439124"/>
      <w:bookmarkStart w:id="3444" w:name="_Toc38439461"/>
      <w:bookmarkStart w:id="3445" w:name="_Toc38439798"/>
      <w:bookmarkStart w:id="3446" w:name="_Toc38440135"/>
      <w:bookmarkStart w:id="3447" w:name="_Toc38440472"/>
      <w:bookmarkStart w:id="3448" w:name="_Toc38441004"/>
      <w:bookmarkStart w:id="3449" w:name="_Toc38441336"/>
      <w:bookmarkStart w:id="3450" w:name="_Toc38441668"/>
      <w:bookmarkStart w:id="3451" w:name="_Toc38441996"/>
      <w:bookmarkStart w:id="3452" w:name="_Toc38442328"/>
      <w:bookmarkStart w:id="3453" w:name="_Toc38442660"/>
      <w:bookmarkStart w:id="3454" w:name="_Toc38442991"/>
      <w:bookmarkStart w:id="3455" w:name="_Toc38443322"/>
      <w:bookmarkStart w:id="3456" w:name="_Toc38443653"/>
      <w:bookmarkStart w:id="3457" w:name="_Toc38443983"/>
      <w:bookmarkStart w:id="3458" w:name="_Toc38438451"/>
      <w:bookmarkStart w:id="3459" w:name="_Toc38438788"/>
      <w:bookmarkStart w:id="3460" w:name="_Toc38439125"/>
      <w:bookmarkStart w:id="3461" w:name="_Toc38439462"/>
      <w:bookmarkStart w:id="3462" w:name="_Toc38439799"/>
      <w:bookmarkStart w:id="3463" w:name="_Toc38440136"/>
      <w:bookmarkStart w:id="3464" w:name="_Toc38440473"/>
      <w:bookmarkStart w:id="3465" w:name="_Toc38441005"/>
      <w:bookmarkStart w:id="3466" w:name="_Toc38441337"/>
      <w:bookmarkStart w:id="3467" w:name="_Toc38441669"/>
      <w:bookmarkStart w:id="3468" w:name="_Toc38441997"/>
      <w:bookmarkStart w:id="3469" w:name="_Toc38442329"/>
      <w:bookmarkStart w:id="3470" w:name="_Toc38442661"/>
      <w:bookmarkStart w:id="3471" w:name="_Toc38442992"/>
      <w:bookmarkStart w:id="3472" w:name="_Toc38443323"/>
      <w:bookmarkStart w:id="3473" w:name="_Toc38443654"/>
      <w:bookmarkStart w:id="3474" w:name="_Toc38443984"/>
      <w:bookmarkStart w:id="3475" w:name="_Toc38438452"/>
      <w:bookmarkStart w:id="3476" w:name="_Toc38438789"/>
      <w:bookmarkStart w:id="3477" w:name="_Toc38439126"/>
      <w:bookmarkStart w:id="3478" w:name="_Toc38439463"/>
      <w:bookmarkStart w:id="3479" w:name="_Toc38439800"/>
      <w:bookmarkStart w:id="3480" w:name="_Toc38440137"/>
      <w:bookmarkStart w:id="3481" w:name="_Toc38440474"/>
      <w:bookmarkStart w:id="3482" w:name="_Toc38441006"/>
      <w:bookmarkStart w:id="3483" w:name="_Toc38441338"/>
      <w:bookmarkStart w:id="3484" w:name="_Toc38441670"/>
      <w:bookmarkStart w:id="3485" w:name="_Toc38441998"/>
      <w:bookmarkStart w:id="3486" w:name="_Toc38442330"/>
      <w:bookmarkStart w:id="3487" w:name="_Toc38442662"/>
      <w:bookmarkStart w:id="3488" w:name="_Toc38442993"/>
      <w:bookmarkStart w:id="3489" w:name="_Toc38443324"/>
      <w:bookmarkStart w:id="3490" w:name="_Toc38443655"/>
      <w:bookmarkStart w:id="3491" w:name="_Toc38443985"/>
      <w:bookmarkStart w:id="3492" w:name="_Toc38438453"/>
      <w:bookmarkStart w:id="3493" w:name="_Toc38438790"/>
      <w:bookmarkStart w:id="3494" w:name="_Toc38439127"/>
      <w:bookmarkStart w:id="3495" w:name="_Toc38439464"/>
      <w:bookmarkStart w:id="3496" w:name="_Toc38439801"/>
      <w:bookmarkStart w:id="3497" w:name="_Toc38440138"/>
      <w:bookmarkStart w:id="3498" w:name="_Toc38440475"/>
      <w:bookmarkStart w:id="3499" w:name="_Toc38441007"/>
      <w:bookmarkStart w:id="3500" w:name="_Toc38441339"/>
      <w:bookmarkStart w:id="3501" w:name="_Toc38441671"/>
      <w:bookmarkStart w:id="3502" w:name="_Toc38441999"/>
      <w:bookmarkStart w:id="3503" w:name="_Toc38442331"/>
      <w:bookmarkStart w:id="3504" w:name="_Toc38442663"/>
      <w:bookmarkStart w:id="3505" w:name="_Toc38442994"/>
      <w:bookmarkStart w:id="3506" w:name="_Toc38443325"/>
      <w:bookmarkStart w:id="3507" w:name="_Toc38443656"/>
      <w:bookmarkStart w:id="3508" w:name="_Toc38443986"/>
      <w:bookmarkStart w:id="3509" w:name="_Toc38438454"/>
      <w:bookmarkStart w:id="3510" w:name="_Toc38438791"/>
      <w:bookmarkStart w:id="3511" w:name="_Toc38439128"/>
      <w:bookmarkStart w:id="3512" w:name="_Toc38439465"/>
      <w:bookmarkStart w:id="3513" w:name="_Toc38439802"/>
      <w:bookmarkStart w:id="3514" w:name="_Toc38440139"/>
      <w:bookmarkStart w:id="3515" w:name="_Toc38440476"/>
      <w:bookmarkStart w:id="3516" w:name="_Toc38441008"/>
      <w:bookmarkStart w:id="3517" w:name="_Toc38441340"/>
      <w:bookmarkStart w:id="3518" w:name="_Toc38441672"/>
      <w:bookmarkStart w:id="3519" w:name="_Toc38442000"/>
      <w:bookmarkStart w:id="3520" w:name="_Toc38442332"/>
      <w:bookmarkStart w:id="3521" w:name="_Toc38442664"/>
      <w:bookmarkStart w:id="3522" w:name="_Toc38442995"/>
      <w:bookmarkStart w:id="3523" w:name="_Toc38443326"/>
      <w:bookmarkStart w:id="3524" w:name="_Toc38443657"/>
      <w:bookmarkStart w:id="3525" w:name="_Toc38443987"/>
      <w:bookmarkStart w:id="3526" w:name="_Toc38438455"/>
      <w:bookmarkStart w:id="3527" w:name="_Toc38438792"/>
      <w:bookmarkStart w:id="3528" w:name="_Toc38439129"/>
      <w:bookmarkStart w:id="3529" w:name="_Toc38439466"/>
      <w:bookmarkStart w:id="3530" w:name="_Toc38439803"/>
      <w:bookmarkStart w:id="3531" w:name="_Toc38440140"/>
      <w:bookmarkStart w:id="3532" w:name="_Toc38440477"/>
      <w:bookmarkStart w:id="3533" w:name="_Toc38441009"/>
      <w:bookmarkStart w:id="3534" w:name="_Toc38441341"/>
      <w:bookmarkStart w:id="3535" w:name="_Toc38441673"/>
      <w:bookmarkStart w:id="3536" w:name="_Toc38442001"/>
      <w:bookmarkStart w:id="3537" w:name="_Toc38442333"/>
      <w:bookmarkStart w:id="3538" w:name="_Toc38442665"/>
      <w:bookmarkStart w:id="3539" w:name="_Toc38442996"/>
      <w:bookmarkStart w:id="3540" w:name="_Toc38443327"/>
      <w:bookmarkStart w:id="3541" w:name="_Toc38443658"/>
      <w:bookmarkStart w:id="3542" w:name="_Toc38443988"/>
      <w:bookmarkStart w:id="3543" w:name="_Toc38438456"/>
      <w:bookmarkStart w:id="3544" w:name="_Toc38438793"/>
      <w:bookmarkStart w:id="3545" w:name="_Toc38439130"/>
      <w:bookmarkStart w:id="3546" w:name="_Toc38439467"/>
      <w:bookmarkStart w:id="3547" w:name="_Toc38439804"/>
      <w:bookmarkStart w:id="3548" w:name="_Toc38440141"/>
      <w:bookmarkStart w:id="3549" w:name="_Toc38440478"/>
      <w:bookmarkStart w:id="3550" w:name="_Toc38441010"/>
      <w:bookmarkStart w:id="3551" w:name="_Toc38441342"/>
      <w:bookmarkStart w:id="3552" w:name="_Toc38441674"/>
      <w:bookmarkStart w:id="3553" w:name="_Toc38442002"/>
      <w:bookmarkStart w:id="3554" w:name="_Toc38442334"/>
      <w:bookmarkStart w:id="3555" w:name="_Toc38442666"/>
      <w:bookmarkStart w:id="3556" w:name="_Toc38442997"/>
      <w:bookmarkStart w:id="3557" w:name="_Toc38443328"/>
      <w:bookmarkStart w:id="3558" w:name="_Toc38443659"/>
      <w:bookmarkStart w:id="3559" w:name="_Toc38443989"/>
      <w:bookmarkStart w:id="3560" w:name="_Toc38438457"/>
      <w:bookmarkStart w:id="3561" w:name="_Toc38438794"/>
      <w:bookmarkStart w:id="3562" w:name="_Toc38439131"/>
      <w:bookmarkStart w:id="3563" w:name="_Toc38439468"/>
      <w:bookmarkStart w:id="3564" w:name="_Toc38439805"/>
      <w:bookmarkStart w:id="3565" w:name="_Toc38440142"/>
      <w:bookmarkStart w:id="3566" w:name="_Toc38440479"/>
      <w:bookmarkStart w:id="3567" w:name="_Toc38441011"/>
      <w:bookmarkStart w:id="3568" w:name="_Toc38441343"/>
      <w:bookmarkStart w:id="3569" w:name="_Toc38441675"/>
      <w:bookmarkStart w:id="3570" w:name="_Toc38442003"/>
      <w:bookmarkStart w:id="3571" w:name="_Toc38442335"/>
      <w:bookmarkStart w:id="3572" w:name="_Toc38442667"/>
      <w:bookmarkStart w:id="3573" w:name="_Toc38442998"/>
      <w:bookmarkStart w:id="3574" w:name="_Toc38443329"/>
      <w:bookmarkStart w:id="3575" w:name="_Toc38443660"/>
      <w:bookmarkStart w:id="3576" w:name="_Toc38443990"/>
      <w:bookmarkStart w:id="3577" w:name="_Toc38438458"/>
      <w:bookmarkStart w:id="3578" w:name="_Toc38438795"/>
      <w:bookmarkStart w:id="3579" w:name="_Toc38439132"/>
      <w:bookmarkStart w:id="3580" w:name="_Toc38439469"/>
      <w:bookmarkStart w:id="3581" w:name="_Toc38439806"/>
      <w:bookmarkStart w:id="3582" w:name="_Toc38440143"/>
      <w:bookmarkStart w:id="3583" w:name="_Toc38440480"/>
      <w:bookmarkStart w:id="3584" w:name="_Toc38441012"/>
      <w:bookmarkStart w:id="3585" w:name="_Toc38441344"/>
      <w:bookmarkStart w:id="3586" w:name="_Toc38441676"/>
      <w:bookmarkStart w:id="3587" w:name="_Toc38442004"/>
      <w:bookmarkStart w:id="3588" w:name="_Toc38442336"/>
      <w:bookmarkStart w:id="3589" w:name="_Toc38442668"/>
      <w:bookmarkStart w:id="3590" w:name="_Toc38442999"/>
      <w:bookmarkStart w:id="3591" w:name="_Toc38443330"/>
      <w:bookmarkStart w:id="3592" w:name="_Toc38443661"/>
      <w:bookmarkStart w:id="3593" w:name="_Toc38443991"/>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p>
    <w:p w:rsidR="00BA4B87" w:rsidRPr="005A7DE6" w:rsidP="006B758F">
      <w:pPr>
        <w:pStyle w:val="111"/>
        <w:pageBreakBefore w:val="0"/>
        <w:snapToGrid w:val="0"/>
        <w:spacing w:beforeLines="0" w:afterLines="0" w:line="360" w:lineRule="auto"/>
        <w:ind w:firstLine="640"/>
        <w:rPr>
          <w:rFonts w:asciiTheme="minorEastAsia" w:eastAsiaTheme="minorEastAsia" w:hAnsiTheme="minorEastAsia"/>
          <w:b/>
          <w:color w:val="000000" w:themeColor="text1"/>
          <w:sz w:val="30"/>
        </w:rPr>
      </w:pPr>
      <w:r w:rsidRPr="005A7DE6">
        <w:rPr>
          <w:rFonts w:asciiTheme="minorEastAsia" w:eastAsiaTheme="minorEastAsia" w:hAnsiTheme="minorEastAsia"/>
          <w:bCs/>
          <w:color w:val="000000" w:themeColor="text1"/>
        </w:rPr>
        <w:br w:type="column"/>
      </w:r>
      <w:bookmarkStart w:id="3594" w:name="_Toc94172383"/>
      <w:r w:rsidRPr="005A7DE6">
        <w:rPr>
          <w:rFonts w:asciiTheme="minorEastAsia" w:eastAsiaTheme="minorEastAsia" w:hAnsiTheme="minorEastAsia"/>
          <w:b/>
          <w:color w:val="000000" w:themeColor="text1"/>
          <w:sz w:val="30"/>
        </w:rPr>
        <w:t>四、基金托管人</w:t>
      </w:r>
      <w:bookmarkEnd w:id="3594"/>
    </w:p>
    <w:p w:rsidR="00E4194A" w:rsidRPr="005C7405" w:rsidP="00E4194A">
      <w:pPr>
        <w:autoSpaceDE w:val="0"/>
        <w:autoSpaceDN w:val="0"/>
        <w:adjustRightInd w:val="0"/>
        <w:spacing w:line="360" w:lineRule="auto"/>
        <w:ind w:firstLine="420" w:firstLineChars="200"/>
        <w:rPr>
          <w:rFonts w:ascii="宋体" w:hAnsi="宋体"/>
          <w:szCs w:val="21"/>
        </w:rPr>
      </w:pPr>
      <w:r w:rsidRPr="00010C8A">
        <w:rPr>
          <w:rFonts w:ascii="宋体" w:hAnsi="宋体" w:hint="eastAsia"/>
          <w:szCs w:val="21"/>
        </w:rPr>
        <w:t>（一）基金托管人概况</w:t>
      </w:r>
    </w:p>
    <w:p w:rsidR="000D5AB5" w:rsidRPr="000D5AB5" w:rsidP="000D5AB5">
      <w:pPr>
        <w:spacing w:line="360" w:lineRule="auto"/>
        <w:ind w:firstLine="420" w:firstLineChars="200"/>
        <w:rPr>
          <w:rFonts w:ascii="宋体" w:hAnsi="宋体"/>
          <w:szCs w:val="21"/>
        </w:rPr>
      </w:pPr>
      <w:bookmarkStart w:id="3595" w:name="_Hlt145312160"/>
      <w:r w:rsidRPr="000D5AB5">
        <w:rPr>
          <w:rFonts w:ascii="宋体" w:hAnsi="宋体" w:hint="eastAsia"/>
          <w:szCs w:val="21"/>
        </w:rPr>
        <w:t>1</w:t>
      </w:r>
      <w:r w:rsidRPr="000D5AB5">
        <w:rPr>
          <w:rFonts w:ascii="宋体" w:hAnsi="宋体" w:hint="eastAsia"/>
          <w:szCs w:val="21"/>
        </w:rPr>
        <w:t>、基本情况</w:t>
      </w:r>
    </w:p>
    <w:p w:rsidR="000D5AB5" w:rsidRPr="000D5AB5" w:rsidP="000D5AB5">
      <w:pPr>
        <w:spacing w:line="360" w:lineRule="auto"/>
        <w:ind w:firstLine="420" w:firstLineChars="200"/>
        <w:rPr>
          <w:rFonts w:ascii="宋体" w:hAnsi="宋体"/>
          <w:szCs w:val="21"/>
        </w:rPr>
      </w:pPr>
      <w:r w:rsidRPr="000D5AB5">
        <w:rPr>
          <w:rFonts w:ascii="宋体" w:hAnsi="宋体" w:hint="eastAsia"/>
          <w:szCs w:val="21"/>
        </w:rPr>
        <w:t>名称：招商银行股份有限公司（以下简称“招商银行”）</w:t>
      </w:r>
    </w:p>
    <w:p w:rsidR="000D5AB5" w:rsidRPr="000D5AB5" w:rsidP="000D5AB5">
      <w:pPr>
        <w:spacing w:line="360" w:lineRule="auto"/>
        <w:ind w:firstLine="420" w:firstLineChars="200"/>
        <w:rPr>
          <w:rFonts w:ascii="宋体" w:hAnsi="宋体"/>
          <w:szCs w:val="21"/>
        </w:rPr>
      </w:pPr>
      <w:r w:rsidRPr="000D5AB5">
        <w:rPr>
          <w:rFonts w:ascii="宋体" w:hAnsi="宋体" w:hint="eastAsia"/>
          <w:szCs w:val="21"/>
        </w:rPr>
        <w:t>设立日期：</w:t>
      </w:r>
      <w:r w:rsidRPr="000D5AB5">
        <w:rPr>
          <w:rFonts w:ascii="宋体" w:hAnsi="宋体" w:hint="eastAsia"/>
          <w:szCs w:val="21"/>
        </w:rPr>
        <w:t>1987</w:t>
      </w:r>
      <w:r w:rsidRPr="000D5AB5">
        <w:rPr>
          <w:rFonts w:ascii="宋体" w:hAnsi="宋体" w:hint="eastAsia"/>
          <w:szCs w:val="21"/>
        </w:rPr>
        <w:t>年</w:t>
      </w:r>
      <w:r w:rsidRPr="000D5AB5">
        <w:rPr>
          <w:rFonts w:ascii="宋体" w:hAnsi="宋体" w:hint="eastAsia"/>
          <w:szCs w:val="21"/>
        </w:rPr>
        <w:t>4</w:t>
      </w:r>
      <w:r w:rsidRPr="000D5AB5">
        <w:rPr>
          <w:rFonts w:ascii="宋体" w:hAnsi="宋体" w:hint="eastAsia"/>
          <w:szCs w:val="21"/>
        </w:rPr>
        <w:t>月</w:t>
      </w:r>
      <w:r w:rsidRPr="000D5AB5">
        <w:rPr>
          <w:rFonts w:ascii="宋体" w:hAnsi="宋体" w:hint="eastAsia"/>
          <w:szCs w:val="21"/>
        </w:rPr>
        <w:t>8</w:t>
      </w:r>
      <w:r w:rsidRPr="000D5AB5">
        <w:rPr>
          <w:rFonts w:ascii="宋体" w:hAnsi="宋体" w:hint="eastAsia"/>
          <w:szCs w:val="21"/>
        </w:rPr>
        <w:t>日</w:t>
      </w:r>
    </w:p>
    <w:p w:rsidR="000D5AB5" w:rsidRPr="000D5AB5" w:rsidP="000D5AB5">
      <w:pPr>
        <w:spacing w:line="360" w:lineRule="auto"/>
        <w:ind w:firstLine="420" w:firstLineChars="200"/>
        <w:rPr>
          <w:rFonts w:ascii="宋体" w:hAnsi="宋体"/>
          <w:szCs w:val="21"/>
        </w:rPr>
      </w:pPr>
      <w:r w:rsidRPr="000D5AB5">
        <w:rPr>
          <w:rFonts w:ascii="宋体" w:hAnsi="宋体" w:hint="eastAsia"/>
          <w:szCs w:val="21"/>
        </w:rPr>
        <w:t>注册地址：深圳市深南大道</w:t>
      </w:r>
      <w:r w:rsidRPr="000D5AB5">
        <w:rPr>
          <w:rFonts w:ascii="宋体" w:hAnsi="宋体" w:hint="eastAsia"/>
          <w:szCs w:val="21"/>
        </w:rPr>
        <w:t>7088</w:t>
      </w:r>
      <w:r w:rsidRPr="000D5AB5">
        <w:rPr>
          <w:rFonts w:ascii="宋体" w:hAnsi="宋体" w:hint="eastAsia"/>
          <w:szCs w:val="21"/>
        </w:rPr>
        <w:t>号招商银行大厦</w:t>
      </w:r>
    </w:p>
    <w:p w:rsidR="000D5AB5" w:rsidRPr="000D5AB5" w:rsidP="000D5AB5">
      <w:pPr>
        <w:spacing w:line="360" w:lineRule="auto"/>
        <w:ind w:firstLine="420" w:firstLineChars="200"/>
        <w:rPr>
          <w:rFonts w:ascii="宋体" w:hAnsi="宋体"/>
          <w:szCs w:val="21"/>
        </w:rPr>
      </w:pPr>
      <w:r w:rsidRPr="000D5AB5">
        <w:rPr>
          <w:rFonts w:ascii="宋体" w:hAnsi="宋体" w:hint="eastAsia"/>
          <w:szCs w:val="21"/>
        </w:rPr>
        <w:t>办公地址：深圳市深南大道</w:t>
      </w:r>
      <w:r w:rsidRPr="000D5AB5">
        <w:rPr>
          <w:rFonts w:ascii="宋体" w:hAnsi="宋体" w:hint="eastAsia"/>
          <w:szCs w:val="21"/>
        </w:rPr>
        <w:t>7088</w:t>
      </w:r>
      <w:r w:rsidRPr="000D5AB5">
        <w:rPr>
          <w:rFonts w:ascii="宋体" w:hAnsi="宋体" w:hint="eastAsia"/>
          <w:szCs w:val="21"/>
        </w:rPr>
        <w:t>号招商银行大厦</w:t>
      </w:r>
    </w:p>
    <w:p w:rsidR="000D5AB5" w:rsidRPr="000D5AB5" w:rsidP="000D5AB5">
      <w:pPr>
        <w:spacing w:line="360" w:lineRule="auto"/>
        <w:ind w:firstLine="420" w:firstLineChars="200"/>
        <w:rPr>
          <w:rFonts w:ascii="宋体" w:hAnsi="宋体"/>
          <w:szCs w:val="21"/>
        </w:rPr>
      </w:pPr>
      <w:r w:rsidRPr="000D5AB5">
        <w:rPr>
          <w:rFonts w:ascii="宋体" w:hAnsi="宋体" w:hint="eastAsia"/>
          <w:szCs w:val="21"/>
        </w:rPr>
        <w:t>注册资本：</w:t>
      </w:r>
      <w:r w:rsidRPr="000D5AB5">
        <w:rPr>
          <w:rFonts w:ascii="宋体" w:hAnsi="宋体" w:hint="eastAsia"/>
          <w:szCs w:val="21"/>
        </w:rPr>
        <w:t>252.20</w:t>
      </w:r>
      <w:r w:rsidRPr="000D5AB5">
        <w:rPr>
          <w:rFonts w:ascii="宋体" w:hAnsi="宋体" w:hint="eastAsia"/>
          <w:szCs w:val="21"/>
        </w:rPr>
        <w:t>亿元</w:t>
      </w:r>
    </w:p>
    <w:p w:rsidR="000D5AB5" w:rsidRPr="000D5AB5" w:rsidP="000D5AB5">
      <w:pPr>
        <w:spacing w:line="360" w:lineRule="auto"/>
        <w:ind w:firstLine="420" w:firstLineChars="200"/>
        <w:rPr>
          <w:rFonts w:ascii="宋体" w:hAnsi="宋体"/>
          <w:szCs w:val="21"/>
        </w:rPr>
      </w:pPr>
      <w:r w:rsidRPr="000D5AB5">
        <w:rPr>
          <w:rFonts w:ascii="宋体" w:hAnsi="宋体" w:hint="eastAsia"/>
          <w:szCs w:val="21"/>
        </w:rPr>
        <w:t>法定代表人：缪建民</w:t>
      </w:r>
    </w:p>
    <w:p w:rsidR="000D5AB5" w:rsidRPr="000D5AB5" w:rsidP="000D5AB5">
      <w:pPr>
        <w:spacing w:line="360" w:lineRule="auto"/>
        <w:ind w:firstLine="420" w:firstLineChars="200"/>
        <w:rPr>
          <w:rFonts w:ascii="宋体" w:hAnsi="宋体"/>
          <w:szCs w:val="21"/>
        </w:rPr>
      </w:pPr>
      <w:r w:rsidRPr="000D5AB5">
        <w:rPr>
          <w:rFonts w:ascii="宋体" w:hAnsi="宋体" w:hint="eastAsia"/>
          <w:szCs w:val="21"/>
        </w:rPr>
        <w:t>行长：王良</w:t>
      </w:r>
    </w:p>
    <w:p w:rsidR="000D5AB5" w:rsidRPr="000D5AB5" w:rsidP="000D5AB5">
      <w:pPr>
        <w:spacing w:line="360" w:lineRule="auto"/>
        <w:ind w:firstLine="420" w:firstLineChars="200"/>
        <w:rPr>
          <w:rFonts w:ascii="宋体" w:hAnsi="宋体"/>
          <w:szCs w:val="21"/>
        </w:rPr>
      </w:pPr>
      <w:r w:rsidRPr="000D5AB5">
        <w:rPr>
          <w:rFonts w:ascii="宋体" w:hAnsi="宋体" w:hint="eastAsia"/>
          <w:szCs w:val="21"/>
        </w:rPr>
        <w:t>资产托管业务批准文号：证监基金字</w:t>
      </w:r>
      <w:r w:rsidRPr="000D5AB5">
        <w:rPr>
          <w:rFonts w:ascii="宋体" w:hAnsi="宋体" w:hint="eastAsia"/>
          <w:szCs w:val="21"/>
        </w:rPr>
        <w:t>[2002]83</w:t>
      </w:r>
      <w:r w:rsidRPr="000D5AB5">
        <w:rPr>
          <w:rFonts w:ascii="宋体" w:hAnsi="宋体" w:hint="eastAsia"/>
          <w:szCs w:val="21"/>
        </w:rPr>
        <w:t>号</w:t>
      </w:r>
    </w:p>
    <w:p w:rsidR="000D5AB5" w:rsidRPr="000D5AB5" w:rsidP="000D5AB5">
      <w:pPr>
        <w:spacing w:line="360" w:lineRule="auto"/>
        <w:ind w:firstLine="420" w:firstLineChars="200"/>
        <w:rPr>
          <w:rFonts w:ascii="宋体" w:hAnsi="宋体"/>
          <w:szCs w:val="21"/>
        </w:rPr>
      </w:pPr>
      <w:r w:rsidRPr="000D5AB5">
        <w:rPr>
          <w:rFonts w:ascii="宋体" w:hAnsi="宋体" w:hint="eastAsia"/>
          <w:szCs w:val="21"/>
        </w:rPr>
        <w:t>电话：</w:t>
      </w:r>
      <w:r w:rsidRPr="000D5AB5">
        <w:rPr>
          <w:rFonts w:ascii="宋体" w:hAnsi="宋体" w:hint="eastAsia"/>
          <w:szCs w:val="21"/>
        </w:rPr>
        <w:t>0755-83199084</w:t>
      </w:r>
    </w:p>
    <w:p w:rsidR="000D5AB5" w:rsidRPr="000D5AB5" w:rsidP="000D5AB5">
      <w:pPr>
        <w:spacing w:line="360" w:lineRule="auto"/>
        <w:ind w:firstLine="420" w:firstLineChars="200"/>
        <w:rPr>
          <w:rFonts w:ascii="宋体" w:hAnsi="宋体"/>
          <w:szCs w:val="21"/>
        </w:rPr>
      </w:pPr>
      <w:r w:rsidRPr="000D5AB5">
        <w:rPr>
          <w:rFonts w:ascii="宋体" w:hAnsi="宋体" w:hint="eastAsia"/>
          <w:szCs w:val="21"/>
        </w:rPr>
        <w:t>传真：</w:t>
      </w:r>
      <w:r w:rsidRPr="000D5AB5">
        <w:rPr>
          <w:rFonts w:ascii="宋体" w:hAnsi="宋体" w:hint="eastAsia"/>
          <w:szCs w:val="21"/>
        </w:rPr>
        <w:t>0755-83195201</w:t>
      </w:r>
    </w:p>
    <w:p w:rsidR="000D5AB5" w:rsidRPr="000D5AB5" w:rsidP="000D5AB5">
      <w:pPr>
        <w:spacing w:line="360" w:lineRule="auto"/>
        <w:ind w:firstLine="420" w:firstLineChars="200"/>
        <w:rPr>
          <w:rFonts w:ascii="宋体" w:hAnsi="宋体"/>
          <w:szCs w:val="21"/>
        </w:rPr>
      </w:pPr>
      <w:r w:rsidRPr="000D5AB5">
        <w:rPr>
          <w:rFonts w:ascii="宋体" w:hAnsi="宋体" w:hint="eastAsia"/>
          <w:szCs w:val="21"/>
        </w:rPr>
        <w:t>资产托管部信息披露负责人：张燕</w:t>
      </w:r>
    </w:p>
    <w:p w:rsidR="000D5AB5" w:rsidRPr="000D5AB5" w:rsidP="000D5AB5">
      <w:pPr>
        <w:spacing w:line="360" w:lineRule="auto"/>
        <w:ind w:firstLine="420" w:firstLineChars="200"/>
        <w:rPr>
          <w:rFonts w:ascii="宋体" w:hAnsi="宋体"/>
          <w:szCs w:val="21"/>
        </w:rPr>
      </w:pPr>
      <w:r w:rsidRPr="000D5AB5">
        <w:rPr>
          <w:rFonts w:ascii="宋体" w:hAnsi="宋体" w:hint="eastAsia"/>
          <w:szCs w:val="21"/>
        </w:rPr>
        <w:t>2</w:t>
      </w:r>
      <w:r w:rsidRPr="000D5AB5">
        <w:rPr>
          <w:rFonts w:ascii="宋体" w:hAnsi="宋体" w:hint="eastAsia"/>
          <w:szCs w:val="21"/>
        </w:rPr>
        <w:t>、发展概况</w:t>
      </w:r>
      <w:r w:rsidRPr="000D5AB5">
        <w:rPr>
          <w:rFonts w:ascii="宋体" w:hAnsi="宋体" w:hint="eastAsia"/>
          <w:szCs w:val="21"/>
        </w:rPr>
        <w:t xml:space="preserve"> </w:t>
      </w:r>
    </w:p>
    <w:p w:rsidR="000D5AB5" w:rsidRPr="000D5AB5" w:rsidP="000D5AB5">
      <w:pPr>
        <w:spacing w:line="360" w:lineRule="auto"/>
        <w:ind w:firstLine="420" w:firstLineChars="200"/>
        <w:rPr>
          <w:rFonts w:ascii="宋体" w:hAnsi="宋体"/>
          <w:szCs w:val="21"/>
        </w:rPr>
      </w:pPr>
      <w:r w:rsidRPr="000D5AB5">
        <w:rPr>
          <w:rFonts w:ascii="宋体" w:hAnsi="宋体" w:hint="eastAsia"/>
          <w:szCs w:val="21"/>
        </w:rPr>
        <w:t>招商银行成立于</w:t>
      </w:r>
      <w:r w:rsidRPr="000D5AB5">
        <w:rPr>
          <w:rFonts w:ascii="宋体" w:hAnsi="宋体" w:hint="eastAsia"/>
          <w:szCs w:val="21"/>
        </w:rPr>
        <w:t>1987</w:t>
      </w:r>
      <w:r w:rsidRPr="000D5AB5">
        <w:rPr>
          <w:rFonts w:ascii="宋体" w:hAnsi="宋体" w:hint="eastAsia"/>
          <w:szCs w:val="21"/>
        </w:rPr>
        <w:t>年</w:t>
      </w:r>
      <w:r w:rsidRPr="000D5AB5">
        <w:rPr>
          <w:rFonts w:ascii="宋体" w:hAnsi="宋体" w:hint="eastAsia"/>
          <w:szCs w:val="21"/>
        </w:rPr>
        <w:t>4</w:t>
      </w:r>
      <w:r w:rsidRPr="000D5AB5">
        <w:rPr>
          <w:rFonts w:ascii="宋体" w:hAnsi="宋体" w:hint="eastAsia"/>
          <w:szCs w:val="21"/>
        </w:rPr>
        <w:t>月</w:t>
      </w:r>
      <w:r w:rsidRPr="000D5AB5">
        <w:rPr>
          <w:rFonts w:ascii="宋体" w:hAnsi="宋体" w:hint="eastAsia"/>
          <w:szCs w:val="21"/>
        </w:rPr>
        <w:t>8</w:t>
      </w:r>
      <w:r w:rsidRPr="000D5AB5">
        <w:rPr>
          <w:rFonts w:ascii="宋体" w:hAnsi="宋体" w:hint="eastAsia"/>
          <w:szCs w:val="21"/>
        </w:rPr>
        <w:t>日，是我国第一家完全由企业法人持股的股份制商业银行，总行设在深圳。自成立以来，招商银行先后进行了三次增资扩股，并于</w:t>
      </w:r>
      <w:r w:rsidRPr="000D5AB5">
        <w:rPr>
          <w:rFonts w:ascii="宋体" w:hAnsi="宋体" w:hint="eastAsia"/>
          <w:szCs w:val="21"/>
        </w:rPr>
        <w:t>2002</w:t>
      </w:r>
      <w:r w:rsidRPr="000D5AB5">
        <w:rPr>
          <w:rFonts w:ascii="宋体" w:hAnsi="宋体" w:hint="eastAsia"/>
          <w:szCs w:val="21"/>
        </w:rPr>
        <w:t>年</w:t>
      </w:r>
      <w:r w:rsidRPr="000D5AB5">
        <w:rPr>
          <w:rFonts w:ascii="宋体" w:hAnsi="宋体" w:hint="eastAsia"/>
          <w:szCs w:val="21"/>
        </w:rPr>
        <w:t>3</w:t>
      </w:r>
      <w:r w:rsidRPr="000D5AB5">
        <w:rPr>
          <w:rFonts w:ascii="宋体" w:hAnsi="宋体" w:hint="eastAsia"/>
          <w:szCs w:val="21"/>
        </w:rPr>
        <w:t>月成功地发行了</w:t>
      </w:r>
      <w:r w:rsidRPr="000D5AB5">
        <w:rPr>
          <w:rFonts w:ascii="宋体" w:hAnsi="宋体" w:hint="eastAsia"/>
          <w:szCs w:val="21"/>
        </w:rPr>
        <w:t>15</w:t>
      </w:r>
      <w:r w:rsidRPr="000D5AB5">
        <w:rPr>
          <w:rFonts w:ascii="宋体" w:hAnsi="宋体" w:hint="eastAsia"/>
          <w:szCs w:val="21"/>
        </w:rPr>
        <w:t>亿</w:t>
      </w:r>
      <w:r w:rsidRPr="000D5AB5">
        <w:rPr>
          <w:rFonts w:ascii="宋体" w:hAnsi="宋体" w:hint="eastAsia"/>
          <w:szCs w:val="21"/>
        </w:rPr>
        <w:t>A</w:t>
      </w:r>
      <w:r w:rsidRPr="000D5AB5">
        <w:rPr>
          <w:rFonts w:ascii="宋体" w:hAnsi="宋体" w:hint="eastAsia"/>
          <w:szCs w:val="21"/>
        </w:rPr>
        <w:t>股，</w:t>
      </w:r>
      <w:r w:rsidRPr="000D5AB5">
        <w:rPr>
          <w:rFonts w:ascii="宋体" w:hAnsi="宋体" w:hint="eastAsia"/>
          <w:szCs w:val="21"/>
        </w:rPr>
        <w:t>4</w:t>
      </w:r>
      <w:r w:rsidRPr="000D5AB5">
        <w:rPr>
          <w:rFonts w:ascii="宋体" w:hAnsi="宋体" w:hint="eastAsia"/>
          <w:szCs w:val="21"/>
        </w:rPr>
        <w:t>月</w:t>
      </w:r>
      <w:r w:rsidRPr="000D5AB5">
        <w:rPr>
          <w:rFonts w:ascii="宋体" w:hAnsi="宋体" w:hint="eastAsia"/>
          <w:szCs w:val="21"/>
        </w:rPr>
        <w:t>9</w:t>
      </w:r>
      <w:r w:rsidRPr="000D5AB5">
        <w:rPr>
          <w:rFonts w:ascii="宋体" w:hAnsi="宋体" w:hint="eastAsia"/>
          <w:szCs w:val="21"/>
        </w:rPr>
        <w:t>日在上交所挂牌（股票代码：</w:t>
      </w:r>
      <w:r w:rsidRPr="000D5AB5">
        <w:rPr>
          <w:rFonts w:ascii="宋体" w:hAnsi="宋体" w:hint="eastAsia"/>
          <w:szCs w:val="21"/>
        </w:rPr>
        <w:t>600036</w:t>
      </w:r>
      <w:r w:rsidRPr="000D5AB5">
        <w:rPr>
          <w:rFonts w:ascii="宋体" w:hAnsi="宋体" w:hint="eastAsia"/>
          <w:szCs w:val="21"/>
        </w:rPr>
        <w:t>），是国内第一家采用国际会计标准上市的公司。</w:t>
      </w:r>
      <w:r w:rsidRPr="000D5AB5">
        <w:rPr>
          <w:rFonts w:ascii="宋体" w:hAnsi="宋体" w:hint="eastAsia"/>
          <w:szCs w:val="21"/>
        </w:rPr>
        <w:t>2006</w:t>
      </w:r>
      <w:r w:rsidRPr="000D5AB5">
        <w:rPr>
          <w:rFonts w:ascii="宋体" w:hAnsi="宋体" w:hint="eastAsia"/>
          <w:szCs w:val="21"/>
        </w:rPr>
        <w:t>年</w:t>
      </w:r>
      <w:r w:rsidRPr="000D5AB5">
        <w:rPr>
          <w:rFonts w:ascii="宋体" w:hAnsi="宋体" w:hint="eastAsia"/>
          <w:szCs w:val="21"/>
        </w:rPr>
        <w:t>9</w:t>
      </w:r>
      <w:r w:rsidRPr="000D5AB5">
        <w:rPr>
          <w:rFonts w:ascii="宋体" w:hAnsi="宋体" w:hint="eastAsia"/>
          <w:szCs w:val="21"/>
        </w:rPr>
        <w:t>月又成功发行了</w:t>
      </w:r>
      <w:r w:rsidRPr="000D5AB5">
        <w:rPr>
          <w:rFonts w:ascii="宋体" w:hAnsi="宋体" w:hint="eastAsia"/>
          <w:szCs w:val="21"/>
        </w:rPr>
        <w:t>22</w:t>
      </w:r>
      <w:r w:rsidRPr="000D5AB5">
        <w:rPr>
          <w:rFonts w:ascii="宋体" w:hAnsi="宋体" w:hint="eastAsia"/>
          <w:szCs w:val="21"/>
        </w:rPr>
        <w:t>亿</w:t>
      </w:r>
      <w:r w:rsidRPr="000D5AB5">
        <w:rPr>
          <w:rFonts w:ascii="宋体" w:hAnsi="宋体" w:hint="eastAsia"/>
          <w:szCs w:val="21"/>
        </w:rPr>
        <w:t>H</w:t>
      </w:r>
      <w:r w:rsidRPr="000D5AB5">
        <w:rPr>
          <w:rFonts w:ascii="宋体" w:hAnsi="宋体" w:hint="eastAsia"/>
          <w:szCs w:val="21"/>
        </w:rPr>
        <w:t>股，</w:t>
      </w:r>
      <w:r w:rsidRPr="000D5AB5">
        <w:rPr>
          <w:rFonts w:ascii="宋体" w:hAnsi="宋体" w:hint="eastAsia"/>
          <w:szCs w:val="21"/>
        </w:rPr>
        <w:t>9</w:t>
      </w:r>
      <w:r w:rsidRPr="000D5AB5">
        <w:rPr>
          <w:rFonts w:ascii="宋体" w:hAnsi="宋体" w:hint="eastAsia"/>
          <w:szCs w:val="21"/>
        </w:rPr>
        <w:t>月</w:t>
      </w:r>
      <w:r w:rsidRPr="000D5AB5">
        <w:rPr>
          <w:rFonts w:ascii="宋体" w:hAnsi="宋体" w:hint="eastAsia"/>
          <w:szCs w:val="21"/>
        </w:rPr>
        <w:t>22</w:t>
      </w:r>
      <w:r w:rsidRPr="000D5AB5">
        <w:rPr>
          <w:rFonts w:ascii="宋体" w:hAnsi="宋体" w:hint="eastAsia"/>
          <w:szCs w:val="21"/>
        </w:rPr>
        <w:t>日在香港联交所挂牌交易（股票代码：</w:t>
      </w:r>
      <w:r w:rsidRPr="000D5AB5">
        <w:rPr>
          <w:rFonts w:ascii="宋体" w:hAnsi="宋体" w:hint="eastAsia"/>
          <w:szCs w:val="21"/>
        </w:rPr>
        <w:t>3968</w:t>
      </w:r>
      <w:r w:rsidRPr="000D5AB5">
        <w:rPr>
          <w:rFonts w:ascii="宋体" w:hAnsi="宋体" w:hint="eastAsia"/>
          <w:szCs w:val="21"/>
        </w:rPr>
        <w:t>），</w:t>
      </w:r>
      <w:r w:rsidRPr="000D5AB5">
        <w:rPr>
          <w:rFonts w:ascii="宋体" w:hAnsi="宋体" w:hint="eastAsia"/>
          <w:szCs w:val="21"/>
        </w:rPr>
        <w:t>10</w:t>
      </w:r>
      <w:r w:rsidRPr="000D5AB5">
        <w:rPr>
          <w:rFonts w:ascii="宋体" w:hAnsi="宋体" w:hint="eastAsia"/>
          <w:szCs w:val="21"/>
        </w:rPr>
        <w:t>月</w:t>
      </w:r>
      <w:r w:rsidRPr="000D5AB5">
        <w:rPr>
          <w:rFonts w:ascii="宋体" w:hAnsi="宋体" w:hint="eastAsia"/>
          <w:szCs w:val="21"/>
        </w:rPr>
        <w:t>5</w:t>
      </w:r>
      <w:r w:rsidRPr="000D5AB5">
        <w:rPr>
          <w:rFonts w:ascii="宋体" w:hAnsi="宋体" w:hint="eastAsia"/>
          <w:szCs w:val="21"/>
        </w:rPr>
        <w:t>日行使</w:t>
      </w:r>
      <w:r w:rsidRPr="000D5AB5">
        <w:rPr>
          <w:rFonts w:ascii="宋体" w:hAnsi="宋体" w:hint="eastAsia"/>
          <w:szCs w:val="21"/>
        </w:rPr>
        <w:t>H</w:t>
      </w:r>
      <w:r w:rsidRPr="000D5AB5">
        <w:rPr>
          <w:rFonts w:ascii="宋体" w:hAnsi="宋体" w:hint="eastAsia"/>
          <w:szCs w:val="21"/>
        </w:rPr>
        <w:t>股超额配售，共发行了</w:t>
      </w:r>
      <w:r w:rsidRPr="000D5AB5">
        <w:rPr>
          <w:rFonts w:ascii="宋体" w:hAnsi="宋体" w:hint="eastAsia"/>
          <w:szCs w:val="21"/>
        </w:rPr>
        <w:t>24.2</w:t>
      </w:r>
      <w:r w:rsidRPr="000D5AB5">
        <w:rPr>
          <w:rFonts w:ascii="宋体" w:hAnsi="宋体" w:hint="eastAsia"/>
          <w:szCs w:val="21"/>
        </w:rPr>
        <w:t>亿</w:t>
      </w:r>
      <w:r w:rsidRPr="000D5AB5">
        <w:rPr>
          <w:rFonts w:ascii="宋体" w:hAnsi="宋体" w:hint="eastAsia"/>
          <w:szCs w:val="21"/>
        </w:rPr>
        <w:t>H</w:t>
      </w:r>
      <w:r w:rsidRPr="000D5AB5">
        <w:rPr>
          <w:rFonts w:ascii="宋体" w:hAnsi="宋体" w:hint="eastAsia"/>
          <w:szCs w:val="21"/>
        </w:rPr>
        <w:t>股。截至</w:t>
      </w:r>
      <w:r w:rsidRPr="000D5AB5">
        <w:rPr>
          <w:rFonts w:ascii="宋体" w:hAnsi="宋体" w:hint="eastAsia"/>
          <w:szCs w:val="21"/>
        </w:rPr>
        <w:t>2022</w:t>
      </w:r>
      <w:r w:rsidRPr="000D5AB5">
        <w:rPr>
          <w:rFonts w:ascii="宋体" w:hAnsi="宋体" w:hint="eastAsia"/>
          <w:szCs w:val="21"/>
        </w:rPr>
        <w:t>年</w:t>
      </w:r>
      <w:r w:rsidRPr="000D5AB5">
        <w:rPr>
          <w:rFonts w:ascii="宋体" w:hAnsi="宋体" w:hint="eastAsia"/>
          <w:szCs w:val="21"/>
        </w:rPr>
        <w:t>6</w:t>
      </w:r>
      <w:r w:rsidRPr="000D5AB5">
        <w:rPr>
          <w:rFonts w:ascii="宋体" w:hAnsi="宋体" w:hint="eastAsia"/>
          <w:szCs w:val="21"/>
        </w:rPr>
        <w:t>月</w:t>
      </w:r>
      <w:r w:rsidRPr="000D5AB5">
        <w:rPr>
          <w:rFonts w:ascii="宋体" w:hAnsi="宋体" w:hint="eastAsia"/>
          <w:szCs w:val="21"/>
        </w:rPr>
        <w:t>30</w:t>
      </w:r>
      <w:r w:rsidRPr="000D5AB5">
        <w:rPr>
          <w:rFonts w:ascii="宋体" w:hAnsi="宋体" w:hint="eastAsia"/>
          <w:szCs w:val="21"/>
        </w:rPr>
        <w:t>日，本集团总资产</w:t>
      </w:r>
      <w:r w:rsidRPr="000D5AB5">
        <w:rPr>
          <w:rFonts w:ascii="宋体" w:hAnsi="宋体" w:hint="eastAsia"/>
          <w:szCs w:val="21"/>
        </w:rPr>
        <w:t>97,249.96</w:t>
      </w:r>
      <w:r w:rsidRPr="000D5AB5">
        <w:rPr>
          <w:rFonts w:ascii="宋体" w:hAnsi="宋体" w:hint="eastAsia"/>
          <w:szCs w:val="21"/>
        </w:rPr>
        <w:t>亿元人民币，高级法下资本充足率</w:t>
      </w:r>
      <w:r w:rsidRPr="000D5AB5">
        <w:rPr>
          <w:rFonts w:ascii="宋体" w:hAnsi="宋体" w:hint="eastAsia"/>
          <w:szCs w:val="21"/>
        </w:rPr>
        <w:t>16.80%</w:t>
      </w:r>
      <w:r w:rsidRPr="000D5AB5">
        <w:rPr>
          <w:rFonts w:ascii="宋体" w:hAnsi="宋体" w:hint="eastAsia"/>
          <w:szCs w:val="21"/>
        </w:rPr>
        <w:t>，权重法下资本充足率</w:t>
      </w:r>
      <w:r w:rsidRPr="000D5AB5">
        <w:rPr>
          <w:rFonts w:ascii="宋体" w:hAnsi="宋体" w:hint="eastAsia"/>
          <w:szCs w:val="21"/>
        </w:rPr>
        <w:t>14.03%</w:t>
      </w:r>
      <w:r w:rsidRPr="000D5AB5">
        <w:rPr>
          <w:rFonts w:ascii="宋体" w:hAnsi="宋体" w:hint="eastAsia"/>
          <w:szCs w:val="21"/>
        </w:rPr>
        <w:t>。</w:t>
      </w:r>
    </w:p>
    <w:p w:rsidR="000D5AB5" w:rsidRPr="000D5AB5" w:rsidP="000D5AB5">
      <w:pPr>
        <w:spacing w:line="360" w:lineRule="auto"/>
        <w:ind w:firstLine="420" w:firstLineChars="200"/>
        <w:rPr>
          <w:rFonts w:ascii="宋体" w:hAnsi="宋体"/>
          <w:szCs w:val="21"/>
        </w:rPr>
      </w:pPr>
      <w:r w:rsidRPr="000D5AB5">
        <w:rPr>
          <w:rFonts w:ascii="宋体" w:hAnsi="宋体" w:hint="eastAsia"/>
          <w:szCs w:val="21"/>
        </w:rPr>
        <w:t>2002</w:t>
      </w:r>
      <w:r w:rsidRPr="000D5AB5">
        <w:rPr>
          <w:rFonts w:ascii="宋体" w:hAnsi="宋体" w:hint="eastAsia"/>
          <w:szCs w:val="21"/>
        </w:rPr>
        <w:t>年</w:t>
      </w:r>
      <w:r w:rsidRPr="000D5AB5">
        <w:rPr>
          <w:rFonts w:ascii="宋体" w:hAnsi="宋体" w:hint="eastAsia"/>
          <w:szCs w:val="21"/>
        </w:rPr>
        <w:t>8</w:t>
      </w:r>
      <w:r w:rsidRPr="000D5AB5">
        <w:rPr>
          <w:rFonts w:ascii="宋体" w:hAnsi="宋体" w:hint="eastAsia"/>
          <w:szCs w:val="21"/>
        </w:rPr>
        <w:t>月，招商银行成立基金托管部；</w:t>
      </w:r>
      <w:r w:rsidRPr="000D5AB5">
        <w:rPr>
          <w:rFonts w:ascii="宋体" w:hAnsi="宋体" w:hint="eastAsia"/>
          <w:szCs w:val="21"/>
        </w:rPr>
        <w:t>2005</w:t>
      </w:r>
      <w:r w:rsidRPr="000D5AB5">
        <w:rPr>
          <w:rFonts w:ascii="宋体" w:hAnsi="宋体" w:hint="eastAsia"/>
          <w:szCs w:val="21"/>
        </w:rPr>
        <w:t>年</w:t>
      </w:r>
      <w:r w:rsidRPr="000D5AB5">
        <w:rPr>
          <w:rFonts w:ascii="宋体" w:hAnsi="宋体" w:hint="eastAsia"/>
          <w:szCs w:val="21"/>
        </w:rPr>
        <w:t>8</w:t>
      </w:r>
      <w:r w:rsidRPr="000D5AB5">
        <w:rPr>
          <w:rFonts w:ascii="宋体" w:hAnsi="宋体" w:hint="eastAsia"/>
          <w:szCs w:val="21"/>
        </w:rPr>
        <w:t>月，经报中国证监会同意，更名为资产托管部，现下设业务管理团队、基金券商产品团队、银保信托产品团队、养老金团队、交易与清算团队、项目管理团队、稽核监察团队、基金外包业务团队、系统与数据团队</w:t>
      </w:r>
      <w:r w:rsidRPr="000D5AB5">
        <w:rPr>
          <w:rFonts w:ascii="宋体" w:hAnsi="宋体" w:hint="eastAsia"/>
          <w:szCs w:val="21"/>
        </w:rPr>
        <w:t>9</w:t>
      </w:r>
      <w:r w:rsidRPr="000D5AB5">
        <w:rPr>
          <w:rFonts w:ascii="宋体" w:hAnsi="宋体" w:hint="eastAsia"/>
          <w:szCs w:val="21"/>
        </w:rPr>
        <w:t>个职能团队，现有员工</w:t>
      </w:r>
      <w:r w:rsidRPr="000D5AB5">
        <w:rPr>
          <w:rFonts w:ascii="宋体" w:hAnsi="宋体" w:hint="eastAsia"/>
          <w:szCs w:val="21"/>
        </w:rPr>
        <w:t>122</w:t>
      </w:r>
      <w:r w:rsidRPr="000D5AB5">
        <w:rPr>
          <w:rFonts w:ascii="宋体" w:hAnsi="宋体" w:hint="eastAsia"/>
          <w:szCs w:val="21"/>
        </w:rPr>
        <w:t>人。</w:t>
      </w:r>
      <w:r w:rsidRPr="000D5AB5">
        <w:rPr>
          <w:rFonts w:ascii="宋体" w:hAnsi="宋体" w:hint="eastAsia"/>
          <w:szCs w:val="21"/>
        </w:rPr>
        <w:t>2002</w:t>
      </w:r>
      <w:r w:rsidRPr="000D5AB5">
        <w:rPr>
          <w:rFonts w:ascii="宋体" w:hAnsi="宋体" w:hint="eastAsia"/>
          <w:szCs w:val="21"/>
        </w:rPr>
        <w:t>年</w:t>
      </w:r>
      <w:r w:rsidRPr="000D5AB5">
        <w:rPr>
          <w:rFonts w:ascii="宋体" w:hAnsi="宋体" w:hint="eastAsia"/>
          <w:szCs w:val="21"/>
        </w:rPr>
        <w:t>11</w:t>
      </w:r>
      <w:r w:rsidRPr="000D5AB5">
        <w:rPr>
          <w:rFonts w:ascii="宋体" w:hAnsi="宋体" w:hint="eastAsia"/>
          <w:szCs w:val="21"/>
        </w:rPr>
        <w:t>月，经中国人民银行和中国证监会批准获得证券投资基金托管业务资格，成为国内第一家获得该项业务资格上市银行；</w:t>
      </w:r>
      <w:r w:rsidRPr="000D5AB5">
        <w:rPr>
          <w:rFonts w:ascii="宋体" w:hAnsi="宋体" w:hint="eastAsia"/>
          <w:szCs w:val="21"/>
        </w:rPr>
        <w:t>2003</w:t>
      </w:r>
      <w:r w:rsidRPr="000D5AB5">
        <w:rPr>
          <w:rFonts w:ascii="宋体" w:hAnsi="宋体" w:hint="eastAsia"/>
          <w:szCs w:val="21"/>
        </w:rPr>
        <w:t>年</w:t>
      </w:r>
      <w:r w:rsidRPr="000D5AB5">
        <w:rPr>
          <w:rFonts w:ascii="宋体" w:hAnsi="宋体" w:hint="eastAsia"/>
          <w:szCs w:val="21"/>
        </w:rPr>
        <w:t>4</w:t>
      </w:r>
      <w:r w:rsidRPr="000D5AB5">
        <w:rPr>
          <w:rFonts w:ascii="宋体" w:hAnsi="宋体" w:hint="eastAsia"/>
          <w:szCs w:val="21"/>
        </w:rPr>
        <w:t>月，正式办理基金托管业务。招商银行作为托管业务资质最全的商业银行，拥有证券投</w:t>
      </w:r>
      <w:r w:rsidRPr="000D5AB5">
        <w:rPr>
          <w:rFonts w:ascii="宋体" w:hAnsi="宋体" w:hint="eastAsia"/>
          <w:szCs w:val="21"/>
        </w:rPr>
        <w:t>资基金托管、受托投资管理托管、合格境外机构投资者托管（</w:t>
      </w:r>
      <w:r w:rsidRPr="000D5AB5">
        <w:rPr>
          <w:rFonts w:ascii="宋体" w:hAnsi="宋体" w:hint="eastAsia"/>
          <w:szCs w:val="21"/>
        </w:rPr>
        <w:t>QFII</w:t>
      </w:r>
      <w:r w:rsidRPr="000D5AB5">
        <w:rPr>
          <w:rFonts w:ascii="宋体" w:hAnsi="宋体" w:hint="eastAsia"/>
          <w:szCs w:val="21"/>
        </w:rPr>
        <w:t>）、合格境内机构投资者托管（</w:t>
      </w:r>
      <w:r w:rsidRPr="000D5AB5">
        <w:rPr>
          <w:rFonts w:ascii="宋体" w:hAnsi="宋体" w:hint="eastAsia"/>
          <w:szCs w:val="21"/>
        </w:rPr>
        <w:t>QDII</w:t>
      </w:r>
      <w:r w:rsidRPr="000D5AB5">
        <w:rPr>
          <w:rFonts w:ascii="宋体" w:hAnsi="宋体" w:hint="eastAsia"/>
          <w:szCs w:val="21"/>
        </w:rPr>
        <w:t>）、</w:t>
      </w:r>
      <w:r w:rsidRPr="000D5AB5">
        <w:rPr>
          <w:rFonts w:ascii="宋体" w:hAnsi="宋体" w:hint="eastAsia"/>
          <w:szCs w:val="21"/>
        </w:rPr>
        <w:t>全国社会保障基金托管、保险资金托管、企业年金基金托管、存托凭证试点存托人等业务资格。</w:t>
      </w:r>
    </w:p>
    <w:p w:rsidR="000D5AB5" w:rsidRPr="000D5AB5" w:rsidP="000D5AB5">
      <w:pPr>
        <w:spacing w:line="360" w:lineRule="auto"/>
        <w:ind w:firstLine="420" w:firstLineChars="200"/>
        <w:rPr>
          <w:rFonts w:ascii="宋体" w:hAnsi="宋体"/>
          <w:szCs w:val="21"/>
        </w:rPr>
      </w:pPr>
      <w:r w:rsidRPr="000D5AB5">
        <w:rPr>
          <w:rFonts w:ascii="宋体" w:hAnsi="宋体" w:hint="eastAsia"/>
          <w:szCs w:val="21"/>
        </w:rPr>
        <w:t>招商银行确立“因势而变、先您所想”的托管理念和“财富所托、信守承诺”的托管核心价值，独创“</w:t>
      </w:r>
      <w:r w:rsidRPr="000D5AB5">
        <w:rPr>
          <w:rFonts w:ascii="宋体" w:hAnsi="宋体" w:hint="eastAsia"/>
          <w:szCs w:val="21"/>
        </w:rPr>
        <w:t>6S</w:t>
      </w:r>
      <w:r w:rsidRPr="000D5AB5">
        <w:rPr>
          <w:rFonts w:ascii="宋体" w:hAnsi="宋体" w:hint="eastAsia"/>
          <w:szCs w:val="21"/>
        </w:rPr>
        <w:t>托管银行”品牌体系，以“保护您的业务、保护您的财富”为历史使命，不断创新托管系统、服务和产品：在业内率先推出“网上托管银行系统”、托管业务综合系统和“</w:t>
      </w:r>
      <w:r w:rsidRPr="000D5AB5">
        <w:rPr>
          <w:rFonts w:ascii="宋体" w:hAnsi="宋体" w:hint="eastAsia"/>
          <w:szCs w:val="21"/>
        </w:rPr>
        <w:t>6</w:t>
      </w:r>
      <w:r w:rsidRPr="000D5AB5">
        <w:rPr>
          <w:rFonts w:ascii="宋体" w:hAnsi="宋体" w:hint="eastAsia"/>
          <w:szCs w:val="21"/>
        </w:rPr>
        <w:t>心”托管服务标准，首家发布私募基金绩效分析报告，开办国内首个托管银行网站，推出</w:t>
      </w:r>
      <w:r w:rsidRPr="000D5AB5">
        <w:rPr>
          <w:rFonts w:ascii="宋体" w:hAnsi="宋体" w:hint="eastAsia"/>
          <w:szCs w:val="21"/>
        </w:rPr>
        <w:t>国内首个托管大数据平台，成功托管国内第一只券商集合资产管理计划、第一只</w:t>
      </w:r>
      <w:r w:rsidRPr="000D5AB5">
        <w:rPr>
          <w:rFonts w:ascii="宋体" w:hAnsi="宋体" w:hint="eastAsia"/>
          <w:szCs w:val="21"/>
        </w:rPr>
        <w:t>FOF</w:t>
      </w:r>
      <w:r w:rsidRPr="000D5AB5">
        <w:rPr>
          <w:rFonts w:ascii="宋体" w:hAnsi="宋体" w:hint="eastAsia"/>
          <w:szCs w:val="21"/>
        </w:rPr>
        <w:t>、第一只信托资金计划、第一只股权私募基金、第一家实现货币市场基金赎回资金</w:t>
      </w:r>
      <w:r w:rsidRPr="000D5AB5">
        <w:rPr>
          <w:rFonts w:ascii="宋体" w:hAnsi="宋体" w:hint="eastAsia"/>
          <w:szCs w:val="21"/>
        </w:rPr>
        <w:t>T+1</w:t>
      </w:r>
      <w:r w:rsidRPr="000D5AB5">
        <w:rPr>
          <w:rFonts w:ascii="宋体" w:hAnsi="宋体" w:hint="eastAsia"/>
          <w:szCs w:val="21"/>
        </w:rPr>
        <w:t>到账、第一只境外银行</w:t>
      </w:r>
      <w:r w:rsidRPr="000D5AB5">
        <w:rPr>
          <w:rFonts w:ascii="宋体" w:hAnsi="宋体" w:hint="eastAsia"/>
          <w:szCs w:val="21"/>
        </w:rPr>
        <w:t>QDII</w:t>
      </w:r>
      <w:r w:rsidRPr="000D5AB5">
        <w:rPr>
          <w:rFonts w:ascii="宋体" w:hAnsi="宋体" w:hint="eastAsia"/>
          <w:szCs w:val="21"/>
        </w:rPr>
        <w:t>基金、第一只红利</w:t>
      </w:r>
      <w:r w:rsidRPr="000D5AB5">
        <w:rPr>
          <w:rFonts w:ascii="宋体" w:hAnsi="宋体" w:hint="eastAsia"/>
          <w:szCs w:val="21"/>
        </w:rPr>
        <w:t>ETF</w:t>
      </w:r>
      <w:r w:rsidRPr="000D5AB5">
        <w:rPr>
          <w:rFonts w:ascii="宋体" w:hAnsi="宋体" w:hint="eastAsia"/>
          <w:szCs w:val="21"/>
        </w:rPr>
        <w:t>基金、第一只“</w:t>
      </w:r>
      <w:r w:rsidRPr="000D5AB5">
        <w:rPr>
          <w:rFonts w:ascii="宋体" w:hAnsi="宋体" w:hint="eastAsia"/>
          <w:szCs w:val="21"/>
        </w:rPr>
        <w:t>1+N</w:t>
      </w:r>
      <w:r w:rsidRPr="000D5AB5">
        <w:rPr>
          <w:rFonts w:ascii="宋体" w:hAnsi="宋体" w:hint="eastAsia"/>
          <w:szCs w:val="21"/>
        </w:rPr>
        <w:t>”基金专户理财、第一家大小非解禁资产、第一单</w:t>
      </w:r>
      <w:r w:rsidRPr="000D5AB5">
        <w:rPr>
          <w:rFonts w:ascii="宋体" w:hAnsi="宋体" w:hint="eastAsia"/>
          <w:szCs w:val="21"/>
        </w:rPr>
        <w:t>TOT</w:t>
      </w:r>
      <w:r w:rsidRPr="000D5AB5">
        <w:rPr>
          <w:rFonts w:ascii="宋体" w:hAnsi="宋体" w:hint="eastAsia"/>
          <w:szCs w:val="21"/>
        </w:rPr>
        <w:t>保管，实现从单一托管服务商向全面投资者服务机构的转变，得到了同业认可。</w:t>
      </w:r>
    </w:p>
    <w:p w:rsidR="000D5AB5" w:rsidRPr="000D5AB5" w:rsidP="000D5AB5">
      <w:pPr>
        <w:spacing w:line="360" w:lineRule="auto"/>
        <w:ind w:firstLine="420" w:firstLineChars="200"/>
        <w:rPr>
          <w:rFonts w:ascii="宋体" w:hAnsi="宋体"/>
          <w:szCs w:val="21"/>
        </w:rPr>
      </w:pPr>
      <w:r w:rsidRPr="000D5AB5">
        <w:rPr>
          <w:rFonts w:ascii="宋体" w:hAnsi="宋体" w:hint="eastAsia"/>
          <w:szCs w:val="21"/>
        </w:rPr>
        <w:t>招商银行资产托管业务持续稳健发展，社会影响力不断提升</w:t>
      </w:r>
      <w:r w:rsidRPr="000D5AB5">
        <w:rPr>
          <w:rFonts w:ascii="宋体" w:hAnsi="宋体" w:hint="eastAsia"/>
          <w:szCs w:val="21"/>
        </w:rPr>
        <w:t>,</w:t>
      </w:r>
      <w:r w:rsidRPr="000D5AB5">
        <w:rPr>
          <w:rFonts w:ascii="宋体" w:hAnsi="宋体" w:hint="eastAsia"/>
          <w:szCs w:val="21"/>
        </w:rPr>
        <w:t>四度蝉联获《财资》“中国最佳托管专业银行”。</w:t>
      </w:r>
      <w:r w:rsidRPr="000D5AB5">
        <w:rPr>
          <w:rFonts w:ascii="宋体" w:hAnsi="宋体" w:hint="eastAsia"/>
          <w:szCs w:val="21"/>
        </w:rPr>
        <w:t>2016</w:t>
      </w:r>
      <w:r w:rsidRPr="000D5AB5">
        <w:rPr>
          <w:rFonts w:ascii="宋体" w:hAnsi="宋体" w:hint="eastAsia"/>
          <w:szCs w:val="21"/>
        </w:rPr>
        <w:t>年</w:t>
      </w:r>
      <w:r w:rsidRPr="000D5AB5">
        <w:rPr>
          <w:rFonts w:ascii="宋体" w:hAnsi="宋体" w:hint="eastAsia"/>
          <w:szCs w:val="21"/>
        </w:rPr>
        <w:t>6</w:t>
      </w:r>
      <w:r w:rsidRPr="000D5AB5">
        <w:rPr>
          <w:rFonts w:ascii="宋体" w:hAnsi="宋体" w:hint="eastAsia"/>
          <w:szCs w:val="21"/>
        </w:rPr>
        <w:t>月招商银行荣膺《财资》“中国最佳托管银行奖”，成为国内唯</w:t>
      </w:r>
      <w:r w:rsidRPr="000D5AB5">
        <w:rPr>
          <w:rFonts w:ascii="宋体" w:hAnsi="宋体" w:hint="eastAsia"/>
          <w:szCs w:val="21"/>
        </w:rPr>
        <w:t>一获得该奖项的托管银行；“托管通”获得国内《银行家》</w:t>
      </w:r>
      <w:r w:rsidRPr="000D5AB5">
        <w:rPr>
          <w:rFonts w:ascii="宋体" w:hAnsi="宋体" w:hint="eastAsia"/>
          <w:szCs w:val="21"/>
        </w:rPr>
        <w:t>2016</w:t>
      </w:r>
      <w:r w:rsidRPr="000D5AB5">
        <w:rPr>
          <w:rFonts w:ascii="宋体" w:hAnsi="宋体" w:hint="eastAsia"/>
          <w:szCs w:val="21"/>
        </w:rPr>
        <w:t>中国金融创新“十佳金融产品创新奖”；</w:t>
      </w:r>
      <w:r w:rsidRPr="000D5AB5">
        <w:rPr>
          <w:rFonts w:ascii="宋体" w:hAnsi="宋体" w:hint="eastAsia"/>
          <w:szCs w:val="21"/>
        </w:rPr>
        <w:t>7</w:t>
      </w:r>
      <w:r w:rsidRPr="000D5AB5">
        <w:rPr>
          <w:rFonts w:ascii="宋体" w:hAnsi="宋体" w:hint="eastAsia"/>
          <w:szCs w:val="21"/>
        </w:rPr>
        <w:t>月荣膺</w:t>
      </w:r>
      <w:r w:rsidRPr="000D5AB5">
        <w:rPr>
          <w:rFonts w:ascii="宋体" w:hAnsi="宋体" w:hint="eastAsia"/>
          <w:szCs w:val="21"/>
        </w:rPr>
        <w:t>2016</w:t>
      </w:r>
      <w:r w:rsidRPr="000D5AB5">
        <w:rPr>
          <w:rFonts w:ascii="宋体" w:hAnsi="宋体" w:hint="eastAsia"/>
          <w:szCs w:val="21"/>
        </w:rPr>
        <w:t>年中国资产管理“金贝奖”“最佳资产托管银行”。</w:t>
      </w:r>
      <w:r w:rsidRPr="000D5AB5">
        <w:rPr>
          <w:rFonts w:ascii="宋体" w:hAnsi="宋体" w:hint="eastAsia"/>
          <w:szCs w:val="21"/>
        </w:rPr>
        <w:t>2017</w:t>
      </w:r>
      <w:r w:rsidRPr="000D5AB5">
        <w:rPr>
          <w:rFonts w:ascii="宋体" w:hAnsi="宋体" w:hint="eastAsia"/>
          <w:szCs w:val="21"/>
        </w:rPr>
        <w:t>年</w:t>
      </w:r>
      <w:r w:rsidRPr="000D5AB5">
        <w:rPr>
          <w:rFonts w:ascii="宋体" w:hAnsi="宋体" w:hint="eastAsia"/>
          <w:szCs w:val="21"/>
        </w:rPr>
        <w:t>6</w:t>
      </w:r>
      <w:r w:rsidRPr="000D5AB5">
        <w:rPr>
          <w:rFonts w:ascii="宋体" w:hAnsi="宋体" w:hint="eastAsia"/>
          <w:szCs w:val="21"/>
        </w:rPr>
        <w:t>月招商银行再度荣膺《财资》“中国最佳托管银行奖”；“全功能网上托管银行</w:t>
      </w:r>
      <w:r w:rsidRPr="000D5AB5">
        <w:rPr>
          <w:rFonts w:ascii="宋体" w:hAnsi="宋体" w:hint="eastAsia"/>
          <w:szCs w:val="21"/>
        </w:rPr>
        <w:t>2.0</w:t>
      </w:r>
      <w:r w:rsidRPr="000D5AB5">
        <w:rPr>
          <w:rFonts w:ascii="宋体" w:hAnsi="宋体" w:hint="eastAsia"/>
          <w:szCs w:val="21"/>
        </w:rPr>
        <w:t>”荣获《银行家》</w:t>
      </w:r>
      <w:r w:rsidRPr="000D5AB5">
        <w:rPr>
          <w:rFonts w:ascii="宋体" w:hAnsi="宋体" w:hint="eastAsia"/>
          <w:szCs w:val="21"/>
        </w:rPr>
        <w:t>2017</w:t>
      </w:r>
      <w:r w:rsidRPr="000D5AB5">
        <w:rPr>
          <w:rFonts w:ascii="宋体" w:hAnsi="宋体" w:hint="eastAsia"/>
          <w:szCs w:val="21"/>
        </w:rPr>
        <w:t>中国金融创新“十佳金融产品创新奖”；</w:t>
      </w:r>
      <w:r w:rsidRPr="000D5AB5">
        <w:rPr>
          <w:rFonts w:ascii="宋体" w:hAnsi="宋体" w:hint="eastAsia"/>
          <w:szCs w:val="21"/>
        </w:rPr>
        <w:t>8</w:t>
      </w:r>
      <w:r w:rsidRPr="000D5AB5">
        <w:rPr>
          <w:rFonts w:ascii="宋体" w:hAnsi="宋体" w:hint="eastAsia"/>
          <w:szCs w:val="21"/>
        </w:rPr>
        <w:t>月荣膺国际财经权威媒体《亚洲银行家》“中国年度托管银行奖”。</w:t>
      </w:r>
      <w:r w:rsidRPr="000D5AB5">
        <w:rPr>
          <w:rFonts w:ascii="宋体" w:hAnsi="宋体" w:hint="eastAsia"/>
          <w:szCs w:val="21"/>
        </w:rPr>
        <w:t>2018</w:t>
      </w:r>
      <w:r w:rsidRPr="000D5AB5">
        <w:rPr>
          <w:rFonts w:ascii="宋体" w:hAnsi="宋体" w:hint="eastAsia"/>
          <w:szCs w:val="21"/>
        </w:rPr>
        <w:t>年</w:t>
      </w:r>
      <w:r w:rsidRPr="000D5AB5">
        <w:rPr>
          <w:rFonts w:ascii="宋体" w:hAnsi="宋体" w:hint="eastAsia"/>
          <w:szCs w:val="21"/>
        </w:rPr>
        <w:t>1</w:t>
      </w:r>
      <w:r w:rsidRPr="000D5AB5">
        <w:rPr>
          <w:rFonts w:ascii="宋体" w:hAnsi="宋体" w:hint="eastAsia"/>
          <w:szCs w:val="21"/>
        </w:rPr>
        <w:t>月招商银行荣膺中央国债登记结算有限责任公司“</w:t>
      </w:r>
      <w:r w:rsidRPr="000D5AB5">
        <w:rPr>
          <w:rFonts w:ascii="宋体" w:hAnsi="宋体" w:hint="eastAsia"/>
          <w:szCs w:val="21"/>
        </w:rPr>
        <w:t>2017</w:t>
      </w:r>
      <w:r w:rsidRPr="000D5AB5">
        <w:rPr>
          <w:rFonts w:ascii="宋体" w:hAnsi="宋体" w:hint="eastAsia"/>
          <w:szCs w:val="21"/>
        </w:rPr>
        <w:t>年度优秀资产托管机构”奖项；同月，招商银行托管大数据平台风险管理系统荣获</w:t>
      </w:r>
      <w:r w:rsidRPr="000D5AB5">
        <w:rPr>
          <w:rFonts w:ascii="宋体" w:hAnsi="宋体" w:hint="eastAsia"/>
          <w:szCs w:val="21"/>
        </w:rPr>
        <w:t>2016</w:t>
      </w:r>
      <w:r w:rsidRPr="000D5AB5">
        <w:rPr>
          <w:rFonts w:ascii="宋体" w:hAnsi="宋体" w:hint="eastAsia"/>
          <w:szCs w:val="21"/>
        </w:rPr>
        <w:t>-2017</w:t>
      </w:r>
      <w:r w:rsidRPr="000D5AB5">
        <w:rPr>
          <w:rFonts w:ascii="宋体" w:hAnsi="宋体" w:hint="eastAsia"/>
          <w:szCs w:val="21"/>
        </w:rPr>
        <w:t>年度银监会系统“金点子”方案一等奖，以及中央金融团工委、全国金融青联第五届“双提升”金点子方案二等奖；</w:t>
      </w:r>
      <w:r w:rsidRPr="000D5AB5">
        <w:rPr>
          <w:rFonts w:ascii="宋体" w:hAnsi="宋体" w:hint="eastAsia"/>
          <w:szCs w:val="21"/>
        </w:rPr>
        <w:t>3</w:t>
      </w:r>
      <w:r w:rsidRPr="000D5AB5">
        <w:rPr>
          <w:rFonts w:ascii="宋体" w:hAnsi="宋体" w:hint="eastAsia"/>
          <w:szCs w:val="21"/>
        </w:rPr>
        <w:t>月荣膺公募基金</w:t>
      </w:r>
      <w:r w:rsidRPr="000D5AB5">
        <w:rPr>
          <w:rFonts w:ascii="宋体" w:hAnsi="宋体" w:hint="eastAsia"/>
          <w:szCs w:val="21"/>
        </w:rPr>
        <w:t>20</w:t>
      </w:r>
      <w:r w:rsidRPr="000D5AB5">
        <w:rPr>
          <w:rFonts w:ascii="宋体" w:hAnsi="宋体" w:hint="eastAsia"/>
          <w:szCs w:val="21"/>
        </w:rPr>
        <w:t>年“最佳基金托管银行”奖；</w:t>
      </w:r>
      <w:r w:rsidRPr="000D5AB5">
        <w:rPr>
          <w:rFonts w:ascii="宋体" w:hAnsi="宋体" w:hint="eastAsia"/>
          <w:szCs w:val="21"/>
        </w:rPr>
        <w:t>5</w:t>
      </w:r>
      <w:r w:rsidRPr="000D5AB5">
        <w:rPr>
          <w:rFonts w:ascii="宋体" w:hAnsi="宋体" w:hint="eastAsia"/>
          <w:szCs w:val="21"/>
        </w:rPr>
        <w:t>月荣膺国际财经权威媒体《亚洲银行家》“中国年度托管银行奖”；</w:t>
      </w:r>
      <w:r w:rsidRPr="000D5AB5">
        <w:rPr>
          <w:rFonts w:ascii="宋体" w:hAnsi="宋体" w:hint="eastAsia"/>
          <w:szCs w:val="21"/>
        </w:rPr>
        <w:t>12</w:t>
      </w:r>
      <w:r w:rsidRPr="000D5AB5">
        <w:rPr>
          <w:rFonts w:ascii="宋体" w:hAnsi="宋体" w:hint="eastAsia"/>
          <w:szCs w:val="21"/>
        </w:rPr>
        <w:t>月荣膺</w:t>
      </w:r>
      <w:r w:rsidRPr="000D5AB5">
        <w:rPr>
          <w:rFonts w:ascii="宋体" w:hAnsi="宋体" w:hint="eastAsia"/>
          <w:szCs w:val="21"/>
        </w:rPr>
        <w:t>2018</w:t>
      </w:r>
      <w:r w:rsidRPr="000D5AB5">
        <w:rPr>
          <w:rFonts w:ascii="宋体" w:hAnsi="宋体" w:hint="eastAsia"/>
          <w:szCs w:val="21"/>
        </w:rPr>
        <w:t>东方财富风云榜“</w:t>
      </w:r>
      <w:r w:rsidRPr="000D5AB5">
        <w:rPr>
          <w:rFonts w:ascii="宋体" w:hAnsi="宋体" w:hint="eastAsia"/>
          <w:szCs w:val="21"/>
        </w:rPr>
        <w:t>2018</w:t>
      </w:r>
      <w:r w:rsidRPr="000D5AB5">
        <w:rPr>
          <w:rFonts w:ascii="宋体" w:hAnsi="宋体" w:hint="eastAsia"/>
          <w:szCs w:val="21"/>
        </w:rPr>
        <w:t>年度最佳托管银行”、“</w:t>
      </w:r>
      <w:r w:rsidRPr="000D5AB5">
        <w:rPr>
          <w:rFonts w:ascii="宋体" w:hAnsi="宋体" w:hint="eastAsia"/>
          <w:szCs w:val="21"/>
        </w:rPr>
        <w:t>20</w:t>
      </w:r>
      <w:r w:rsidRPr="000D5AB5">
        <w:rPr>
          <w:rFonts w:ascii="宋体" w:hAnsi="宋体" w:hint="eastAsia"/>
          <w:szCs w:val="21"/>
        </w:rPr>
        <w:t>年最值得信赖托管银行”奖。</w:t>
      </w:r>
      <w:r w:rsidRPr="000D5AB5">
        <w:rPr>
          <w:rFonts w:ascii="宋体" w:hAnsi="宋体" w:hint="eastAsia"/>
          <w:szCs w:val="21"/>
        </w:rPr>
        <w:t>2019</w:t>
      </w:r>
      <w:r w:rsidRPr="000D5AB5">
        <w:rPr>
          <w:rFonts w:ascii="宋体" w:hAnsi="宋体" w:hint="eastAsia"/>
          <w:szCs w:val="21"/>
        </w:rPr>
        <w:t>年</w:t>
      </w:r>
      <w:r w:rsidRPr="000D5AB5">
        <w:rPr>
          <w:rFonts w:ascii="宋体" w:hAnsi="宋体" w:hint="eastAsia"/>
          <w:szCs w:val="21"/>
        </w:rPr>
        <w:t>3</w:t>
      </w:r>
      <w:r w:rsidRPr="000D5AB5">
        <w:rPr>
          <w:rFonts w:ascii="宋体" w:hAnsi="宋体" w:hint="eastAsia"/>
          <w:szCs w:val="21"/>
        </w:rPr>
        <w:t>月招商银行荣获《中国基金报》“</w:t>
      </w:r>
      <w:r w:rsidRPr="000D5AB5">
        <w:rPr>
          <w:rFonts w:ascii="宋体" w:hAnsi="宋体" w:hint="eastAsia"/>
          <w:szCs w:val="21"/>
        </w:rPr>
        <w:t>2018</w:t>
      </w:r>
      <w:r w:rsidRPr="000D5AB5">
        <w:rPr>
          <w:rFonts w:ascii="宋体" w:hAnsi="宋体" w:hint="eastAsia"/>
          <w:szCs w:val="21"/>
        </w:rPr>
        <w:t>年度最佳基金托管银行”奖；</w:t>
      </w:r>
      <w:r w:rsidRPr="000D5AB5">
        <w:rPr>
          <w:rFonts w:ascii="宋体" w:hAnsi="宋体" w:hint="eastAsia"/>
          <w:szCs w:val="21"/>
        </w:rPr>
        <w:t>6</w:t>
      </w:r>
      <w:r w:rsidRPr="000D5AB5">
        <w:rPr>
          <w:rFonts w:ascii="宋体" w:hAnsi="宋体" w:hint="eastAsia"/>
          <w:szCs w:val="21"/>
        </w:rPr>
        <w:t>月荣获《财资》“中国最佳托管机构”“中国最佳养老金托管机构”“中国最佳零售基金行政外包”三项大奖；</w:t>
      </w:r>
      <w:r w:rsidRPr="000D5AB5">
        <w:rPr>
          <w:rFonts w:ascii="宋体" w:hAnsi="宋体" w:hint="eastAsia"/>
          <w:szCs w:val="21"/>
        </w:rPr>
        <w:t>12</w:t>
      </w:r>
      <w:r w:rsidRPr="000D5AB5">
        <w:rPr>
          <w:rFonts w:ascii="宋体" w:hAnsi="宋体" w:hint="eastAsia"/>
          <w:szCs w:val="21"/>
        </w:rPr>
        <w:t>月荣获</w:t>
      </w:r>
      <w:r w:rsidRPr="000D5AB5">
        <w:rPr>
          <w:rFonts w:ascii="宋体" w:hAnsi="宋体" w:hint="eastAsia"/>
          <w:szCs w:val="21"/>
        </w:rPr>
        <w:t>2019</w:t>
      </w:r>
      <w:r w:rsidRPr="000D5AB5">
        <w:rPr>
          <w:rFonts w:ascii="宋体" w:hAnsi="宋体" w:hint="eastAsia"/>
          <w:szCs w:val="21"/>
        </w:rPr>
        <w:t>东方</w:t>
      </w:r>
      <w:r w:rsidRPr="000D5AB5">
        <w:rPr>
          <w:rFonts w:ascii="宋体" w:hAnsi="宋体" w:hint="eastAsia"/>
          <w:szCs w:val="21"/>
        </w:rPr>
        <w:t>财富风云榜“</w:t>
      </w:r>
      <w:r w:rsidRPr="000D5AB5">
        <w:rPr>
          <w:rFonts w:ascii="宋体" w:hAnsi="宋体" w:hint="eastAsia"/>
          <w:szCs w:val="21"/>
        </w:rPr>
        <w:t>2019</w:t>
      </w:r>
      <w:r w:rsidRPr="000D5AB5">
        <w:rPr>
          <w:rFonts w:ascii="宋体" w:hAnsi="宋体" w:hint="eastAsia"/>
          <w:szCs w:val="21"/>
        </w:rPr>
        <w:t>年度最佳托管银行”奖。</w:t>
      </w:r>
      <w:r w:rsidRPr="000D5AB5">
        <w:rPr>
          <w:rFonts w:ascii="宋体" w:hAnsi="宋体" w:hint="eastAsia"/>
          <w:szCs w:val="21"/>
        </w:rPr>
        <w:t>2020</w:t>
      </w:r>
      <w:r w:rsidRPr="000D5AB5">
        <w:rPr>
          <w:rFonts w:ascii="宋体" w:hAnsi="宋体" w:hint="eastAsia"/>
          <w:szCs w:val="21"/>
        </w:rPr>
        <w:t>年</w:t>
      </w:r>
      <w:r w:rsidRPr="000D5AB5">
        <w:rPr>
          <w:rFonts w:ascii="宋体" w:hAnsi="宋体" w:hint="eastAsia"/>
          <w:szCs w:val="21"/>
        </w:rPr>
        <w:t>1</w:t>
      </w:r>
      <w:r w:rsidRPr="000D5AB5">
        <w:rPr>
          <w:rFonts w:ascii="宋体" w:hAnsi="宋体" w:hint="eastAsia"/>
          <w:szCs w:val="21"/>
        </w:rPr>
        <w:t>月，荣膺中央国债登记结算有限责任公司“</w:t>
      </w:r>
      <w:r w:rsidRPr="000D5AB5">
        <w:rPr>
          <w:rFonts w:ascii="宋体" w:hAnsi="宋体" w:hint="eastAsia"/>
          <w:szCs w:val="21"/>
        </w:rPr>
        <w:t>2019</w:t>
      </w:r>
      <w:r w:rsidRPr="000D5AB5">
        <w:rPr>
          <w:rFonts w:ascii="宋体" w:hAnsi="宋体" w:hint="eastAsia"/>
          <w:szCs w:val="21"/>
        </w:rPr>
        <w:t>年度优秀资产托管机构”奖项；</w:t>
      </w:r>
      <w:r w:rsidRPr="000D5AB5">
        <w:rPr>
          <w:rFonts w:ascii="宋体" w:hAnsi="宋体" w:hint="eastAsia"/>
          <w:szCs w:val="21"/>
        </w:rPr>
        <w:t>6</w:t>
      </w:r>
      <w:r w:rsidRPr="000D5AB5">
        <w:rPr>
          <w:rFonts w:ascii="宋体" w:hAnsi="宋体" w:hint="eastAsia"/>
          <w:szCs w:val="21"/>
        </w:rPr>
        <w:t>月荣获《财资》“中国最佳托管机构”“最佳公募基金托管机构”“最佳公募基金行政外包机构”三项大奖；</w:t>
      </w:r>
      <w:r w:rsidRPr="000D5AB5">
        <w:rPr>
          <w:rFonts w:ascii="宋体" w:hAnsi="宋体" w:hint="eastAsia"/>
          <w:szCs w:val="21"/>
        </w:rPr>
        <w:t>10</w:t>
      </w:r>
      <w:r w:rsidRPr="000D5AB5">
        <w:rPr>
          <w:rFonts w:ascii="宋体" w:hAnsi="宋体" w:hint="eastAsia"/>
          <w:szCs w:val="21"/>
        </w:rPr>
        <w:t>月荣获《中国基金报》“</w:t>
      </w:r>
      <w:r w:rsidRPr="000D5AB5">
        <w:rPr>
          <w:rFonts w:ascii="宋体" w:hAnsi="宋体" w:hint="eastAsia"/>
          <w:szCs w:val="21"/>
        </w:rPr>
        <w:t>2019</w:t>
      </w:r>
      <w:r w:rsidRPr="000D5AB5">
        <w:rPr>
          <w:rFonts w:ascii="宋体" w:hAnsi="宋体" w:hint="eastAsia"/>
          <w:szCs w:val="21"/>
        </w:rPr>
        <w:t>年度最佳基金托管银行”奖。</w:t>
      </w:r>
      <w:r w:rsidRPr="000D5AB5">
        <w:rPr>
          <w:rFonts w:ascii="宋体" w:hAnsi="宋体" w:hint="eastAsia"/>
          <w:szCs w:val="21"/>
        </w:rPr>
        <w:t>2021</w:t>
      </w:r>
      <w:r w:rsidRPr="000D5AB5">
        <w:rPr>
          <w:rFonts w:ascii="宋体" w:hAnsi="宋体" w:hint="eastAsia"/>
          <w:szCs w:val="21"/>
        </w:rPr>
        <w:t>年</w:t>
      </w:r>
      <w:r w:rsidRPr="000D5AB5">
        <w:rPr>
          <w:rFonts w:ascii="宋体" w:hAnsi="宋体" w:hint="eastAsia"/>
          <w:szCs w:val="21"/>
        </w:rPr>
        <w:t>1</w:t>
      </w:r>
      <w:r w:rsidRPr="000D5AB5">
        <w:rPr>
          <w:rFonts w:ascii="宋体" w:hAnsi="宋体" w:hint="eastAsia"/>
          <w:szCs w:val="21"/>
        </w:rPr>
        <w:t>月，荣膺中央国债登记结算有限责任公司“</w:t>
      </w:r>
      <w:r w:rsidRPr="000D5AB5">
        <w:rPr>
          <w:rFonts w:ascii="宋体" w:hAnsi="宋体" w:hint="eastAsia"/>
          <w:szCs w:val="21"/>
        </w:rPr>
        <w:t>2020</w:t>
      </w:r>
      <w:r w:rsidRPr="000D5AB5">
        <w:rPr>
          <w:rFonts w:ascii="宋体" w:hAnsi="宋体" w:hint="eastAsia"/>
          <w:szCs w:val="21"/>
        </w:rPr>
        <w:t>年度优秀资产托管机构”奖项；</w:t>
      </w:r>
      <w:r w:rsidRPr="000D5AB5">
        <w:rPr>
          <w:rFonts w:ascii="宋体" w:hAnsi="宋体" w:hint="eastAsia"/>
          <w:szCs w:val="21"/>
        </w:rPr>
        <w:t>1</w:t>
      </w:r>
      <w:r w:rsidRPr="000D5AB5">
        <w:rPr>
          <w:rFonts w:ascii="宋体" w:hAnsi="宋体" w:hint="eastAsia"/>
          <w:szCs w:val="21"/>
        </w:rPr>
        <w:t>月荣获</w:t>
      </w:r>
      <w:r w:rsidRPr="000D5AB5">
        <w:rPr>
          <w:rFonts w:ascii="宋体" w:hAnsi="宋体" w:hint="eastAsia"/>
          <w:szCs w:val="21"/>
        </w:rPr>
        <w:t>2020</w:t>
      </w:r>
      <w:r w:rsidRPr="000D5AB5">
        <w:rPr>
          <w:rFonts w:ascii="宋体" w:hAnsi="宋体" w:hint="eastAsia"/>
          <w:szCs w:val="21"/>
        </w:rPr>
        <w:t>东方财富风云榜“</w:t>
      </w:r>
      <w:r w:rsidRPr="000D5AB5">
        <w:rPr>
          <w:rFonts w:ascii="宋体" w:hAnsi="宋体" w:hint="eastAsia"/>
          <w:szCs w:val="21"/>
        </w:rPr>
        <w:t>2020</w:t>
      </w:r>
      <w:r w:rsidRPr="000D5AB5">
        <w:rPr>
          <w:rFonts w:ascii="宋体" w:hAnsi="宋体" w:hint="eastAsia"/>
          <w:szCs w:val="21"/>
        </w:rPr>
        <w:t>年度最受欢迎托管银行”奖项；</w:t>
      </w:r>
      <w:r w:rsidRPr="000D5AB5">
        <w:rPr>
          <w:rFonts w:ascii="宋体" w:hAnsi="宋体" w:hint="eastAsia"/>
          <w:szCs w:val="21"/>
        </w:rPr>
        <w:t>2021</w:t>
      </w:r>
      <w:r w:rsidRPr="000D5AB5">
        <w:rPr>
          <w:rFonts w:ascii="宋体" w:hAnsi="宋体" w:hint="eastAsia"/>
          <w:szCs w:val="21"/>
        </w:rPr>
        <w:t>年</w:t>
      </w:r>
      <w:r w:rsidRPr="000D5AB5">
        <w:rPr>
          <w:rFonts w:ascii="宋体" w:hAnsi="宋体" w:hint="eastAsia"/>
          <w:szCs w:val="21"/>
        </w:rPr>
        <w:t>10</w:t>
      </w:r>
      <w:r w:rsidRPr="000D5AB5">
        <w:rPr>
          <w:rFonts w:ascii="宋体" w:hAnsi="宋体" w:hint="eastAsia"/>
          <w:szCs w:val="21"/>
        </w:rPr>
        <w:t>月，荣获国新投资有限公司“</w:t>
      </w:r>
      <w:r w:rsidRPr="000D5AB5">
        <w:rPr>
          <w:rFonts w:ascii="宋体" w:hAnsi="宋体" w:hint="eastAsia"/>
          <w:szCs w:val="21"/>
        </w:rPr>
        <w:t>2021</w:t>
      </w:r>
      <w:r w:rsidRPr="000D5AB5">
        <w:rPr>
          <w:rFonts w:ascii="宋体" w:hAnsi="宋体" w:hint="eastAsia"/>
          <w:szCs w:val="21"/>
        </w:rPr>
        <w:t>年度优秀托管银行奖”和《</w:t>
      </w:r>
      <w:r w:rsidRPr="000D5AB5">
        <w:rPr>
          <w:rFonts w:ascii="宋体" w:hAnsi="宋体" w:hint="eastAsia"/>
          <w:szCs w:val="21"/>
        </w:rPr>
        <w:t>证券时报》“</w:t>
      </w:r>
      <w:r w:rsidRPr="000D5AB5">
        <w:rPr>
          <w:rFonts w:ascii="宋体" w:hAnsi="宋体" w:hint="eastAsia"/>
          <w:szCs w:val="21"/>
        </w:rPr>
        <w:t>2021</w:t>
      </w:r>
      <w:r w:rsidRPr="000D5AB5">
        <w:rPr>
          <w:rFonts w:ascii="宋体" w:hAnsi="宋体" w:hint="eastAsia"/>
          <w:szCs w:val="21"/>
        </w:rPr>
        <w:t>年度杰出资产托管银行天玑奖”；</w:t>
      </w:r>
      <w:r w:rsidRPr="000D5AB5">
        <w:rPr>
          <w:rFonts w:ascii="宋体" w:hAnsi="宋体" w:hint="eastAsia"/>
          <w:szCs w:val="21"/>
        </w:rPr>
        <w:t>2021</w:t>
      </w:r>
      <w:r w:rsidRPr="000D5AB5">
        <w:rPr>
          <w:rFonts w:ascii="宋体" w:hAnsi="宋体" w:hint="eastAsia"/>
          <w:szCs w:val="21"/>
        </w:rPr>
        <w:t>年</w:t>
      </w:r>
      <w:r w:rsidRPr="000D5AB5">
        <w:rPr>
          <w:rFonts w:ascii="宋体" w:hAnsi="宋体" w:hint="eastAsia"/>
          <w:szCs w:val="21"/>
        </w:rPr>
        <w:t>12</w:t>
      </w:r>
      <w:r w:rsidRPr="000D5AB5">
        <w:rPr>
          <w:rFonts w:ascii="宋体" w:hAnsi="宋体" w:hint="eastAsia"/>
          <w:szCs w:val="21"/>
        </w:rPr>
        <w:t>月，荣获《中国基金报》第三届中国公募基金英华奖“</w:t>
      </w:r>
      <w:r w:rsidRPr="000D5AB5">
        <w:rPr>
          <w:rFonts w:ascii="宋体" w:hAnsi="宋体" w:hint="eastAsia"/>
          <w:szCs w:val="21"/>
        </w:rPr>
        <w:t>2020</w:t>
      </w:r>
      <w:r w:rsidRPr="000D5AB5">
        <w:rPr>
          <w:rFonts w:ascii="宋体" w:hAnsi="宋体" w:hint="eastAsia"/>
          <w:szCs w:val="21"/>
        </w:rPr>
        <w:t>年度最佳基金托管银行”；</w:t>
      </w:r>
      <w:r w:rsidRPr="000D5AB5">
        <w:rPr>
          <w:rFonts w:ascii="宋体" w:hAnsi="宋体" w:hint="eastAsia"/>
          <w:szCs w:val="21"/>
        </w:rPr>
        <w:t>2022</w:t>
      </w:r>
      <w:r w:rsidRPr="000D5AB5">
        <w:rPr>
          <w:rFonts w:ascii="宋体" w:hAnsi="宋体" w:hint="eastAsia"/>
          <w:szCs w:val="21"/>
        </w:rPr>
        <w:t>年</w:t>
      </w:r>
      <w:r w:rsidRPr="000D5AB5">
        <w:rPr>
          <w:rFonts w:ascii="宋体" w:hAnsi="宋体" w:hint="eastAsia"/>
          <w:szCs w:val="21"/>
        </w:rPr>
        <w:t>1</w:t>
      </w:r>
      <w:r w:rsidRPr="000D5AB5">
        <w:rPr>
          <w:rFonts w:ascii="宋体" w:hAnsi="宋体" w:hint="eastAsia"/>
          <w:szCs w:val="21"/>
        </w:rPr>
        <w:t>月荣获中央国债登记结算有限责任公司“</w:t>
      </w:r>
      <w:r w:rsidRPr="000D5AB5">
        <w:rPr>
          <w:rFonts w:ascii="宋体" w:hAnsi="宋体" w:hint="eastAsia"/>
          <w:szCs w:val="21"/>
        </w:rPr>
        <w:t>2021</w:t>
      </w:r>
      <w:r w:rsidRPr="000D5AB5">
        <w:rPr>
          <w:rFonts w:ascii="宋体" w:hAnsi="宋体" w:hint="eastAsia"/>
          <w:szCs w:val="21"/>
        </w:rPr>
        <w:t>年度优秀资产托管机构、估值业务杰出机构”。</w:t>
      </w:r>
    </w:p>
    <w:p w:rsidR="000D5AB5" w:rsidRPr="000D5AB5" w:rsidP="000D5AB5">
      <w:pPr>
        <w:spacing w:line="360" w:lineRule="auto"/>
        <w:ind w:firstLine="420" w:firstLineChars="200"/>
        <w:rPr>
          <w:rFonts w:ascii="宋体" w:hAnsi="宋体"/>
          <w:szCs w:val="21"/>
        </w:rPr>
      </w:pPr>
      <w:r w:rsidRPr="000D5AB5">
        <w:rPr>
          <w:rFonts w:ascii="宋体" w:hAnsi="宋体" w:hint="eastAsia"/>
          <w:szCs w:val="21"/>
        </w:rPr>
        <w:t>（二）主要人员情况</w:t>
      </w:r>
    </w:p>
    <w:p w:rsidR="000D5AB5" w:rsidRPr="000D5AB5" w:rsidP="000D5AB5">
      <w:pPr>
        <w:spacing w:line="360" w:lineRule="auto"/>
        <w:ind w:firstLine="420" w:firstLineChars="200"/>
        <w:rPr>
          <w:rFonts w:ascii="宋体" w:hAnsi="宋体"/>
          <w:szCs w:val="21"/>
        </w:rPr>
      </w:pPr>
      <w:r w:rsidRPr="000D5AB5">
        <w:rPr>
          <w:rFonts w:ascii="宋体" w:hAnsi="宋体" w:hint="eastAsia"/>
          <w:szCs w:val="21"/>
        </w:rPr>
        <w:t>缪建民先生，本行董事长、非执行董事，</w:t>
      </w:r>
      <w:r w:rsidRPr="000D5AB5">
        <w:rPr>
          <w:rFonts w:ascii="宋体" w:hAnsi="宋体" w:hint="eastAsia"/>
          <w:szCs w:val="21"/>
        </w:rPr>
        <w:t>2020</w:t>
      </w:r>
      <w:r w:rsidRPr="000D5AB5">
        <w:rPr>
          <w:rFonts w:ascii="宋体" w:hAnsi="宋体" w:hint="eastAsia"/>
          <w:szCs w:val="21"/>
        </w:rPr>
        <w:t>年</w:t>
      </w:r>
      <w:r w:rsidRPr="000D5AB5">
        <w:rPr>
          <w:rFonts w:ascii="宋体" w:hAnsi="宋体" w:hint="eastAsia"/>
          <w:szCs w:val="21"/>
        </w:rPr>
        <w:t>9</w:t>
      </w:r>
      <w:r w:rsidRPr="000D5AB5">
        <w:rPr>
          <w:rFonts w:ascii="宋体" w:hAnsi="宋体" w:hint="eastAsia"/>
          <w:szCs w:val="21"/>
        </w:rPr>
        <w:t>月起担任本行董事、董事长。中央财经大学经济学博士，高级经济师。十九届中央候补委员。招商局集团有限公司董事长。曾任中国人寿保险（集团）公司副董事长、总裁，中国人民保险</w:t>
      </w:r>
      <w:r w:rsidRPr="000D5AB5">
        <w:rPr>
          <w:rFonts w:ascii="宋体" w:hAnsi="宋体" w:hint="eastAsia"/>
          <w:szCs w:val="21"/>
        </w:rPr>
        <w:t xml:space="preserve"> </w:t>
      </w:r>
      <w:r w:rsidRPr="000D5AB5">
        <w:rPr>
          <w:rFonts w:ascii="宋体" w:hAnsi="宋体" w:hint="eastAsia"/>
          <w:szCs w:val="21"/>
        </w:rPr>
        <w:t>集团股份有限公司副董事长、总裁、董</w:t>
      </w:r>
      <w:r w:rsidRPr="000D5AB5">
        <w:rPr>
          <w:rFonts w:ascii="宋体" w:hAnsi="宋体" w:hint="eastAsia"/>
          <w:szCs w:val="21"/>
        </w:rPr>
        <w:t>事长，曾兼任中国人民财产保险股份有限公司董事长，中国人保资产管理有限公司董事长，中国人民健康保险股份有限公司董事长，中国人民保险（香港）有限公司董事长，人保资本投资管理有限公司董事长，中国人民养老保险有限责任公司董事长，中国人民人寿保险股份有限公司董事长。</w:t>
      </w:r>
    </w:p>
    <w:p w:rsidR="000D5AB5" w:rsidRPr="000D5AB5" w:rsidP="000D5AB5">
      <w:pPr>
        <w:spacing w:line="360" w:lineRule="auto"/>
        <w:ind w:firstLine="420" w:firstLineChars="200"/>
        <w:rPr>
          <w:rFonts w:ascii="宋体" w:hAnsi="宋体"/>
          <w:szCs w:val="21"/>
        </w:rPr>
      </w:pPr>
      <w:r w:rsidRPr="000D5AB5">
        <w:rPr>
          <w:rFonts w:ascii="宋体" w:hAnsi="宋体" w:hint="eastAsia"/>
          <w:szCs w:val="21"/>
        </w:rPr>
        <w:t>王良先生，本公司执行董事、党委书记、行长，兼任财务负责人、董事会秘书。中国人民大学硕士研究生学历，高级经济师。</w:t>
      </w:r>
      <w:r w:rsidRPr="000D5AB5">
        <w:rPr>
          <w:rFonts w:ascii="宋体" w:hAnsi="宋体" w:hint="eastAsia"/>
          <w:szCs w:val="21"/>
        </w:rPr>
        <w:t>1995</w:t>
      </w:r>
      <w:r w:rsidRPr="000D5AB5">
        <w:rPr>
          <w:rFonts w:ascii="宋体" w:hAnsi="宋体" w:hint="eastAsia"/>
          <w:szCs w:val="21"/>
        </w:rPr>
        <w:t>年</w:t>
      </w:r>
      <w:r w:rsidRPr="000D5AB5">
        <w:rPr>
          <w:rFonts w:ascii="宋体" w:hAnsi="宋体" w:hint="eastAsia"/>
          <w:szCs w:val="21"/>
        </w:rPr>
        <w:t>6</w:t>
      </w:r>
      <w:r w:rsidRPr="000D5AB5">
        <w:rPr>
          <w:rFonts w:ascii="宋体" w:hAnsi="宋体" w:hint="eastAsia"/>
          <w:szCs w:val="21"/>
        </w:rPr>
        <w:t>月加入本公司北京分行，自</w:t>
      </w:r>
      <w:r w:rsidRPr="000D5AB5">
        <w:rPr>
          <w:rFonts w:ascii="宋体" w:hAnsi="宋体" w:hint="eastAsia"/>
          <w:szCs w:val="21"/>
        </w:rPr>
        <w:t>2001</w:t>
      </w:r>
      <w:r w:rsidRPr="000D5AB5">
        <w:rPr>
          <w:rFonts w:ascii="宋体" w:hAnsi="宋体" w:hint="eastAsia"/>
          <w:szCs w:val="21"/>
        </w:rPr>
        <w:t>年</w:t>
      </w:r>
      <w:r w:rsidRPr="000D5AB5">
        <w:rPr>
          <w:rFonts w:ascii="宋体" w:hAnsi="宋体" w:hint="eastAsia"/>
          <w:szCs w:val="21"/>
        </w:rPr>
        <w:t>10</w:t>
      </w:r>
      <w:r w:rsidRPr="000D5AB5">
        <w:rPr>
          <w:rFonts w:ascii="宋体" w:hAnsi="宋体" w:hint="eastAsia"/>
          <w:szCs w:val="21"/>
        </w:rPr>
        <w:t>月起历任本公司北京分行行长助理、副行长、行长，</w:t>
      </w:r>
      <w:r w:rsidRPr="000D5AB5">
        <w:rPr>
          <w:rFonts w:ascii="宋体" w:hAnsi="宋体" w:hint="eastAsia"/>
          <w:szCs w:val="21"/>
        </w:rPr>
        <w:t>2012</w:t>
      </w:r>
      <w:r w:rsidRPr="000D5AB5">
        <w:rPr>
          <w:rFonts w:ascii="宋体" w:hAnsi="宋体" w:hint="eastAsia"/>
          <w:szCs w:val="21"/>
        </w:rPr>
        <w:t>年</w:t>
      </w:r>
      <w:r w:rsidRPr="000D5AB5">
        <w:rPr>
          <w:rFonts w:ascii="宋体" w:hAnsi="宋体" w:hint="eastAsia"/>
          <w:szCs w:val="21"/>
        </w:rPr>
        <w:t>6</w:t>
      </w:r>
      <w:r w:rsidRPr="000D5AB5">
        <w:rPr>
          <w:rFonts w:ascii="宋体" w:hAnsi="宋体" w:hint="eastAsia"/>
          <w:szCs w:val="21"/>
        </w:rPr>
        <w:t>月任本公司行长助理兼任北京分行行长，</w:t>
      </w:r>
      <w:r w:rsidRPr="000D5AB5">
        <w:rPr>
          <w:rFonts w:ascii="宋体" w:hAnsi="宋体" w:hint="eastAsia"/>
          <w:szCs w:val="21"/>
        </w:rPr>
        <w:t>2013</w:t>
      </w:r>
      <w:r w:rsidRPr="000D5AB5">
        <w:rPr>
          <w:rFonts w:ascii="宋体" w:hAnsi="宋体" w:hint="eastAsia"/>
          <w:szCs w:val="21"/>
        </w:rPr>
        <w:t>年</w:t>
      </w:r>
      <w:r w:rsidRPr="000D5AB5">
        <w:rPr>
          <w:rFonts w:ascii="宋体" w:hAnsi="宋体" w:hint="eastAsia"/>
          <w:szCs w:val="21"/>
        </w:rPr>
        <w:t>11</w:t>
      </w:r>
      <w:r w:rsidRPr="000D5AB5">
        <w:rPr>
          <w:rFonts w:ascii="宋体" w:hAnsi="宋体" w:hint="eastAsia"/>
          <w:szCs w:val="21"/>
        </w:rPr>
        <w:t>月不再兼任本公司北京分行行长，</w:t>
      </w:r>
      <w:r w:rsidRPr="000D5AB5">
        <w:rPr>
          <w:rFonts w:ascii="宋体" w:hAnsi="宋体" w:hint="eastAsia"/>
          <w:szCs w:val="21"/>
        </w:rPr>
        <w:t>2015</w:t>
      </w:r>
      <w:r w:rsidRPr="000D5AB5">
        <w:rPr>
          <w:rFonts w:ascii="宋体" w:hAnsi="宋体" w:hint="eastAsia"/>
          <w:szCs w:val="21"/>
        </w:rPr>
        <w:t>年</w:t>
      </w:r>
      <w:r w:rsidRPr="000D5AB5">
        <w:rPr>
          <w:rFonts w:ascii="宋体" w:hAnsi="宋体" w:hint="eastAsia"/>
          <w:szCs w:val="21"/>
        </w:rPr>
        <w:t>1</w:t>
      </w:r>
      <w:r w:rsidRPr="000D5AB5">
        <w:rPr>
          <w:rFonts w:ascii="宋体" w:hAnsi="宋体" w:hint="eastAsia"/>
          <w:szCs w:val="21"/>
        </w:rPr>
        <w:t>月任本公司副行长，</w:t>
      </w:r>
      <w:r w:rsidRPr="000D5AB5">
        <w:rPr>
          <w:rFonts w:ascii="宋体" w:hAnsi="宋体" w:hint="eastAsia"/>
          <w:szCs w:val="21"/>
        </w:rPr>
        <w:t>2016</w:t>
      </w:r>
      <w:r w:rsidRPr="000D5AB5">
        <w:rPr>
          <w:rFonts w:ascii="宋体" w:hAnsi="宋体" w:hint="eastAsia"/>
          <w:szCs w:val="21"/>
        </w:rPr>
        <w:t>年</w:t>
      </w:r>
      <w:r w:rsidRPr="000D5AB5">
        <w:rPr>
          <w:rFonts w:ascii="宋体" w:hAnsi="宋体" w:hint="eastAsia"/>
          <w:szCs w:val="21"/>
        </w:rPr>
        <w:t>11</w:t>
      </w:r>
      <w:r w:rsidRPr="000D5AB5">
        <w:rPr>
          <w:rFonts w:ascii="宋体" w:hAnsi="宋体" w:hint="eastAsia"/>
          <w:szCs w:val="21"/>
        </w:rPr>
        <w:t>月至</w:t>
      </w:r>
      <w:r w:rsidRPr="000D5AB5">
        <w:rPr>
          <w:rFonts w:ascii="宋体" w:hAnsi="宋体" w:hint="eastAsia"/>
          <w:szCs w:val="21"/>
        </w:rPr>
        <w:t>2019</w:t>
      </w:r>
      <w:r w:rsidRPr="000D5AB5">
        <w:rPr>
          <w:rFonts w:ascii="宋体" w:hAnsi="宋体" w:hint="eastAsia"/>
          <w:szCs w:val="21"/>
        </w:rPr>
        <w:t>年</w:t>
      </w:r>
      <w:r w:rsidRPr="000D5AB5">
        <w:rPr>
          <w:rFonts w:ascii="宋体" w:hAnsi="宋体" w:hint="eastAsia"/>
          <w:szCs w:val="21"/>
        </w:rPr>
        <w:t>4</w:t>
      </w:r>
      <w:r w:rsidRPr="000D5AB5">
        <w:rPr>
          <w:rFonts w:ascii="宋体" w:hAnsi="宋体" w:hint="eastAsia"/>
          <w:szCs w:val="21"/>
        </w:rPr>
        <w:t>月兼任本公司董事会秘书，</w:t>
      </w:r>
      <w:r w:rsidRPr="000D5AB5">
        <w:rPr>
          <w:rFonts w:ascii="宋体" w:hAnsi="宋体" w:hint="eastAsia"/>
          <w:szCs w:val="21"/>
        </w:rPr>
        <w:t>2019</w:t>
      </w:r>
      <w:r w:rsidRPr="000D5AB5">
        <w:rPr>
          <w:rFonts w:ascii="宋体" w:hAnsi="宋体" w:hint="eastAsia"/>
          <w:szCs w:val="21"/>
        </w:rPr>
        <w:t>年</w:t>
      </w:r>
      <w:r w:rsidRPr="000D5AB5">
        <w:rPr>
          <w:rFonts w:ascii="宋体" w:hAnsi="宋体" w:hint="eastAsia"/>
          <w:szCs w:val="21"/>
        </w:rPr>
        <w:t>4</w:t>
      </w:r>
      <w:r w:rsidRPr="000D5AB5">
        <w:rPr>
          <w:rFonts w:ascii="宋体" w:hAnsi="宋体" w:hint="eastAsia"/>
          <w:szCs w:val="21"/>
        </w:rPr>
        <w:t>月起兼任本公司财务负责人，</w:t>
      </w:r>
      <w:r w:rsidRPr="000D5AB5">
        <w:rPr>
          <w:rFonts w:ascii="宋体" w:hAnsi="宋体" w:hint="eastAsia"/>
          <w:szCs w:val="21"/>
        </w:rPr>
        <w:t>2021</w:t>
      </w:r>
      <w:r w:rsidRPr="000D5AB5">
        <w:rPr>
          <w:rFonts w:ascii="宋体" w:hAnsi="宋体" w:hint="eastAsia"/>
          <w:szCs w:val="21"/>
        </w:rPr>
        <w:t>年</w:t>
      </w:r>
      <w:r w:rsidRPr="000D5AB5">
        <w:rPr>
          <w:rFonts w:ascii="宋体" w:hAnsi="宋体" w:hint="eastAsia"/>
          <w:szCs w:val="21"/>
        </w:rPr>
        <w:t>8</w:t>
      </w:r>
      <w:r w:rsidRPr="000D5AB5">
        <w:rPr>
          <w:rFonts w:ascii="宋体" w:hAnsi="宋体" w:hint="eastAsia"/>
          <w:szCs w:val="21"/>
        </w:rPr>
        <w:t>月起任本公司常务副行长兼任董事会秘书、公司秘书及香港上市相关事宜之授权代表，</w:t>
      </w:r>
      <w:r w:rsidRPr="000D5AB5">
        <w:rPr>
          <w:rFonts w:ascii="宋体" w:hAnsi="宋体" w:hint="eastAsia"/>
          <w:szCs w:val="21"/>
        </w:rPr>
        <w:t>2022</w:t>
      </w:r>
      <w:r w:rsidRPr="000D5AB5">
        <w:rPr>
          <w:rFonts w:ascii="宋体" w:hAnsi="宋体" w:hint="eastAsia"/>
          <w:szCs w:val="21"/>
        </w:rPr>
        <w:t>年</w:t>
      </w:r>
      <w:r w:rsidRPr="000D5AB5">
        <w:rPr>
          <w:rFonts w:ascii="宋体" w:hAnsi="宋体" w:hint="eastAsia"/>
          <w:szCs w:val="21"/>
        </w:rPr>
        <w:t>4</w:t>
      </w:r>
      <w:r w:rsidRPr="000D5AB5">
        <w:rPr>
          <w:rFonts w:ascii="宋体" w:hAnsi="宋体" w:hint="eastAsia"/>
          <w:szCs w:val="21"/>
        </w:rPr>
        <w:t>月</w:t>
      </w:r>
      <w:r w:rsidRPr="000D5AB5">
        <w:rPr>
          <w:rFonts w:ascii="宋体" w:hAnsi="宋体" w:hint="eastAsia"/>
          <w:szCs w:val="21"/>
        </w:rPr>
        <w:t>18</w:t>
      </w:r>
      <w:r w:rsidRPr="000D5AB5">
        <w:rPr>
          <w:rFonts w:ascii="宋体" w:hAnsi="宋体" w:hint="eastAsia"/>
          <w:szCs w:val="21"/>
        </w:rPr>
        <w:t>日起全面主持本公司工作，</w:t>
      </w:r>
      <w:r w:rsidRPr="000D5AB5">
        <w:rPr>
          <w:rFonts w:ascii="宋体" w:hAnsi="宋体" w:hint="eastAsia"/>
          <w:szCs w:val="21"/>
        </w:rPr>
        <w:t>2022</w:t>
      </w:r>
      <w:r w:rsidRPr="000D5AB5">
        <w:rPr>
          <w:rFonts w:ascii="宋体" w:hAnsi="宋体" w:hint="eastAsia"/>
          <w:szCs w:val="21"/>
        </w:rPr>
        <w:t>年</w:t>
      </w:r>
      <w:r w:rsidRPr="000D5AB5">
        <w:rPr>
          <w:rFonts w:ascii="宋体" w:hAnsi="宋体" w:hint="eastAsia"/>
          <w:szCs w:val="21"/>
        </w:rPr>
        <w:t>5</w:t>
      </w:r>
      <w:r w:rsidRPr="000D5AB5">
        <w:rPr>
          <w:rFonts w:ascii="宋体" w:hAnsi="宋体" w:hint="eastAsia"/>
          <w:szCs w:val="21"/>
        </w:rPr>
        <w:t>月</w:t>
      </w:r>
      <w:r w:rsidRPr="000D5AB5">
        <w:rPr>
          <w:rFonts w:ascii="宋体" w:hAnsi="宋体" w:hint="eastAsia"/>
          <w:szCs w:val="21"/>
        </w:rPr>
        <w:t>19</w:t>
      </w:r>
      <w:r w:rsidRPr="000D5AB5">
        <w:rPr>
          <w:rFonts w:ascii="宋体" w:hAnsi="宋体" w:hint="eastAsia"/>
          <w:szCs w:val="21"/>
        </w:rPr>
        <w:t>日起任本公司党委书记，</w:t>
      </w:r>
      <w:r w:rsidRPr="000D5AB5">
        <w:rPr>
          <w:rFonts w:ascii="宋体" w:hAnsi="宋体" w:hint="eastAsia"/>
          <w:szCs w:val="21"/>
        </w:rPr>
        <w:t>2022</w:t>
      </w:r>
      <w:r w:rsidRPr="000D5AB5">
        <w:rPr>
          <w:rFonts w:ascii="宋体" w:hAnsi="宋体" w:hint="eastAsia"/>
          <w:szCs w:val="21"/>
        </w:rPr>
        <w:t>年</w:t>
      </w:r>
      <w:r w:rsidRPr="000D5AB5">
        <w:rPr>
          <w:rFonts w:ascii="宋体" w:hAnsi="宋体" w:hint="eastAsia"/>
          <w:szCs w:val="21"/>
        </w:rPr>
        <w:t>6</w:t>
      </w:r>
      <w:r w:rsidRPr="000D5AB5">
        <w:rPr>
          <w:rFonts w:ascii="宋体" w:hAnsi="宋体" w:hint="eastAsia"/>
          <w:szCs w:val="21"/>
        </w:rPr>
        <w:t>月</w:t>
      </w:r>
      <w:r w:rsidRPr="000D5AB5">
        <w:rPr>
          <w:rFonts w:ascii="宋体" w:hAnsi="宋体" w:hint="eastAsia"/>
          <w:szCs w:val="21"/>
        </w:rPr>
        <w:t>15</w:t>
      </w:r>
      <w:r w:rsidRPr="000D5AB5">
        <w:rPr>
          <w:rFonts w:ascii="宋体" w:hAnsi="宋体" w:hint="eastAsia"/>
          <w:szCs w:val="21"/>
        </w:rPr>
        <w:t>日起任本公司行长。兼任中国支付清算协会副会长、中国银保监会数据治理高层指导协调委员会委员、中国银行业协会中间业务专业委员会第四届主任、中国金融会计学会第六届常</w:t>
      </w:r>
      <w:r w:rsidRPr="000D5AB5">
        <w:rPr>
          <w:rFonts w:ascii="宋体" w:hAnsi="宋体" w:hint="eastAsia"/>
          <w:szCs w:val="21"/>
        </w:rPr>
        <w:t>务理事。</w:t>
      </w:r>
    </w:p>
    <w:p w:rsidR="000D5AB5" w:rsidRPr="000D5AB5" w:rsidP="000D5AB5">
      <w:pPr>
        <w:spacing w:line="360" w:lineRule="auto"/>
        <w:ind w:firstLine="420" w:firstLineChars="200"/>
        <w:rPr>
          <w:rFonts w:ascii="宋体" w:hAnsi="宋体"/>
          <w:szCs w:val="21"/>
        </w:rPr>
      </w:pPr>
      <w:r w:rsidRPr="000D5AB5">
        <w:rPr>
          <w:rFonts w:ascii="宋体" w:hAnsi="宋体" w:hint="eastAsia"/>
          <w:szCs w:val="21"/>
        </w:rPr>
        <w:t>汪建中先生，本行副行长。</w:t>
      </w:r>
      <w:r w:rsidRPr="000D5AB5">
        <w:rPr>
          <w:rFonts w:ascii="宋体" w:hAnsi="宋体" w:hint="eastAsia"/>
          <w:szCs w:val="21"/>
        </w:rPr>
        <w:t>1991</w:t>
      </w:r>
      <w:r w:rsidRPr="000D5AB5">
        <w:rPr>
          <w:rFonts w:ascii="宋体" w:hAnsi="宋体" w:hint="eastAsia"/>
          <w:szCs w:val="21"/>
        </w:rPr>
        <w:t>年加入本行；</w:t>
      </w:r>
      <w:r w:rsidRPr="000D5AB5">
        <w:rPr>
          <w:rFonts w:ascii="宋体" w:hAnsi="宋体" w:hint="eastAsia"/>
          <w:szCs w:val="21"/>
        </w:rPr>
        <w:t>2002</w:t>
      </w:r>
      <w:r w:rsidRPr="000D5AB5">
        <w:rPr>
          <w:rFonts w:ascii="宋体" w:hAnsi="宋体" w:hint="eastAsia"/>
          <w:szCs w:val="21"/>
        </w:rPr>
        <w:t>年</w:t>
      </w:r>
      <w:r w:rsidRPr="000D5AB5">
        <w:rPr>
          <w:rFonts w:ascii="宋体" w:hAnsi="宋体" w:hint="eastAsia"/>
          <w:szCs w:val="21"/>
        </w:rPr>
        <w:t>10</w:t>
      </w:r>
      <w:r w:rsidRPr="000D5AB5">
        <w:rPr>
          <w:rFonts w:ascii="宋体" w:hAnsi="宋体" w:hint="eastAsia"/>
          <w:szCs w:val="21"/>
        </w:rPr>
        <w:t>月至</w:t>
      </w:r>
      <w:r w:rsidRPr="000D5AB5">
        <w:rPr>
          <w:rFonts w:ascii="宋体" w:hAnsi="宋体" w:hint="eastAsia"/>
          <w:szCs w:val="21"/>
        </w:rPr>
        <w:t>2013</w:t>
      </w:r>
      <w:r w:rsidRPr="000D5AB5">
        <w:rPr>
          <w:rFonts w:ascii="宋体" w:hAnsi="宋体" w:hint="eastAsia"/>
          <w:szCs w:val="21"/>
        </w:rPr>
        <w:t>年</w:t>
      </w:r>
      <w:r w:rsidRPr="000D5AB5">
        <w:rPr>
          <w:rFonts w:ascii="宋体" w:hAnsi="宋体" w:hint="eastAsia"/>
          <w:szCs w:val="21"/>
        </w:rPr>
        <w:t>12</w:t>
      </w:r>
      <w:r w:rsidRPr="000D5AB5">
        <w:rPr>
          <w:rFonts w:ascii="宋体" w:hAnsi="宋体" w:hint="eastAsia"/>
          <w:szCs w:val="21"/>
        </w:rPr>
        <w:t>月历任本行长沙分行行长，总行公司银行部副总经理，佛山分行筹备组组长，佛山分行行长，武汉分行行长；</w:t>
      </w:r>
      <w:r w:rsidRPr="000D5AB5">
        <w:rPr>
          <w:rFonts w:ascii="宋体" w:hAnsi="宋体" w:hint="eastAsia"/>
          <w:szCs w:val="21"/>
        </w:rPr>
        <w:t>2013</w:t>
      </w:r>
      <w:r w:rsidRPr="000D5AB5">
        <w:rPr>
          <w:rFonts w:ascii="宋体" w:hAnsi="宋体" w:hint="eastAsia"/>
          <w:szCs w:val="21"/>
        </w:rPr>
        <w:t>年</w:t>
      </w:r>
      <w:r w:rsidRPr="000D5AB5">
        <w:rPr>
          <w:rFonts w:ascii="宋体" w:hAnsi="宋体" w:hint="eastAsia"/>
          <w:szCs w:val="21"/>
        </w:rPr>
        <w:t>12</w:t>
      </w:r>
      <w:r w:rsidRPr="000D5AB5">
        <w:rPr>
          <w:rFonts w:ascii="宋体" w:hAnsi="宋体" w:hint="eastAsia"/>
          <w:szCs w:val="21"/>
        </w:rPr>
        <w:t>月至</w:t>
      </w:r>
      <w:r w:rsidRPr="000D5AB5">
        <w:rPr>
          <w:rFonts w:ascii="宋体" w:hAnsi="宋体" w:hint="eastAsia"/>
          <w:szCs w:val="21"/>
        </w:rPr>
        <w:t>2016</w:t>
      </w:r>
      <w:r w:rsidRPr="000D5AB5">
        <w:rPr>
          <w:rFonts w:ascii="宋体" w:hAnsi="宋体" w:hint="eastAsia"/>
          <w:szCs w:val="21"/>
        </w:rPr>
        <w:t>年</w:t>
      </w:r>
      <w:r w:rsidRPr="000D5AB5">
        <w:rPr>
          <w:rFonts w:ascii="宋体" w:hAnsi="宋体" w:hint="eastAsia"/>
          <w:szCs w:val="21"/>
        </w:rPr>
        <w:t>10</w:t>
      </w:r>
      <w:r w:rsidRPr="000D5AB5">
        <w:rPr>
          <w:rFonts w:ascii="宋体" w:hAnsi="宋体" w:hint="eastAsia"/>
          <w:szCs w:val="21"/>
        </w:rPr>
        <w:t>月任本行业务总监兼公司金融总部总裁，期间先后兼任公司金融综合管理部总经理、战略客户部总经理；</w:t>
      </w:r>
      <w:r w:rsidRPr="000D5AB5">
        <w:rPr>
          <w:rFonts w:ascii="宋体" w:hAnsi="宋体" w:hint="eastAsia"/>
          <w:szCs w:val="21"/>
        </w:rPr>
        <w:t>2016</w:t>
      </w:r>
      <w:r w:rsidRPr="000D5AB5">
        <w:rPr>
          <w:rFonts w:ascii="宋体" w:hAnsi="宋体" w:hint="eastAsia"/>
          <w:szCs w:val="21"/>
        </w:rPr>
        <w:t>年</w:t>
      </w:r>
      <w:r w:rsidRPr="000D5AB5">
        <w:rPr>
          <w:rFonts w:ascii="宋体" w:hAnsi="宋体" w:hint="eastAsia"/>
          <w:szCs w:val="21"/>
        </w:rPr>
        <w:t>10</w:t>
      </w:r>
      <w:r w:rsidRPr="000D5AB5">
        <w:rPr>
          <w:rFonts w:ascii="宋体" w:hAnsi="宋体" w:hint="eastAsia"/>
          <w:szCs w:val="21"/>
        </w:rPr>
        <w:t>月至</w:t>
      </w:r>
      <w:r w:rsidRPr="000D5AB5">
        <w:rPr>
          <w:rFonts w:ascii="宋体" w:hAnsi="宋体" w:hint="eastAsia"/>
          <w:szCs w:val="21"/>
        </w:rPr>
        <w:t>2017</w:t>
      </w:r>
      <w:r w:rsidRPr="000D5AB5">
        <w:rPr>
          <w:rFonts w:ascii="宋体" w:hAnsi="宋体" w:hint="eastAsia"/>
          <w:szCs w:val="21"/>
        </w:rPr>
        <w:t>年</w:t>
      </w:r>
      <w:r w:rsidRPr="000D5AB5">
        <w:rPr>
          <w:rFonts w:ascii="宋体" w:hAnsi="宋体" w:hint="eastAsia"/>
          <w:szCs w:val="21"/>
        </w:rPr>
        <w:t>4</w:t>
      </w:r>
      <w:r w:rsidRPr="000D5AB5">
        <w:rPr>
          <w:rFonts w:ascii="宋体" w:hAnsi="宋体" w:hint="eastAsia"/>
          <w:szCs w:val="21"/>
        </w:rPr>
        <w:t>月任本行业务总监兼北京分行行长；</w:t>
      </w:r>
      <w:r w:rsidRPr="000D5AB5">
        <w:rPr>
          <w:rFonts w:ascii="宋体" w:hAnsi="宋体" w:hint="eastAsia"/>
          <w:szCs w:val="21"/>
        </w:rPr>
        <w:t>2017</w:t>
      </w:r>
      <w:r w:rsidRPr="000D5AB5">
        <w:rPr>
          <w:rFonts w:ascii="宋体" w:hAnsi="宋体" w:hint="eastAsia"/>
          <w:szCs w:val="21"/>
        </w:rPr>
        <w:t>年</w:t>
      </w:r>
      <w:r w:rsidRPr="000D5AB5">
        <w:rPr>
          <w:rFonts w:ascii="宋体" w:hAnsi="宋体" w:hint="eastAsia"/>
          <w:szCs w:val="21"/>
        </w:rPr>
        <w:t>4</w:t>
      </w:r>
      <w:r w:rsidRPr="000D5AB5">
        <w:rPr>
          <w:rFonts w:ascii="宋体" w:hAnsi="宋体" w:hint="eastAsia"/>
          <w:szCs w:val="21"/>
        </w:rPr>
        <w:t>月起任本行党委委员兼北京分行行长。</w:t>
      </w:r>
      <w:r w:rsidRPr="000D5AB5">
        <w:rPr>
          <w:rFonts w:ascii="宋体" w:hAnsi="宋体" w:hint="eastAsia"/>
          <w:szCs w:val="21"/>
        </w:rPr>
        <w:t>2019</w:t>
      </w:r>
      <w:r w:rsidRPr="000D5AB5">
        <w:rPr>
          <w:rFonts w:ascii="宋体" w:hAnsi="宋体" w:hint="eastAsia"/>
          <w:szCs w:val="21"/>
        </w:rPr>
        <w:t>年</w:t>
      </w:r>
      <w:r w:rsidRPr="000D5AB5">
        <w:rPr>
          <w:rFonts w:ascii="宋体" w:hAnsi="宋体" w:hint="eastAsia"/>
          <w:szCs w:val="21"/>
        </w:rPr>
        <w:t>4</w:t>
      </w:r>
      <w:r w:rsidRPr="000D5AB5">
        <w:rPr>
          <w:rFonts w:ascii="宋体" w:hAnsi="宋体" w:hint="eastAsia"/>
          <w:szCs w:val="21"/>
        </w:rPr>
        <w:t>月起任本行副行长。</w:t>
      </w:r>
    </w:p>
    <w:p w:rsidR="000D5AB5" w:rsidRPr="000D5AB5" w:rsidP="000D5AB5">
      <w:pPr>
        <w:spacing w:line="360" w:lineRule="auto"/>
        <w:ind w:firstLine="420" w:firstLineChars="200"/>
        <w:rPr>
          <w:rFonts w:ascii="宋体" w:hAnsi="宋体"/>
          <w:szCs w:val="21"/>
        </w:rPr>
      </w:pPr>
      <w:r w:rsidRPr="000D5AB5">
        <w:rPr>
          <w:rFonts w:ascii="宋体" w:hAnsi="宋体" w:hint="eastAsia"/>
          <w:szCs w:val="21"/>
        </w:rPr>
        <w:t>孙乐女士，招商银行资产托管部总经理，硕士研究生毕业，</w:t>
      </w:r>
      <w:r w:rsidRPr="000D5AB5">
        <w:rPr>
          <w:rFonts w:ascii="宋体" w:hAnsi="宋体" w:hint="eastAsia"/>
          <w:szCs w:val="21"/>
        </w:rPr>
        <w:t>2001</w:t>
      </w:r>
      <w:r w:rsidRPr="000D5AB5">
        <w:rPr>
          <w:rFonts w:ascii="宋体" w:hAnsi="宋体" w:hint="eastAsia"/>
          <w:szCs w:val="21"/>
        </w:rPr>
        <w:t>年</w:t>
      </w:r>
      <w:r w:rsidRPr="000D5AB5">
        <w:rPr>
          <w:rFonts w:ascii="宋体" w:hAnsi="宋体" w:hint="eastAsia"/>
          <w:szCs w:val="21"/>
        </w:rPr>
        <w:t>8</w:t>
      </w:r>
      <w:r w:rsidRPr="000D5AB5">
        <w:rPr>
          <w:rFonts w:ascii="宋体" w:hAnsi="宋体" w:hint="eastAsia"/>
          <w:szCs w:val="21"/>
        </w:rPr>
        <w:t>月</w:t>
      </w:r>
      <w:r w:rsidRPr="000D5AB5">
        <w:rPr>
          <w:rFonts w:ascii="宋体" w:hAnsi="宋体" w:hint="eastAsia"/>
          <w:szCs w:val="21"/>
        </w:rPr>
        <w:t>加入招商银行至今，历任招商银行合肥分行风险控制部副经理、经理、信贷管理部总经理助理、副总经理、</w:t>
      </w:r>
      <w:r w:rsidRPr="000D5AB5">
        <w:rPr>
          <w:rFonts w:ascii="宋体" w:hAnsi="宋体" w:hint="eastAsia"/>
          <w:szCs w:val="21"/>
        </w:rPr>
        <w:t>总经理、公司银行部总经理、中小企业金融部总经理、投行与金融市场部总经理；无锡分行行长助理、副行长；南京分行副行长，具有</w:t>
      </w:r>
      <w:r w:rsidRPr="000D5AB5">
        <w:rPr>
          <w:rFonts w:ascii="宋体" w:hAnsi="宋体" w:hint="eastAsia"/>
          <w:szCs w:val="21"/>
        </w:rPr>
        <w:t>20</w:t>
      </w:r>
      <w:r w:rsidRPr="000D5AB5">
        <w:rPr>
          <w:rFonts w:ascii="宋体" w:hAnsi="宋体" w:hint="eastAsia"/>
          <w:szCs w:val="21"/>
        </w:rPr>
        <w:t>余年银行从业经验，在风险管理、信贷管理、公司金融、资产托管等领域有深入的研究和丰富的实务经验。</w:t>
      </w:r>
    </w:p>
    <w:p w:rsidR="000D5AB5" w:rsidRPr="000D5AB5" w:rsidP="000D5AB5">
      <w:pPr>
        <w:spacing w:line="360" w:lineRule="auto"/>
        <w:ind w:firstLine="420" w:firstLineChars="200"/>
        <w:rPr>
          <w:rFonts w:ascii="宋体" w:hAnsi="宋体"/>
          <w:szCs w:val="21"/>
        </w:rPr>
      </w:pPr>
      <w:r w:rsidRPr="000D5AB5">
        <w:rPr>
          <w:rFonts w:ascii="宋体" w:hAnsi="宋体" w:hint="eastAsia"/>
          <w:szCs w:val="21"/>
        </w:rPr>
        <w:t>（三）基金托管业务经营情况</w:t>
      </w:r>
    </w:p>
    <w:p w:rsidR="000D5AB5" w:rsidRPr="000D5AB5" w:rsidP="000D5AB5">
      <w:pPr>
        <w:spacing w:line="360" w:lineRule="auto"/>
        <w:ind w:firstLine="420" w:firstLineChars="200"/>
        <w:rPr>
          <w:rFonts w:ascii="宋体" w:hAnsi="宋体"/>
          <w:szCs w:val="21"/>
        </w:rPr>
      </w:pPr>
      <w:r w:rsidRPr="000D5AB5">
        <w:rPr>
          <w:rFonts w:ascii="宋体" w:hAnsi="宋体" w:hint="eastAsia"/>
          <w:szCs w:val="21"/>
        </w:rPr>
        <w:t>截至</w:t>
      </w:r>
      <w:r w:rsidRPr="000D5AB5">
        <w:rPr>
          <w:rFonts w:ascii="宋体" w:hAnsi="宋体" w:hint="eastAsia"/>
          <w:szCs w:val="21"/>
        </w:rPr>
        <w:t>2022</w:t>
      </w:r>
      <w:r w:rsidRPr="000D5AB5">
        <w:rPr>
          <w:rFonts w:ascii="宋体" w:hAnsi="宋体" w:hint="eastAsia"/>
          <w:szCs w:val="21"/>
        </w:rPr>
        <w:t>年</w:t>
      </w:r>
      <w:r w:rsidRPr="000D5AB5">
        <w:rPr>
          <w:rFonts w:ascii="宋体" w:hAnsi="宋体" w:hint="eastAsia"/>
          <w:szCs w:val="21"/>
        </w:rPr>
        <w:t>6</w:t>
      </w:r>
      <w:r w:rsidRPr="000D5AB5">
        <w:rPr>
          <w:rFonts w:ascii="宋体" w:hAnsi="宋体" w:hint="eastAsia"/>
          <w:szCs w:val="21"/>
        </w:rPr>
        <w:t>月</w:t>
      </w:r>
      <w:r w:rsidRPr="000D5AB5">
        <w:rPr>
          <w:rFonts w:ascii="宋体" w:hAnsi="宋体" w:hint="eastAsia"/>
          <w:szCs w:val="21"/>
        </w:rPr>
        <w:t>30</w:t>
      </w:r>
      <w:r w:rsidRPr="000D5AB5">
        <w:rPr>
          <w:rFonts w:ascii="宋体" w:hAnsi="宋体" w:hint="eastAsia"/>
          <w:szCs w:val="21"/>
        </w:rPr>
        <w:t>日，招商银行股份有限公司累计托管</w:t>
      </w:r>
      <w:r w:rsidRPr="000D5AB5">
        <w:rPr>
          <w:rFonts w:ascii="宋体" w:hAnsi="宋体" w:hint="eastAsia"/>
          <w:szCs w:val="21"/>
        </w:rPr>
        <w:t>1086</w:t>
      </w:r>
      <w:r w:rsidRPr="000D5AB5">
        <w:rPr>
          <w:rFonts w:ascii="宋体" w:hAnsi="宋体" w:hint="eastAsia"/>
          <w:szCs w:val="21"/>
        </w:rPr>
        <w:t>只证券投资基金。</w:t>
      </w:r>
    </w:p>
    <w:p w:rsidR="000D5AB5" w:rsidRPr="000D5AB5" w:rsidP="000D5AB5">
      <w:pPr>
        <w:spacing w:line="360" w:lineRule="auto"/>
        <w:ind w:firstLine="420" w:firstLineChars="200"/>
        <w:rPr>
          <w:rFonts w:ascii="宋体" w:hAnsi="宋体"/>
          <w:szCs w:val="21"/>
        </w:rPr>
      </w:pPr>
      <w:r w:rsidRPr="000D5AB5">
        <w:rPr>
          <w:rFonts w:ascii="宋体" w:hAnsi="宋体" w:hint="eastAsia"/>
          <w:szCs w:val="21"/>
        </w:rPr>
        <w:t>（四）托管人的内部控制制度</w:t>
      </w:r>
    </w:p>
    <w:p w:rsidR="000D5AB5" w:rsidRPr="000D5AB5" w:rsidP="000D5AB5">
      <w:pPr>
        <w:spacing w:line="360" w:lineRule="auto"/>
        <w:ind w:firstLine="420" w:firstLineChars="200"/>
        <w:rPr>
          <w:rFonts w:ascii="宋体" w:hAnsi="宋体"/>
          <w:szCs w:val="21"/>
        </w:rPr>
      </w:pPr>
      <w:r w:rsidRPr="000D5AB5">
        <w:rPr>
          <w:rFonts w:ascii="宋体" w:hAnsi="宋体" w:hint="eastAsia"/>
          <w:szCs w:val="21"/>
        </w:rPr>
        <w:t>1.</w:t>
      </w:r>
      <w:r w:rsidRPr="000D5AB5">
        <w:rPr>
          <w:rFonts w:ascii="宋体" w:hAnsi="宋体" w:hint="eastAsia"/>
          <w:szCs w:val="21"/>
        </w:rPr>
        <w:t>内部控制目标</w:t>
      </w:r>
    </w:p>
    <w:p w:rsidR="000D5AB5" w:rsidRPr="000D5AB5" w:rsidP="000D5AB5">
      <w:pPr>
        <w:spacing w:line="360" w:lineRule="auto"/>
        <w:ind w:firstLine="420" w:firstLineChars="200"/>
        <w:rPr>
          <w:rFonts w:ascii="宋体" w:hAnsi="宋体"/>
          <w:szCs w:val="21"/>
        </w:rPr>
      </w:pPr>
      <w:r w:rsidRPr="000D5AB5">
        <w:rPr>
          <w:rFonts w:ascii="宋体" w:hAnsi="宋体" w:hint="eastAsia"/>
          <w:szCs w:val="21"/>
        </w:rPr>
        <w:t>招商银行确保托管业务严格遵守国家有关法律法规和</w:t>
      </w:r>
      <w:r w:rsidRPr="000D5AB5">
        <w:rPr>
          <w:rFonts w:ascii="宋体" w:hAnsi="宋体" w:hint="eastAsia"/>
          <w:szCs w:val="21"/>
        </w:rPr>
        <w:t>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确保内控机制、体制的不断改进和各项业务制度、流程的不断完善。</w:t>
      </w:r>
    </w:p>
    <w:p w:rsidR="000D5AB5" w:rsidRPr="000D5AB5" w:rsidP="000D5AB5">
      <w:pPr>
        <w:spacing w:line="360" w:lineRule="auto"/>
        <w:ind w:firstLine="420" w:firstLineChars="200"/>
        <w:rPr>
          <w:rFonts w:ascii="宋体" w:hAnsi="宋体"/>
          <w:szCs w:val="21"/>
        </w:rPr>
      </w:pPr>
      <w:r w:rsidRPr="000D5AB5">
        <w:rPr>
          <w:rFonts w:ascii="宋体" w:hAnsi="宋体" w:hint="eastAsia"/>
          <w:szCs w:val="21"/>
        </w:rPr>
        <w:t>2.</w:t>
      </w:r>
      <w:r w:rsidRPr="000D5AB5">
        <w:rPr>
          <w:rFonts w:ascii="宋体" w:hAnsi="宋体" w:hint="eastAsia"/>
          <w:szCs w:val="21"/>
        </w:rPr>
        <w:t>内部控制组织结构</w:t>
      </w:r>
    </w:p>
    <w:p w:rsidR="000D5AB5" w:rsidRPr="000D5AB5" w:rsidP="000D5AB5">
      <w:pPr>
        <w:spacing w:line="360" w:lineRule="auto"/>
        <w:ind w:firstLine="420" w:firstLineChars="200"/>
        <w:rPr>
          <w:rFonts w:ascii="宋体" w:hAnsi="宋体"/>
          <w:szCs w:val="21"/>
        </w:rPr>
      </w:pPr>
      <w:r w:rsidRPr="000D5AB5">
        <w:rPr>
          <w:rFonts w:ascii="宋体" w:hAnsi="宋体" w:hint="eastAsia"/>
          <w:szCs w:val="21"/>
        </w:rPr>
        <w:t>招商银行资产托管业务建立三级内部控制及风险防范体系：</w:t>
      </w:r>
    </w:p>
    <w:p w:rsidR="000D5AB5" w:rsidRPr="000D5AB5" w:rsidP="000D5AB5">
      <w:pPr>
        <w:spacing w:line="360" w:lineRule="auto"/>
        <w:ind w:firstLine="420" w:firstLineChars="200"/>
        <w:rPr>
          <w:rFonts w:ascii="宋体" w:hAnsi="宋体"/>
          <w:szCs w:val="21"/>
        </w:rPr>
      </w:pPr>
      <w:r w:rsidRPr="000D5AB5">
        <w:rPr>
          <w:rFonts w:ascii="宋体" w:hAnsi="宋体" w:hint="eastAsia"/>
          <w:szCs w:val="21"/>
        </w:rPr>
        <w:t>一级内部控制及风险防范是在招商银行总行风险管控层面对风险进行预防和控制；</w:t>
      </w:r>
    </w:p>
    <w:p w:rsidR="000D5AB5" w:rsidRPr="000D5AB5" w:rsidP="000D5AB5">
      <w:pPr>
        <w:spacing w:line="360" w:lineRule="auto"/>
        <w:ind w:firstLine="420" w:firstLineChars="200"/>
        <w:rPr>
          <w:rFonts w:ascii="宋体" w:hAnsi="宋体"/>
          <w:szCs w:val="21"/>
        </w:rPr>
      </w:pPr>
      <w:r w:rsidRPr="000D5AB5">
        <w:rPr>
          <w:rFonts w:ascii="宋体" w:hAnsi="宋体" w:hint="eastAsia"/>
          <w:szCs w:val="21"/>
        </w:rPr>
        <w:t>二级内部控制及风险防范是招商银行资产托管部</w:t>
      </w:r>
      <w:r w:rsidRPr="000D5AB5">
        <w:rPr>
          <w:rFonts w:ascii="宋体" w:hAnsi="宋体" w:hint="eastAsia"/>
          <w:szCs w:val="21"/>
        </w:rPr>
        <w:t>设立稽核监察团队，负责部门内部风险预防和控制；</w:t>
      </w:r>
    </w:p>
    <w:p w:rsidR="000D5AB5" w:rsidRPr="000D5AB5" w:rsidP="000D5AB5">
      <w:pPr>
        <w:spacing w:line="360" w:lineRule="auto"/>
        <w:ind w:firstLine="420" w:firstLineChars="200"/>
        <w:rPr>
          <w:rFonts w:ascii="宋体" w:hAnsi="宋体"/>
          <w:szCs w:val="21"/>
        </w:rPr>
      </w:pPr>
      <w:r w:rsidRPr="000D5AB5">
        <w:rPr>
          <w:rFonts w:ascii="宋体" w:hAnsi="宋体" w:hint="eastAsia"/>
          <w:szCs w:val="21"/>
        </w:rPr>
        <w:t>三级内部控制及风险防范是招商银行资产托管部在设置专业岗位时，遵循内控制衡原则，根据业务的风险程度制定相应监督制衡机制。</w:t>
      </w:r>
    </w:p>
    <w:p w:rsidR="000D5AB5" w:rsidRPr="000D5AB5" w:rsidP="000D5AB5">
      <w:pPr>
        <w:spacing w:line="360" w:lineRule="auto"/>
        <w:ind w:firstLine="420" w:firstLineChars="200"/>
        <w:rPr>
          <w:rFonts w:ascii="宋体" w:hAnsi="宋体"/>
          <w:szCs w:val="21"/>
        </w:rPr>
      </w:pPr>
      <w:r w:rsidRPr="000D5AB5">
        <w:rPr>
          <w:rFonts w:ascii="宋体" w:hAnsi="宋体" w:hint="eastAsia"/>
          <w:szCs w:val="21"/>
        </w:rPr>
        <w:t>3.</w:t>
      </w:r>
      <w:r w:rsidRPr="000D5AB5">
        <w:rPr>
          <w:rFonts w:ascii="宋体" w:hAnsi="宋体" w:hint="eastAsia"/>
          <w:szCs w:val="21"/>
        </w:rPr>
        <w:t>内部控制原则</w:t>
      </w:r>
    </w:p>
    <w:p w:rsidR="000D5AB5" w:rsidRPr="000D5AB5" w:rsidP="000D5AB5">
      <w:pPr>
        <w:spacing w:line="360" w:lineRule="auto"/>
        <w:ind w:firstLine="420" w:firstLineChars="200"/>
        <w:rPr>
          <w:rFonts w:ascii="宋体" w:hAnsi="宋体"/>
          <w:szCs w:val="21"/>
        </w:rPr>
      </w:pPr>
      <w:r w:rsidRPr="000D5AB5">
        <w:rPr>
          <w:rFonts w:ascii="宋体" w:hAnsi="宋体" w:hint="eastAsia"/>
          <w:szCs w:val="21"/>
        </w:rPr>
        <w:t>（</w:t>
      </w:r>
      <w:r w:rsidRPr="000D5AB5">
        <w:rPr>
          <w:rFonts w:ascii="宋体" w:hAnsi="宋体" w:hint="eastAsia"/>
          <w:szCs w:val="21"/>
        </w:rPr>
        <w:t>1</w:t>
      </w:r>
      <w:r w:rsidRPr="000D5AB5">
        <w:rPr>
          <w:rFonts w:ascii="宋体" w:hAnsi="宋体" w:hint="eastAsia"/>
          <w:szCs w:val="21"/>
        </w:rPr>
        <w:t>）全面性原则。内部控制覆盖各项业务过程和操作环节、覆盖所有团队和岗位，并由全部人员参与。</w:t>
      </w:r>
    </w:p>
    <w:p w:rsidR="000D5AB5" w:rsidRPr="000D5AB5" w:rsidP="000D5AB5">
      <w:pPr>
        <w:spacing w:line="360" w:lineRule="auto"/>
        <w:ind w:firstLine="420" w:firstLineChars="200"/>
        <w:rPr>
          <w:rFonts w:ascii="宋体" w:hAnsi="宋体"/>
          <w:szCs w:val="21"/>
        </w:rPr>
      </w:pPr>
      <w:r w:rsidRPr="000D5AB5">
        <w:rPr>
          <w:rFonts w:ascii="宋体" w:hAnsi="宋体" w:hint="eastAsia"/>
          <w:szCs w:val="21"/>
        </w:rPr>
        <w:t>（</w:t>
      </w:r>
      <w:r w:rsidRPr="000D5AB5">
        <w:rPr>
          <w:rFonts w:ascii="宋体" w:hAnsi="宋体" w:hint="eastAsia"/>
          <w:szCs w:val="21"/>
        </w:rPr>
        <w:t>2</w:t>
      </w:r>
      <w:r w:rsidRPr="000D5AB5">
        <w:rPr>
          <w:rFonts w:ascii="宋体" w:hAnsi="宋体" w:hint="eastAsia"/>
          <w:szCs w:val="21"/>
        </w:rPr>
        <w:t>）审慎性原则。托管组织体系的构成、内部管理制度的建立均以防范风险、审慎经营为出发点，体现“内控优先”的要求。</w:t>
      </w:r>
    </w:p>
    <w:p w:rsidR="000D5AB5" w:rsidRPr="000D5AB5" w:rsidP="000D5AB5">
      <w:pPr>
        <w:spacing w:line="360" w:lineRule="auto"/>
        <w:ind w:firstLine="420" w:firstLineChars="200"/>
        <w:rPr>
          <w:rFonts w:ascii="宋体" w:hAnsi="宋体"/>
          <w:szCs w:val="21"/>
        </w:rPr>
      </w:pPr>
      <w:r w:rsidRPr="000D5AB5">
        <w:rPr>
          <w:rFonts w:ascii="宋体" w:hAnsi="宋体" w:hint="eastAsia"/>
          <w:szCs w:val="21"/>
        </w:rPr>
        <w:t>（</w:t>
      </w:r>
      <w:r w:rsidRPr="000D5AB5">
        <w:rPr>
          <w:rFonts w:ascii="宋体" w:hAnsi="宋体" w:hint="eastAsia"/>
          <w:szCs w:val="21"/>
        </w:rPr>
        <w:t>3</w:t>
      </w:r>
      <w:r w:rsidRPr="000D5AB5">
        <w:rPr>
          <w:rFonts w:ascii="宋体" w:hAnsi="宋体" w:hint="eastAsia"/>
          <w:szCs w:val="21"/>
        </w:rPr>
        <w:t>）独立性原则。招商银行资产托管部各团队、各岗位职责保持相对独立，不同托管资产之间、托管资产和自有资产之间相互分离。</w:t>
      </w:r>
      <w:r w:rsidRPr="000D5AB5">
        <w:rPr>
          <w:rFonts w:ascii="宋体" w:hAnsi="宋体" w:hint="eastAsia"/>
          <w:szCs w:val="21"/>
        </w:rPr>
        <w:t>内部控制的检查、评价部门独立于内部控制的建立和执行部门。</w:t>
      </w:r>
    </w:p>
    <w:p w:rsidR="000D5AB5" w:rsidRPr="000D5AB5" w:rsidP="000D5AB5">
      <w:pPr>
        <w:spacing w:line="360" w:lineRule="auto"/>
        <w:ind w:firstLine="420" w:firstLineChars="200"/>
        <w:rPr>
          <w:rFonts w:ascii="宋体" w:hAnsi="宋体"/>
          <w:szCs w:val="21"/>
        </w:rPr>
      </w:pPr>
      <w:r w:rsidRPr="000D5AB5">
        <w:rPr>
          <w:rFonts w:ascii="宋体" w:hAnsi="宋体" w:hint="eastAsia"/>
          <w:szCs w:val="21"/>
        </w:rPr>
        <w:t>（</w:t>
      </w:r>
      <w:r w:rsidRPr="000D5AB5">
        <w:rPr>
          <w:rFonts w:ascii="宋体" w:hAnsi="宋体" w:hint="eastAsia"/>
          <w:szCs w:val="21"/>
        </w:rPr>
        <w:t>4</w:t>
      </w:r>
      <w:r w:rsidRPr="000D5AB5">
        <w:rPr>
          <w:rFonts w:ascii="宋体" w:hAnsi="宋体" w:hint="eastAsia"/>
          <w:szCs w:val="21"/>
        </w:rPr>
        <w:t>）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rsidR="000D5AB5" w:rsidRPr="000D5AB5" w:rsidP="000D5AB5">
      <w:pPr>
        <w:spacing w:line="360" w:lineRule="auto"/>
        <w:ind w:firstLine="420" w:firstLineChars="200"/>
        <w:rPr>
          <w:rFonts w:ascii="宋体" w:hAnsi="宋体"/>
          <w:szCs w:val="21"/>
        </w:rPr>
      </w:pPr>
      <w:r w:rsidRPr="000D5AB5">
        <w:rPr>
          <w:rFonts w:ascii="宋体" w:hAnsi="宋体" w:hint="eastAsia"/>
          <w:szCs w:val="21"/>
        </w:rPr>
        <w:t>（</w:t>
      </w:r>
      <w:r w:rsidRPr="000D5AB5">
        <w:rPr>
          <w:rFonts w:ascii="宋体" w:hAnsi="宋体" w:hint="eastAsia"/>
          <w:szCs w:val="21"/>
        </w:rPr>
        <w:t>5</w:t>
      </w:r>
      <w:r w:rsidRPr="000D5AB5">
        <w:rPr>
          <w:rFonts w:ascii="宋体" w:hAnsi="宋体" w:hint="eastAsia"/>
          <w:szCs w:val="21"/>
        </w:rPr>
        <w:t>）适应性原则。内部控制适应招商银行托管业务风险管理的需要，并能够随着托管业务经营战略、经营方针、经营理念等内部环境的变化和国家法律、法规、政策制度等外部环境的改变及时进行修订和完善。</w:t>
      </w:r>
    </w:p>
    <w:p w:rsidR="000D5AB5" w:rsidRPr="000D5AB5" w:rsidP="000D5AB5">
      <w:pPr>
        <w:spacing w:line="360" w:lineRule="auto"/>
        <w:ind w:firstLine="420" w:firstLineChars="200"/>
        <w:rPr>
          <w:rFonts w:ascii="宋体" w:hAnsi="宋体"/>
          <w:szCs w:val="21"/>
        </w:rPr>
      </w:pPr>
      <w:r w:rsidRPr="000D5AB5">
        <w:rPr>
          <w:rFonts w:ascii="宋体" w:hAnsi="宋体" w:hint="eastAsia"/>
          <w:szCs w:val="21"/>
        </w:rPr>
        <w:t>（</w:t>
      </w:r>
      <w:r w:rsidRPr="000D5AB5">
        <w:rPr>
          <w:rFonts w:ascii="宋体" w:hAnsi="宋体" w:hint="eastAsia"/>
          <w:szCs w:val="21"/>
        </w:rPr>
        <w:t>6</w:t>
      </w:r>
      <w:r w:rsidRPr="000D5AB5">
        <w:rPr>
          <w:rFonts w:ascii="宋体" w:hAnsi="宋体" w:hint="eastAsia"/>
          <w:szCs w:val="21"/>
        </w:rPr>
        <w:t>）防火墙原则。招商银行资产</w:t>
      </w:r>
      <w:r w:rsidRPr="000D5AB5">
        <w:rPr>
          <w:rFonts w:ascii="宋体" w:hAnsi="宋体" w:hint="eastAsia"/>
          <w:szCs w:val="21"/>
        </w:rPr>
        <w:t>托管部办公场地与我行其他业务场地隔离，办公网和业务网物理分离，部门业务网和全行业务网防火墙策略分离，以达到风险防范的目的。</w:t>
      </w:r>
      <w:r w:rsidRPr="000D5AB5">
        <w:rPr>
          <w:rFonts w:ascii="宋体" w:hAnsi="宋体" w:hint="eastAsia"/>
          <w:szCs w:val="21"/>
        </w:rPr>
        <w:t xml:space="preserve"> </w:t>
      </w:r>
    </w:p>
    <w:p w:rsidR="000D5AB5" w:rsidRPr="000D5AB5" w:rsidP="000D5AB5">
      <w:pPr>
        <w:spacing w:line="360" w:lineRule="auto"/>
        <w:ind w:firstLine="420" w:firstLineChars="200"/>
        <w:rPr>
          <w:rFonts w:ascii="宋体" w:hAnsi="宋体"/>
          <w:szCs w:val="21"/>
        </w:rPr>
      </w:pPr>
      <w:r w:rsidRPr="000D5AB5">
        <w:rPr>
          <w:rFonts w:ascii="宋体" w:hAnsi="宋体" w:hint="eastAsia"/>
          <w:szCs w:val="21"/>
        </w:rPr>
        <w:t>（</w:t>
      </w:r>
      <w:r w:rsidRPr="000D5AB5">
        <w:rPr>
          <w:rFonts w:ascii="宋体" w:hAnsi="宋体" w:hint="eastAsia"/>
          <w:szCs w:val="21"/>
        </w:rPr>
        <w:t>7</w:t>
      </w:r>
      <w:r w:rsidRPr="000D5AB5">
        <w:rPr>
          <w:rFonts w:ascii="宋体" w:hAnsi="宋体" w:hint="eastAsia"/>
          <w:szCs w:val="21"/>
        </w:rPr>
        <w:t>）重要性原则。内部控制在实现全面控制的基础上，关注重要托管业务重要事项和高风险环节。</w:t>
      </w:r>
    </w:p>
    <w:p w:rsidR="000D5AB5" w:rsidRPr="000D5AB5" w:rsidP="000D5AB5">
      <w:pPr>
        <w:spacing w:line="360" w:lineRule="auto"/>
        <w:ind w:firstLine="420" w:firstLineChars="200"/>
        <w:rPr>
          <w:rFonts w:ascii="宋体" w:hAnsi="宋体"/>
          <w:szCs w:val="21"/>
        </w:rPr>
      </w:pPr>
      <w:r w:rsidRPr="000D5AB5">
        <w:rPr>
          <w:rFonts w:ascii="宋体" w:hAnsi="宋体" w:hint="eastAsia"/>
          <w:szCs w:val="21"/>
        </w:rPr>
        <w:t>（</w:t>
      </w:r>
      <w:r w:rsidRPr="000D5AB5">
        <w:rPr>
          <w:rFonts w:ascii="宋体" w:hAnsi="宋体" w:hint="eastAsia"/>
          <w:szCs w:val="21"/>
        </w:rPr>
        <w:t>8</w:t>
      </w:r>
      <w:r w:rsidRPr="000D5AB5">
        <w:rPr>
          <w:rFonts w:ascii="宋体" w:hAnsi="宋体" w:hint="eastAsia"/>
          <w:szCs w:val="21"/>
        </w:rPr>
        <w:t>）制衡性原则。内部控制能够实现在托管组织体系、机构设置、权责分配及业务流程等方面形成相互制约、相互监督，同时兼顾运营效率。</w:t>
      </w:r>
    </w:p>
    <w:p w:rsidR="000D5AB5" w:rsidRPr="000D5AB5" w:rsidP="000D5AB5">
      <w:pPr>
        <w:spacing w:line="360" w:lineRule="auto"/>
        <w:ind w:firstLine="420" w:firstLineChars="200"/>
        <w:rPr>
          <w:rFonts w:ascii="宋体" w:hAnsi="宋体"/>
          <w:szCs w:val="21"/>
        </w:rPr>
      </w:pPr>
      <w:r w:rsidRPr="000D5AB5">
        <w:rPr>
          <w:rFonts w:ascii="宋体" w:hAnsi="宋体" w:hint="eastAsia"/>
          <w:szCs w:val="21"/>
        </w:rPr>
        <w:t>4.</w:t>
      </w:r>
      <w:r w:rsidRPr="000D5AB5">
        <w:rPr>
          <w:rFonts w:ascii="宋体" w:hAnsi="宋体" w:hint="eastAsia"/>
          <w:szCs w:val="21"/>
        </w:rPr>
        <w:t>内部控制措施</w:t>
      </w:r>
    </w:p>
    <w:p w:rsidR="000D5AB5" w:rsidRPr="000D5AB5" w:rsidP="000D5AB5">
      <w:pPr>
        <w:spacing w:line="360" w:lineRule="auto"/>
        <w:ind w:firstLine="420" w:firstLineChars="200"/>
        <w:rPr>
          <w:rFonts w:ascii="宋体" w:hAnsi="宋体"/>
          <w:szCs w:val="21"/>
        </w:rPr>
      </w:pPr>
      <w:r w:rsidRPr="000D5AB5">
        <w:rPr>
          <w:rFonts w:ascii="宋体" w:hAnsi="宋体" w:hint="eastAsia"/>
          <w:szCs w:val="21"/>
        </w:rPr>
        <w:t>（</w:t>
      </w:r>
      <w:r w:rsidRPr="000D5AB5">
        <w:rPr>
          <w:rFonts w:ascii="宋体" w:hAnsi="宋体" w:hint="eastAsia"/>
          <w:szCs w:val="21"/>
        </w:rPr>
        <w:t>1</w:t>
      </w:r>
      <w:r w:rsidRPr="000D5AB5">
        <w:rPr>
          <w:rFonts w:ascii="宋体" w:hAnsi="宋体" w:hint="eastAsia"/>
          <w:szCs w:val="21"/>
        </w:rPr>
        <w:t>）完善的制度建设。招商银行资产托管部从资产托管业务内控管理、产品受理、会计核算、资金清算、岗位管理、档案管理和信息管理等方面制定一系列规章制度，保证资产托管业务科学化、制度化、规范化运作。</w:t>
      </w:r>
    </w:p>
    <w:p w:rsidR="000D5AB5" w:rsidRPr="000D5AB5" w:rsidP="000D5AB5">
      <w:pPr>
        <w:spacing w:line="360" w:lineRule="auto"/>
        <w:ind w:firstLine="420" w:firstLineChars="200"/>
        <w:rPr>
          <w:rFonts w:ascii="宋体" w:hAnsi="宋体"/>
          <w:szCs w:val="21"/>
        </w:rPr>
      </w:pPr>
      <w:r w:rsidRPr="000D5AB5">
        <w:rPr>
          <w:rFonts w:ascii="宋体" w:hAnsi="宋体" w:hint="eastAsia"/>
          <w:szCs w:val="21"/>
        </w:rPr>
        <w:t>（</w:t>
      </w:r>
      <w:r w:rsidRPr="000D5AB5">
        <w:rPr>
          <w:rFonts w:ascii="宋体" w:hAnsi="宋体" w:hint="eastAsia"/>
          <w:szCs w:val="21"/>
        </w:rPr>
        <w:t>2</w:t>
      </w:r>
      <w:r w:rsidRPr="000D5AB5">
        <w:rPr>
          <w:rFonts w:ascii="宋体" w:hAnsi="宋体" w:hint="eastAsia"/>
          <w:szCs w:val="21"/>
        </w:rPr>
        <w:t>）业务信息风险控制。招商银行资产托管部在数据传输和保存方面有严格的加密和备份措施，采用加密、直连方式传输数据，数据执行异地实时备份，所有的业务信息须经过严格的授权方能进行访问。</w:t>
      </w:r>
    </w:p>
    <w:p w:rsidR="000D5AB5" w:rsidRPr="000D5AB5" w:rsidP="000D5AB5">
      <w:pPr>
        <w:spacing w:line="360" w:lineRule="auto"/>
        <w:ind w:firstLine="420" w:firstLineChars="200"/>
        <w:rPr>
          <w:rFonts w:ascii="宋体" w:hAnsi="宋体"/>
          <w:szCs w:val="21"/>
        </w:rPr>
      </w:pPr>
      <w:r w:rsidRPr="000D5AB5">
        <w:rPr>
          <w:rFonts w:ascii="宋体" w:hAnsi="宋体" w:hint="eastAsia"/>
          <w:szCs w:val="21"/>
        </w:rPr>
        <w:t>（</w:t>
      </w:r>
      <w:r w:rsidRPr="000D5AB5">
        <w:rPr>
          <w:rFonts w:ascii="宋体" w:hAnsi="宋体" w:hint="eastAsia"/>
          <w:szCs w:val="21"/>
        </w:rPr>
        <w:t>3</w:t>
      </w:r>
      <w:r w:rsidRPr="000D5AB5">
        <w:rPr>
          <w:rFonts w:ascii="宋体" w:hAnsi="宋体" w:hint="eastAsia"/>
          <w:szCs w:val="21"/>
        </w:rPr>
        <w:t>）客户资料风险控制。招商银行资产托管部对业务办理过程中获取的客户资料严格保密，除法律法规和其他有关规定、监管机构及审计要求外，不向任</w:t>
      </w:r>
      <w:r w:rsidRPr="000D5AB5">
        <w:rPr>
          <w:rFonts w:ascii="宋体" w:hAnsi="宋体" w:hint="eastAsia"/>
          <w:szCs w:val="21"/>
        </w:rPr>
        <w:t>何机构、部门或个人泄露。</w:t>
      </w:r>
    </w:p>
    <w:p w:rsidR="000D5AB5" w:rsidRPr="000D5AB5" w:rsidP="000D5AB5">
      <w:pPr>
        <w:spacing w:line="360" w:lineRule="auto"/>
        <w:ind w:firstLine="420" w:firstLineChars="200"/>
        <w:rPr>
          <w:rFonts w:ascii="宋体" w:hAnsi="宋体"/>
          <w:szCs w:val="21"/>
        </w:rPr>
      </w:pPr>
      <w:r w:rsidRPr="000D5AB5">
        <w:rPr>
          <w:rFonts w:ascii="宋体" w:hAnsi="宋体" w:hint="eastAsia"/>
          <w:szCs w:val="21"/>
        </w:rPr>
        <w:t>（</w:t>
      </w:r>
      <w:r w:rsidRPr="000D5AB5">
        <w:rPr>
          <w:rFonts w:ascii="宋体" w:hAnsi="宋体" w:hint="eastAsia"/>
          <w:szCs w:val="21"/>
        </w:rPr>
        <w:t>4</w:t>
      </w:r>
      <w:r w:rsidRPr="000D5AB5">
        <w:rPr>
          <w:rFonts w:ascii="宋体" w:hAnsi="宋体" w:hint="eastAsia"/>
          <w:szCs w:val="21"/>
        </w:rPr>
        <w:t>）信息技术系统风险控制。招商银行对信息技术系统机房、权限管理实行双人双岗双责，电脑机房</w:t>
      </w:r>
      <w:r w:rsidRPr="000D5AB5">
        <w:rPr>
          <w:rFonts w:ascii="宋体" w:hAnsi="宋体" w:hint="eastAsia"/>
          <w:szCs w:val="21"/>
        </w:rPr>
        <w:t>24</w:t>
      </w:r>
      <w:r w:rsidRPr="000D5AB5">
        <w:rPr>
          <w:rFonts w:ascii="宋体" w:hAnsi="宋体" w:hint="eastAsia"/>
          <w:szCs w:val="21"/>
        </w:rPr>
        <w:t>小时值班并设置门禁，所有电脑设置密码及相应权限。业务网和办公网、托管业务网与全行业务网双分离制度，与外部业务机构实行防火墙保护，对信息技术系统采取两地三中心的应急备份管理措施等，保证信息技术系统的安全。</w:t>
      </w:r>
    </w:p>
    <w:p w:rsidR="000D5AB5" w:rsidRPr="000D5AB5" w:rsidP="000D5AB5">
      <w:pPr>
        <w:spacing w:line="360" w:lineRule="auto"/>
        <w:ind w:firstLine="420" w:firstLineChars="200"/>
        <w:rPr>
          <w:rFonts w:ascii="宋体" w:hAnsi="宋体"/>
          <w:szCs w:val="21"/>
        </w:rPr>
      </w:pPr>
      <w:r w:rsidRPr="000D5AB5">
        <w:rPr>
          <w:rFonts w:ascii="宋体" w:hAnsi="宋体" w:hint="eastAsia"/>
          <w:szCs w:val="21"/>
        </w:rPr>
        <w:t>（</w:t>
      </w:r>
      <w:r w:rsidRPr="000D5AB5">
        <w:rPr>
          <w:rFonts w:ascii="宋体" w:hAnsi="宋体" w:hint="eastAsia"/>
          <w:szCs w:val="21"/>
        </w:rPr>
        <w:t>5</w:t>
      </w:r>
      <w:r w:rsidRPr="000D5AB5">
        <w:rPr>
          <w:rFonts w:ascii="宋体" w:hAnsi="宋体" w:hint="eastAsia"/>
          <w:szCs w:val="21"/>
        </w:rPr>
        <w:t>）人力资源控制。招商银行资产托管部通过建立良好的企业文化和员工培训、激励机制、加强人力资源管理及建立人才梯级队伍及人才储备机制，有效的进行人力资源管理。</w:t>
      </w:r>
    </w:p>
    <w:p w:rsidR="000D5AB5" w:rsidRPr="000D5AB5" w:rsidP="000D5AB5">
      <w:pPr>
        <w:spacing w:line="360" w:lineRule="auto"/>
        <w:ind w:firstLine="420" w:firstLineChars="200"/>
        <w:rPr>
          <w:rFonts w:ascii="宋体" w:hAnsi="宋体"/>
          <w:szCs w:val="21"/>
        </w:rPr>
      </w:pPr>
      <w:r w:rsidRPr="000D5AB5">
        <w:rPr>
          <w:rFonts w:ascii="宋体" w:hAnsi="宋体" w:hint="eastAsia"/>
          <w:szCs w:val="21"/>
        </w:rPr>
        <w:t>（五）基金托管人对基金管理人运作基金进行监督的方法和程序</w:t>
      </w:r>
    </w:p>
    <w:p w:rsidR="000D5AB5" w:rsidRPr="000D5AB5" w:rsidP="000D5AB5">
      <w:pPr>
        <w:spacing w:line="360" w:lineRule="auto"/>
        <w:ind w:firstLine="420" w:firstLineChars="200"/>
        <w:rPr>
          <w:rFonts w:ascii="宋体" w:hAnsi="宋体"/>
          <w:szCs w:val="21"/>
        </w:rPr>
      </w:pPr>
      <w:r w:rsidRPr="000D5AB5">
        <w:rPr>
          <w:rFonts w:ascii="宋体" w:hAnsi="宋体" w:hint="eastAsia"/>
          <w:szCs w:val="21"/>
        </w:rPr>
        <w:t>根据《中华人民共和国证券投资基金法》、《公开募集证券投资基金运作管理办法》等有关法律法规的规定及基金合同、托管协议的约定，对基金的投资运作进行必要的监督。</w:t>
      </w:r>
    </w:p>
    <w:p w:rsidR="000D5AB5" w:rsidRPr="000D5AB5" w:rsidP="000D5AB5">
      <w:pPr>
        <w:spacing w:line="360" w:lineRule="auto"/>
        <w:ind w:firstLine="420" w:firstLineChars="200"/>
        <w:rPr>
          <w:rFonts w:ascii="宋体" w:hAnsi="宋体"/>
          <w:szCs w:val="21"/>
        </w:rPr>
      </w:pPr>
      <w:r w:rsidRPr="000D5AB5">
        <w:rPr>
          <w:rFonts w:ascii="宋体" w:hAnsi="宋体" w:hint="eastAsia"/>
          <w:szCs w:val="21"/>
        </w:rPr>
        <w:t>在为基金投资运作所提供的基金清算和核算服务环节中，基金托管人对基金管理人发送的投资指令、基金管理人对各基金费用的提取与支付情况进行检查监督，对违反法律法规、</w:t>
      </w:r>
      <w:r w:rsidRPr="000D5AB5">
        <w:rPr>
          <w:rFonts w:ascii="宋体" w:hAnsi="宋体" w:hint="eastAsia"/>
          <w:szCs w:val="21"/>
        </w:rPr>
        <w:t>基金合同的指令拒绝执行，并立即通知基金管理人。</w:t>
      </w:r>
    </w:p>
    <w:p w:rsidR="00E4194A" w:rsidRPr="00E531E6" w:rsidP="000D5AB5">
      <w:pPr>
        <w:spacing w:line="360" w:lineRule="auto"/>
        <w:ind w:firstLine="420" w:firstLineChars="200"/>
        <w:rPr>
          <w:rFonts w:ascii="宋体" w:hAnsi="宋体"/>
          <w:kern w:val="36"/>
          <w:szCs w:val="21"/>
        </w:rPr>
      </w:pPr>
      <w:r w:rsidRPr="000D5AB5">
        <w:rPr>
          <w:rFonts w:ascii="宋体" w:hAnsi="宋体" w:hint="eastAsia"/>
          <w:szCs w:val="21"/>
        </w:rPr>
        <w:t>基金托管人如发现基金管理人依据交易程序已经生效的投资指令违反法律、行政法规和其他有关规定，或者</w:t>
      </w:r>
      <w:r w:rsidRPr="000D5AB5">
        <w:rPr>
          <w:rFonts w:ascii="宋体" w:hAnsi="宋体" w:hint="eastAsia"/>
          <w:szCs w:val="21"/>
        </w:rPr>
        <w:t>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r w:rsidRPr="00E531E6">
        <w:rPr>
          <w:rFonts w:ascii="宋体" w:hAnsi="宋体" w:hint="eastAsia"/>
          <w:kern w:val="36"/>
          <w:szCs w:val="21"/>
        </w:rPr>
        <w:t>。</w:t>
      </w:r>
      <w:bookmarkEnd w:id="3595"/>
    </w:p>
    <w:p w:rsidR="00E4194A" w:rsidRPr="00E531E6" w:rsidP="00E4194A">
      <w:pPr>
        <w:widowControl/>
        <w:spacing w:line="360" w:lineRule="auto"/>
        <w:ind w:firstLine="420" w:firstLineChars="200"/>
        <w:jc w:val="left"/>
        <w:rPr>
          <w:rFonts w:ascii="宋体" w:hAnsi="宋体"/>
          <w:szCs w:val="21"/>
        </w:rPr>
      </w:pPr>
    </w:p>
    <w:p w:rsidR="00B73111">
      <w:r>
        <w:t xml:space="preserve"> </w:t>
      </w:r>
      <w:r>
        <w:br w:type="page"/>
      </w:r>
    </w:p>
    <w:p w:rsidR="00BA4B87" w:rsidRPr="005A7DE6" w:rsidP="00EE1CEF">
      <w:pPr>
        <w:pStyle w:val="111"/>
        <w:snapToGrid w:val="0"/>
        <w:spacing w:beforeLines="0" w:afterLines="0" w:line="360" w:lineRule="auto"/>
        <w:ind w:firstLine="602"/>
        <w:rPr>
          <w:rFonts w:asciiTheme="minorEastAsia" w:eastAsiaTheme="minorEastAsia" w:hAnsiTheme="minorEastAsia"/>
          <w:b/>
          <w:color w:val="000000" w:themeColor="text1"/>
          <w:sz w:val="30"/>
        </w:rPr>
      </w:pPr>
      <w:bookmarkStart w:id="3596" w:name="_Toc94172384"/>
      <w:r w:rsidRPr="005A7DE6">
        <w:rPr>
          <w:rFonts w:asciiTheme="minorEastAsia" w:eastAsiaTheme="minorEastAsia" w:hAnsiTheme="minorEastAsia"/>
          <w:b/>
          <w:color w:val="000000" w:themeColor="text1"/>
          <w:sz w:val="30"/>
        </w:rPr>
        <w:t>五、相关服务机构</w:t>
      </w:r>
      <w:bookmarkEnd w:id="3596"/>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szCs w:val="21"/>
        </w:rPr>
      </w:pPr>
      <w:bookmarkStart w:id="3597" w:name="_Toc94172385"/>
      <w:r w:rsidRPr="005A7DE6">
        <w:rPr>
          <w:rFonts w:asciiTheme="minorEastAsia" w:eastAsiaTheme="minorEastAsia" w:hAnsiTheme="minorEastAsia"/>
          <w:b w:val="0"/>
          <w:color w:val="000000" w:themeColor="text1"/>
          <w:szCs w:val="21"/>
        </w:rPr>
        <w:t>（一）基金份额</w:t>
      </w:r>
      <w:r w:rsidRPr="005A7DE6" w:rsidR="005D6BAB">
        <w:rPr>
          <w:rFonts w:asciiTheme="minorEastAsia" w:eastAsiaTheme="minorEastAsia" w:hAnsiTheme="minorEastAsia" w:hint="eastAsia"/>
          <w:b w:val="0"/>
          <w:color w:val="000000" w:themeColor="text1"/>
          <w:szCs w:val="21"/>
        </w:rPr>
        <w:t>销</w:t>
      </w:r>
      <w:r w:rsidRPr="005A7DE6" w:rsidR="005D6BAB">
        <w:rPr>
          <w:rFonts w:asciiTheme="minorEastAsia" w:eastAsiaTheme="minorEastAsia" w:hAnsiTheme="minorEastAsia"/>
          <w:b w:val="0"/>
          <w:color w:val="000000" w:themeColor="text1"/>
          <w:szCs w:val="21"/>
        </w:rPr>
        <w:t>售</w:t>
      </w:r>
      <w:r w:rsidRPr="005A7DE6">
        <w:rPr>
          <w:rFonts w:asciiTheme="minorEastAsia" w:eastAsiaTheme="minorEastAsia" w:hAnsiTheme="minorEastAsia"/>
          <w:b w:val="0"/>
          <w:color w:val="000000" w:themeColor="text1"/>
          <w:szCs w:val="21"/>
        </w:rPr>
        <w:t>机构</w:t>
      </w:r>
      <w:bookmarkEnd w:id="3597"/>
    </w:p>
    <w:p w:rsidR="00336BCC">
      <w:pPr>
        <w:spacing w:line="360" w:lineRule="auto"/>
        <w:ind w:firstLine="420"/>
      </w:pPr>
      <w:r>
        <w:t>1</w:t>
      </w:r>
      <w:r>
        <w:t>、直销机构：易方达基金管理有限公司</w:t>
      </w:r>
    </w:p>
    <w:p w:rsidR="00336BCC">
      <w:pPr>
        <w:spacing w:line="360" w:lineRule="auto"/>
        <w:ind w:firstLine="420"/>
      </w:pPr>
      <w:r>
        <w:t>注册地址：广东省珠海市横琴新区荣粤道</w:t>
      </w:r>
      <w:r>
        <w:t>188</w:t>
      </w:r>
      <w:r>
        <w:t>号</w:t>
      </w:r>
      <w:r>
        <w:t>6</w:t>
      </w:r>
      <w:r>
        <w:t>层</w:t>
      </w:r>
    </w:p>
    <w:p w:rsidR="00336BCC">
      <w:pPr>
        <w:spacing w:line="360" w:lineRule="auto"/>
        <w:ind w:firstLine="420"/>
      </w:pPr>
      <w:r>
        <w:t>办公地址：广州市天河区珠江新城珠江东路</w:t>
      </w:r>
      <w:r>
        <w:t>30</w:t>
      </w:r>
      <w:r>
        <w:t>号广州银行大厦</w:t>
      </w:r>
      <w:r>
        <w:t>40-43</w:t>
      </w:r>
      <w:r>
        <w:t>楼</w:t>
      </w:r>
    </w:p>
    <w:p w:rsidR="00336BCC">
      <w:pPr>
        <w:spacing w:line="360" w:lineRule="auto"/>
        <w:ind w:firstLine="420"/>
      </w:pPr>
      <w:r>
        <w:t>法定代表人：刘晓艳</w:t>
      </w:r>
    </w:p>
    <w:p w:rsidR="00336BCC">
      <w:pPr>
        <w:spacing w:line="360" w:lineRule="auto"/>
        <w:ind w:firstLine="420"/>
      </w:pPr>
      <w:r>
        <w:t>电话：</w:t>
      </w:r>
      <w:r>
        <w:t>020-85102506</w:t>
      </w:r>
    </w:p>
    <w:p w:rsidR="00336BCC">
      <w:pPr>
        <w:spacing w:line="360" w:lineRule="auto"/>
        <w:ind w:firstLine="420"/>
      </w:pPr>
      <w:r>
        <w:t>传真：</w:t>
      </w:r>
      <w:r>
        <w:t>4008818099</w:t>
      </w:r>
    </w:p>
    <w:p w:rsidR="00336BCC">
      <w:pPr>
        <w:spacing w:line="360" w:lineRule="auto"/>
        <w:ind w:firstLine="420"/>
      </w:pPr>
      <w:r>
        <w:t>联系人：梁美</w:t>
      </w:r>
    </w:p>
    <w:p w:rsidR="00336BCC">
      <w:pPr>
        <w:spacing w:line="360" w:lineRule="auto"/>
        <w:ind w:firstLine="420"/>
      </w:pPr>
      <w:r>
        <w:t>网址：</w:t>
      </w:r>
      <w:r>
        <w:t>www.efunds.com.cn</w:t>
      </w:r>
    </w:p>
    <w:p w:rsidR="00336BCC">
      <w:pPr>
        <w:spacing w:line="360" w:lineRule="auto"/>
        <w:ind w:firstLine="420"/>
      </w:pPr>
      <w:r>
        <w:t>直销机构网点信息：</w:t>
      </w:r>
    </w:p>
    <w:p w:rsidR="00336BCC">
      <w:pPr>
        <w:spacing w:line="360" w:lineRule="auto"/>
        <w:ind w:firstLine="420"/>
      </w:pPr>
      <w:r>
        <w:t>本公司直销中心和网上直销系统销售本基金，网点具体信息详见本公司网站。</w:t>
      </w:r>
    </w:p>
    <w:p w:rsidR="009B363F"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color w:val="000000" w:themeColor="text1"/>
          <w:szCs w:val="21"/>
        </w:rPr>
        <w:t>、</w:t>
      </w:r>
      <w:r w:rsidRPr="005A7DE6" w:rsidR="007C0F95">
        <w:rPr>
          <w:rFonts w:asciiTheme="minorEastAsia" w:eastAsiaTheme="minorEastAsia" w:hAnsiTheme="minorEastAsia" w:hint="eastAsia"/>
          <w:color w:val="000000" w:themeColor="text1"/>
          <w:szCs w:val="21"/>
        </w:rPr>
        <w:t>非直销销售</w:t>
      </w:r>
      <w:r w:rsidRPr="005A7DE6">
        <w:rPr>
          <w:rFonts w:asciiTheme="minorEastAsia" w:eastAsiaTheme="minorEastAsia" w:hAnsiTheme="minorEastAsia"/>
          <w:color w:val="000000" w:themeColor="text1"/>
          <w:szCs w:val="21"/>
        </w:rPr>
        <w:t>机构</w:t>
      </w:r>
    </w:p>
    <w:p w:rsidR="00336BCC">
      <w:pPr>
        <w:spacing w:line="360" w:lineRule="auto"/>
        <w:ind w:firstLine="420"/>
      </w:pPr>
      <w:r>
        <w:t>本基金非直销销售机构信息详见基金管理人网站公示。</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szCs w:val="21"/>
        </w:rPr>
      </w:pPr>
      <w:bookmarkStart w:id="3598" w:name="_Toc94172386"/>
      <w:r w:rsidRPr="005A7DE6">
        <w:rPr>
          <w:rFonts w:asciiTheme="minorEastAsia" w:eastAsiaTheme="minorEastAsia" w:hAnsiTheme="minorEastAsia"/>
          <w:b w:val="0"/>
          <w:color w:val="000000" w:themeColor="text1"/>
          <w:szCs w:val="21"/>
        </w:rPr>
        <w:t>（二）基金注册登记机构</w:t>
      </w:r>
      <w:bookmarkEnd w:id="3598"/>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名称：易方达基金管理有限公司</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注册地址：</w:t>
      </w:r>
      <w:r w:rsidRPr="005A7DE6" w:rsidR="00745261">
        <w:rPr>
          <w:rFonts w:asciiTheme="minorEastAsia" w:eastAsiaTheme="minorEastAsia" w:hAnsiTheme="minorEastAsia" w:cs="仿宋_GB2312" w:hint="eastAsia"/>
          <w:color w:val="000000" w:themeColor="text1"/>
          <w:kern w:val="0"/>
        </w:rPr>
        <w:t>广东省珠海市横琴新区荣粤道188号6层</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办公地址：</w:t>
      </w:r>
      <w:r w:rsidRPr="005A7DE6" w:rsidR="00F16FC2">
        <w:rPr>
          <w:rFonts w:asciiTheme="minorEastAsia" w:eastAsiaTheme="minorEastAsia" w:hAnsiTheme="minorEastAsia" w:hint="eastAsia"/>
          <w:color w:val="000000" w:themeColor="text1"/>
          <w:szCs w:val="21"/>
        </w:rPr>
        <w:t>广州市天河区珠江新城珠江东路</w:t>
      </w:r>
      <w:r w:rsidRPr="005A7DE6" w:rsidR="00F16FC2">
        <w:rPr>
          <w:rFonts w:asciiTheme="minorEastAsia" w:eastAsiaTheme="minorEastAsia" w:hAnsiTheme="minorEastAsia"/>
          <w:color w:val="000000" w:themeColor="text1"/>
          <w:szCs w:val="21"/>
        </w:rPr>
        <w:t>30</w:t>
      </w:r>
      <w:r w:rsidRPr="005A7DE6" w:rsidR="00F16FC2">
        <w:rPr>
          <w:rFonts w:asciiTheme="minorEastAsia" w:eastAsiaTheme="minorEastAsia" w:hAnsiTheme="minorEastAsia" w:hint="eastAsia"/>
          <w:color w:val="000000" w:themeColor="text1"/>
          <w:szCs w:val="21"/>
        </w:rPr>
        <w:t>号广州银行大厦</w:t>
      </w:r>
      <w:r w:rsidRPr="005A7DE6" w:rsidR="00F16FC2">
        <w:rPr>
          <w:rFonts w:asciiTheme="minorEastAsia" w:eastAsiaTheme="minorEastAsia" w:hAnsiTheme="minorEastAsia"/>
          <w:color w:val="000000" w:themeColor="text1"/>
          <w:szCs w:val="21"/>
        </w:rPr>
        <w:t>40-43</w:t>
      </w:r>
      <w:r w:rsidRPr="005A7DE6" w:rsidR="00F16FC2">
        <w:rPr>
          <w:rFonts w:asciiTheme="minorEastAsia" w:eastAsiaTheme="minorEastAsia" w:hAnsiTheme="minorEastAsia" w:hint="eastAsia"/>
          <w:color w:val="000000" w:themeColor="text1"/>
          <w:szCs w:val="21"/>
        </w:rPr>
        <w:t>楼</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法定代表人：</w:t>
      </w:r>
      <w:r w:rsidRPr="005A7DE6" w:rsidR="00434994">
        <w:rPr>
          <w:rFonts w:asciiTheme="minorEastAsia" w:eastAsiaTheme="minorEastAsia" w:hAnsiTheme="minorEastAsia" w:hint="eastAsia"/>
          <w:color w:val="000000" w:themeColor="text1"/>
          <w:szCs w:val="21"/>
        </w:rPr>
        <w:t>刘晓艳</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电话：</w:t>
      </w:r>
      <w:r w:rsidRPr="005A7DE6">
        <w:rPr>
          <w:rFonts w:asciiTheme="minorEastAsia" w:eastAsiaTheme="minorEastAsia" w:hAnsiTheme="minorEastAsia"/>
          <w:color w:val="000000" w:themeColor="text1"/>
          <w:szCs w:val="21"/>
        </w:rPr>
        <w:t>4008818088</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传真：</w:t>
      </w:r>
      <w:r w:rsidRPr="005A7DE6">
        <w:rPr>
          <w:rFonts w:asciiTheme="minorEastAsia" w:eastAsiaTheme="minorEastAsia" w:hAnsiTheme="minorEastAsia"/>
          <w:color w:val="000000" w:themeColor="text1"/>
          <w:szCs w:val="21"/>
        </w:rPr>
        <w:t>020-38799249</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联系人：余贤高</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szCs w:val="21"/>
        </w:rPr>
      </w:pPr>
      <w:bookmarkStart w:id="3599" w:name="_Toc94172387"/>
      <w:r w:rsidRPr="005A7DE6">
        <w:rPr>
          <w:rFonts w:asciiTheme="minorEastAsia" w:eastAsiaTheme="minorEastAsia" w:hAnsiTheme="minorEastAsia"/>
          <w:b w:val="0"/>
          <w:color w:val="000000" w:themeColor="text1"/>
          <w:szCs w:val="21"/>
        </w:rPr>
        <w:t>（三）律师事务所和经办律师</w:t>
      </w:r>
      <w:bookmarkEnd w:id="3599"/>
    </w:p>
    <w:p w:rsidR="008D403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律师事务所：上海源泰律师事务所</w:t>
      </w:r>
    </w:p>
    <w:p w:rsidR="008D403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地址：上海市浦东南路</w:t>
      </w:r>
      <w:r w:rsidRPr="005A7DE6">
        <w:rPr>
          <w:rFonts w:asciiTheme="minorEastAsia" w:eastAsiaTheme="minorEastAsia" w:hAnsiTheme="minorEastAsia"/>
          <w:color w:val="000000" w:themeColor="text1"/>
          <w:szCs w:val="21"/>
        </w:rPr>
        <w:t>256</w:t>
      </w:r>
      <w:r w:rsidRPr="005A7DE6">
        <w:rPr>
          <w:rFonts w:asciiTheme="minorEastAsia" w:eastAsiaTheme="minorEastAsia" w:hAnsiTheme="minorEastAsia"/>
          <w:color w:val="000000" w:themeColor="text1"/>
          <w:szCs w:val="21"/>
        </w:rPr>
        <w:t>号华夏银行大厦</w:t>
      </w:r>
      <w:r w:rsidRPr="005A7DE6">
        <w:rPr>
          <w:rFonts w:asciiTheme="minorEastAsia" w:eastAsiaTheme="minorEastAsia" w:hAnsiTheme="minorEastAsia"/>
          <w:color w:val="000000" w:themeColor="text1"/>
          <w:szCs w:val="21"/>
        </w:rPr>
        <w:t>1405</w:t>
      </w:r>
      <w:r w:rsidRPr="005A7DE6">
        <w:rPr>
          <w:rFonts w:asciiTheme="minorEastAsia" w:eastAsiaTheme="minorEastAsia" w:hAnsiTheme="minorEastAsia"/>
          <w:color w:val="000000" w:themeColor="text1"/>
          <w:szCs w:val="21"/>
        </w:rPr>
        <w:t>室</w:t>
      </w:r>
    </w:p>
    <w:p w:rsidR="008D403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负责人：廖海</w:t>
      </w:r>
    </w:p>
    <w:p w:rsidR="008D403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电话：</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021</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51150298</w:t>
      </w:r>
    </w:p>
    <w:p w:rsidR="008D403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传真：</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021</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51150398</w:t>
      </w:r>
    </w:p>
    <w:p w:rsidR="008D403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经办律师：梁丽金、刘佳</w:t>
      </w:r>
    </w:p>
    <w:p w:rsidR="008D403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联系人：廖海</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szCs w:val="21"/>
        </w:rPr>
      </w:pPr>
      <w:bookmarkStart w:id="3600" w:name="_Toc94172388"/>
      <w:r w:rsidRPr="005A7DE6">
        <w:rPr>
          <w:rFonts w:asciiTheme="minorEastAsia" w:eastAsiaTheme="minorEastAsia" w:hAnsiTheme="minorEastAsia"/>
          <w:b w:val="0"/>
          <w:color w:val="000000" w:themeColor="text1"/>
          <w:szCs w:val="21"/>
        </w:rPr>
        <w:t>（四）会计师事务所和经办注册会计师</w:t>
      </w:r>
      <w:bookmarkEnd w:id="3600"/>
    </w:p>
    <w:p w:rsidR="0012503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会计师事务所：</w:t>
      </w:r>
      <w:r w:rsidRPr="005A7DE6" w:rsidR="00537025">
        <w:rPr>
          <w:rFonts w:asciiTheme="minorEastAsia" w:eastAsiaTheme="minorEastAsia" w:hAnsiTheme="minorEastAsia" w:hint="eastAsia"/>
          <w:color w:val="000000" w:themeColor="text1"/>
          <w:szCs w:val="21"/>
        </w:rPr>
        <w:t>安永华明会计师事务所（特殊普通合伙）</w:t>
      </w:r>
    </w:p>
    <w:p w:rsidR="0012503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主要经营场所：</w:t>
      </w:r>
      <w:r w:rsidRPr="005A7DE6" w:rsidR="00537025">
        <w:rPr>
          <w:rFonts w:asciiTheme="minorEastAsia" w:eastAsiaTheme="minorEastAsia" w:hAnsiTheme="minorEastAsia" w:hint="eastAsia"/>
          <w:color w:val="000000" w:themeColor="text1"/>
          <w:szCs w:val="21"/>
        </w:rPr>
        <w:t>北京市东城区东长安街1号东方广场安永大楼17层01-12室</w:t>
      </w:r>
    </w:p>
    <w:p w:rsidR="0012503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执行事务合伙人：</w:t>
      </w:r>
      <w:r w:rsidRPr="005A7DE6" w:rsidR="006E1102">
        <w:rPr>
          <w:rFonts w:asciiTheme="minorEastAsia" w:eastAsiaTheme="minorEastAsia" w:hAnsiTheme="minorEastAsia" w:hint="eastAsia"/>
          <w:color w:val="000000" w:themeColor="text1"/>
          <w:szCs w:val="21"/>
        </w:rPr>
        <w:t>TonyMao毛鞍宁</w:t>
      </w:r>
    </w:p>
    <w:p w:rsidR="0012503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电话：</w:t>
      </w:r>
      <w:r w:rsidRPr="005A7DE6">
        <w:rPr>
          <w:rFonts w:asciiTheme="minorEastAsia" w:eastAsiaTheme="minorEastAsia" w:hAnsiTheme="minorEastAsia" w:hint="eastAsia"/>
          <w:color w:val="000000" w:themeColor="text1"/>
          <w:szCs w:val="21"/>
        </w:rPr>
        <w:t>010-58153000</w:t>
      </w:r>
    </w:p>
    <w:p w:rsidR="0012503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传真：</w:t>
      </w:r>
      <w:r w:rsidRPr="005A7DE6">
        <w:rPr>
          <w:rFonts w:asciiTheme="minorEastAsia" w:eastAsiaTheme="minorEastAsia" w:hAnsiTheme="minorEastAsia" w:hint="eastAsia"/>
          <w:color w:val="000000" w:themeColor="text1"/>
          <w:szCs w:val="21"/>
        </w:rPr>
        <w:t>010-85188298</w:t>
      </w:r>
    </w:p>
    <w:p w:rsidR="0012503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经办注册会计师：</w:t>
      </w:r>
      <w:r w:rsidRPr="005A7DE6" w:rsidR="000E2286">
        <w:rPr>
          <w:rFonts w:asciiTheme="minorEastAsia" w:eastAsiaTheme="minorEastAsia" w:hAnsiTheme="minorEastAsia" w:hint="eastAsia"/>
          <w:color w:val="000000" w:themeColor="text1"/>
          <w:szCs w:val="21"/>
        </w:rPr>
        <w:t>昌华</w:t>
      </w:r>
      <w:r w:rsidRPr="005A7DE6" w:rsidR="006E1102">
        <w:rPr>
          <w:rFonts w:asciiTheme="minorEastAsia" w:eastAsiaTheme="minorEastAsia" w:hAnsiTheme="minorEastAsia" w:hint="eastAsia"/>
          <w:color w:val="000000" w:themeColor="text1"/>
          <w:szCs w:val="21"/>
        </w:rPr>
        <w:t>、</w:t>
      </w:r>
      <w:r w:rsidRPr="005A7DE6" w:rsidR="00336F38">
        <w:rPr>
          <w:rFonts w:asciiTheme="minorEastAsia" w:eastAsiaTheme="minorEastAsia" w:hAnsiTheme="minorEastAsia" w:hint="eastAsia"/>
          <w:color w:val="000000" w:themeColor="text1"/>
          <w:szCs w:val="21"/>
        </w:rPr>
        <w:t>马婧</w:t>
      </w:r>
    </w:p>
    <w:p w:rsidR="0012503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联系人：</w:t>
      </w:r>
      <w:r w:rsidRPr="005A7DE6" w:rsidR="000E2286">
        <w:rPr>
          <w:rFonts w:asciiTheme="minorEastAsia" w:eastAsiaTheme="minorEastAsia" w:hAnsiTheme="minorEastAsia" w:hint="eastAsia"/>
          <w:color w:val="000000" w:themeColor="text1"/>
          <w:szCs w:val="21"/>
        </w:rPr>
        <w:t>昌华</w:t>
      </w:r>
    </w:p>
    <w:p w:rsidR="00F14503" w:rsidRPr="005A7DE6" w:rsidP="006B758F">
      <w:pPr>
        <w:snapToGrid w:val="0"/>
        <w:spacing w:line="360" w:lineRule="auto"/>
        <w:ind w:firstLine="420" w:firstLineChars="200"/>
        <w:rPr>
          <w:rFonts w:asciiTheme="minorEastAsia" w:eastAsiaTheme="minorEastAsia" w:hAnsiTheme="minorEastAsia"/>
          <w:color w:val="000000" w:themeColor="text1"/>
          <w:szCs w:val="21"/>
        </w:rPr>
        <w:sectPr w:rsidSect="00EF24ED">
          <w:headerReference w:type="default" r:id="rId12"/>
          <w:footerReference w:type="default" r:id="rId13"/>
          <w:pgSz w:w="11906" w:h="16838" w:code="9"/>
          <w:pgMar w:top="1440" w:right="1800" w:bottom="1440" w:left="1800" w:header="720" w:footer="720" w:gutter="0"/>
          <w:pgNumType w:start="1"/>
          <w:cols w:space="720"/>
          <w:docGrid w:type="lines" w:linePitch="312"/>
        </w:sectPr>
      </w:pPr>
    </w:p>
    <w:p w:rsidR="00BA4B87" w:rsidRPr="005A7DE6" w:rsidP="006B758F">
      <w:pPr>
        <w:pStyle w:val="111"/>
        <w:pageBreakBefore w:val="0"/>
        <w:snapToGrid w:val="0"/>
        <w:spacing w:beforeLines="0" w:afterLines="0" w:line="360" w:lineRule="auto"/>
        <w:ind w:firstLine="602"/>
        <w:rPr>
          <w:rFonts w:asciiTheme="minorEastAsia" w:eastAsiaTheme="minorEastAsia" w:hAnsiTheme="minorEastAsia"/>
          <w:b/>
          <w:color w:val="000000" w:themeColor="text1"/>
          <w:sz w:val="30"/>
        </w:rPr>
      </w:pPr>
      <w:bookmarkStart w:id="3601" w:name="_Toc94172389"/>
      <w:r w:rsidRPr="005A7DE6">
        <w:rPr>
          <w:rFonts w:asciiTheme="minorEastAsia" w:eastAsiaTheme="minorEastAsia" w:hAnsiTheme="minorEastAsia"/>
          <w:b/>
          <w:color w:val="000000" w:themeColor="text1"/>
          <w:sz w:val="30"/>
        </w:rPr>
        <w:t>六、基金的募集</w:t>
      </w:r>
      <w:bookmarkEnd w:id="3601"/>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本基金由基金管理人依照《基金法》、《运作办法》、《销售办法》、基金合同的相关规定、并经中国证券监督管理委员会</w:t>
      </w:r>
      <w:r w:rsidRPr="005A7DE6" w:rsidR="00394085">
        <w:rPr>
          <w:rFonts w:asciiTheme="minorEastAsia" w:eastAsiaTheme="minorEastAsia" w:hAnsiTheme="minorEastAsia" w:hint="eastAsia"/>
          <w:color w:val="000000" w:themeColor="text1"/>
          <w:szCs w:val="21"/>
        </w:rPr>
        <w:t>2012年3月9日</w:t>
      </w:r>
      <w:r w:rsidRPr="005A7DE6">
        <w:rPr>
          <w:rFonts w:asciiTheme="minorEastAsia" w:eastAsiaTheme="minorEastAsia" w:hAnsiTheme="minorEastAsia"/>
          <w:color w:val="000000" w:themeColor="text1"/>
          <w:szCs w:val="21"/>
        </w:rPr>
        <w:t>《关于核准</w:t>
      </w:r>
      <w:r w:rsidRPr="005A7DE6" w:rsidR="00E96DFD">
        <w:rPr>
          <w:rFonts w:asciiTheme="minorEastAsia" w:eastAsiaTheme="minorEastAsia" w:hAnsiTheme="minorEastAsia"/>
          <w:color w:val="000000" w:themeColor="text1"/>
          <w:szCs w:val="21"/>
        </w:rPr>
        <w:t>易方达纯债债券型证券投资基金</w:t>
      </w:r>
      <w:r w:rsidRPr="005A7DE6">
        <w:rPr>
          <w:rFonts w:asciiTheme="minorEastAsia" w:eastAsiaTheme="minorEastAsia" w:hAnsiTheme="minorEastAsia"/>
          <w:color w:val="000000" w:themeColor="text1"/>
          <w:szCs w:val="21"/>
        </w:rPr>
        <w:t>募集的批复》</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证监许可</w:t>
      </w:r>
      <w:r w:rsidRPr="005A7DE6" w:rsidR="00597078">
        <w:rPr>
          <w:rFonts w:asciiTheme="minorEastAsia" w:eastAsiaTheme="minorEastAsia" w:hAnsiTheme="minorEastAsia"/>
          <w:color w:val="000000" w:themeColor="text1"/>
          <w:szCs w:val="21"/>
        </w:rPr>
        <w:t>[2012]303</w:t>
      </w:r>
      <w:r w:rsidRPr="005A7DE6">
        <w:rPr>
          <w:rFonts w:asciiTheme="minorEastAsia" w:eastAsiaTheme="minorEastAsia" w:hAnsiTheme="minorEastAsia"/>
          <w:color w:val="000000" w:themeColor="text1"/>
          <w:szCs w:val="21"/>
        </w:rPr>
        <w:t>号</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核准募集。</w:t>
      </w:r>
    </w:p>
    <w:p w:rsidR="002B37B9"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本基金为</w:t>
      </w:r>
      <w:r w:rsidRPr="005A7DE6">
        <w:rPr>
          <w:rFonts w:asciiTheme="minorEastAsia" w:eastAsiaTheme="minorEastAsia" w:hAnsiTheme="minorEastAsia"/>
          <w:color w:val="000000" w:themeColor="text1"/>
          <w:szCs w:val="21"/>
        </w:rPr>
        <w:t>契约型开放式</w:t>
      </w:r>
      <w:r w:rsidRPr="005A7DE6">
        <w:rPr>
          <w:rFonts w:asciiTheme="minorEastAsia" w:eastAsiaTheme="minorEastAsia" w:hAnsiTheme="minorEastAsia" w:hint="eastAsia"/>
          <w:color w:val="000000" w:themeColor="text1"/>
          <w:szCs w:val="21"/>
        </w:rPr>
        <w:t>债券基金</w:t>
      </w:r>
      <w:r w:rsidRPr="005A7DE6">
        <w:rPr>
          <w:rFonts w:asciiTheme="minorEastAsia" w:eastAsiaTheme="minorEastAsia" w:hAnsiTheme="minorEastAsia"/>
          <w:color w:val="000000" w:themeColor="text1"/>
          <w:szCs w:val="21"/>
        </w:rPr>
        <w:t>。基金</w:t>
      </w:r>
      <w:r w:rsidRPr="005A7DE6">
        <w:rPr>
          <w:rFonts w:asciiTheme="minorEastAsia" w:eastAsiaTheme="minorEastAsia" w:hAnsiTheme="minorEastAsia" w:hint="eastAsia"/>
          <w:color w:val="000000" w:themeColor="text1"/>
          <w:szCs w:val="21"/>
        </w:rPr>
        <w:t>的</w:t>
      </w:r>
      <w:r w:rsidRPr="005A7DE6">
        <w:rPr>
          <w:rFonts w:asciiTheme="minorEastAsia" w:eastAsiaTheme="minorEastAsia" w:hAnsiTheme="minorEastAsia"/>
          <w:color w:val="000000" w:themeColor="text1"/>
          <w:szCs w:val="21"/>
        </w:rPr>
        <w:t>存续期间</w:t>
      </w:r>
      <w:r w:rsidRPr="005A7DE6">
        <w:rPr>
          <w:rFonts w:asciiTheme="minorEastAsia" w:eastAsiaTheme="minorEastAsia" w:hAnsiTheme="minorEastAsia" w:hint="eastAsia"/>
          <w:color w:val="000000" w:themeColor="text1"/>
          <w:szCs w:val="21"/>
        </w:rPr>
        <w:t>为</w:t>
      </w:r>
      <w:r w:rsidRPr="005A7DE6">
        <w:rPr>
          <w:rFonts w:asciiTheme="minorEastAsia" w:eastAsiaTheme="minorEastAsia" w:hAnsiTheme="minorEastAsia"/>
          <w:color w:val="000000" w:themeColor="text1"/>
          <w:szCs w:val="21"/>
        </w:rPr>
        <w:t>不定期</w:t>
      </w:r>
      <w:r w:rsidRPr="005A7DE6">
        <w:rPr>
          <w:rFonts w:asciiTheme="minorEastAsia" w:eastAsiaTheme="minorEastAsia" w:hAnsiTheme="minorEastAsia" w:hint="eastAsia"/>
          <w:color w:val="000000" w:themeColor="text1"/>
          <w:szCs w:val="21"/>
        </w:rPr>
        <w:t>。</w:t>
      </w:r>
    </w:p>
    <w:p w:rsidR="002B37B9" w:rsidRPr="005A7DE6" w:rsidP="006B758F">
      <w:pPr>
        <w:snapToGrid w:val="0"/>
        <w:spacing w:line="360" w:lineRule="auto"/>
        <w:ind w:firstLine="420" w:firstLineChars="200"/>
        <w:rPr>
          <w:rFonts w:asciiTheme="minorEastAsia" w:eastAsiaTheme="minorEastAsia" w:hAnsiTheme="minorEastAsia"/>
          <w:bCs/>
          <w:color w:val="000000" w:themeColor="text1"/>
        </w:rPr>
      </w:pPr>
      <w:r w:rsidRPr="005A7DE6">
        <w:rPr>
          <w:rFonts w:asciiTheme="minorEastAsia" w:eastAsiaTheme="minorEastAsia" w:hAnsiTheme="minorEastAsia"/>
          <w:bCs/>
          <w:color w:val="000000" w:themeColor="text1"/>
        </w:rPr>
        <w:t>本基金</w:t>
      </w:r>
      <w:r w:rsidRPr="005A7DE6">
        <w:rPr>
          <w:rFonts w:asciiTheme="minorEastAsia" w:eastAsiaTheme="minorEastAsia" w:hAnsiTheme="minorEastAsia" w:hint="eastAsia"/>
          <w:bCs/>
          <w:color w:val="000000" w:themeColor="text1"/>
        </w:rPr>
        <w:t>募集期间</w:t>
      </w:r>
      <w:r w:rsidRPr="005A7DE6">
        <w:rPr>
          <w:rFonts w:asciiTheme="minorEastAsia" w:eastAsiaTheme="minorEastAsia" w:hAnsiTheme="minorEastAsia"/>
          <w:bCs/>
          <w:color w:val="000000" w:themeColor="text1"/>
        </w:rPr>
        <w:t>每份基金份额的</w:t>
      </w:r>
      <w:r w:rsidRPr="005A7DE6">
        <w:rPr>
          <w:rFonts w:asciiTheme="minorEastAsia" w:eastAsiaTheme="minorEastAsia" w:hAnsiTheme="minorEastAsia" w:hint="eastAsia"/>
          <w:bCs/>
          <w:color w:val="000000" w:themeColor="text1"/>
        </w:rPr>
        <w:t>初始</w:t>
      </w:r>
      <w:r w:rsidRPr="005A7DE6">
        <w:rPr>
          <w:rFonts w:asciiTheme="minorEastAsia" w:eastAsiaTheme="minorEastAsia" w:hAnsiTheme="minorEastAsia"/>
          <w:bCs/>
          <w:color w:val="000000" w:themeColor="text1"/>
        </w:rPr>
        <w:t>面值为人民币</w:t>
      </w:r>
      <w:r w:rsidRPr="005A7DE6">
        <w:rPr>
          <w:rFonts w:asciiTheme="minorEastAsia" w:eastAsiaTheme="minorEastAsia" w:hAnsiTheme="minorEastAsia"/>
          <w:bCs/>
          <w:color w:val="000000" w:themeColor="text1"/>
        </w:rPr>
        <w:t>1.00</w:t>
      </w:r>
      <w:r w:rsidRPr="005A7DE6">
        <w:rPr>
          <w:rFonts w:asciiTheme="minorEastAsia" w:eastAsiaTheme="minorEastAsia" w:hAnsiTheme="minorEastAsia"/>
          <w:bCs/>
          <w:color w:val="000000" w:themeColor="text1"/>
        </w:rPr>
        <w:t>元</w:t>
      </w:r>
      <w:r w:rsidRPr="005A7DE6">
        <w:rPr>
          <w:rFonts w:asciiTheme="minorEastAsia" w:eastAsiaTheme="minorEastAsia" w:hAnsiTheme="minorEastAsia" w:hint="eastAsia"/>
          <w:bCs/>
          <w:color w:val="000000" w:themeColor="text1"/>
        </w:rPr>
        <w:t>。</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bCs/>
          <w:color w:val="000000" w:themeColor="text1"/>
        </w:rPr>
        <w:t>本基金募集期</w:t>
      </w:r>
      <w:r w:rsidRPr="005A7DE6">
        <w:rPr>
          <w:rFonts w:asciiTheme="minorEastAsia" w:eastAsiaTheme="minorEastAsia" w:hAnsiTheme="minorEastAsia"/>
          <w:bCs/>
          <w:color w:val="000000" w:themeColor="text1"/>
        </w:rPr>
        <w:t>自</w:t>
      </w:r>
      <w:r w:rsidRPr="005A7DE6" w:rsidR="00597078">
        <w:rPr>
          <w:rFonts w:asciiTheme="minorEastAsia" w:eastAsiaTheme="minorEastAsia" w:hAnsiTheme="minorEastAsia"/>
          <w:bCs/>
          <w:color w:val="000000" w:themeColor="text1"/>
        </w:rPr>
        <w:t>201</w:t>
      </w:r>
      <w:r w:rsidRPr="005A7DE6" w:rsidR="00597078">
        <w:rPr>
          <w:rFonts w:asciiTheme="minorEastAsia" w:eastAsiaTheme="minorEastAsia" w:hAnsiTheme="minorEastAsia" w:hint="eastAsia"/>
          <w:bCs/>
          <w:color w:val="000000" w:themeColor="text1"/>
        </w:rPr>
        <w:t>2</w:t>
      </w:r>
      <w:r w:rsidRPr="005A7DE6" w:rsidR="00263C50">
        <w:rPr>
          <w:rFonts w:asciiTheme="minorEastAsia" w:eastAsiaTheme="minorEastAsia" w:hAnsiTheme="minorEastAsia"/>
          <w:bCs/>
          <w:color w:val="000000" w:themeColor="text1"/>
        </w:rPr>
        <w:t>年</w:t>
      </w:r>
      <w:r w:rsidRPr="005A7DE6" w:rsidR="00597078">
        <w:rPr>
          <w:rFonts w:asciiTheme="minorEastAsia" w:eastAsiaTheme="minorEastAsia" w:hAnsiTheme="minorEastAsia" w:hint="eastAsia"/>
          <w:bCs/>
          <w:color w:val="000000" w:themeColor="text1"/>
        </w:rPr>
        <w:t>4</w:t>
      </w:r>
      <w:r w:rsidRPr="005A7DE6" w:rsidR="00263C50">
        <w:rPr>
          <w:rFonts w:asciiTheme="minorEastAsia" w:eastAsiaTheme="minorEastAsia" w:hAnsiTheme="minorEastAsia"/>
          <w:bCs/>
          <w:color w:val="000000" w:themeColor="text1"/>
        </w:rPr>
        <w:t>月</w:t>
      </w:r>
      <w:r w:rsidRPr="005A7DE6" w:rsidR="00597078">
        <w:rPr>
          <w:rFonts w:asciiTheme="minorEastAsia" w:eastAsiaTheme="minorEastAsia" w:hAnsiTheme="minorEastAsia" w:hint="eastAsia"/>
          <w:bCs/>
          <w:color w:val="000000" w:themeColor="text1"/>
        </w:rPr>
        <w:t>5</w:t>
      </w:r>
      <w:r w:rsidRPr="005A7DE6">
        <w:rPr>
          <w:rFonts w:asciiTheme="minorEastAsia" w:eastAsiaTheme="minorEastAsia" w:hAnsiTheme="minorEastAsia"/>
          <w:bCs/>
          <w:color w:val="000000" w:themeColor="text1"/>
        </w:rPr>
        <w:t>日至</w:t>
      </w:r>
      <w:r w:rsidRPr="005A7DE6" w:rsidR="00597078">
        <w:rPr>
          <w:rFonts w:asciiTheme="minorEastAsia" w:eastAsiaTheme="minorEastAsia" w:hAnsiTheme="minorEastAsia"/>
          <w:bCs/>
          <w:color w:val="000000" w:themeColor="text1"/>
        </w:rPr>
        <w:t>201</w:t>
      </w:r>
      <w:r w:rsidRPr="005A7DE6" w:rsidR="00597078">
        <w:rPr>
          <w:rFonts w:asciiTheme="minorEastAsia" w:eastAsiaTheme="minorEastAsia" w:hAnsiTheme="minorEastAsia" w:hint="eastAsia"/>
          <w:bCs/>
          <w:color w:val="000000" w:themeColor="text1"/>
        </w:rPr>
        <w:t>2</w:t>
      </w:r>
      <w:r w:rsidRPr="005A7DE6" w:rsidR="00263C50">
        <w:rPr>
          <w:rFonts w:asciiTheme="minorEastAsia" w:eastAsiaTheme="minorEastAsia" w:hAnsiTheme="minorEastAsia"/>
          <w:bCs/>
          <w:color w:val="000000" w:themeColor="text1"/>
        </w:rPr>
        <w:t>年</w:t>
      </w:r>
      <w:r w:rsidRPr="005A7DE6" w:rsidR="00597078">
        <w:rPr>
          <w:rFonts w:asciiTheme="minorEastAsia" w:eastAsiaTheme="minorEastAsia" w:hAnsiTheme="minorEastAsia" w:hint="eastAsia"/>
          <w:bCs/>
          <w:color w:val="000000" w:themeColor="text1"/>
        </w:rPr>
        <w:t>4</w:t>
      </w:r>
      <w:r w:rsidRPr="005A7DE6">
        <w:rPr>
          <w:rFonts w:asciiTheme="minorEastAsia" w:eastAsiaTheme="minorEastAsia" w:hAnsiTheme="minorEastAsia"/>
          <w:bCs/>
          <w:color w:val="000000" w:themeColor="text1"/>
        </w:rPr>
        <w:t>月</w:t>
      </w:r>
      <w:r w:rsidRPr="005A7DE6" w:rsidR="00597078">
        <w:rPr>
          <w:rFonts w:asciiTheme="minorEastAsia" w:eastAsiaTheme="minorEastAsia" w:hAnsiTheme="minorEastAsia" w:hint="eastAsia"/>
          <w:bCs/>
          <w:color w:val="000000" w:themeColor="text1"/>
        </w:rPr>
        <w:t>27</w:t>
      </w:r>
      <w:r w:rsidRPr="005A7DE6">
        <w:rPr>
          <w:rFonts w:asciiTheme="minorEastAsia" w:eastAsiaTheme="minorEastAsia" w:hAnsiTheme="minorEastAsia"/>
          <w:bCs/>
          <w:color w:val="000000" w:themeColor="text1"/>
        </w:rPr>
        <w:t>日</w:t>
      </w:r>
      <w:r w:rsidRPr="005A7DE6">
        <w:rPr>
          <w:rFonts w:asciiTheme="minorEastAsia" w:eastAsiaTheme="minorEastAsia" w:hAnsiTheme="minorEastAsia" w:hint="eastAsia"/>
          <w:bCs/>
          <w:color w:val="000000" w:themeColor="text1"/>
        </w:rPr>
        <w:t>。</w:t>
      </w:r>
      <w:r w:rsidRPr="005A7DE6" w:rsidR="00E84E4C">
        <w:rPr>
          <w:rFonts w:asciiTheme="minorEastAsia" w:eastAsiaTheme="minorEastAsia" w:hAnsiTheme="minorEastAsia" w:hint="eastAsia"/>
          <w:bCs/>
          <w:color w:val="000000" w:themeColor="text1"/>
        </w:rPr>
        <w:t>募集对象为</w:t>
      </w:r>
      <w:r w:rsidRPr="005A7DE6">
        <w:rPr>
          <w:rFonts w:asciiTheme="minorEastAsia" w:eastAsiaTheme="minorEastAsia" w:hAnsiTheme="minorEastAsia"/>
          <w:bCs/>
          <w:color w:val="000000" w:themeColor="text1"/>
        </w:rPr>
        <w:t>符合法律法规规定</w:t>
      </w:r>
      <w:r w:rsidRPr="005A7DE6">
        <w:rPr>
          <w:rFonts w:asciiTheme="minorEastAsia" w:eastAsiaTheme="minorEastAsia" w:hAnsiTheme="minorEastAsia"/>
          <w:color w:val="000000" w:themeColor="text1"/>
          <w:szCs w:val="21"/>
        </w:rPr>
        <w:t>的可投资于证券投资基金的个人投资者、机构投资者和合格境外机构投资者以及法律法规或中国证监会允许购买证券投资基金的其他投资者。</w:t>
      </w:r>
    </w:p>
    <w:p w:rsidR="007679D5" w:rsidRPr="005A7DE6" w:rsidP="006B758F">
      <w:pPr>
        <w:snapToGrid w:val="0"/>
        <w:spacing w:line="360" w:lineRule="auto"/>
        <w:ind w:firstLine="420" w:firstLineChars="200"/>
        <w:rPr>
          <w:rFonts w:asciiTheme="minorEastAsia" w:eastAsiaTheme="minorEastAsia" w:hAnsiTheme="minorEastAsia"/>
          <w:color w:val="000000" w:themeColor="text1"/>
          <w:szCs w:val="21"/>
        </w:rPr>
      </w:pPr>
    </w:p>
    <w:p w:rsidR="007679D5" w:rsidRPr="005A7DE6" w:rsidP="006B758F">
      <w:pPr>
        <w:snapToGrid w:val="0"/>
        <w:spacing w:line="360" w:lineRule="auto"/>
        <w:ind w:firstLine="420" w:firstLineChars="200"/>
        <w:rPr>
          <w:rFonts w:asciiTheme="minorEastAsia" w:eastAsiaTheme="minorEastAsia" w:hAnsiTheme="minorEastAsia"/>
          <w:color w:val="000000" w:themeColor="text1"/>
          <w:szCs w:val="21"/>
        </w:rPr>
      </w:pPr>
    </w:p>
    <w:p w:rsidR="00AF345C">
      <w:pPr>
        <w:widowControl/>
        <w:jc w:val="left"/>
        <w:rPr>
          <w:rFonts w:asciiTheme="minorEastAsia" w:eastAsiaTheme="minorEastAsia" w:hAnsiTheme="minorEastAsia"/>
          <w:b/>
          <w:color w:val="000000" w:themeColor="text1"/>
          <w:sz w:val="30"/>
          <w:szCs w:val="20"/>
        </w:rPr>
      </w:pPr>
      <w:bookmarkStart w:id="3602" w:name="_Toc94172390"/>
      <w:r>
        <w:rPr>
          <w:rFonts w:asciiTheme="minorEastAsia" w:eastAsiaTheme="minorEastAsia" w:hAnsiTheme="minorEastAsia"/>
          <w:b/>
          <w:color w:val="000000" w:themeColor="text1"/>
          <w:sz w:val="30"/>
        </w:rPr>
        <w:br w:type="page"/>
      </w:r>
    </w:p>
    <w:p w:rsidR="00BA4B87" w:rsidRPr="005A7DE6" w:rsidP="006B758F">
      <w:pPr>
        <w:pStyle w:val="111"/>
        <w:pageBreakBefore w:val="0"/>
        <w:snapToGrid w:val="0"/>
        <w:spacing w:beforeLines="0" w:afterLines="0" w:line="360" w:lineRule="auto"/>
        <w:ind w:firstLine="602"/>
        <w:rPr>
          <w:rFonts w:asciiTheme="minorEastAsia" w:eastAsiaTheme="minorEastAsia" w:hAnsiTheme="minorEastAsia"/>
          <w:b/>
          <w:color w:val="000000" w:themeColor="text1"/>
          <w:sz w:val="30"/>
        </w:rPr>
      </w:pPr>
      <w:r w:rsidRPr="005A7DE6">
        <w:rPr>
          <w:rFonts w:asciiTheme="minorEastAsia" w:eastAsiaTheme="minorEastAsia" w:hAnsiTheme="minorEastAsia"/>
          <w:b/>
          <w:color w:val="000000" w:themeColor="text1"/>
          <w:sz w:val="30"/>
        </w:rPr>
        <w:t>七、基金合同的生效</w:t>
      </w:r>
      <w:bookmarkEnd w:id="3602"/>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03" w:name="_Toc94172391"/>
      <w:r w:rsidRPr="005A7DE6">
        <w:rPr>
          <w:rFonts w:asciiTheme="minorEastAsia" w:eastAsiaTheme="minorEastAsia" w:hAnsiTheme="minorEastAsia"/>
          <w:b w:val="0"/>
          <w:bCs/>
          <w:color w:val="000000" w:themeColor="text1"/>
        </w:rPr>
        <w:t>（一）基金合同</w:t>
      </w:r>
      <w:r w:rsidRPr="005A7DE6" w:rsidR="002B37B9">
        <w:rPr>
          <w:rFonts w:asciiTheme="minorEastAsia" w:eastAsiaTheme="minorEastAsia" w:hAnsiTheme="minorEastAsia" w:hint="eastAsia"/>
          <w:b w:val="0"/>
          <w:bCs/>
          <w:color w:val="000000" w:themeColor="text1"/>
        </w:rPr>
        <w:t>的</w:t>
      </w:r>
      <w:r w:rsidRPr="005A7DE6">
        <w:rPr>
          <w:rFonts w:asciiTheme="minorEastAsia" w:eastAsiaTheme="minorEastAsia" w:hAnsiTheme="minorEastAsia"/>
          <w:b w:val="0"/>
          <w:bCs/>
          <w:color w:val="000000" w:themeColor="text1"/>
        </w:rPr>
        <w:t>生效</w:t>
      </w:r>
      <w:bookmarkEnd w:id="3603"/>
    </w:p>
    <w:p w:rsidR="00BA4B87" w:rsidRPr="005A7DE6" w:rsidP="006B758F">
      <w:pPr>
        <w:snapToGrid w:val="0"/>
        <w:spacing w:line="360" w:lineRule="auto"/>
        <w:ind w:firstLine="420" w:firstLineChars="200"/>
        <w:rPr>
          <w:rFonts w:asciiTheme="minorEastAsia" w:eastAsiaTheme="minorEastAsia" w:hAnsiTheme="minorEastAsia"/>
          <w:color w:val="000000" w:themeColor="text1"/>
        </w:rPr>
      </w:pPr>
      <w:bookmarkStart w:id="3604" w:name="_Toc133292585"/>
      <w:r w:rsidRPr="005A7DE6">
        <w:rPr>
          <w:rFonts w:asciiTheme="minorEastAsia" w:eastAsiaTheme="minorEastAsia" w:hAnsiTheme="minorEastAsia"/>
          <w:color w:val="000000" w:themeColor="text1"/>
          <w:szCs w:val="21"/>
        </w:rPr>
        <w:t>本基金</w:t>
      </w:r>
      <w:r w:rsidRPr="005A7DE6">
        <w:rPr>
          <w:rFonts w:asciiTheme="minorEastAsia" w:eastAsiaTheme="minorEastAsia" w:hAnsiTheme="minorEastAsia" w:hint="eastAsia"/>
          <w:color w:val="000000" w:themeColor="text1"/>
          <w:szCs w:val="21"/>
        </w:rPr>
        <w:t>基金合同于</w:t>
      </w:r>
      <w:r w:rsidRPr="005A7DE6">
        <w:rPr>
          <w:rFonts w:asciiTheme="minorEastAsia" w:eastAsiaTheme="minorEastAsia" w:hAnsiTheme="minorEastAsia" w:hint="eastAsia"/>
          <w:color w:val="000000" w:themeColor="text1"/>
          <w:szCs w:val="21"/>
        </w:rPr>
        <w:t>2012</w:t>
      </w:r>
      <w:r w:rsidRPr="005A7DE6">
        <w:rPr>
          <w:rFonts w:asciiTheme="minorEastAsia" w:eastAsiaTheme="minorEastAsia" w:hAnsiTheme="minorEastAsia" w:hint="eastAsia"/>
          <w:color w:val="000000" w:themeColor="text1"/>
          <w:szCs w:val="21"/>
        </w:rPr>
        <w:t>年</w:t>
      </w:r>
      <w:r w:rsidRPr="005A7DE6">
        <w:rPr>
          <w:rFonts w:asciiTheme="minorEastAsia" w:eastAsiaTheme="minorEastAsia" w:hAnsiTheme="minorEastAsia" w:hint="eastAsia"/>
          <w:color w:val="000000" w:themeColor="text1"/>
          <w:szCs w:val="21"/>
        </w:rPr>
        <w:t>5</w:t>
      </w:r>
      <w:r w:rsidRPr="005A7DE6">
        <w:rPr>
          <w:rFonts w:asciiTheme="minorEastAsia" w:eastAsiaTheme="minorEastAsia" w:hAnsiTheme="minorEastAsia" w:hint="eastAsia"/>
          <w:color w:val="000000" w:themeColor="text1"/>
          <w:szCs w:val="21"/>
        </w:rPr>
        <w:t>月</w:t>
      </w:r>
      <w:r w:rsidRPr="005A7DE6">
        <w:rPr>
          <w:rFonts w:asciiTheme="minorEastAsia" w:eastAsiaTheme="minorEastAsia" w:hAnsiTheme="minorEastAsia" w:hint="eastAsia"/>
          <w:color w:val="000000" w:themeColor="text1"/>
          <w:szCs w:val="21"/>
        </w:rPr>
        <w:t>3</w:t>
      </w:r>
      <w:r w:rsidRPr="005A7DE6">
        <w:rPr>
          <w:rFonts w:asciiTheme="minorEastAsia" w:eastAsiaTheme="minorEastAsia" w:hAnsiTheme="minorEastAsia" w:hint="eastAsia"/>
          <w:color w:val="000000" w:themeColor="text1"/>
          <w:szCs w:val="21"/>
        </w:rPr>
        <w:t>日正式生效。自基金合同生效日起，本基金管理人正式开始管理本基金。</w:t>
      </w:r>
      <w:bookmarkEnd w:id="3604"/>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05" w:name="_Toc94172392"/>
      <w:r w:rsidRPr="005A7DE6">
        <w:rPr>
          <w:rFonts w:asciiTheme="minorEastAsia" w:eastAsiaTheme="minorEastAsia" w:hAnsiTheme="minorEastAsia"/>
          <w:b w:val="0"/>
          <w:bCs/>
          <w:color w:val="000000" w:themeColor="text1"/>
        </w:rPr>
        <w:t>（</w:t>
      </w:r>
      <w:r w:rsidRPr="005A7DE6" w:rsidR="00E84E4C">
        <w:rPr>
          <w:rFonts w:asciiTheme="minorEastAsia" w:eastAsiaTheme="minorEastAsia" w:hAnsiTheme="minorEastAsia" w:hint="eastAsia"/>
          <w:b w:val="0"/>
          <w:bCs/>
          <w:color w:val="000000" w:themeColor="text1"/>
        </w:rPr>
        <w:t>二</w:t>
      </w:r>
      <w:r w:rsidRPr="005A7DE6">
        <w:rPr>
          <w:rFonts w:asciiTheme="minorEastAsia" w:eastAsiaTheme="minorEastAsia" w:hAnsiTheme="minorEastAsia"/>
          <w:b w:val="0"/>
          <w:bCs/>
          <w:color w:val="000000" w:themeColor="text1"/>
        </w:rPr>
        <w:t>）基金存续期内的基金份额持有人数量和资金额</w:t>
      </w:r>
      <w:bookmarkEnd w:id="3605"/>
    </w:p>
    <w:p w:rsidR="001D4B9C"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基金合同生效后的存续期内，基金份额持有人数量不满</w:t>
      </w:r>
      <w:r w:rsidRPr="005A7DE6">
        <w:rPr>
          <w:rFonts w:asciiTheme="minorEastAsia" w:eastAsiaTheme="minorEastAsia" w:hAnsiTheme="minorEastAsia"/>
          <w:color w:val="000000" w:themeColor="text1"/>
          <w:szCs w:val="21"/>
        </w:rPr>
        <w:t>200</w:t>
      </w:r>
      <w:r w:rsidRPr="005A7DE6">
        <w:rPr>
          <w:rFonts w:asciiTheme="minorEastAsia" w:eastAsiaTheme="minorEastAsia" w:hAnsiTheme="minorEastAsia"/>
          <w:color w:val="000000" w:themeColor="text1"/>
          <w:szCs w:val="21"/>
        </w:rPr>
        <w:t>人或者基金资产净值低于</w:t>
      </w:r>
      <w:r w:rsidRPr="005A7DE6">
        <w:rPr>
          <w:rFonts w:asciiTheme="minorEastAsia" w:eastAsiaTheme="minorEastAsia" w:hAnsiTheme="minorEastAsia"/>
          <w:color w:val="000000" w:themeColor="text1"/>
          <w:szCs w:val="21"/>
        </w:rPr>
        <w:t>5</w:t>
      </w:r>
      <w:r w:rsidRPr="005A7DE6" w:rsidR="00C05517">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000</w:t>
      </w:r>
      <w:r w:rsidRPr="005A7DE6">
        <w:rPr>
          <w:rFonts w:asciiTheme="minorEastAsia" w:eastAsiaTheme="minorEastAsia" w:hAnsiTheme="minorEastAsia"/>
          <w:color w:val="000000" w:themeColor="text1"/>
          <w:szCs w:val="21"/>
        </w:rPr>
        <w:t>万元，基金管理人应当及时报告中国证监会；基金份额持有人数量连续</w:t>
      </w:r>
      <w:r w:rsidRPr="005A7DE6">
        <w:rPr>
          <w:rFonts w:asciiTheme="minorEastAsia" w:eastAsiaTheme="minorEastAsia" w:hAnsiTheme="minorEastAsia"/>
          <w:color w:val="000000" w:themeColor="text1"/>
          <w:szCs w:val="21"/>
        </w:rPr>
        <w:t>20</w:t>
      </w:r>
      <w:r w:rsidRPr="005A7DE6">
        <w:rPr>
          <w:rFonts w:asciiTheme="minorEastAsia" w:eastAsiaTheme="minorEastAsia" w:hAnsiTheme="minorEastAsia"/>
          <w:color w:val="000000" w:themeColor="text1"/>
          <w:szCs w:val="21"/>
        </w:rPr>
        <w:t>个工作日达不到</w:t>
      </w:r>
      <w:r w:rsidRPr="005A7DE6">
        <w:rPr>
          <w:rFonts w:asciiTheme="minorEastAsia" w:eastAsiaTheme="minorEastAsia" w:hAnsiTheme="minorEastAsia"/>
          <w:color w:val="000000" w:themeColor="text1"/>
          <w:szCs w:val="21"/>
        </w:rPr>
        <w:t>200</w:t>
      </w:r>
      <w:r w:rsidRPr="005A7DE6">
        <w:rPr>
          <w:rFonts w:asciiTheme="minorEastAsia" w:eastAsiaTheme="minorEastAsia" w:hAnsiTheme="minorEastAsia"/>
          <w:color w:val="000000" w:themeColor="text1"/>
          <w:szCs w:val="21"/>
        </w:rPr>
        <w:t>人，或连续</w:t>
      </w:r>
      <w:r w:rsidRPr="005A7DE6">
        <w:rPr>
          <w:rFonts w:asciiTheme="minorEastAsia" w:eastAsiaTheme="minorEastAsia" w:hAnsiTheme="minorEastAsia"/>
          <w:color w:val="000000" w:themeColor="text1"/>
          <w:szCs w:val="21"/>
        </w:rPr>
        <w:t>20</w:t>
      </w:r>
      <w:r w:rsidRPr="005A7DE6">
        <w:rPr>
          <w:rFonts w:asciiTheme="minorEastAsia" w:eastAsiaTheme="minorEastAsia" w:hAnsiTheme="minorEastAsia"/>
          <w:color w:val="000000" w:themeColor="text1"/>
          <w:szCs w:val="21"/>
        </w:rPr>
        <w:t>个工作日基金资产净值低于</w:t>
      </w:r>
      <w:r w:rsidRPr="005A7DE6">
        <w:rPr>
          <w:rFonts w:asciiTheme="minorEastAsia" w:eastAsiaTheme="minorEastAsia" w:hAnsiTheme="minorEastAsia"/>
          <w:color w:val="000000" w:themeColor="text1"/>
          <w:szCs w:val="21"/>
        </w:rPr>
        <w:t>5</w:t>
      </w:r>
      <w:r w:rsidRPr="005A7DE6" w:rsidR="00C05517">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000</w:t>
      </w:r>
      <w:r w:rsidRPr="005A7DE6">
        <w:rPr>
          <w:rFonts w:asciiTheme="minorEastAsia" w:eastAsiaTheme="minorEastAsia" w:hAnsiTheme="minorEastAsia"/>
          <w:color w:val="000000" w:themeColor="text1"/>
          <w:szCs w:val="21"/>
        </w:rPr>
        <w:t>万元，基金管理人应当向中国证监会说明出现上述情况的原因并提出解决方案。</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法律法规或监管部门另有规定的，按其规定办理。</w:t>
      </w:r>
    </w:p>
    <w:p w:rsidR="007679D5" w:rsidRPr="005A7DE6" w:rsidP="006B758F">
      <w:pPr>
        <w:snapToGrid w:val="0"/>
        <w:spacing w:line="360" w:lineRule="auto"/>
        <w:ind w:firstLine="420" w:firstLineChars="200"/>
        <w:rPr>
          <w:rFonts w:asciiTheme="minorEastAsia" w:eastAsiaTheme="minorEastAsia" w:hAnsiTheme="minorEastAsia"/>
          <w:color w:val="000000" w:themeColor="text1"/>
          <w:szCs w:val="21"/>
        </w:rPr>
      </w:pPr>
    </w:p>
    <w:p w:rsidR="007679D5" w:rsidRPr="005A7DE6" w:rsidP="006B758F">
      <w:pPr>
        <w:snapToGrid w:val="0"/>
        <w:spacing w:line="360" w:lineRule="auto"/>
        <w:ind w:firstLine="420" w:firstLineChars="200"/>
        <w:rPr>
          <w:rFonts w:asciiTheme="minorEastAsia" w:eastAsiaTheme="minorEastAsia" w:hAnsiTheme="minorEastAsia"/>
          <w:color w:val="000000" w:themeColor="text1"/>
          <w:szCs w:val="21"/>
        </w:rPr>
      </w:pPr>
    </w:p>
    <w:p w:rsidR="00BA4B87" w:rsidRPr="005A7DE6" w:rsidP="006B758F">
      <w:pPr>
        <w:pStyle w:val="111"/>
        <w:pageBreakBefore w:val="0"/>
        <w:snapToGrid w:val="0"/>
        <w:spacing w:beforeLines="0" w:afterLines="0" w:line="360" w:lineRule="auto"/>
        <w:ind w:firstLine="480"/>
        <w:rPr>
          <w:rFonts w:asciiTheme="minorEastAsia" w:eastAsiaTheme="minorEastAsia" w:hAnsiTheme="minorEastAsia"/>
          <w:b/>
          <w:color w:val="000000" w:themeColor="text1"/>
          <w:sz w:val="30"/>
        </w:rPr>
      </w:pPr>
      <w:r w:rsidRPr="005A7DE6">
        <w:rPr>
          <w:rFonts w:asciiTheme="minorEastAsia" w:eastAsiaTheme="minorEastAsia" w:hAnsiTheme="minorEastAsia"/>
          <w:color w:val="000000" w:themeColor="text1"/>
          <w:sz w:val="24"/>
        </w:rPr>
        <w:br w:type="column"/>
      </w:r>
      <w:bookmarkStart w:id="3606" w:name="_Toc94172393"/>
      <w:r w:rsidRPr="005A7DE6">
        <w:rPr>
          <w:rFonts w:asciiTheme="minorEastAsia" w:eastAsiaTheme="minorEastAsia" w:hAnsiTheme="minorEastAsia"/>
          <w:b/>
          <w:color w:val="000000" w:themeColor="text1"/>
          <w:sz w:val="30"/>
        </w:rPr>
        <w:t>八、基金份额的申购、赎回</w:t>
      </w:r>
      <w:bookmarkEnd w:id="3606"/>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07" w:name="_Toc94172394"/>
      <w:r w:rsidRPr="005A7DE6">
        <w:rPr>
          <w:rFonts w:asciiTheme="minorEastAsia" w:eastAsiaTheme="minorEastAsia" w:hAnsiTheme="minorEastAsia"/>
          <w:b w:val="0"/>
          <w:bCs/>
          <w:color w:val="000000" w:themeColor="text1"/>
        </w:rPr>
        <w:t>（一）基金</w:t>
      </w:r>
      <w:r w:rsidRPr="005A7DE6" w:rsidR="008D4032">
        <w:rPr>
          <w:rFonts w:asciiTheme="minorEastAsia" w:eastAsiaTheme="minorEastAsia" w:hAnsiTheme="minorEastAsia"/>
          <w:b w:val="0"/>
          <w:bCs/>
          <w:color w:val="000000" w:themeColor="text1"/>
        </w:rPr>
        <w:t>投资人</w:t>
      </w:r>
      <w:r w:rsidRPr="005A7DE6">
        <w:rPr>
          <w:rFonts w:asciiTheme="minorEastAsia" w:eastAsiaTheme="minorEastAsia" w:hAnsiTheme="minorEastAsia"/>
          <w:b w:val="0"/>
          <w:bCs/>
          <w:color w:val="000000" w:themeColor="text1"/>
        </w:rPr>
        <w:t>范围</w:t>
      </w:r>
      <w:bookmarkEnd w:id="3607"/>
    </w:p>
    <w:p w:rsidR="00BA4B87" w:rsidRPr="005A7DE6" w:rsidP="006B758F">
      <w:pPr>
        <w:snapToGrid w:val="0"/>
        <w:spacing w:line="360" w:lineRule="auto"/>
        <w:ind w:firstLine="424" w:firstLineChars="202"/>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szCs w:val="21"/>
        </w:rPr>
        <w:t>符合法律法规规定的可投资于证券投资基金的个人投资者、机构投资者和合格境外机构投资者以及法律法规或中国证监会允许购买证券投资基金的其他投资者。</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08" w:name="_Toc94172395"/>
      <w:r w:rsidRPr="005A7DE6">
        <w:rPr>
          <w:rFonts w:asciiTheme="minorEastAsia" w:eastAsiaTheme="minorEastAsia" w:hAnsiTheme="minorEastAsia"/>
          <w:b w:val="0"/>
          <w:bCs/>
          <w:color w:val="000000" w:themeColor="text1"/>
        </w:rPr>
        <w:t>（二）申购与赎回的场所</w:t>
      </w:r>
      <w:bookmarkEnd w:id="3608"/>
    </w:p>
    <w:p w:rsidR="00BA4B87" w:rsidRPr="005A7DE6" w:rsidP="006B758F">
      <w:pPr>
        <w:snapToGrid w:val="0"/>
        <w:spacing w:line="360" w:lineRule="auto"/>
        <w:ind w:firstLine="424" w:firstLineChars="202"/>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本基金的申购与赎回将通过销售机构进行。基金管理人可根据情况变更</w:t>
      </w:r>
      <w:r w:rsidRPr="005A7DE6" w:rsidR="00B437FB">
        <w:rPr>
          <w:rFonts w:asciiTheme="minorEastAsia" w:eastAsiaTheme="minorEastAsia" w:hAnsiTheme="minorEastAsia" w:hint="eastAsia"/>
          <w:color w:val="000000" w:themeColor="text1"/>
          <w:szCs w:val="21"/>
        </w:rPr>
        <w:t>基金的销售</w:t>
      </w:r>
      <w:r w:rsidRPr="005A7DE6">
        <w:rPr>
          <w:rFonts w:asciiTheme="minorEastAsia" w:eastAsiaTheme="minorEastAsia" w:hAnsiTheme="minorEastAsia"/>
          <w:color w:val="000000" w:themeColor="text1"/>
          <w:szCs w:val="21"/>
        </w:rPr>
        <w:t>机构，</w:t>
      </w:r>
      <w:r w:rsidRPr="005A7DE6" w:rsidR="006E73AA">
        <w:rPr>
          <w:rFonts w:asciiTheme="minorEastAsia" w:eastAsiaTheme="minorEastAsia" w:hAnsiTheme="minorEastAsia" w:hint="eastAsia"/>
          <w:color w:val="000000" w:themeColor="text1"/>
          <w:szCs w:val="21"/>
        </w:rPr>
        <w:t>并在基金管理人网站公示</w:t>
      </w:r>
      <w:r w:rsidRPr="005A7DE6">
        <w:rPr>
          <w:rFonts w:asciiTheme="minorEastAsia" w:eastAsiaTheme="minorEastAsia" w:hAnsiTheme="minorEastAsia"/>
          <w:color w:val="000000" w:themeColor="text1"/>
          <w:szCs w:val="21"/>
        </w:rPr>
        <w:t>。若基金管理人或其指定的</w:t>
      </w:r>
      <w:r w:rsidRPr="005A7DE6" w:rsidR="00E30B9F">
        <w:rPr>
          <w:rFonts w:asciiTheme="minorEastAsia" w:eastAsiaTheme="minorEastAsia" w:hAnsiTheme="minorEastAsia" w:hint="eastAsia"/>
          <w:color w:val="000000" w:themeColor="text1"/>
          <w:szCs w:val="21"/>
        </w:rPr>
        <w:t>销售</w:t>
      </w:r>
      <w:r w:rsidRPr="005A7DE6">
        <w:rPr>
          <w:rFonts w:asciiTheme="minorEastAsia" w:eastAsiaTheme="minorEastAsia" w:hAnsiTheme="minorEastAsia"/>
          <w:color w:val="000000" w:themeColor="text1"/>
          <w:szCs w:val="21"/>
        </w:rPr>
        <w:t>机构开通电话、传真或网上等交易方式，投资人可以通过上述方式进行申购与赎回，具体</w:t>
      </w:r>
      <w:r w:rsidRPr="005A7DE6" w:rsidR="00597078">
        <w:rPr>
          <w:rFonts w:asciiTheme="minorEastAsia" w:eastAsiaTheme="minorEastAsia" w:hAnsiTheme="minorEastAsia" w:hint="eastAsia"/>
          <w:color w:val="000000" w:themeColor="text1"/>
          <w:szCs w:val="21"/>
        </w:rPr>
        <w:t>以各销售机构的规定为准</w:t>
      </w:r>
      <w:r w:rsidRPr="005A7DE6">
        <w:rPr>
          <w:rFonts w:asciiTheme="minorEastAsia" w:eastAsiaTheme="minorEastAsia" w:hAnsiTheme="minorEastAsia"/>
          <w:color w:val="000000" w:themeColor="text1"/>
          <w:szCs w:val="21"/>
        </w:rPr>
        <w:t>。</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09" w:name="_Toc94172396"/>
      <w:r w:rsidRPr="005A7DE6">
        <w:rPr>
          <w:rFonts w:asciiTheme="minorEastAsia" w:eastAsiaTheme="minorEastAsia" w:hAnsiTheme="minorEastAsia"/>
          <w:b w:val="0"/>
          <w:bCs/>
          <w:color w:val="000000" w:themeColor="text1"/>
        </w:rPr>
        <w:t>（三）申购与赎回办理的开放日及时间</w:t>
      </w:r>
      <w:bookmarkEnd w:id="3609"/>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本基金已于</w:t>
      </w:r>
      <w:r w:rsidRPr="005A7DE6">
        <w:rPr>
          <w:rFonts w:asciiTheme="minorEastAsia" w:eastAsiaTheme="minorEastAsia" w:hAnsiTheme="minorEastAsia" w:hint="eastAsia"/>
          <w:color w:val="000000" w:themeColor="text1"/>
          <w:szCs w:val="21"/>
        </w:rPr>
        <w:t>2012</w:t>
      </w:r>
      <w:r w:rsidRPr="005A7DE6">
        <w:rPr>
          <w:rFonts w:asciiTheme="minorEastAsia" w:eastAsiaTheme="minorEastAsia" w:hAnsiTheme="minorEastAsia" w:hint="eastAsia"/>
          <w:color w:val="000000" w:themeColor="text1"/>
          <w:szCs w:val="21"/>
        </w:rPr>
        <w:t>年</w:t>
      </w:r>
      <w:r w:rsidRPr="005A7DE6" w:rsidR="00BB4242">
        <w:rPr>
          <w:rFonts w:asciiTheme="minorEastAsia" w:eastAsiaTheme="minorEastAsia" w:hAnsiTheme="minorEastAsia" w:hint="eastAsia"/>
          <w:color w:val="000000" w:themeColor="text1"/>
          <w:szCs w:val="21"/>
        </w:rPr>
        <w:t>6</w:t>
      </w:r>
      <w:r w:rsidRPr="005A7DE6">
        <w:rPr>
          <w:rFonts w:asciiTheme="minorEastAsia" w:eastAsiaTheme="minorEastAsia" w:hAnsiTheme="minorEastAsia" w:hint="eastAsia"/>
          <w:color w:val="000000" w:themeColor="text1"/>
          <w:szCs w:val="21"/>
        </w:rPr>
        <w:t>月</w:t>
      </w:r>
      <w:r w:rsidRPr="005A7DE6" w:rsidR="00BB4242">
        <w:rPr>
          <w:rFonts w:asciiTheme="minorEastAsia" w:eastAsiaTheme="minorEastAsia" w:hAnsiTheme="minorEastAsia" w:hint="eastAsia"/>
          <w:color w:val="000000" w:themeColor="text1"/>
          <w:szCs w:val="21"/>
        </w:rPr>
        <w:t>1</w:t>
      </w:r>
      <w:r w:rsidRPr="005A7DE6">
        <w:rPr>
          <w:rFonts w:asciiTheme="minorEastAsia" w:eastAsiaTheme="minorEastAsia" w:hAnsiTheme="minorEastAsia" w:hint="eastAsia"/>
          <w:color w:val="000000" w:themeColor="text1"/>
          <w:szCs w:val="21"/>
        </w:rPr>
        <w:t>日开始办理日常申购</w:t>
      </w:r>
      <w:r w:rsidRPr="005A7DE6" w:rsidR="00B84317">
        <w:rPr>
          <w:rFonts w:asciiTheme="minorEastAsia" w:eastAsiaTheme="minorEastAsia" w:hAnsiTheme="minorEastAsia" w:hint="eastAsia"/>
          <w:color w:val="000000" w:themeColor="text1"/>
          <w:szCs w:val="21"/>
        </w:rPr>
        <w:t>和</w:t>
      </w:r>
      <w:r w:rsidRPr="005A7DE6">
        <w:rPr>
          <w:rFonts w:asciiTheme="minorEastAsia" w:eastAsiaTheme="minorEastAsia" w:hAnsiTheme="minorEastAsia" w:hint="eastAsia"/>
          <w:color w:val="000000" w:themeColor="text1"/>
          <w:szCs w:val="21"/>
        </w:rPr>
        <w:t>赎回业务。</w:t>
      </w:r>
    </w:p>
    <w:p w:rsidR="008A61E1"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szCs w:val="21"/>
        </w:rPr>
        <w:t>基金管理人不得在基金合同约定之外的日期或者时间办理基金份额的申购、赎回。投资人在基金合同约定之外的日期和时间提出申购、赎回申请</w:t>
      </w:r>
      <w:r w:rsidRPr="005A7DE6">
        <w:rPr>
          <w:rFonts w:asciiTheme="minorEastAsia" w:eastAsiaTheme="minorEastAsia" w:hAnsiTheme="minorEastAsia"/>
          <w:color w:val="000000" w:themeColor="text1"/>
          <w:szCs w:val="21"/>
        </w:rPr>
        <w:t>的</w:t>
      </w:r>
      <w:r w:rsidRPr="005A7DE6">
        <w:rPr>
          <w:rFonts w:asciiTheme="minorEastAsia" w:eastAsiaTheme="minorEastAsia" w:hAnsiTheme="minorEastAsia" w:hint="eastAsia"/>
          <w:color w:val="000000" w:themeColor="text1"/>
          <w:szCs w:val="21"/>
        </w:rPr>
        <w:t>，其基金份额申购、赎回价格为下一开放日基金份额申购、赎回的价格。</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10" w:name="_Toc94172397"/>
      <w:r w:rsidRPr="005A7DE6">
        <w:rPr>
          <w:rFonts w:asciiTheme="minorEastAsia" w:eastAsiaTheme="minorEastAsia" w:hAnsiTheme="minorEastAsia"/>
          <w:b w:val="0"/>
          <w:bCs/>
          <w:color w:val="000000" w:themeColor="text1"/>
        </w:rPr>
        <w:t>（</w:t>
      </w:r>
      <w:r w:rsidRPr="005A7DE6" w:rsidR="008D4032">
        <w:rPr>
          <w:rFonts w:asciiTheme="minorEastAsia" w:eastAsiaTheme="minorEastAsia" w:hAnsiTheme="minorEastAsia"/>
          <w:b w:val="0"/>
          <w:bCs/>
          <w:color w:val="000000" w:themeColor="text1"/>
        </w:rPr>
        <w:t>四</w:t>
      </w:r>
      <w:r w:rsidRPr="005A7DE6">
        <w:rPr>
          <w:rFonts w:asciiTheme="minorEastAsia" w:eastAsiaTheme="minorEastAsia" w:hAnsiTheme="minorEastAsia"/>
          <w:b w:val="0"/>
          <w:bCs/>
          <w:color w:val="000000" w:themeColor="text1"/>
        </w:rPr>
        <w:t>）申购与赎回的原则</w:t>
      </w:r>
      <w:bookmarkEnd w:id="3610"/>
    </w:p>
    <w:p w:rsidR="00B2624E"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未知价</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原则，即申购、赎回价格以申请当日收市后计算的基金份额净值为基准进行计算；</w:t>
      </w:r>
    </w:p>
    <w:p w:rsidR="00B2624E"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金额申购、份额赎回</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原则，即申购以金额申请，赎回以份额申请；</w:t>
      </w:r>
    </w:p>
    <w:p w:rsidR="00B2624E"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w:t>
      </w:r>
      <w:r w:rsidRPr="005A7DE6">
        <w:rPr>
          <w:rFonts w:asciiTheme="minorEastAsia" w:eastAsiaTheme="minorEastAsia" w:hAnsiTheme="minorEastAsia"/>
          <w:color w:val="000000" w:themeColor="text1"/>
          <w:szCs w:val="21"/>
        </w:rPr>
        <w:t>、基金份额持有人赎回时，除指定赎回外，基金管理人按先进先出的原则，对该持有人账户在该销售机构托管的基金份额进行处理，即先确认的份额先赎回，后确认的份额后赎回，以确定所适用的赎回费率；</w:t>
      </w:r>
    </w:p>
    <w:p w:rsidR="00B2624E"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4</w:t>
      </w:r>
      <w:r w:rsidRPr="005A7DE6">
        <w:rPr>
          <w:rFonts w:asciiTheme="minorEastAsia" w:eastAsiaTheme="minorEastAsia" w:hAnsiTheme="minorEastAsia"/>
          <w:color w:val="000000" w:themeColor="text1"/>
          <w:szCs w:val="21"/>
        </w:rPr>
        <w:t>、当日的申购与赎回申请可以在基金管理人规定的时间以内撤销。</w:t>
      </w:r>
    </w:p>
    <w:p w:rsidR="00BA4B87"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szCs w:val="21"/>
        </w:rPr>
        <w:t>基金管理人可根据基</w:t>
      </w:r>
      <w:r w:rsidRPr="005A7DE6">
        <w:rPr>
          <w:rFonts w:asciiTheme="minorEastAsia" w:eastAsiaTheme="minorEastAsia" w:hAnsiTheme="minorEastAsia"/>
          <w:color w:val="000000" w:themeColor="text1"/>
          <w:szCs w:val="21"/>
        </w:rPr>
        <w:t>金运作的实际情况依法对上述原则进行调整。基金管理人必须在新规则开始实施前依照《信息披露办法》的有关规定在</w:t>
      </w:r>
      <w:r w:rsidRPr="005A7DE6" w:rsidR="006E73AA">
        <w:rPr>
          <w:rFonts w:asciiTheme="minorEastAsia" w:eastAsiaTheme="minorEastAsia" w:hAnsiTheme="minorEastAsia"/>
          <w:color w:val="000000" w:themeColor="text1"/>
          <w:szCs w:val="21"/>
        </w:rPr>
        <w:t>指定媒介</w:t>
      </w:r>
      <w:r w:rsidRPr="005A7DE6">
        <w:rPr>
          <w:rFonts w:asciiTheme="minorEastAsia" w:eastAsiaTheme="minorEastAsia" w:hAnsiTheme="minorEastAsia"/>
          <w:color w:val="000000" w:themeColor="text1"/>
          <w:szCs w:val="21"/>
        </w:rPr>
        <w:t>上公告。</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11" w:name="_Toc94172398"/>
      <w:r w:rsidRPr="005A7DE6">
        <w:rPr>
          <w:rFonts w:asciiTheme="minorEastAsia" w:eastAsiaTheme="minorEastAsia" w:hAnsiTheme="minorEastAsia"/>
          <w:b w:val="0"/>
          <w:bCs/>
          <w:color w:val="000000" w:themeColor="text1"/>
        </w:rPr>
        <w:t>（</w:t>
      </w:r>
      <w:r w:rsidRPr="005A7DE6" w:rsidR="008D4032">
        <w:rPr>
          <w:rFonts w:asciiTheme="minorEastAsia" w:eastAsiaTheme="minorEastAsia" w:hAnsiTheme="minorEastAsia"/>
          <w:b w:val="0"/>
          <w:bCs/>
          <w:color w:val="000000" w:themeColor="text1"/>
        </w:rPr>
        <w:t>五</w:t>
      </w:r>
      <w:r w:rsidRPr="005A7DE6">
        <w:rPr>
          <w:rFonts w:asciiTheme="minorEastAsia" w:eastAsiaTheme="minorEastAsia" w:hAnsiTheme="minorEastAsia"/>
          <w:b w:val="0"/>
          <w:bCs/>
          <w:color w:val="000000" w:themeColor="text1"/>
        </w:rPr>
        <w:t>）申购与赎回的程序</w:t>
      </w:r>
      <w:bookmarkEnd w:id="3611"/>
    </w:p>
    <w:p w:rsidR="00BA4B87"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w:t>
      </w:r>
      <w:r w:rsidRPr="005A7DE6" w:rsidR="008A168E">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申购和赎回的申请方式</w:t>
      </w:r>
    </w:p>
    <w:p w:rsidR="009900DB"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投资人必须根据销售机构规定的程序，在开放日的具体业务办理时间内提出申购或赎回的申请。</w:t>
      </w:r>
    </w:p>
    <w:p w:rsidR="009900DB"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投资人在提交申购申请时须按销售机构规定的方式备足申购资金，投资人在提交赎回申请时须持有足够的基金份额余额，否则所提交的申购、赎回申请无效。</w:t>
      </w:r>
    </w:p>
    <w:p w:rsidR="00BA4B87"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szCs w:val="21"/>
        </w:rPr>
        <w:t>投资人办理申购、赎回等业务时应提交的文件和办理手续、办理时间、处理规则等在遵守基金合同和招募说明书规定的前提下，以各销售机构的具体规定为准。</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w:t>
      </w:r>
      <w:r w:rsidRPr="005A7DE6" w:rsidR="008A168E">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申购和赎回申请的确认</w:t>
      </w:r>
    </w:p>
    <w:p w:rsidR="007D0E2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基金管理人应以交易时间结束前受理申购和赎回申请的当天作为申购或赎回申请日</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T</w:t>
      </w:r>
      <w:r w:rsidRPr="005A7DE6">
        <w:rPr>
          <w:rFonts w:asciiTheme="minorEastAsia" w:eastAsiaTheme="minorEastAsia" w:hAnsiTheme="minorEastAsia"/>
          <w:color w:val="000000" w:themeColor="text1"/>
        </w:rPr>
        <w:t>日</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，在正常情况下，本基金注册登记机构在</w:t>
      </w:r>
      <w:r w:rsidRPr="005A7DE6">
        <w:rPr>
          <w:rFonts w:asciiTheme="minorEastAsia" w:eastAsiaTheme="minorEastAsia" w:hAnsiTheme="minorEastAsia"/>
          <w:color w:val="000000" w:themeColor="text1"/>
        </w:rPr>
        <w:t>T+1</w:t>
      </w:r>
      <w:r w:rsidRPr="005A7DE6">
        <w:rPr>
          <w:rFonts w:asciiTheme="minorEastAsia" w:eastAsiaTheme="minorEastAsia" w:hAnsiTheme="minorEastAsia"/>
          <w:color w:val="000000" w:themeColor="text1"/>
        </w:rPr>
        <w:t>日内对该交易的有效性进行确认。</w:t>
      </w:r>
      <w:r w:rsidRPr="005A7DE6">
        <w:rPr>
          <w:rFonts w:asciiTheme="minorEastAsia" w:eastAsiaTheme="minorEastAsia" w:hAnsiTheme="minorEastAsia"/>
          <w:color w:val="000000" w:themeColor="text1"/>
        </w:rPr>
        <w:t>T</w:t>
      </w:r>
      <w:r w:rsidRPr="005A7DE6">
        <w:rPr>
          <w:rFonts w:asciiTheme="minorEastAsia" w:eastAsiaTheme="minorEastAsia" w:hAnsiTheme="minorEastAsia"/>
          <w:color w:val="000000" w:themeColor="text1"/>
        </w:rPr>
        <w:t>日提交的有效申请，投资人应在</w:t>
      </w:r>
      <w:r w:rsidRPr="005A7DE6">
        <w:rPr>
          <w:rFonts w:asciiTheme="minorEastAsia" w:eastAsiaTheme="minorEastAsia" w:hAnsiTheme="minorEastAsia"/>
          <w:color w:val="000000" w:themeColor="text1"/>
        </w:rPr>
        <w:t>T+2</w:t>
      </w:r>
      <w:r w:rsidRPr="005A7DE6">
        <w:rPr>
          <w:rFonts w:asciiTheme="minorEastAsia" w:eastAsiaTheme="minorEastAsia" w:hAnsiTheme="minorEastAsia"/>
          <w:color w:val="000000" w:themeColor="text1"/>
        </w:rPr>
        <w:t>日后</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包括该日</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到销售网点柜台或以销售机构规定的其他方式查询申请的确认情况。基金销售机构对申购、赎回申请的受理并不代表申请一定成功，而仅代表销售机构确实接收</w:t>
      </w:r>
      <w:r w:rsidRPr="005A7DE6">
        <w:rPr>
          <w:rFonts w:asciiTheme="minorEastAsia" w:eastAsiaTheme="minorEastAsia" w:hAnsiTheme="minorEastAsia"/>
          <w:color w:val="000000" w:themeColor="text1"/>
        </w:rPr>
        <w:t>到申请。申购、赎回申请的确认以注册登记机构的确认结果为准。</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在法律法规允许的范围内，注册登记机构可根据《业务规则》，对上述业务办理时间进行调整，本基金管理人将于开始实施前按照有关规定予以公告。</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w:t>
      </w: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color w:val="000000" w:themeColor="text1"/>
        </w:rPr>
        <w:t>申购和赎回的款项支付</w:t>
      </w:r>
    </w:p>
    <w:p w:rsidR="002B115A"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申购采用全额缴款方式，若申购资金在规定时间内未全额到账则申购不成功。若申购不成功或无效，</w:t>
      </w:r>
      <w:r w:rsidRPr="005A7DE6" w:rsidR="007C0F95">
        <w:rPr>
          <w:rFonts w:asciiTheme="minorEastAsia" w:eastAsiaTheme="minorEastAsia" w:hAnsiTheme="minorEastAsia" w:hint="eastAsia"/>
          <w:color w:val="000000" w:themeColor="text1"/>
        </w:rPr>
        <w:t>销售</w:t>
      </w:r>
      <w:r w:rsidRPr="005A7DE6">
        <w:rPr>
          <w:rFonts w:asciiTheme="minorEastAsia" w:eastAsiaTheme="minorEastAsia" w:hAnsiTheme="minorEastAsia"/>
          <w:color w:val="000000" w:themeColor="text1"/>
        </w:rPr>
        <w:t>机构将投资人已缴付的申购款项本金退还给投资人。</w:t>
      </w:r>
    </w:p>
    <w:p w:rsidR="002E55B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rPr>
        <w:t>基金管理人将通过相关基金销售机构自接受</w:t>
      </w:r>
      <w:r w:rsidRPr="005A7DE6" w:rsidR="008D4032">
        <w:rPr>
          <w:rFonts w:asciiTheme="minorEastAsia" w:eastAsiaTheme="minorEastAsia" w:hAnsiTheme="minorEastAsia"/>
          <w:color w:val="000000" w:themeColor="text1"/>
        </w:rPr>
        <w:t>投资人</w:t>
      </w:r>
      <w:r w:rsidRPr="005A7DE6">
        <w:rPr>
          <w:rFonts w:asciiTheme="minorEastAsia" w:eastAsiaTheme="minorEastAsia" w:hAnsiTheme="minorEastAsia"/>
          <w:color w:val="000000" w:themeColor="text1"/>
        </w:rPr>
        <w:t>有效赎回申请之日起七个工作日内支付赎回款项。在发生巨额赎回的情形时，款项的支付办法参照基金合同有关条款处理。</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12" w:name="_Toc94172399"/>
      <w:r w:rsidRPr="005A7DE6">
        <w:rPr>
          <w:rFonts w:asciiTheme="minorEastAsia" w:eastAsiaTheme="minorEastAsia" w:hAnsiTheme="minorEastAsia"/>
          <w:b w:val="0"/>
          <w:bCs/>
          <w:color w:val="000000" w:themeColor="text1"/>
        </w:rPr>
        <w:t>（</w:t>
      </w:r>
      <w:r w:rsidRPr="005A7DE6" w:rsidR="00214A68">
        <w:rPr>
          <w:rFonts w:asciiTheme="minorEastAsia" w:eastAsiaTheme="minorEastAsia" w:hAnsiTheme="minorEastAsia"/>
          <w:b w:val="0"/>
          <w:bCs/>
          <w:color w:val="000000" w:themeColor="text1"/>
        </w:rPr>
        <w:t>六</w:t>
      </w:r>
      <w:r w:rsidRPr="005A7DE6">
        <w:rPr>
          <w:rFonts w:asciiTheme="minorEastAsia" w:eastAsiaTheme="minorEastAsia" w:hAnsiTheme="minorEastAsia"/>
          <w:b w:val="0"/>
          <w:bCs/>
          <w:color w:val="000000" w:themeColor="text1"/>
        </w:rPr>
        <w:t>）申购与赎回的数额限制</w:t>
      </w:r>
      <w:bookmarkEnd w:id="3612"/>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、申购金额的限制</w:t>
      </w:r>
    </w:p>
    <w:p w:rsidR="00214A68"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投资人通过本公司直销中心首次申购的单笔最低限额为人民币</w:t>
      </w:r>
      <w:r w:rsidRPr="005A7DE6">
        <w:rPr>
          <w:rFonts w:asciiTheme="minorEastAsia" w:eastAsiaTheme="minorEastAsia" w:hAnsiTheme="minorEastAsia" w:hint="eastAsia"/>
          <w:color w:val="000000" w:themeColor="text1"/>
          <w:szCs w:val="21"/>
        </w:rPr>
        <w:t>50,000</w:t>
      </w:r>
      <w:r w:rsidRPr="005A7DE6">
        <w:rPr>
          <w:rFonts w:asciiTheme="minorEastAsia" w:eastAsiaTheme="minorEastAsia" w:hAnsiTheme="minorEastAsia" w:hint="eastAsia"/>
          <w:color w:val="000000" w:themeColor="text1"/>
          <w:szCs w:val="21"/>
        </w:rPr>
        <w:t>元，追加申购单笔最低限额是人民币</w:t>
      </w:r>
      <w:r w:rsidRPr="005A7DE6">
        <w:rPr>
          <w:rFonts w:asciiTheme="minorEastAsia" w:eastAsiaTheme="minorEastAsia" w:hAnsiTheme="minorEastAsia" w:hint="eastAsia"/>
          <w:color w:val="000000" w:themeColor="text1"/>
          <w:szCs w:val="21"/>
        </w:rPr>
        <w:t>1,000</w:t>
      </w:r>
      <w:r w:rsidRPr="005A7DE6">
        <w:rPr>
          <w:rFonts w:asciiTheme="minorEastAsia" w:eastAsiaTheme="minorEastAsia" w:hAnsiTheme="minorEastAsia" w:hint="eastAsia"/>
          <w:color w:val="000000" w:themeColor="text1"/>
          <w:szCs w:val="21"/>
        </w:rPr>
        <w:t>元。</w:t>
      </w:r>
      <w:r w:rsidRPr="005A7DE6">
        <w:rPr>
          <w:rFonts w:asciiTheme="minorEastAsia" w:eastAsiaTheme="minorEastAsia" w:hAnsiTheme="minorEastAsia"/>
          <w:color w:val="000000" w:themeColor="text1"/>
          <w:szCs w:val="21"/>
        </w:rPr>
        <w:t>通过</w:t>
      </w:r>
      <w:r w:rsidRPr="005A7DE6" w:rsidR="007C0F95">
        <w:rPr>
          <w:rFonts w:asciiTheme="minorEastAsia" w:eastAsiaTheme="minorEastAsia" w:hAnsiTheme="minorEastAsia" w:hint="eastAsia"/>
          <w:color w:val="000000" w:themeColor="text1"/>
          <w:szCs w:val="21"/>
        </w:rPr>
        <w:t>非直销销售</w:t>
      </w:r>
      <w:r w:rsidRPr="005A7DE6">
        <w:rPr>
          <w:rFonts w:asciiTheme="minorEastAsia" w:eastAsiaTheme="minorEastAsia" w:hAnsiTheme="minorEastAsia"/>
          <w:color w:val="000000" w:themeColor="text1"/>
          <w:szCs w:val="21"/>
        </w:rPr>
        <w:t>或本公司网上交易系统首次申购的单笔最低金额为</w:t>
      </w: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元人民币</w:t>
      </w:r>
      <w:r w:rsidRPr="005A7DE6" w:rsidR="00C7453F">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追加申购单笔最低金额为</w:t>
      </w: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元人民币。</w:t>
      </w:r>
      <w:r w:rsidRPr="005A7DE6" w:rsidR="002A7CAC">
        <w:rPr>
          <w:rFonts w:asciiTheme="minorEastAsia" w:eastAsiaTheme="minorEastAsia" w:hAnsiTheme="minorEastAsia" w:hint="eastAsia"/>
          <w:color w:val="000000" w:themeColor="text1"/>
          <w:szCs w:val="21"/>
        </w:rPr>
        <w:t>在符合法律法规规定的前提下，</w:t>
      </w:r>
      <w:r w:rsidRPr="005A7DE6">
        <w:rPr>
          <w:rFonts w:asciiTheme="minorEastAsia" w:eastAsiaTheme="minorEastAsia" w:hAnsiTheme="minorEastAsia"/>
          <w:color w:val="000000" w:themeColor="text1"/>
          <w:szCs w:val="21"/>
        </w:rPr>
        <w:t>各销售机构对申购金额及交易级差有其他规定的，</w:t>
      </w:r>
      <w:r w:rsidRPr="005A7DE6" w:rsidR="00E776F2">
        <w:rPr>
          <w:rFonts w:asciiTheme="minorEastAsia" w:eastAsiaTheme="minorEastAsia" w:hAnsiTheme="minorEastAsia" w:hint="eastAsia"/>
          <w:color w:val="000000" w:themeColor="text1"/>
          <w:szCs w:val="21"/>
        </w:rPr>
        <w:t>需同时遵循该销售机构的相关规定</w:t>
      </w:r>
      <w:r w:rsidRPr="005A7DE6">
        <w:rPr>
          <w:rFonts w:asciiTheme="minorEastAsia" w:eastAsiaTheme="minorEastAsia" w:hAnsiTheme="minorEastAsia"/>
          <w:color w:val="000000" w:themeColor="text1"/>
          <w:szCs w:val="21"/>
        </w:rPr>
        <w:t>。</w:t>
      </w:r>
      <w:r w:rsidRPr="005A7DE6" w:rsidR="00C7453F">
        <w:rPr>
          <w:rFonts w:asciiTheme="minorEastAsia" w:eastAsiaTheme="minorEastAsia" w:hAnsiTheme="minorEastAsia" w:hint="eastAsia"/>
          <w:color w:val="000000" w:themeColor="text1"/>
          <w:szCs w:val="21"/>
        </w:rPr>
        <w:t>（以上金额均含申购费）</w:t>
      </w:r>
    </w:p>
    <w:p w:rsidR="00214A68"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投资人将当期分配的基金收益转购基金份额或采用定期定额投资计划时，不受最低申购金额的限制。</w:t>
      </w:r>
    </w:p>
    <w:p w:rsidR="00214A68"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投资人可多次申购，对单个投资人累计持有份额不设上限限制。</w:t>
      </w:r>
      <w:r w:rsidRPr="005A7DE6" w:rsidR="00473CDB">
        <w:rPr>
          <w:rFonts w:asciiTheme="minorEastAsia" w:eastAsiaTheme="minorEastAsia" w:hAnsiTheme="minorEastAsia" w:hint="eastAsia"/>
          <w:color w:val="000000" w:themeColor="text1"/>
          <w:szCs w:val="21"/>
        </w:rPr>
        <w:t>但对于可能导致单一投资者持有基金份额的比例达到或者超过50%，或者变相规避50%集中度的情形，基金管理人有权按照相关法律法规采取控制措施。</w:t>
      </w:r>
      <w:r w:rsidRPr="005A7DE6">
        <w:rPr>
          <w:rFonts w:asciiTheme="minorEastAsia" w:eastAsiaTheme="minorEastAsia" w:hAnsiTheme="minorEastAsia"/>
          <w:color w:val="000000" w:themeColor="text1"/>
          <w:szCs w:val="21"/>
        </w:rPr>
        <w:t>法律法规、中国证监会另有规定的除外。</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w:t>
      </w:r>
      <w:r w:rsidRPr="005A7DE6">
        <w:rPr>
          <w:rFonts w:asciiTheme="minorEastAsia" w:eastAsiaTheme="minorEastAsia" w:hAnsiTheme="minorEastAsia"/>
          <w:color w:val="000000" w:themeColor="text1"/>
        </w:rPr>
        <w:t>、赎回份额的限制</w:t>
      </w:r>
    </w:p>
    <w:p w:rsidR="00214A68"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投资人可将其全部或部分基金份额赎回。</w:t>
      </w:r>
      <w:r w:rsidRPr="005A7DE6">
        <w:rPr>
          <w:rFonts w:asciiTheme="minorEastAsia" w:eastAsiaTheme="minorEastAsia" w:hAnsiTheme="minorEastAsia"/>
          <w:color w:val="000000" w:themeColor="text1"/>
          <w:kern w:val="0"/>
          <w:szCs w:val="21"/>
        </w:rPr>
        <w:t>每类基金份额</w:t>
      </w:r>
      <w:r w:rsidRPr="005A7DE6">
        <w:rPr>
          <w:rFonts w:asciiTheme="minorEastAsia" w:eastAsiaTheme="minorEastAsia" w:hAnsiTheme="minorEastAsia"/>
          <w:color w:val="000000" w:themeColor="text1"/>
        </w:rPr>
        <w:t>单笔赎回不得少于</w:t>
      </w:r>
      <w:r w:rsidRPr="005A7DE6" w:rsidR="0084214F">
        <w:rPr>
          <w:rFonts w:asciiTheme="minorEastAsia" w:eastAsiaTheme="minorEastAsia" w:hAnsiTheme="minorEastAsia"/>
          <w:color w:val="000000" w:themeColor="text1"/>
        </w:rPr>
        <w:t>0.01</w:t>
      </w:r>
      <w:r w:rsidRPr="005A7DE6">
        <w:rPr>
          <w:rFonts w:asciiTheme="minorEastAsia" w:eastAsiaTheme="minorEastAsia" w:hAnsiTheme="minorEastAsia"/>
          <w:color w:val="000000" w:themeColor="text1"/>
        </w:rPr>
        <w:t>份。</w:t>
      </w:r>
      <w:r w:rsidRPr="005A7DE6" w:rsidR="002A7CAC">
        <w:rPr>
          <w:rFonts w:asciiTheme="minorEastAsia" w:eastAsiaTheme="minorEastAsia" w:hAnsiTheme="minorEastAsia" w:hint="eastAsia"/>
          <w:color w:val="000000" w:themeColor="text1"/>
          <w:szCs w:val="21"/>
        </w:rPr>
        <w:t>在符合法律法规规定的前提下，</w:t>
      </w:r>
      <w:r w:rsidRPr="005A7DE6">
        <w:rPr>
          <w:rFonts w:asciiTheme="minorEastAsia" w:eastAsiaTheme="minorEastAsia" w:hAnsiTheme="minorEastAsia"/>
          <w:color w:val="000000" w:themeColor="text1"/>
        </w:rPr>
        <w:t>各销售机构对赎回份额限制有其他规定的，</w:t>
      </w:r>
      <w:r w:rsidRPr="005A7DE6" w:rsidR="00E776F2">
        <w:rPr>
          <w:rFonts w:asciiTheme="minorEastAsia" w:eastAsiaTheme="minorEastAsia" w:hAnsiTheme="minorEastAsia" w:hint="eastAsia"/>
          <w:color w:val="000000" w:themeColor="text1"/>
        </w:rPr>
        <w:t>需同时遵循该销售机构的相关规定</w:t>
      </w:r>
      <w:r w:rsidRPr="005A7DE6">
        <w:rPr>
          <w:rFonts w:asciiTheme="minorEastAsia" w:eastAsiaTheme="minorEastAsia" w:hAnsiTheme="minorEastAsia"/>
          <w:color w:val="000000" w:themeColor="text1"/>
        </w:rPr>
        <w:t>。</w:t>
      </w:r>
    </w:p>
    <w:p w:rsidR="00473CDB"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w:t>
      </w:r>
      <w:r w:rsidRPr="005A7DE6">
        <w:rPr>
          <w:rFonts w:asciiTheme="minorEastAsia" w:eastAsiaTheme="minorEastAsia" w:hAnsiTheme="minorEastAsia"/>
          <w:color w:val="000000" w:themeColor="text1"/>
        </w:rPr>
        <w:t>、</w:t>
      </w:r>
      <w:r w:rsidRPr="005A7DE6">
        <w:rPr>
          <w:rFonts w:asciiTheme="minorEastAsia" w:eastAsiaTheme="minorEastAsia" w:hAnsiTheme="minorEastAsia" w:hint="eastAsia"/>
          <w:color w:val="000000" w:themeColor="text1"/>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BA4B87"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4</w:t>
      </w:r>
      <w:r w:rsidRPr="005A7DE6">
        <w:rPr>
          <w:rFonts w:asciiTheme="minorEastAsia" w:eastAsiaTheme="minorEastAsia" w:hAnsiTheme="minorEastAsia"/>
          <w:color w:val="000000" w:themeColor="text1"/>
        </w:rPr>
        <w:t>、基金管理人可以根据市场情况，在法律法规允许的情况下，调整上述规定申购金额和赎回份额的数量限制</w:t>
      </w:r>
      <w:r w:rsidRPr="005A7DE6">
        <w:rPr>
          <w:rFonts w:asciiTheme="minorEastAsia" w:eastAsiaTheme="minorEastAsia" w:hAnsiTheme="minorEastAsia" w:hint="eastAsia"/>
          <w:color w:val="000000" w:themeColor="text1"/>
          <w:szCs w:val="21"/>
        </w:rPr>
        <w:t>，或者新增基金规模控制措施</w:t>
      </w:r>
      <w:r w:rsidRPr="005A7DE6">
        <w:rPr>
          <w:rFonts w:asciiTheme="minorEastAsia" w:eastAsiaTheme="minorEastAsia" w:hAnsiTheme="minorEastAsia"/>
          <w:color w:val="000000" w:themeColor="text1"/>
        </w:rPr>
        <w:t>。基金管理人必须在调整前依照《信息披露办法》的有关规定在</w:t>
      </w:r>
      <w:r w:rsidRPr="005A7DE6" w:rsidR="006E73AA">
        <w:rPr>
          <w:rFonts w:asciiTheme="minorEastAsia" w:eastAsiaTheme="minorEastAsia" w:hAnsiTheme="minorEastAsia"/>
          <w:color w:val="000000" w:themeColor="text1"/>
        </w:rPr>
        <w:t>指定媒介</w:t>
      </w:r>
      <w:r w:rsidRPr="005A7DE6">
        <w:rPr>
          <w:rFonts w:asciiTheme="minorEastAsia" w:eastAsiaTheme="minorEastAsia" w:hAnsiTheme="minorEastAsia"/>
          <w:color w:val="000000" w:themeColor="text1"/>
        </w:rPr>
        <w:t>上公告。</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13" w:name="_Toc94172400"/>
      <w:r w:rsidRPr="005A7DE6">
        <w:rPr>
          <w:rFonts w:asciiTheme="minorEastAsia" w:eastAsiaTheme="minorEastAsia" w:hAnsiTheme="minorEastAsia"/>
          <w:b w:val="0"/>
          <w:bCs/>
          <w:color w:val="000000" w:themeColor="text1"/>
        </w:rPr>
        <w:t>（</w:t>
      </w:r>
      <w:r w:rsidRPr="005A7DE6" w:rsidR="00214A68">
        <w:rPr>
          <w:rFonts w:asciiTheme="minorEastAsia" w:eastAsiaTheme="minorEastAsia" w:hAnsiTheme="minorEastAsia"/>
          <w:b w:val="0"/>
          <w:bCs/>
          <w:color w:val="000000" w:themeColor="text1"/>
        </w:rPr>
        <w:t>七</w:t>
      </w:r>
      <w:r w:rsidRPr="005A7DE6">
        <w:rPr>
          <w:rFonts w:asciiTheme="minorEastAsia" w:eastAsiaTheme="minorEastAsia" w:hAnsiTheme="minorEastAsia"/>
          <w:b w:val="0"/>
          <w:bCs/>
          <w:color w:val="000000" w:themeColor="text1"/>
        </w:rPr>
        <w:t>）基金的申购费和赎回费</w:t>
      </w:r>
      <w:bookmarkEnd w:id="3613"/>
    </w:p>
    <w:p w:rsidR="00547CB9"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、本基金的基金份额分为</w:t>
      </w:r>
      <w:r w:rsidRPr="005A7DE6">
        <w:rPr>
          <w:rFonts w:asciiTheme="minorEastAsia" w:eastAsiaTheme="minorEastAsia" w:hAnsiTheme="minorEastAsia"/>
          <w:color w:val="000000" w:themeColor="text1"/>
          <w:szCs w:val="21"/>
        </w:rPr>
        <w:t>A</w:t>
      </w:r>
      <w:r w:rsidRPr="005A7DE6">
        <w:rPr>
          <w:rFonts w:asciiTheme="minorEastAsia" w:eastAsiaTheme="minorEastAsia" w:hAnsiTheme="minorEastAsia"/>
          <w:color w:val="000000" w:themeColor="text1"/>
          <w:szCs w:val="21"/>
        </w:rPr>
        <w:t>类基金份额和</w:t>
      </w:r>
      <w:r w:rsidRPr="005A7DE6">
        <w:rPr>
          <w:rFonts w:asciiTheme="minorEastAsia" w:eastAsiaTheme="minorEastAsia" w:hAnsiTheme="minorEastAsia"/>
          <w:color w:val="000000" w:themeColor="text1"/>
          <w:szCs w:val="21"/>
        </w:rPr>
        <w:t>C</w:t>
      </w:r>
      <w:r w:rsidRPr="005A7DE6">
        <w:rPr>
          <w:rFonts w:asciiTheme="minorEastAsia" w:eastAsiaTheme="minorEastAsia" w:hAnsiTheme="minorEastAsia"/>
          <w:color w:val="000000" w:themeColor="text1"/>
          <w:szCs w:val="21"/>
        </w:rPr>
        <w:t>类基金份额两类。其中：</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A</w:t>
      </w:r>
      <w:r w:rsidRPr="005A7DE6">
        <w:rPr>
          <w:rFonts w:asciiTheme="minorEastAsia" w:eastAsiaTheme="minorEastAsia" w:hAnsiTheme="minorEastAsia"/>
          <w:color w:val="000000" w:themeColor="text1"/>
          <w:szCs w:val="21"/>
        </w:rPr>
        <w:t>类基金份额收取认购</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申购、赎回费，并不再从本类别基金资产中计提销售服务费；</w:t>
      </w:r>
      <w:r w:rsidRPr="005A7DE6">
        <w:rPr>
          <w:rFonts w:asciiTheme="minorEastAsia" w:eastAsiaTheme="minorEastAsia" w:hAnsiTheme="minorEastAsia"/>
          <w:color w:val="000000" w:themeColor="text1"/>
          <w:szCs w:val="21"/>
        </w:rPr>
        <w:t>C</w:t>
      </w:r>
      <w:r w:rsidRPr="005A7DE6">
        <w:rPr>
          <w:rFonts w:asciiTheme="minorEastAsia" w:eastAsiaTheme="minorEastAsia" w:hAnsiTheme="minorEastAsia"/>
          <w:color w:val="000000" w:themeColor="text1"/>
          <w:szCs w:val="21"/>
        </w:rPr>
        <w:t>类基金份额从本类别基金资产中计提销售服务费、不收取认购</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申购费用，</w:t>
      </w:r>
      <w:r w:rsidRPr="005A7DE6">
        <w:rPr>
          <w:rFonts w:asciiTheme="minorEastAsia" w:eastAsiaTheme="minorEastAsia" w:hAnsiTheme="minorEastAsia"/>
          <w:color w:val="000000" w:themeColor="text1"/>
          <w:szCs w:val="21"/>
        </w:rPr>
        <w:t>C</w:t>
      </w:r>
      <w:r w:rsidRPr="005A7DE6">
        <w:rPr>
          <w:rFonts w:asciiTheme="minorEastAsia" w:eastAsiaTheme="minorEastAsia" w:hAnsiTheme="minorEastAsia"/>
          <w:color w:val="000000" w:themeColor="text1"/>
          <w:szCs w:val="21"/>
        </w:rPr>
        <w:t>类基金份额对持有期限少于</w:t>
      </w:r>
      <w:r w:rsidRPr="005A7DE6">
        <w:rPr>
          <w:rFonts w:asciiTheme="minorEastAsia" w:eastAsiaTheme="minorEastAsia" w:hAnsiTheme="minorEastAsia"/>
          <w:color w:val="000000" w:themeColor="text1"/>
          <w:szCs w:val="21"/>
        </w:rPr>
        <w:t>30</w:t>
      </w:r>
      <w:r w:rsidRPr="005A7DE6">
        <w:rPr>
          <w:rFonts w:asciiTheme="minorEastAsia" w:eastAsiaTheme="minorEastAsia" w:hAnsiTheme="minorEastAsia"/>
          <w:color w:val="000000" w:themeColor="text1"/>
          <w:szCs w:val="21"/>
        </w:rPr>
        <w:t>日的本类别基金份额的赎回收取赎回费，对于持有期限不少于</w:t>
      </w:r>
      <w:r w:rsidRPr="005A7DE6">
        <w:rPr>
          <w:rFonts w:asciiTheme="minorEastAsia" w:eastAsiaTheme="minorEastAsia" w:hAnsiTheme="minorEastAsia"/>
          <w:color w:val="000000" w:themeColor="text1"/>
          <w:szCs w:val="21"/>
        </w:rPr>
        <w:t>30</w:t>
      </w:r>
      <w:r w:rsidRPr="005A7DE6">
        <w:rPr>
          <w:rFonts w:asciiTheme="minorEastAsia" w:eastAsiaTheme="minorEastAsia" w:hAnsiTheme="minorEastAsia"/>
          <w:color w:val="000000" w:themeColor="text1"/>
          <w:szCs w:val="21"/>
        </w:rPr>
        <w:t>日的本类别基金份额不收取赎回费。</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color w:val="000000" w:themeColor="text1"/>
          <w:szCs w:val="21"/>
        </w:rPr>
        <w:t>、本基金的申购费用由申购本基金</w:t>
      </w:r>
      <w:r w:rsidRPr="005A7DE6">
        <w:rPr>
          <w:rFonts w:asciiTheme="minorEastAsia" w:eastAsiaTheme="minorEastAsia" w:hAnsiTheme="minorEastAsia"/>
          <w:color w:val="000000" w:themeColor="text1"/>
          <w:szCs w:val="21"/>
        </w:rPr>
        <w:t>A</w:t>
      </w:r>
      <w:r w:rsidRPr="005A7DE6">
        <w:rPr>
          <w:rFonts w:asciiTheme="minorEastAsia" w:eastAsiaTheme="minorEastAsia" w:hAnsiTheme="minorEastAsia"/>
          <w:color w:val="000000" w:themeColor="text1"/>
          <w:szCs w:val="21"/>
        </w:rPr>
        <w:t>类份额的投资人承担，不列入基金财产，主要用于本基金的市场推广、销售、注册登记等各项费用。赎回费用由基金赎回人承担。</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w:t>
      </w:r>
      <w:r w:rsidRPr="005A7DE6">
        <w:rPr>
          <w:rFonts w:asciiTheme="minorEastAsia" w:eastAsiaTheme="minorEastAsia" w:hAnsiTheme="minorEastAsia"/>
          <w:color w:val="000000" w:themeColor="text1"/>
          <w:szCs w:val="21"/>
        </w:rPr>
        <w:t>、申购费率：</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w:t>
      </w:r>
      <w:r w:rsidRPr="005A7DE6" w:rsidR="005B5D52">
        <w:rPr>
          <w:rFonts w:asciiTheme="minorEastAsia" w:eastAsiaTheme="minorEastAsia" w:hAnsiTheme="minorEastAsia"/>
          <w:color w:val="000000" w:themeColor="text1"/>
          <w:szCs w:val="21"/>
        </w:rPr>
        <w:t>A类</w:t>
      </w:r>
      <w:r w:rsidRPr="005A7DE6" w:rsidR="005B5D52">
        <w:rPr>
          <w:rFonts w:asciiTheme="minorEastAsia" w:eastAsiaTheme="minorEastAsia" w:hAnsiTheme="minorEastAsia" w:hint="eastAsia"/>
          <w:color w:val="000000" w:themeColor="text1"/>
          <w:szCs w:val="21"/>
        </w:rPr>
        <w:t>基金</w:t>
      </w:r>
      <w:r w:rsidRPr="005A7DE6" w:rsidR="005B5D52">
        <w:rPr>
          <w:rFonts w:asciiTheme="minorEastAsia" w:eastAsiaTheme="minorEastAsia" w:hAnsiTheme="minorEastAsia"/>
          <w:color w:val="000000" w:themeColor="text1"/>
          <w:szCs w:val="21"/>
        </w:rPr>
        <w:t>份额</w:t>
      </w:r>
      <w:r w:rsidRPr="005A7DE6">
        <w:rPr>
          <w:rFonts w:asciiTheme="minorEastAsia" w:eastAsiaTheme="minorEastAsia" w:hAnsiTheme="minorEastAsia"/>
          <w:color w:val="000000" w:themeColor="text1"/>
          <w:szCs w:val="21"/>
        </w:rPr>
        <w:t>对通过</w:t>
      </w:r>
      <w:r w:rsidRPr="005A7DE6" w:rsidR="00A26107">
        <w:rPr>
          <w:rFonts w:asciiTheme="minorEastAsia" w:eastAsiaTheme="minorEastAsia" w:hAnsiTheme="minorEastAsia"/>
          <w:color w:val="000000" w:themeColor="text1"/>
          <w:szCs w:val="21"/>
        </w:rPr>
        <w:t>直销</w:t>
      </w:r>
      <w:r w:rsidRPr="005A7DE6" w:rsidR="007F0FF0">
        <w:rPr>
          <w:rFonts w:asciiTheme="minorEastAsia" w:eastAsiaTheme="minorEastAsia" w:hAnsiTheme="minorEastAsia" w:hint="eastAsia"/>
          <w:color w:val="000000" w:themeColor="text1"/>
          <w:szCs w:val="21"/>
        </w:rPr>
        <w:t>中心</w:t>
      </w:r>
      <w:r w:rsidRPr="005A7DE6">
        <w:rPr>
          <w:rFonts w:asciiTheme="minorEastAsia" w:eastAsiaTheme="minorEastAsia" w:hAnsiTheme="minorEastAsia"/>
          <w:color w:val="000000" w:themeColor="text1"/>
          <w:szCs w:val="21"/>
        </w:rPr>
        <w:t>申购的</w:t>
      </w:r>
      <w:r w:rsidRPr="005A7DE6" w:rsidR="00522189">
        <w:rPr>
          <w:rFonts w:asciiTheme="minorEastAsia" w:eastAsiaTheme="minorEastAsia" w:hAnsiTheme="minorEastAsia" w:hint="eastAsia"/>
          <w:color w:val="000000" w:themeColor="text1"/>
          <w:szCs w:val="21"/>
        </w:rPr>
        <w:t>特定投资群体</w:t>
      </w:r>
      <w:r w:rsidRPr="005A7DE6">
        <w:rPr>
          <w:rFonts w:asciiTheme="minorEastAsia" w:eastAsiaTheme="minorEastAsia" w:hAnsiTheme="minorEastAsia"/>
          <w:color w:val="000000" w:themeColor="text1"/>
          <w:szCs w:val="21"/>
        </w:rPr>
        <w:t>与除此之外的其他投资者实施差</w:t>
      </w:r>
      <w:r w:rsidRPr="005A7DE6">
        <w:rPr>
          <w:rFonts w:asciiTheme="minorEastAsia" w:eastAsiaTheme="minorEastAsia" w:hAnsiTheme="minorEastAsia"/>
          <w:color w:val="000000" w:themeColor="text1"/>
          <w:szCs w:val="21"/>
        </w:rPr>
        <w:t>别的申购费率。</w:t>
      </w:r>
    </w:p>
    <w:p w:rsidR="00F36933"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通过基金管理人的</w:t>
      </w:r>
      <w:r w:rsidRPr="005A7DE6" w:rsidR="00A26107">
        <w:rPr>
          <w:rFonts w:asciiTheme="minorEastAsia" w:eastAsiaTheme="minorEastAsia" w:hAnsiTheme="minorEastAsia"/>
          <w:color w:val="000000" w:themeColor="text1"/>
          <w:szCs w:val="21"/>
        </w:rPr>
        <w:t>直销</w:t>
      </w:r>
      <w:r w:rsidRPr="005A7DE6" w:rsidR="007F0FF0">
        <w:rPr>
          <w:rFonts w:asciiTheme="minorEastAsia" w:eastAsiaTheme="minorEastAsia" w:hAnsiTheme="minorEastAsia" w:hint="eastAsia"/>
          <w:color w:val="000000" w:themeColor="text1"/>
          <w:szCs w:val="21"/>
        </w:rPr>
        <w:t>中心</w:t>
      </w:r>
      <w:r w:rsidRPr="005A7DE6">
        <w:rPr>
          <w:rFonts w:asciiTheme="minorEastAsia" w:eastAsiaTheme="minorEastAsia" w:hAnsiTheme="minorEastAsia"/>
          <w:color w:val="000000" w:themeColor="text1"/>
          <w:szCs w:val="21"/>
        </w:rPr>
        <w:t>申购本基金</w:t>
      </w:r>
      <w:r w:rsidRPr="005A7DE6">
        <w:rPr>
          <w:rFonts w:asciiTheme="minorEastAsia" w:eastAsiaTheme="minorEastAsia" w:hAnsiTheme="minorEastAsia"/>
          <w:color w:val="000000" w:themeColor="text1"/>
          <w:szCs w:val="21"/>
        </w:rPr>
        <w:t>A</w:t>
      </w:r>
      <w:r w:rsidRPr="005A7DE6">
        <w:rPr>
          <w:rFonts w:asciiTheme="minorEastAsia" w:eastAsiaTheme="minorEastAsia" w:hAnsiTheme="minorEastAsia"/>
          <w:color w:val="000000" w:themeColor="text1"/>
          <w:szCs w:val="21"/>
        </w:rPr>
        <w:t>类份额的</w:t>
      </w:r>
      <w:r w:rsidRPr="005A7DE6" w:rsidR="00522189">
        <w:rPr>
          <w:rFonts w:asciiTheme="minorEastAsia" w:eastAsiaTheme="minorEastAsia" w:hAnsiTheme="minorEastAsia" w:hint="eastAsia"/>
          <w:color w:val="000000" w:themeColor="text1"/>
          <w:szCs w:val="21"/>
        </w:rPr>
        <w:t>特定投资群体</w:t>
      </w:r>
      <w:r w:rsidRPr="005A7DE6">
        <w:rPr>
          <w:rFonts w:asciiTheme="minorEastAsia" w:eastAsiaTheme="minorEastAsia" w:hAnsiTheme="minorEastAsia"/>
          <w:color w:val="000000" w:themeColor="text1"/>
          <w:szCs w:val="21"/>
        </w:rPr>
        <w:t>申购费率见下表：</w:t>
      </w:r>
    </w:p>
    <w:tbl>
      <w:tblPr>
        <w:tblW w:w="7574" w:type="dxa"/>
        <w:jc w:val="center"/>
        <w:tblLook w:val="0000"/>
      </w:tblPr>
      <w:tblGrid>
        <w:gridCol w:w="3794"/>
        <w:gridCol w:w="3780"/>
      </w:tblGrid>
      <w:tr w:rsidTr="00BA4B87">
        <w:tblPrEx>
          <w:tblW w:w="7574" w:type="dxa"/>
          <w:jc w:val="center"/>
          <w:tblLook w:val="0000"/>
        </w:tblPrEx>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2E681B" w:rsidRPr="005A7DE6" w:rsidP="006B758F">
            <w:pPr>
              <w:widowControl/>
              <w:snapToGrid w:val="0"/>
              <w:spacing w:line="360" w:lineRule="auto"/>
              <w:jc w:val="center"/>
              <w:rPr>
                <w:rFonts w:asciiTheme="minorEastAsia" w:eastAsiaTheme="minorEastAsia" w:hAnsiTheme="minorEastAsia"/>
                <w:b/>
                <w:bCs/>
                <w:color w:val="000000" w:themeColor="text1"/>
                <w:kern w:val="0"/>
                <w:szCs w:val="21"/>
              </w:rPr>
            </w:pPr>
            <w:r w:rsidRPr="005A7DE6">
              <w:rPr>
                <w:rFonts w:asciiTheme="minorEastAsia" w:eastAsiaTheme="minorEastAsia" w:hAnsiTheme="minorEastAsia"/>
                <w:b/>
                <w:bCs/>
                <w:color w:val="000000" w:themeColor="text1"/>
                <w:kern w:val="0"/>
                <w:szCs w:val="21"/>
              </w:rPr>
              <w:t>申购金额</w:t>
            </w:r>
            <w:r w:rsidRPr="005A7DE6">
              <w:rPr>
                <w:rFonts w:asciiTheme="minorEastAsia" w:eastAsiaTheme="minorEastAsia" w:hAnsiTheme="minorEastAsia"/>
                <w:b/>
                <w:bCs/>
                <w:color w:val="000000" w:themeColor="text1"/>
                <w:kern w:val="0"/>
                <w:szCs w:val="21"/>
              </w:rPr>
              <w:t>M</w:t>
            </w:r>
            <w:r w:rsidRPr="005A7DE6" w:rsidR="005B19FC">
              <w:rPr>
                <w:rFonts w:asciiTheme="minorEastAsia" w:eastAsiaTheme="minorEastAsia" w:hAnsiTheme="minorEastAsia"/>
                <w:b/>
                <w:bCs/>
                <w:color w:val="000000" w:themeColor="text1"/>
                <w:kern w:val="0"/>
                <w:szCs w:val="21"/>
              </w:rPr>
              <w:t>（</w:t>
            </w:r>
            <w:r w:rsidRPr="005A7DE6">
              <w:rPr>
                <w:rFonts w:asciiTheme="minorEastAsia" w:eastAsiaTheme="minorEastAsia" w:hAnsiTheme="minorEastAsia"/>
                <w:b/>
                <w:bCs/>
                <w:color w:val="000000" w:themeColor="text1"/>
                <w:kern w:val="0"/>
                <w:szCs w:val="21"/>
              </w:rPr>
              <w:t>元</w:t>
            </w:r>
            <w:r w:rsidRPr="005A7DE6" w:rsidR="005B19FC">
              <w:rPr>
                <w:rFonts w:asciiTheme="minorEastAsia" w:eastAsiaTheme="minorEastAsia" w:hAnsiTheme="minorEastAsia"/>
                <w:b/>
                <w:bCs/>
                <w:color w:val="000000" w:themeColor="text1"/>
                <w:kern w:val="0"/>
                <w:szCs w:val="21"/>
              </w:rPr>
              <w:t>）（</w:t>
            </w:r>
            <w:r w:rsidRPr="005A7DE6">
              <w:rPr>
                <w:rFonts w:asciiTheme="minorEastAsia" w:eastAsiaTheme="minorEastAsia" w:hAnsiTheme="minorEastAsia"/>
                <w:b/>
                <w:bCs/>
                <w:color w:val="000000" w:themeColor="text1"/>
                <w:kern w:val="0"/>
                <w:szCs w:val="21"/>
              </w:rPr>
              <w:t>含申购费</w:t>
            </w:r>
            <w:r w:rsidRPr="005A7DE6" w:rsidR="005B19FC">
              <w:rPr>
                <w:rFonts w:asciiTheme="minorEastAsia" w:eastAsiaTheme="minorEastAsia" w:hAnsiTheme="minorEastAsia"/>
                <w:b/>
                <w:bCs/>
                <w:color w:val="000000" w:themeColor="text1"/>
                <w:kern w:val="0"/>
                <w:szCs w:val="21"/>
              </w:rPr>
              <w:t>）</w:t>
            </w:r>
          </w:p>
        </w:tc>
        <w:tc>
          <w:tcPr>
            <w:tcW w:w="3780" w:type="dxa"/>
            <w:tcBorders>
              <w:top w:val="single" w:sz="8" w:space="0" w:color="auto"/>
              <w:left w:val="nil"/>
              <w:bottom w:val="single" w:sz="8" w:space="0" w:color="auto"/>
              <w:right w:val="single" w:sz="8" w:space="0" w:color="auto"/>
            </w:tcBorders>
            <w:shd w:val="clear" w:color="auto" w:fill="auto"/>
          </w:tcPr>
          <w:p w:rsidR="002E681B" w:rsidRPr="005A7DE6" w:rsidP="006B758F">
            <w:pPr>
              <w:widowControl/>
              <w:snapToGrid w:val="0"/>
              <w:spacing w:line="360" w:lineRule="auto"/>
              <w:jc w:val="center"/>
              <w:rPr>
                <w:rFonts w:asciiTheme="minorEastAsia" w:eastAsiaTheme="minorEastAsia" w:hAnsiTheme="minorEastAsia"/>
                <w:b/>
                <w:bCs/>
                <w:color w:val="000000" w:themeColor="text1"/>
                <w:kern w:val="0"/>
                <w:szCs w:val="21"/>
              </w:rPr>
            </w:pPr>
            <w:r w:rsidRPr="005A7DE6">
              <w:rPr>
                <w:rFonts w:asciiTheme="minorEastAsia" w:eastAsiaTheme="minorEastAsia" w:hAnsiTheme="minorEastAsia"/>
                <w:b/>
                <w:color w:val="000000" w:themeColor="text1"/>
                <w:szCs w:val="21"/>
              </w:rPr>
              <w:t>A</w:t>
            </w:r>
            <w:r w:rsidRPr="005A7DE6">
              <w:rPr>
                <w:rFonts w:asciiTheme="minorEastAsia" w:eastAsiaTheme="minorEastAsia" w:hAnsiTheme="minorEastAsia"/>
                <w:b/>
                <w:color w:val="000000" w:themeColor="text1"/>
                <w:szCs w:val="21"/>
              </w:rPr>
              <w:t>类基金份额</w:t>
            </w:r>
            <w:r w:rsidRPr="005A7DE6">
              <w:rPr>
                <w:rFonts w:asciiTheme="minorEastAsia" w:eastAsiaTheme="minorEastAsia" w:hAnsiTheme="minorEastAsia"/>
                <w:b/>
                <w:bCs/>
                <w:color w:val="000000" w:themeColor="text1"/>
                <w:kern w:val="0"/>
                <w:szCs w:val="21"/>
              </w:rPr>
              <w:t>申购费率</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M</w:t>
            </w:r>
            <w:r w:rsidRPr="005A7DE6">
              <w:rPr>
                <w:rFonts w:asciiTheme="minorEastAsia" w:eastAsiaTheme="minorEastAsia" w:hAnsiTheme="minorEastAsia"/>
                <w:color w:val="000000" w:themeColor="text1"/>
                <w:kern w:val="0"/>
                <w:szCs w:val="21"/>
              </w:rPr>
              <w:t>＜</w:t>
            </w:r>
            <w:r w:rsidRPr="005A7DE6">
              <w:rPr>
                <w:rFonts w:asciiTheme="minorEastAsia" w:eastAsiaTheme="minorEastAsia" w:hAnsiTheme="minorEastAsia"/>
                <w:color w:val="000000" w:themeColor="text1"/>
                <w:kern w:val="0"/>
                <w:szCs w:val="21"/>
              </w:rPr>
              <w:t>100</w:t>
            </w:r>
            <w:r w:rsidRPr="005A7DE6">
              <w:rPr>
                <w:rFonts w:asciiTheme="minorEastAsia" w:eastAsiaTheme="minorEastAsia" w:hAnsiTheme="minorEastAsia"/>
                <w:color w:val="000000" w:themeColor="text1"/>
                <w:kern w:val="0"/>
                <w:szCs w:val="21"/>
              </w:rPr>
              <w:t>万</w:t>
            </w:r>
          </w:p>
        </w:tc>
        <w:tc>
          <w:tcPr>
            <w:tcW w:w="3780" w:type="dxa"/>
            <w:tcBorders>
              <w:top w:val="nil"/>
              <w:left w:val="nil"/>
              <w:bottom w:val="single" w:sz="8" w:space="0" w:color="auto"/>
              <w:right w:val="single" w:sz="8" w:space="0" w:color="auto"/>
            </w:tcBorders>
            <w:shd w:val="clear" w:color="auto" w:fill="auto"/>
          </w:tcPr>
          <w:p w:rsidR="002E681B"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0.</w:t>
            </w:r>
            <w:r w:rsidRPr="005A7DE6" w:rsidR="00522189">
              <w:rPr>
                <w:rFonts w:asciiTheme="minorEastAsia" w:eastAsiaTheme="minorEastAsia" w:hAnsiTheme="minorEastAsia" w:hint="eastAsia"/>
                <w:color w:val="000000" w:themeColor="text1"/>
                <w:kern w:val="0"/>
                <w:szCs w:val="21"/>
              </w:rPr>
              <w:t>08</w:t>
            </w:r>
            <w:r w:rsidRPr="005A7DE6">
              <w:rPr>
                <w:rFonts w:asciiTheme="minorEastAsia" w:eastAsiaTheme="minorEastAsia" w:hAnsiTheme="minorEastAsia"/>
                <w:color w:val="000000" w:themeColor="text1"/>
                <w:kern w:val="0"/>
                <w:szCs w:val="21"/>
              </w:rPr>
              <w:t>%</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100</w:t>
            </w:r>
            <w:r w:rsidRPr="005A7DE6">
              <w:rPr>
                <w:rFonts w:asciiTheme="minorEastAsia" w:eastAsiaTheme="minorEastAsia" w:hAnsiTheme="minorEastAsia"/>
                <w:color w:val="000000" w:themeColor="text1"/>
                <w:kern w:val="0"/>
                <w:szCs w:val="21"/>
              </w:rPr>
              <w:t>万</w:t>
            </w:r>
            <w:r w:rsidRPr="005A7DE6">
              <w:rPr>
                <w:rFonts w:asciiTheme="minorEastAsia" w:eastAsiaTheme="minorEastAsia" w:hAnsiTheme="minorEastAsia"/>
                <w:color w:val="000000" w:themeColor="text1"/>
                <w:kern w:val="0"/>
                <w:szCs w:val="21"/>
              </w:rPr>
              <w:t>≤M</w:t>
            </w:r>
            <w:r w:rsidRPr="005A7DE6">
              <w:rPr>
                <w:rFonts w:asciiTheme="minorEastAsia" w:eastAsiaTheme="minorEastAsia" w:hAnsiTheme="minorEastAsia"/>
                <w:color w:val="000000" w:themeColor="text1"/>
                <w:kern w:val="0"/>
                <w:szCs w:val="21"/>
              </w:rPr>
              <w:t>＜</w:t>
            </w:r>
            <w:r w:rsidRPr="005A7DE6">
              <w:rPr>
                <w:rFonts w:asciiTheme="minorEastAsia" w:eastAsiaTheme="minorEastAsia" w:hAnsiTheme="minorEastAsia"/>
                <w:color w:val="000000" w:themeColor="text1"/>
                <w:kern w:val="0"/>
                <w:szCs w:val="21"/>
              </w:rPr>
              <w:t>200</w:t>
            </w:r>
            <w:r w:rsidRPr="005A7DE6">
              <w:rPr>
                <w:rFonts w:asciiTheme="minorEastAsia" w:eastAsiaTheme="minorEastAsia" w:hAnsiTheme="minorEastAsia"/>
                <w:color w:val="000000" w:themeColor="text1"/>
                <w:kern w:val="0"/>
                <w:szCs w:val="21"/>
              </w:rPr>
              <w:t>万</w:t>
            </w:r>
          </w:p>
        </w:tc>
        <w:tc>
          <w:tcPr>
            <w:tcW w:w="3780" w:type="dxa"/>
            <w:tcBorders>
              <w:top w:val="nil"/>
              <w:left w:val="nil"/>
              <w:bottom w:val="single" w:sz="8" w:space="0" w:color="auto"/>
              <w:right w:val="single" w:sz="8" w:space="0" w:color="auto"/>
            </w:tcBorders>
            <w:shd w:val="clear" w:color="auto" w:fill="auto"/>
          </w:tcPr>
          <w:p w:rsidR="002E681B"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0.</w:t>
            </w:r>
            <w:r w:rsidRPr="005A7DE6" w:rsidR="00522189">
              <w:rPr>
                <w:rFonts w:asciiTheme="minorEastAsia" w:eastAsiaTheme="minorEastAsia" w:hAnsiTheme="minorEastAsia" w:hint="eastAsia"/>
                <w:color w:val="000000" w:themeColor="text1"/>
                <w:kern w:val="0"/>
                <w:szCs w:val="21"/>
              </w:rPr>
              <w:t>05</w:t>
            </w:r>
            <w:r w:rsidRPr="005A7DE6">
              <w:rPr>
                <w:rFonts w:asciiTheme="minorEastAsia" w:eastAsiaTheme="minorEastAsia" w:hAnsiTheme="minorEastAsia"/>
                <w:color w:val="000000" w:themeColor="text1"/>
                <w:kern w:val="0"/>
                <w:szCs w:val="21"/>
              </w:rPr>
              <w:t>%</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200</w:t>
            </w:r>
            <w:r w:rsidRPr="005A7DE6">
              <w:rPr>
                <w:rFonts w:asciiTheme="minorEastAsia" w:eastAsiaTheme="minorEastAsia" w:hAnsiTheme="minorEastAsia"/>
                <w:color w:val="000000" w:themeColor="text1"/>
                <w:kern w:val="0"/>
                <w:szCs w:val="21"/>
              </w:rPr>
              <w:t>万</w:t>
            </w:r>
            <w:r w:rsidRPr="005A7DE6">
              <w:rPr>
                <w:rFonts w:asciiTheme="minorEastAsia" w:eastAsiaTheme="minorEastAsia" w:hAnsiTheme="minorEastAsia"/>
                <w:color w:val="000000" w:themeColor="text1"/>
                <w:kern w:val="0"/>
                <w:szCs w:val="21"/>
              </w:rPr>
              <w:t>≤M</w:t>
            </w:r>
            <w:r w:rsidRPr="005A7DE6">
              <w:rPr>
                <w:rFonts w:asciiTheme="minorEastAsia" w:eastAsiaTheme="minorEastAsia" w:hAnsiTheme="minorEastAsia"/>
                <w:color w:val="000000" w:themeColor="text1"/>
                <w:kern w:val="0"/>
                <w:szCs w:val="21"/>
              </w:rPr>
              <w:t>＜</w:t>
            </w:r>
            <w:r w:rsidRPr="005A7DE6">
              <w:rPr>
                <w:rFonts w:asciiTheme="minorEastAsia" w:eastAsiaTheme="minorEastAsia" w:hAnsiTheme="minorEastAsia"/>
                <w:color w:val="000000" w:themeColor="text1"/>
                <w:kern w:val="0"/>
                <w:szCs w:val="21"/>
              </w:rPr>
              <w:t>500</w:t>
            </w:r>
            <w:r w:rsidRPr="005A7DE6">
              <w:rPr>
                <w:rFonts w:asciiTheme="minorEastAsia" w:eastAsiaTheme="minorEastAsia" w:hAnsiTheme="minorEastAsia"/>
                <w:color w:val="000000" w:themeColor="text1"/>
                <w:kern w:val="0"/>
                <w:szCs w:val="21"/>
              </w:rPr>
              <w:t>万</w:t>
            </w:r>
          </w:p>
        </w:tc>
        <w:tc>
          <w:tcPr>
            <w:tcW w:w="3780" w:type="dxa"/>
            <w:tcBorders>
              <w:top w:val="nil"/>
              <w:left w:val="nil"/>
              <w:bottom w:val="single" w:sz="8" w:space="0" w:color="auto"/>
              <w:right w:val="single" w:sz="8" w:space="0" w:color="auto"/>
            </w:tcBorders>
            <w:shd w:val="clear" w:color="auto" w:fill="auto"/>
          </w:tcPr>
          <w:p w:rsidR="002E681B" w:rsidRPr="005A7DE6" w:rsidP="006B758F">
            <w:pPr>
              <w:widowControl/>
              <w:snapToGrid w:val="0"/>
              <w:spacing w:line="360" w:lineRule="auto"/>
              <w:ind w:firstLine="1546" w:firstLineChars="736"/>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0.</w:t>
            </w:r>
            <w:r w:rsidRPr="005A7DE6" w:rsidR="00522189">
              <w:rPr>
                <w:rFonts w:asciiTheme="minorEastAsia" w:eastAsiaTheme="minorEastAsia" w:hAnsiTheme="minorEastAsia" w:hint="eastAsia"/>
                <w:color w:val="000000" w:themeColor="text1"/>
                <w:kern w:val="0"/>
                <w:szCs w:val="21"/>
              </w:rPr>
              <w:t>03</w:t>
            </w:r>
            <w:r w:rsidRPr="005A7DE6">
              <w:rPr>
                <w:rFonts w:asciiTheme="minorEastAsia" w:eastAsiaTheme="minorEastAsia" w:hAnsiTheme="minorEastAsia"/>
                <w:color w:val="000000" w:themeColor="text1"/>
                <w:kern w:val="0"/>
                <w:szCs w:val="21"/>
              </w:rPr>
              <w:t>%</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M≥500</w:t>
            </w:r>
            <w:r w:rsidRPr="005A7DE6">
              <w:rPr>
                <w:rFonts w:asciiTheme="minorEastAsia" w:eastAsiaTheme="minorEastAsia" w:hAnsiTheme="minorEastAsia"/>
                <w:color w:val="000000" w:themeColor="text1"/>
                <w:kern w:val="0"/>
                <w:szCs w:val="21"/>
              </w:rPr>
              <w:t>万</w:t>
            </w:r>
          </w:p>
        </w:tc>
        <w:tc>
          <w:tcPr>
            <w:tcW w:w="3780" w:type="dxa"/>
            <w:tcBorders>
              <w:top w:val="nil"/>
              <w:left w:val="nil"/>
              <w:bottom w:val="single" w:sz="8" w:space="0" w:color="auto"/>
              <w:right w:val="single" w:sz="8" w:space="0" w:color="auto"/>
            </w:tcBorders>
            <w:shd w:val="clear" w:color="auto" w:fill="auto"/>
          </w:tcPr>
          <w:p w:rsidR="002E681B"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1000</w:t>
            </w:r>
            <w:r w:rsidRPr="005A7DE6">
              <w:rPr>
                <w:rFonts w:asciiTheme="minorEastAsia" w:eastAsiaTheme="minorEastAsia" w:hAnsiTheme="minorEastAsia"/>
                <w:color w:val="000000" w:themeColor="text1"/>
                <w:kern w:val="0"/>
                <w:szCs w:val="21"/>
              </w:rPr>
              <w:t>元</w:t>
            </w:r>
            <w:r w:rsidRPr="005A7DE6">
              <w:rPr>
                <w:rFonts w:asciiTheme="minorEastAsia" w:eastAsiaTheme="minorEastAsia" w:hAnsiTheme="minorEastAsia"/>
                <w:color w:val="000000" w:themeColor="text1"/>
                <w:kern w:val="0"/>
                <w:szCs w:val="21"/>
              </w:rPr>
              <w:t>/</w:t>
            </w:r>
            <w:r w:rsidRPr="005A7DE6">
              <w:rPr>
                <w:rFonts w:asciiTheme="minorEastAsia" w:eastAsiaTheme="minorEastAsia" w:hAnsiTheme="minorEastAsia"/>
                <w:color w:val="000000" w:themeColor="text1"/>
                <w:kern w:val="0"/>
                <w:szCs w:val="21"/>
              </w:rPr>
              <w:t>笔</w:t>
            </w:r>
          </w:p>
        </w:tc>
      </w:tr>
    </w:tbl>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其他投资者申购本基金</w:t>
      </w:r>
      <w:r w:rsidRPr="005A7DE6">
        <w:rPr>
          <w:rFonts w:asciiTheme="minorEastAsia" w:eastAsiaTheme="minorEastAsia" w:hAnsiTheme="minorEastAsia"/>
          <w:color w:val="000000" w:themeColor="text1"/>
          <w:szCs w:val="21"/>
        </w:rPr>
        <w:t>A</w:t>
      </w:r>
      <w:r w:rsidRPr="005A7DE6">
        <w:rPr>
          <w:rFonts w:asciiTheme="minorEastAsia" w:eastAsiaTheme="minorEastAsia" w:hAnsiTheme="minorEastAsia"/>
          <w:color w:val="000000" w:themeColor="text1"/>
          <w:szCs w:val="21"/>
        </w:rPr>
        <w:t>类基金份额的申购费率见下表：</w:t>
      </w:r>
    </w:p>
    <w:tbl>
      <w:tblPr>
        <w:tblW w:w="7574" w:type="dxa"/>
        <w:jc w:val="center"/>
        <w:tblLook w:val="0000"/>
      </w:tblPr>
      <w:tblGrid>
        <w:gridCol w:w="3794"/>
        <w:gridCol w:w="3780"/>
      </w:tblGrid>
      <w:tr w:rsidTr="00BA4B87">
        <w:tblPrEx>
          <w:tblW w:w="7574" w:type="dxa"/>
          <w:jc w:val="center"/>
          <w:tblLook w:val="0000"/>
        </w:tblPrEx>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2E681B" w:rsidRPr="005A7DE6" w:rsidP="006B758F">
            <w:pPr>
              <w:widowControl/>
              <w:snapToGrid w:val="0"/>
              <w:spacing w:line="360" w:lineRule="auto"/>
              <w:jc w:val="center"/>
              <w:rPr>
                <w:rFonts w:asciiTheme="minorEastAsia" w:eastAsiaTheme="minorEastAsia" w:hAnsiTheme="minorEastAsia"/>
                <w:b/>
                <w:bCs/>
                <w:color w:val="000000" w:themeColor="text1"/>
                <w:kern w:val="0"/>
                <w:szCs w:val="21"/>
              </w:rPr>
            </w:pPr>
            <w:r w:rsidRPr="005A7DE6">
              <w:rPr>
                <w:rFonts w:asciiTheme="minorEastAsia" w:eastAsiaTheme="minorEastAsia" w:hAnsiTheme="minorEastAsia"/>
                <w:b/>
                <w:bCs/>
                <w:color w:val="000000" w:themeColor="text1"/>
                <w:kern w:val="0"/>
                <w:szCs w:val="21"/>
              </w:rPr>
              <w:t>申购金额</w:t>
            </w:r>
            <w:r w:rsidRPr="005A7DE6">
              <w:rPr>
                <w:rFonts w:asciiTheme="minorEastAsia" w:eastAsiaTheme="minorEastAsia" w:hAnsiTheme="minorEastAsia"/>
                <w:b/>
                <w:bCs/>
                <w:color w:val="000000" w:themeColor="text1"/>
                <w:kern w:val="0"/>
                <w:szCs w:val="21"/>
              </w:rPr>
              <w:t>M</w:t>
            </w:r>
            <w:r w:rsidRPr="005A7DE6" w:rsidR="005B19FC">
              <w:rPr>
                <w:rFonts w:asciiTheme="minorEastAsia" w:eastAsiaTheme="minorEastAsia" w:hAnsiTheme="minorEastAsia"/>
                <w:b/>
                <w:bCs/>
                <w:color w:val="000000" w:themeColor="text1"/>
                <w:kern w:val="0"/>
                <w:szCs w:val="21"/>
              </w:rPr>
              <w:t>（</w:t>
            </w:r>
            <w:r w:rsidRPr="005A7DE6">
              <w:rPr>
                <w:rFonts w:asciiTheme="minorEastAsia" w:eastAsiaTheme="minorEastAsia" w:hAnsiTheme="minorEastAsia"/>
                <w:b/>
                <w:bCs/>
                <w:color w:val="000000" w:themeColor="text1"/>
                <w:kern w:val="0"/>
                <w:szCs w:val="21"/>
              </w:rPr>
              <w:t>元</w:t>
            </w:r>
            <w:r w:rsidRPr="005A7DE6" w:rsidR="005B19FC">
              <w:rPr>
                <w:rFonts w:asciiTheme="minorEastAsia" w:eastAsiaTheme="minorEastAsia" w:hAnsiTheme="minorEastAsia"/>
                <w:b/>
                <w:bCs/>
                <w:color w:val="000000" w:themeColor="text1"/>
                <w:kern w:val="0"/>
                <w:szCs w:val="21"/>
              </w:rPr>
              <w:t>）（</w:t>
            </w:r>
            <w:r w:rsidRPr="005A7DE6">
              <w:rPr>
                <w:rFonts w:asciiTheme="minorEastAsia" w:eastAsiaTheme="minorEastAsia" w:hAnsiTheme="minorEastAsia"/>
                <w:b/>
                <w:bCs/>
                <w:color w:val="000000" w:themeColor="text1"/>
                <w:kern w:val="0"/>
                <w:szCs w:val="21"/>
              </w:rPr>
              <w:t>含申购费</w:t>
            </w:r>
            <w:r w:rsidRPr="005A7DE6" w:rsidR="005B19FC">
              <w:rPr>
                <w:rFonts w:asciiTheme="minorEastAsia" w:eastAsiaTheme="minorEastAsia" w:hAnsiTheme="minorEastAsia"/>
                <w:b/>
                <w:bCs/>
                <w:color w:val="000000" w:themeColor="text1"/>
                <w:kern w:val="0"/>
                <w:szCs w:val="21"/>
              </w:rPr>
              <w:t>）</w:t>
            </w:r>
          </w:p>
        </w:tc>
        <w:tc>
          <w:tcPr>
            <w:tcW w:w="3780" w:type="dxa"/>
            <w:tcBorders>
              <w:top w:val="single" w:sz="8" w:space="0" w:color="auto"/>
              <w:left w:val="nil"/>
              <w:bottom w:val="single" w:sz="8" w:space="0" w:color="auto"/>
              <w:right w:val="single" w:sz="8" w:space="0" w:color="auto"/>
            </w:tcBorders>
            <w:shd w:val="clear" w:color="auto" w:fill="auto"/>
          </w:tcPr>
          <w:p w:rsidR="002E681B" w:rsidRPr="005A7DE6" w:rsidP="006B758F">
            <w:pPr>
              <w:widowControl/>
              <w:snapToGrid w:val="0"/>
              <w:spacing w:line="360" w:lineRule="auto"/>
              <w:jc w:val="center"/>
              <w:rPr>
                <w:rFonts w:asciiTheme="minorEastAsia" w:eastAsiaTheme="minorEastAsia" w:hAnsiTheme="minorEastAsia"/>
                <w:b/>
                <w:bCs/>
                <w:color w:val="000000" w:themeColor="text1"/>
                <w:kern w:val="0"/>
                <w:szCs w:val="21"/>
              </w:rPr>
            </w:pPr>
            <w:r w:rsidRPr="005A7DE6">
              <w:rPr>
                <w:rFonts w:asciiTheme="minorEastAsia" w:eastAsiaTheme="minorEastAsia" w:hAnsiTheme="minorEastAsia"/>
                <w:b/>
                <w:color w:val="000000" w:themeColor="text1"/>
                <w:szCs w:val="21"/>
              </w:rPr>
              <w:t>A</w:t>
            </w:r>
            <w:r w:rsidRPr="005A7DE6">
              <w:rPr>
                <w:rFonts w:asciiTheme="minorEastAsia" w:eastAsiaTheme="minorEastAsia" w:hAnsiTheme="minorEastAsia"/>
                <w:b/>
                <w:color w:val="000000" w:themeColor="text1"/>
                <w:szCs w:val="21"/>
              </w:rPr>
              <w:t>类基金份额</w:t>
            </w:r>
            <w:r w:rsidRPr="005A7DE6">
              <w:rPr>
                <w:rFonts w:asciiTheme="minorEastAsia" w:eastAsiaTheme="minorEastAsia" w:hAnsiTheme="minorEastAsia"/>
                <w:b/>
                <w:bCs/>
                <w:color w:val="000000" w:themeColor="text1"/>
                <w:kern w:val="0"/>
                <w:szCs w:val="21"/>
              </w:rPr>
              <w:t>申购费率</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M</w:t>
            </w:r>
            <w:r w:rsidRPr="005A7DE6">
              <w:rPr>
                <w:rFonts w:asciiTheme="minorEastAsia" w:eastAsiaTheme="minorEastAsia" w:hAnsiTheme="minorEastAsia"/>
                <w:color w:val="000000" w:themeColor="text1"/>
                <w:kern w:val="0"/>
                <w:szCs w:val="21"/>
              </w:rPr>
              <w:t>＜</w:t>
            </w:r>
            <w:r w:rsidRPr="005A7DE6">
              <w:rPr>
                <w:rFonts w:asciiTheme="minorEastAsia" w:eastAsiaTheme="minorEastAsia" w:hAnsiTheme="minorEastAsia"/>
                <w:color w:val="000000" w:themeColor="text1"/>
                <w:kern w:val="0"/>
                <w:szCs w:val="21"/>
              </w:rPr>
              <w:t>100</w:t>
            </w:r>
            <w:r w:rsidRPr="005A7DE6">
              <w:rPr>
                <w:rFonts w:asciiTheme="minorEastAsia" w:eastAsiaTheme="minorEastAsia" w:hAnsiTheme="minorEastAsia"/>
                <w:color w:val="000000" w:themeColor="text1"/>
                <w:kern w:val="0"/>
                <w:szCs w:val="21"/>
              </w:rPr>
              <w:t>万</w:t>
            </w:r>
          </w:p>
        </w:tc>
        <w:tc>
          <w:tcPr>
            <w:tcW w:w="3780" w:type="dxa"/>
            <w:tcBorders>
              <w:top w:val="nil"/>
              <w:left w:val="nil"/>
              <w:bottom w:val="single" w:sz="8" w:space="0" w:color="auto"/>
              <w:right w:val="single" w:sz="8" w:space="0" w:color="auto"/>
            </w:tcBorders>
            <w:shd w:val="clear" w:color="auto" w:fill="auto"/>
          </w:tcPr>
          <w:p w:rsidR="002E681B"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0.8%</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100</w:t>
            </w:r>
            <w:r w:rsidRPr="005A7DE6">
              <w:rPr>
                <w:rFonts w:asciiTheme="minorEastAsia" w:eastAsiaTheme="minorEastAsia" w:hAnsiTheme="minorEastAsia"/>
                <w:color w:val="000000" w:themeColor="text1"/>
                <w:kern w:val="0"/>
                <w:szCs w:val="21"/>
              </w:rPr>
              <w:t>万</w:t>
            </w:r>
            <w:r w:rsidRPr="005A7DE6">
              <w:rPr>
                <w:rFonts w:asciiTheme="minorEastAsia" w:eastAsiaTheme="minorEastAsia" w:hAnsiTheme="minorEastAsia"/>
                <w:color w:val="000000" w:themeColor="text1"/>
                <w:kern w:val="0"/>
                <w:szCs w:val="21"/>
              </w:rPr>
              <w:t>≤M</w:t>
            </w:r>
            <w:r w:rsidRPr="005A7DE6">
              <w:rPr>
                <w:rFonts w:asciiTheme="minorEastAsia" w:eastAsiaTheme="minorEastAsia" w:hAnsiTheme="minorEastAsia"/>
                <w:color w:val="000000" w:themeColor="text1"/>
                <w:kern w:val="0"/>
                <w:szCs w:val="21"/>
              </w:rPr>
              <w:t>＜</w:t>
            </w:r>
            <w:r w:rsidRPr="005A7DE6">
              <w:rPr>
                <w:rFonts w:asciiTheme="minorEastAsia" w:eastAsiaTheme="minorEastAsia" w:hAnsiTheme="minorEastAsia"/>
                <w:color w:val="000000" w:themeColor="text1"/>
                <w:kern w:val="0"/>
                <w:szCs w:val="21"/>
              </w:rPr>
              <w:t>200</w:t>
            </w:r>
            <w:r w:rsidRPr="005A7DE6">
              <w:rPr>
                <w:rFonts w:asciiTheme="minorEastAsia" w:eastAsiaTheme="minorEastAsia" w:hAnsiTheme="minorEastAsia"/>
                <w:color w:val="000000" w:themeColor="text1"/>
                <w:kern w:val="0"/>
                <w:szCs w:val="21"/>
              </w:rPr>
              <w:t>万</w:t>
            </w:r>
          </w:p>
        </w:tc>
        <w:tc>
          <w:tcPr>
            <w:tcW w:w="3780" w:type="dxa"/>
            <w:tcBorders>
              <w:top w:val="nil"/>
              <w:left w:val="nil"/>
              <w:bottom w:val="single" w:sz="8" w:space="0" w:color="auto"/>
              <w:right w:val="single" w:sz="8" w:space="0" w:color="auto"/>
            </w:tcBorders>
            <w:shd w:val="clear" w:color="auto" w:fill="auto"/>
          </w:tcPr>
          <w:p w:rsidR="002E681B"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0.5%</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200</w:t>
            </w:r>
            <w:r w:rsidRPr="005A7DE6">
              <w:rPr>
                <w:rFonts w:asciiTheme="minorEastAsia" w:eastAsiaTheme="minorEastAsia" w:hAnsiTheme="minorEastAsia"/>
                <w:color w:val="000000" w:themeColor="text1"/>
                <w:kern w:val="0"/>
                <w:szCs w:val="21"/>
              </w:rPr>
              <w:t>万</w:t>
            </w:r>
            <w:r w:rsidRPr="005A7DE6">
              <w:rPr>
                <w:rFonts w:asciiTheme="minorEastAsia" w:eastAsiaTheme="minorEastAsia" w:hAnsiTheme="minorEastAsia"/>
                <w:color w:val="000000" w:themeColor="text1"/>
                <w:kern w:val="0"/>
                <w:szCs w:val="21"/>
              </w:rPr>
              <w:t>≤M</w:t>
            </w:r>
            <w:r w:rsidRPr="005A7DE6">
              <w:rPr>
                <w:rFonts w:asciiTheme="minorEastAsia" w:eastAsiaTheme="minorEastAsia" w:hAnsiTheme="minorEastAsia"/>
                <w:color w:val="000000" w:themeColor="text1"/>
                <w:kern w:val="0"/>
                <w:szCs w:val="21"/>
              </w:rPr>
              <w:t>＜</w:t>
            </w:r>
            <w:r w:rsidRPr="005A7DE6">
              <w:rPr>
                <w:rFonts w:asciiTheme="minorEastAsia" w:eastAsiaTheme="minorEastAsia" w:hAnsiTheme="minorEastAsia"/>
                <w:color w:val="000000" w:themeColor="text1"/>
                <w:kern w:val="0"/>
                <w:szCs w:val="21"/>
              </w:rPr>
              <w:t>500</w:t>
            </w:r>
            <w:r w:rsidRPr="005A7DE6">
              <w:rPr>
                <w:rFonts w:asciiTheme="minorEastAsia" w:eastAsiaTheme="minorEastAsia" w:hAnsiTheme="minorEastAsia"/>
                <w:color w:val="000000" w:themeColor="text1"/>
                <w:kern w:val="0"/>
                <w:szCs w:val="21"/>
              </w:rPr>
              <w:t>万</w:t>
            </w:r>
          </w:p>
        </w:tc>
        <w:tc>
          <w:tcPr>
            <w:tcW w:w="3780" w:type="dxa"/>
            <w:tcBorders>
              <w:top w:val="nil"/>
              <w:left w:val="nil"/>
              <w:bottom w:val="single" w:sz="8" w:space="0" w:color="auto"/>
              <w:right w:val="single" w:sz="8" w:space="0" w:color="auto"/>
            </w:tcBorders>
            <w:shd w:val="clear" w:color="auto" w:fill="auto"/>
          </w:tcPr>
          <w:p w:rsidR="002E681B"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0.3%</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M≥500</w:t>
            </w:r>
            <w:r w:rsidRPr="005A7DE6">
              <w:rPr>
                <w:rFonts w:asciiTheme="minorEastAsia" w:eastAsiaTheme="minorEastAsia" w:hAnsiTheme="minorEastAsia"/>
                <w:color w:val="000000" w:themeColor="text1"/>
                <w:kern w:val="0"/>
                <w:szCs w:val="21"/>
              </w:rPr>
              <w:t>万</w:t>
            </w:r>
          </w:p>
        </w:tc>
        <w:tc>
          <w:tcPr>
            <w:tcW w:w="3780" w:type="dxa"/>
            <w:tcBorders>
              <w:top w:val="nil"/>
              <w:left w:val="nil"/>
              <w:bottom w:val="single" w:sz="8" w:space="0" w:color="auto"/>
              <w:right w:val="single" w:sz="8" w:space="0" w:color="auto"/>
            </w:tcBorders>
            <w:shd w:val="clear" w:color="auto" w:fill="auto"/>
          </w:tcPr>
          <w:p w:rsidR="002E681B"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1000</w:t>
            </w:r>
            <w:r w:rsidRPr="005A7DE6">
              <w:rPr>
                <w:rFonts w:asciiTheme="minorEastAsia" w:eastAsiaTheme="minorEastAsia" w:hAnsiTheme="minorEastAsia"/>
                <w:color w:val="000000" w:themeColor="text1"/>
                <w:kern w:val="0"/>
                <w:szCs w:val="21"/>
              </w:rPr>
              <w:t>元</w:t>
            </w:r>
            <w:r w:rsidRPr="005A7DE6">
              <w:rPr>
                <w:rFonts w:asciiTheme="minorEastAsia" w:eastAsiaTheme="minorEastAsia" w:hAnsiTheme="minorEastAsia"/>
                <w:color w:val="000000" w:themeColor="text1"/>
                <w:kern w:val="0"/>
                <w:szCs w:val="21"/>
              </w:rPr>
              <w:t>/</w:t>
            </w:r>
            <w:r w:rsidRPr="005A7DE6">
              <w:rPr>
                <w:rFonts w:asciiTheme="minorEastAsia" w:eastAsiaTheme="minorEastAsia" w:hAnsiTheme="minorEastAsia"/>
                <w:color w:val="000000" w:themeColor="text1"/>
                <w:kern w:val="0"/>
                <w:szCs w:val="21"/>
              </w:rPr>
              <w:t>笔</w:t>
            </w:r>
          </w:p>
        </w:tc>
      </w:tr>
    </w:tbl>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在申购费按金额分档的情况下，如果投资者多次申购，申购费适用单笔申购金额所对应的费率。</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w:t>
      </w:r>
      <w:r w:rsidRPr="005A7DE6">
        <w:rPr>
          <w:rFonts w:asciiTheme="minorEastAsia" w:eastAsiaTheme="minorEastAsia" w:hAnsiTheme="minorEastAsia"/>
          <w:color w:val="000000" w:themeColor="text1"/>
          <w:szCs w:val="21"/>
        </w:rPr>
        <w:t>C</w:t>
      </w:r>
      <w:r w:rsidRPr="005A7DE6">
        <w:rPr>
          <w:rFonts w:asciiTheme="minorEastAsia" w:eastAsiaTheme="minorEastAsia" w:hAnsiTheme="minorEastAsia"/>
          <w:color w:val="000000" w:themeColor="text1"/>
          <w:szCs w:val="21"/>
        </w:rPr>
        <w:t>类基金份额不收取申购费用。</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4</w:t>
      </w:r>
      <w:r w:rsidRPr="005A7DE6">
        <w:rPr>
          <w:rFonts w:asciiTheme="minorEastAsia" w:eastAsiaTheme="minorEastAsia" w:hAnsiTheme="minorEastAsia"/>
          <w:color w:val="000000" w:themeColor="text1"/>
          <w:szCs w:val="21"/>
        </w:rPr>
        <w:t>、赎回费率</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w:t>
      </w:r>
      <w:r w:rsidRPr="005A7DE6">
        <w:rPr>
          <w:rFonts w:asciiTheme="minorEastAsia" w:eastAsiaTheme="minorEastAsia" w:hAnsiTheme="minorEastAsia"/>
          <w:color w:val="000000" w:themeColor="text1"/>
          <w:szCs w:val="21"/>
        </w:rPr>
        <w:t>A</w:t>
      </w:r>
      <w:r w:rsidRPr="005A7DE6">
        <w:rPr>
          <w:rFonts w:asciiTheme="minorEastAsia" w:eastAsiaTheme="minorEastAsia" w:hAnsiTheme="minorEastAsia"/>
          <w:color w:val="000000" w:themeColor="text1"/>
          <w:szCs w:val="21"/>
        </w:rPr>
        <w:t>类基金份额赎回费率见下表：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70"/>
        <w:gridCol w:w="3798"/>
      </w:tblGrid>
      <w:tr w:rsidTr="00BA4B8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3870" w:type="dxa"/>
          </w:tcPr>
          <w:p w:rsidR="00BA4B87" w:rsidRPr="005A7DE6" w:rsidP="006B758F">
            <w:pPr>
              <w:widowControl/>
              <w:snapToGrid w:val="0"/>
              <w:spacing w:line="360" w:lineRule="auto"/>
              <w:jc w:val="center"/>
              <w:rPr>
                <w:rFonts w:asciiTheme="minorEastAsia" w:eastAsiaTheme="minorEastAsia" w:hAnsiTheme="minorEastAsia"/>
                <w:b/>
                <w:color w:val="000000" w:themeColor="text1"/>
                <w:kern w:val="0"/>
                <w:szCs w:val="21"/>
              </w:rPr>
            </w:pPr>
            <w:r w:rsidRPr="005A7DE6">
              <w:rPr>
                <w:rFonts w:asciiTheme="minorEastAsia" w:eastAsiaTheme="minorEastAsia" w:hAnsiTheme="minorEastAsia"/>
                <w:b/>
                <w:color w:val="000000" w:themeColor="text1"/>
                <w:kern w:val="0"/>
                <w:szCs w:val="21"/>
              </w:rPr>
              <w:t>持有时间</w:t>
            </w:r>
            <w:r w:rsidRPr="005A7DE6" w:rsidR="005B19FC">
              <w:rPr>
                <w:rFonts w:asciiTheme="minorEastAsia" w:eastAsiaTheme="minorEastAsia" w:hAnsiTheme="minorEastAsia"/>
                <w:b/>
                <w:color w:val="000000" w:themeColor="text1"/>
                <w:kern w:val="0"/>
                <w:szCs w:val="21"/>
              </w:rPr>
              <w:t>（</w:t>
            </w:r>
            <w:r w:rsidRPr="005A7DE6">
              <w:rPr>
                <w:rFonts w:asciiTheme="minorEastAsia" w:eastAsiaTheme="minorEastAsia" w:hAnsiTheme="minorEastAsia"/>
                <w:b/>
                <w:color w:val="000000" w:themeColor="text1"/>
                <w:kern w:val="0"/>
                <w:szCs w:val="21"/>
              </w:rPr>
              <w:t>天</w:t>
            </w:r>
            <w:r w:rsidRPr="005A7DE6" w:rsidR="005B19FC">
              <w:rPr>
                <w:rFonts w:asciiTheme="minorEastAsia" w:eastAsiaTheme="minorEastAsia" w:hAnsiTheme="minorEastAsia"/>
                <w:b/>
                <w:color w:val="000000" w:themeColor="text1"/>
                <w:kern w:val="0"/>
                <w:szCs w:val="21"/>
              </w:rPr>
              <w:t>）</w:t>
            </w:r>
          </w:p>
        </w:tc>
        <w:tc>
          <w:tcPr>
            <w:tcW w:w="3798" w:type="dxa"/>
          </w:tcPr>
          <w:p w:rsidR="00BA4B87" w:rsidRPr="005A7DE6" w:rsidP="006B758F">
            <w:pPr>
              <w:widowControl/>
              <w:snapToGrid w:val="0"/>
              <w:spacing w:line="360" w:lineRule="auto"/>
              <w:jc w:val="center"/>
              <w:rPr>
                <w:rFonts w:asciiTheme="minorEastAsia" w:eastAsiaTheme="minorEastAsia" w:hAnsiTheme="minorEastAsia"/>
                <w:b/>
                <w:color w:val="000000" w:themeColor="text1"/>
                <w:kern w:val="0"/>
                <w:szCs w:val="21"/>
              </w:rPr>
            </w:pPr>
            <w:r w:rsidRPr="005A7DE6">
              <w:rPr>
                <w:rFonts w:asciiTheme="minorEastAsia" w:eastAsiaTheme="minorEastAsia" w:hAnsiTheme="minorEastAsia"/>
                <w:b/>
                <w:color w:val="000000" w:themeColor="text1"/>
                <w:kern w:val="0"/>
                <w:szCs w:val="21"/>
              </w:rPr>
              <w:t>A</w:t>
            </w:r>
            <w:r w:rsidRPr="005A7DE6">
              <w:rPr>
                <w:rFonts w:asciiTheme="minorEastAsia" w:eastAsiaTheme="minorEastAsia" w:hAnsiTheme="minorEastAsia"/>
                <w:b/>
                <w:color w:val="000000" w:themeColor="text1"/>
                <w:kern w:val="0"/>
                <w:szCs w:val="21"/>
              </w:rPr>
              <w:t>类基金份额赎回费率</w:t>
            </w:r>
          </w:p>
        </w:tc>
      </w:tr>
      <w:tr w:rsidTr="00BA4B87">
        <w:tblPrEx>
          <w:tblW w:w="0" w:type="auto"/>
          <w:jc w:val="center"/>
          <w:tblLayout w:type="fixed"/>
          <w:tblLook w:val="01E0"/>
        </w:tblPrEx>
        <w:trPr>
          <w:jc w:val="center"/>
        </w:trPr>
        <w:tc>
          <w:tcPr>
            <w:tcW w:w="3870" w:type="dxa"/>
          </w:tcPr>
          <w:p w:rsidR="00473CDB"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hint="eastAsia"/>
                <w:color w:val="000000" w:themeColor="text1"/>
                <w:kern w:val="0"/>
                <w:szCs w:val="21"/>
              </w:rPr>
              <w:t>0</w:t>
            </w:r>
            <w:r w:rsidRPr="005A7DE6">
              <w:rPr>
                <w:rFonts w:asciiTheme="minorEastAsia" w:eastAsiaTheme="minorEastAsia" w:hAnsiTheme="minorEastAsia"/>
                <w:color w:val="000000" w:themeColor="text1"/>
                <w:kern w:val="0"/>
                <w:szCs w:val="21"/>
              </w:rPr>
              <w:t>-6</w:t>
            </w:r>
          </w:p>
        </w:tc>
        <w:tc>
          <w:tcPr>
            <w:tcW w:w="3798" w:type="dxa"/>
          </w:tcPr>
          <w:p w:rsidR="00473CDB"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hint="eastAsia"/>
                <w:color w:val="000000" w:themeColor="text1"/>
                <w:kern w:val="0"/>
                <w:szCs w:val="21"/>
              </w:rPr>
              <w:t>1</w:t>
            </w:r>
            <w:r w:rsidRPr="005A7DE6">
              <w:rPr>
                <w:rFonts w:asciiTheme="minorEastAsia" w:eastAsiaTheme="minorEastAsia" w:hAnsiTheme="minorEastAsia"/>
                <w:color w:val="000000" w:themeColor="text1"/>
                <w:kern w:val="0"/>
                <w:szCs w:val="21"/>
              </w:rPr>
              <w:t>.5%</w:t>
            </w:r>
          </w:p>
        </w:tc>
      </w:tr>
      <w:tr w:rsidTr="00BA4B87">
        <w:tblPrEx>
          <w:tblW w:w="0" w:type="auto"/>
          <w:jc w:val="center"/>
          <w:tblLayout w:type="fixed"/>
          <w:tblLook w:val="01E0"/>
        </w:tblPrEx>
        <w:trPr>
          <w:jc w:val="center"/>
        </w:trPr>
        <w:tc>
          <w:tcPr>
            <w:tcW w:w="3870" w:type="dxa"/>
          </w:tcPr>
          <w:p w:rsidR="00BA4B87"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7-29</w:t>
            </w:r>
          </w:p>
        </w:tc>
        <w:tc>
          <w:tcPr>
            <w:tcW w:w="3798" w:type="dxa"/>
          </w:tcPr>
          <w:p w:rsidR="00BA4B87"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0.75%</w:t>
            </w:r>
          </w:p>
        </w:tc>
      </w:tr>
      <w:tr w:rsidTr="00BA4B87">
        <w:tblPrEx>
          <w:tblW w:w="0" w:type="auto"/>
          <w:jc w:val="center"/>
          <w:tblLayout w:type="fixed"/>
          <w:tblLook w:val="01E0"/>
        </w:tblPrEx>
        <w:trPr>
          <w:jc w:val="center"/>
        </w:trPr>
        <w:tc>
          <w:tcPr>
            <w:tcW w:w="3870" w:type="dxa"/>
          </w:tcPr>
          <w:p w:rsidR="00BA4B87"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30-364</w:t>
            </w:r>
          </w:p>
        </w:tc>
        <w:tc>
          <w:tcPr>
            <w:tcW w:w="3798" w:type="dxa"/>
          </w:tcPr>
          <w:p w:rsidR="00BA4B87"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0.1%</w:t>
            </w:r>
          </w:p>
        </w:tc>
      </w:tr>
      <w:tr w:rsidTr="00BA4B87">
        <w:tblPrEx>
          <w:tblW w:w="0" w:type="auto"/>
          <w:jc w:val="center"/>
          <w:tblLayout w:type="fixed"/>
          <w:tblLook w:val="01E0"/>
        </w:tblPrEx>
        <w:trPr>
          <w:jc w:val="center"/>
        </w:trPr>
        <w:tc>
          <w:tcPr>
            <w:tcW w:w="3870" w:type="dxa"/>
          </w:tcPr>
          <w:p w:rsidR="00BA4B87"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365-729</w:t>
            </w:r>
          </w:p>
        </w:tc>
        <w:tc>
          <w:tcPr>
            <w:tcW w:w="3798" w:type="dxa"/>
          </w:tcPr>
          <w:p w:rsidR="00BA4B87"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0.05%</w:t>
            </w:r>
          </w:p>
        </w:tc>
      </w:tr>
      <w:tr w:rsidTr="00BA4B87">
        <w:tblPrEx>
          <w:tblW w:w="0" w:type="auto"/>
          <w:jc w:val="center"/>
          <w:tblLayout w:type="fixed"/>
          <w:tblLook w:val="01E0"/>
        </w:tblPrEx>
        <w:trPr>
          <w:jc w:val="center"/>
        </w:trPr>
        <w:tc>
          <w:tcPr>
            <w:tcW w:w="3870" w:type="dxa"/>
          </w:tcPr>
          <w:p w:rsidR="00BA4B87"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730</w:t>
            </w:r>
            <w:r w:rsidRPr="005A7DE6">
              <w:rPr>
                <w:rFonts w:asciiTheme="minorEastAsia" w:eastAsiaTheme="minorEastAsia" w:hAnsiTheme="minorEastAsia"/>
                <w:color w:val="000000" w:themeColor="text1"/>
                <w:kern w:val="0"/>
                <w:szCs w:val="21"/>
              </w:rPr>
              <w:t>及以上</w:t>
            </w:r>
          </w:p>
        </w:tc>
        <w:tc>
          <w:tcPr>
            <w:tcW w:w="3798" w:type="dxa"/>
          </w:tcPr>
          <w:p w:rsidR="00BA4B87"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0%</w:t>
            </w:r>
          </w:p>
        </w:tc>
      </w:tr>
    </w:tbl>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w:t>
      </w:r>
      <w:r w:rsidRPr="005A7DE6">
        <w:rPr>
          <w:rFonts w:asciiTheme="minorEastAsia" w:eastAsiaTheme="minorEastAsia" w:hAnsiTheme="minorEastAsia"/>
          <w:color w:val="000000" w:themeColor="text1"/>
          <w:szCs w:val="21"/>
        </w:rPr>
        <w:t>C</w:t>
      </w:r>
      <w:r w:rsidRPr="005A7DE6">
        <w:rPr>
          <w:rFonts w:asciiTheme="minorEastAsia" w:eastAsiaTheme="minorEastAsia" w:hAnsiTheme="minorEastAsia"/>
          <w:color w:val="000000" w:themeColor="text1"/>
          <w:szCs w:val="21"/>
        </w:rPr>
        <w:t>类基金份额赎回费率见下表：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70"/>
        <w:gridCol w:w="3798"/>
      </w:tblGrid>
      <w:tr w:rsidTr="00BA4B8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3870" w:type="dxa"/>
          </w:tcPr>
          <w:p w:rsidR="00BA4B87" w:rsidRPr="005A7DE6" w:rsidP="006B758F">
            <w:pPr>
              <w:widowControl/>
              <w:snapToGrid w:val="0"/>
              <w:spacing w:line="360" w:lineRule="auto"/>
              <w:jc w:val="center"/>
              <w:rPr>
                <w:rFonts w:asciiTheme="minorEastAsia" w:eastAsiaTheme="minorEastAsia" w:hAnsiTheme="minorEastAsia"/>
                <w:b/>
                <w:color w:val="000000" w:themeColor="text1"/>
                <w:kern w:val="0"/>
                <w:szCs w:val="21"/>
              </w:rPr>
            </w:pPr>
            <w:r w:rsidRPr="005A7DE6">
              <w:rPr>
                <w:rFonts w:asciiTheme="minorEastAsia" w:eastAsiaTheme="minorEastAsia" w:hAnsiTheme="minorEastAsia"/>
                <w:b/>
                <w:color w:val="000000" w:themeColor="text1"/>
                <w:kern w:val="0"/>
                <w:szCs w:val="21"/>
              </w:rPr>
              <w:t>持有时间</w:t>
            </w:r>
            <w:r w:rsidRPr="005A7DE6" w:rsidR="005B19FC">
              <w:rPr>
                <w:rFonts w:asciiTheme="minorEastAsia" w:eastAsiaTheme="minorEastAsia" w:hAnsiTheme="minorEastAsia"/>
                <w:b/>
                <w:color w:val="000000" w:themeColor="text1"/>
                <w:kern w:val="0"/>
                <w:szCs w:val="21"/>
              </w:rPr>
              <w:t>（</w:t>
            </w:r>
            <w:r w:rsidRPr="005A7DE6">
              <w:rPr>
                <w:rFonts w:asciiTheme="minorEastAsia" w:eastAsiaTheme="minorEastAsia" w:hAnsiTheme="minorEastAsia"/>
                <w:b/>
                <w:color w:val="000000" w:themeColor="text1"/>
                <w:kern w:val="0"/>
                <w:szCs w:val="21"/>
              </w:rPr>
              <w:t>天</w:t>
            </w:r>
            <w:r w:rsidRPr="005A7DE6" w:rsidR="005B19FC">
              <w:rPr>
                <w:rFonts w:asciiTheme="minorEastAsia" w:eastAsiaTheme="minorEastAsia" w:hAnsiTheme="minorEastAsia"/>
                <w:b/>
                <w:color w:val="000000" w:themeColor="text1"/>
                <w:kern w:val="0"/>
                <w:szCs w:val="21"/>
              </w:rPr>
              <w:t>）</w:t>
            </w:r>
          </w:p>
        </w:tc>
        <w:tc>
          <w:tcPr>
            <w:tcW w:w="3798" w:type="dxa"/>
          </w:tcPr>
          <w:p w:rsidR="00BA4B87" w:rsidRPr="005A7DE6" w:rsidP="006B758F">
            <w:pPr>
              <w:widowControl/>
              <w:snapToGrid w:val="0"/>
              <w:spacing w:line="360" w:lineRule="auto"/>
              <w:jc w:val="center"/>
              <w:rPr>
                <w:rFonts w:asciiTheme="minorEastAsia" w:eastAsiaTheme="minorEastAsia" w:hAnsiTheme="minorEastAsia"/>
                <w:b/>
                <w:color w:val="000000" w:themeColor="text1"/>
                <w:kern w:val="0"/>
                <w:szCs w:val="21"/>
              </w:rPr>
            </w:pPr>
            <w:r w:rsidRPr="005A7DE6">
              <w:rPr>
                <w:rFonts w:asciiTheme="minorEastAsia" w:eastAsiaTheme="minorEastAsia" w:hAnsiTheme="minorEastAsia"/>
                <w:b/>
                <w:color w:val="000000" w:themeColor="text1"/>
                <w:kern w:val="0"/>
                <w:szCs w:val="21"/>
              </w:rPr>
              <w:t>C</w:t>
            </w:r>
            <w:r w:rsidRPr="005A7DE6">
              <w:rPr>
                <w:rFonts w:asciiTheme="minorEastAsia" w:eastAsiaTheme="minorEastAsia" w:hAnsiTheme="minorEastAsia"/>
                <w:b/>
                <w:color w:val="000000" w:themeColor="text1"/>
                <w:kern w:val="0"/>
                <w:szCs w:val="21"/>
              </w:rPr>
              <w:t>类基金份额赎回费率</w:t>
            </w:r>
          </w:p>
        </w:tc>
      </w:tr>
      <w:tr w:rsidTr="00BA4B87">
        <w:tblPrEx>
          <w:tblW w:w="0" w:type="auto"/>
          <w:jc w:val="center"/>
          <w:tblLayout w:type="fixed"/>
          <w:tblLook w:val="01E0"/>
        </w:tblPrEx>
        <w:trPr>
          <w:jc w:val="center"/>
        </w:trPr>
        <w:tc>
          <w:tcPr>
            <w:tcW w:w="3870" w:type="dxa"/>
          </w:tcPr>
          <w:p w:rsidR="00473CDB"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hint="eastAsia"/>
                <w:color w:val="000000" w:themeColor="text1"/>
                <w:kern w:val="0"/>
                <w:szCs w:val="21"/>
              </w:rPr>
              <w:t>0</w:t>
            </w:r>
            <w:r w:rsidRPr="005A7DE6">
              <w:rPr>
                <w:rFonts w:asciiTheme="minorEastAsia" w:eastAsiaTheme="minorEastAsia" w:hAnsiTheme="minorEastAsia"/>
                <w:color w:val="000000" w:themeColor="text1"/>
                <w:kern w:val="0"/>
                <w:szCs w:val="21"/>
              </w:rPr>
              <w:t>-6</w:t>
            </w:r>
          </w:p>
        </w:tc>
        <w:tc>
          <w:tcPr>
            <w:tcW w:w="3798" w:type="dxa"/>
          </w:tcPr>
          <w:p w:rsidR="00473CDB"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hint="eastAsia"/>
                <w:color w:val="000000" w:themeColor="text1"/>
                <w:kern w:val="0"/>
                <w:szCs w:val="21"/>
              </w:rPr>
              <w:t>1</w:t>
            </w:r>
            <w:r w:rsidRPr="005A7DE6">
              <w:rPr>
                <w:rFonts w:asciiTheme="minorEastAsia" w:eastAsiaTheme="minorEastAsia" w:hAnsiTheme="minorEastAsia"/>
                <w:color w:val="000000" w:themeColor="text1"/>
                <w:kern w:val="0"/>
                <w:szCs w:val="21"/>
              </w:rPr>
              <w:t>.5%</w:t>
            </w:r>
          </w:p>
        </w:tc>
      </w:tr>
      <w:tr w:rsidTr="00BA4B87">
        <w:tblPrEx>
          <w:tblW w:w="0" w:type="auto"/>
          <w:jc w:val="center"/>
          <w:tblLayout w:type="fixed"/>
          <w:tblLook w:val="01E0"/>
        </w:tblPrEx>
        <w:trPr>
          <w:jc w:val="center"/>
        </w:trPr>
        <w:tc>
          <w:tcPr>
            <w:tcW w:w="3870" w:type="dxa"/>
          </w:tcPr>
          <w:p w:rsidR="00BA4B87"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7-29</w:t>
            </w:r>
          </w:p>
        </w:tc>
        <w:tc>
          <w:tcPr>
            <w:tcW w:w="3798" w:type="dxa"/>
          </w:tcPr>
          <w:p w:rsidR="00BA4B87"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0.75%</w:t>
            </w:r>
          </w:p>
        </w:tc>
      </w:tr>
      <w:tr w:rsidTr="00BA4B87">
        <w:tblPrEx>
          <w:tblW w:w="0" w:type="auto"/>
          <w:jc w:val="center"/>
          <w:tblLayout w:type="fixed"/>
          <w:tblLook w:val="01E0"/>
        </w:tblPrEx>
        <w:trPr>
          <w:jc w:val="center"/>
        </w:trPr>
        <w:tc>
          <w:tcPr>
            <w:tcW w:w="3870" w:type="dxa"/>
          </w:tcPr>
          <w:p w:rsidR="00BA4B87"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30</w:t>
            </w:r>
            <w:r w:rsidRPr="005A7DE6">
              <w:rPr>
                <w:rFonts w:asciiTheme="minorEastAsia" w:eastAsiaTheme="minorEastAsia" w:hAnsiTheme="minorEastAsia"/>
                <w:color w:val="000000" w:themeColor="text1"/>
                <w:kern w:val="0"/>
                <w:szCs w:val="21"/>
              </w:rPr>
              <w:t>及以上</w:t>
            </w:r>
          </w:p>
        </w:tc>
        <w:tc>
          <w:tcPr>
            <w:tcW w:w="3798" w:type="dxa"/>
          </w:tcPr>
          <w:p w:rsidR="00BA4B87" w:rsidRPr="005A7DE6" w:rsidP="006B758F">
            <w:pPr>
              <w:widowControl/>
              <w:snapToGrid w:val="0"/>
              <w:spacing w:line="360" w:lineRule="auto"/>
              <w:jc w:val="center"/>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0%</w:t>
            </w:r>
          </w:p>
        </w:tc>
      </w:tr>
    </w:tbl>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投资者可将其持有的全部或部分基金份额赎回。</w:t>
      </w:r>
      <w:r w:rsidRPr="005A7DE6" w:rsidR="00843FC8">
        <w:rPr>
          <w:rFonts w:asciiTheme="minorEastAsia" w:eastAsiaTheme="minorEastAsia" w:hAnsiTheme="minorEastAsia"/>
          <w:color w:val="000000" w:themeColor="text1"/>
          <w:szCs w:val="21"/>
        </w:rPr>
        <w:t>赎回费用由赎回基金份额的基金份额持有人承担，在基金份额持有人赎回基金份额时收取。对于持有期不少于30日的A类份额所收取的赎回费，在扣除用于市场推广、注册登记费和其他手续费后的余额归基金财产，赎回费</w:t>
      </w:r>
      <w:r w:rsidRPr="005A7DE6" w:rsidR="002A1D23">
        <w:rPr>
          <w:rFonts w:asciiTheme="minorEastAsia" w:eastAsiaTheme="minorEastAsia" w:hAnsiTheme="minorEastAsia"/>
          <w:color w:val="000000" w:themeColor="text1"/>
          <w:szCs w:val="21"/>
        </w:rPr>
        <w:t>用的25%</w:t>
      </w:r>
      <w:r w:rsidRPr="005A7DE6" w:rsidR="00843FC8">
        <w:rPr>
          <w:rFonts w:asciiTheme="minorEastAsia" w:eastAsiaTheme="minorEastAsia" w:hAnsiTheme="minorEastAsia"/>
          <w:color w:val="000000" w:themeColor="text1"/>
          <w:szCs w:val="21"/>
        </w:rPr>
        <w:t>归入基金财产，对于持有期限少于30日的A类/C类基金份额所收取的赎回费，全额计入基金财产。</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5</w:t>
      </w:r>
      <w:r w:rsidRPr="005A7DE6">
        <w:rPr>
          <w:rFonts w:asciiTheme="minorEastAsia" w:eastAsiaTheme="minorEastAsia" w:hAnsiTheme="minorEastAsia"/>
          <w:color w:val="000000" w:themeColor="text1"/>
          <w:szCs w:val="21"/>
        </w:rPr>
        <w:t>、基金管理人可以在基金合同规定的范围内调整申购费率和赎回费率，调整后的申购费率和赎回费率在《更新的招募说明书》中列示。上述费率如发生变更，基金管理人最迟应于新的费率或收费方式实施日前依照《信息披露办法》的有关规定</w:t>
      </w:r>
      <w:r w:rsidRPr="005A7DE6">
        <w:rPr>
          <w:rFonts w:asciiTheme="minorEastAsia" w:eastAsiaTheme="minorEastAsia" w:hAnsiTheme="minorEastAsia"/>
          <w:color w:val="000000" w:themeColor="text1"/>
          <w:szCs w:val="21"/>
        </w:rPr>
        <w:t>在</w:t>
      </w:r>
      <w:r w:rsidRPr="005A7DE6" w:rsidR="006E73AA">
        <w:rPr>
          <w:rFonts w:asciiTheme="minorEastAsia" w:eastAsiaTheme="minorEastAsia" w:hAnsiTheme="minorEastAsia"/>
          <w:color w:val="000000" w:themeColor="text1"/>
          <w:szCs w:val="21"/>
        </w:rPr>
        <w:t>指定媒介</w:t>
      </w:r>
      <w:r w:rsidRPr="005A7DE6">
        <w:rPr>
          <w:rFonts w:asciiTheme="minorEastAsia" w:eastAsiaTheme="minorEastAsia" w:hAnsiTheme="minorEastAsia"/>
          <w:color w:val="000000" w:themeColor="text1"/>
          <w:szCs w:val="21"/>
        </w:rPr>
        <w:t>上公告。</w:t>
      </w:r>
    </w:p>
    <w:p w:rsidR="007A4E13"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14" w:name="_Toc94172401"/>
      <w:r w:rsidRPr="005A7DE6">
        <w:rPr>
          <w:rFonts w:asciiTheme="minorEastAsia" w:eastAsiaTheme="minorEastAsia" w:hAnsiTheme="minorEastAsia"/>
          <w:b w:val="0"/>
          <w:bCs/>
          <w:color w:val="000000" w:themeColor="text1"/>
        </w:rPr>
        <w:t>（</w:t>
      </w:r>
      <w:r w:rsidRPr="005A7DE6" w:rsidR="00214A68">
        <w:rPr>
          <w:rFonts w:asciiTheme="minorEastAsia" w:eastAsiaTheme="minorEastAsia" w:hAnsiTheme="minorEastAsia"/>
          <w:b w:val="0"/>
          <w:bCs/>
          <w:color w:val="000000" w:themeColor="text1"/>
        </w:rPr>
        <w:t>八</w:t>
      </w:r>
      <w:r w:rsidRPr="005A7DE6">
        <w:rPr>
          <w:rFonts w:asciiTheme="minorEastAsia" w:eastAsiaTheme="minorEastAsia" w:hAnsiTheme="minorEastAsia"/>
          <w:b w:val="0"/>
          <w:bCs/>
          <w:color w:val="000000" w:themeColor="text1"/>
        </w:rPr>
        <w:t>）申购和赎回的数额和价格</w:t>
      </w:r>
      <w:bookmarkEnd w:id="3614"/>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、申购和赎回数额、余额的处理方式</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申购的有效份额为按实际确认的申购金额在扣除相应的费用后，以申购当日基金份额净值为基准计算。申购涉及金额、份额的计算结果保留到小数点后两位，小数点后两位以后的部分四舍五入，由此产生的误差计入基金财产。</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color w:val="000000" w:themeColor="text1"/>
          <w:szCs w:val="21"/>
        </w:rPr>
        <w:t>）赎回金额的处理方式：赎回金额为按实际确认的有效赎回份额乘以申请当日基金份额净值为基准并扣除相应的费用后的余额，赎回费用、赎回金额的单位为人民币元，计算结果保留到小数点后两位，小数点后两位以后的部分四舍五入，由此产生的误差计入基金财产。</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bookmarkStart w:id="3615" w:name="_Toc319688303"/>
      <w:bookmarkStart w:id="3616" w:name="_Toc319693427"/>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color w:val="000000" w:themeColor="text1"/>
          <w:szCs w:val="21"/>
        </w:rPr>
        <w:t>、申购份额的计算</w:t>
      </w:r>
      <w:bookmarkEnd w:id="3615"/>
      <w:bookmarkEnd w:id="3616"/>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）若</w:t>
      </w:r>
      <w:r w:rsidRPr="005A7DE6" w:rsidR="00214A68">
        <w:rPr>
          <w:rFonts w:asciiTheme="minorEastAsia" w:eastAsiaTheme="minorEastAsia" w:hAnsiTheme="minorEastAsia"/>
          <w:color w:val="000000" w:themeColor="text1"/>
          <w:szCs w:val="21"/>
        </w:rPr>
        <w:t>投资人</w:t>
      </w:r>
      <w:r w:rsidRPr="005A7DE6">
        <w:rPr>
          <w:rFonts w:asciiTheme="minorEastAsia" w:eastAsiaTheme="minorEastAsia" w:hAnsiTheme="minorEastAsia"/>
          <w:color w:val="000000" w:themeColor="text1"/>
          <w:szCs w:val="21"/>
        </w:rPr>
        <w:t>选择</w:t>
      </w:r>
      <w:r w:rsidRPr="005A7DE6">
        <w:rPr>
          <w:rFonts w:asciiTheme="minorEastAsia" w:eastAsiaTheme="minorEastAsia" w:hAnsiTheme="minorEastAsia"/>
          <w:color w:val="000000" w:themeColor="text1"/>
          <w:szCs w:val="21"/>
        </w:rPr>
        <w:t>A</w:t>
      </w:r>
      <w:r w:rsidRPr="005A7DE6">
        <w:rPr>
          <w:rFonts w:asciiTheme="minorEastAsia" w:eastAsiaTheme="minorEastAsia" w:hAnsiTheme="minorEastAsia"/>
          <w:color w:val="000000" w:themeColor="text1"/>
          <w:szCs w:val="21"/>
        </w:rPr>
        <w:t>类基金份额，则申购份额的计算公式如下：</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净申购金额</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申购金额</w:t>
      </w:r>
      <w:r w:rsidRPr="005A7DE6">
        <w:rPr>
          <w:rFonts w:asciiTheme="minorEastAsia" w:eastAsiaTheme="minorEastAsia" w:hAnsiTheme="minorEastAsia"/>
          <w:color w:val="000000" w:themeColor="text1"/>
          <w:szCs w:val="21"/>
        </w:rPr>
        <w:t>/</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申购费率</w:t>
      </w:r>
      <w:r w:rsidRPr="005A7DE6" w:rsidR="005B19FC">
        <w:rPr>
          <w:rFonts w:asciiTheme="minorEastAsia" w:eastAsiaTheme="minorEastAsia" w:hAnsiTheme="minorEastAsia"/>
          <w:color w:val="000000" w:themeColor="text1"/>
          <w:szCs w:val="21"/>
        </w:rPr>
        <w:t>）</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（注：对于</w:t>
      </w:r>
      <w:r w:rsidRPr="005A7DE6" w:rsidR="00897003">
        <w:rPr>
          <w:rFonts w:asciiTheme="minorEastAsia" w:eastAsiaTheme="minorEastAsia" w:hAnsiTheme="minorEastAsia"/>
          <w:color w:val="000000" w:themeColor="text1"/>
          <w:szCs w:val="21"/>
        </w:rPr>
        <w:t>500</w:t>
      </w:r>
      <w:r w:rsidRPr="005A7DE6">
        <w:rPr>
          <w:rFonts w:asciiTheme="minorEastAsia" w:eastAsiaTheme="minorEastAsia" w:hAnsiTheme="minorEastAsia"/>
          <w:color w:val="000000" w:themeColor="text1"/>
          <w:szCs w:val="21"/>
        </w:rPr>
        <w:t>万（含）以上适用固定金额申购费的申购，净申购金额＝申购金额－固定申购费金额）</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申购费用</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申购金额</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净申购金额</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申购份额</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净申购金额</w:t>
      </w:r>
      <w:r w:rsidRPr="005A7DE6">
        <w:rPr>
          <w:rFonts w:asciiTheme="minorEastAsia" w:eastAsiaTheme="minorEastAsia" w:hAnsiTheme="minorEastAsia"/>
          <w:color w:val="000000" w:themeColor="text1"/>
          <w:szCs w:val="21"/>
        </w:rPr>
        <w:t>/T</w:t>
      </w:r>
      <w:r w:rsidRPr="005A7DE6">
        <w:rPr>
          <w:rFonts w:asciiTheme="minorEastAsia" w:eastAsiaTheme="minorEastAsia" w:hAnsiTheme="minorEastAsia"/>
          <w:color w:val="000000" w:themeColor="text1"/>
          <w:szCs w:val="21"/>
        </w:rPr>
        <w:t>日基金份额净值</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例</w:t>
      </w:r>
      <w:r w:rsidRPr="005A7DE6" w:rsidR="00522189">
        <w:rPr>
          <w:rFonts w:asciiTheme="minorEastAsia" w:eastAsiaTheme="minorEastAsia" w:hAnsiTheme="minorEastAsia" w:hint="eastAsia"/>
          <w:color w:val="000000" w:themeColor="text1"/>
          <w:szCs w:val="21"/>
        </w:rPr>
        <w:t>一</w:t>
      </w:r>
      <w:r w:rsidRPr="005A7DE6">
        <w:rPr>
          <w:rFonts w:asciiTheme="minorEastAsia" w:eastAsiaTheme="minorEastAsia" w:hAnsiTheme="minorEastAsia"/>
          <w:color w:val="000000" w:themeColor="text1"/>
          <w:szCs w:val="21"/>
        </w:rPr>
        <w:t>：某投资人</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非</w:t>
      </w:r>
      <w:r w:rsidRPr="005A7DE6" w:rsidR="00522189">
        <w:rPr>
          <w:rFonts w:asciiTheme="minorEastAsia" w:eastAsiaTheme="minorEastAsia" w:hAnsiTheme="minorEastAsia" w:hint="eastAsia"/>
          <w:color w:val="000000" w:themeColor="text1"/>
          <w:szCs w:val="21"/>
        </w:rPr>
        <w:t>特定投资群体</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投资</w:t>
      </w:r>
      <w:r w:rsidRPr="005A7DE6">
        <w:rPr>
          <w:rFonts w:asciiTheme="minorEastAsia" w:eastAsiaTheme="minorEastAsia" w:hAnsiTheme="minorEastAsia"/>
          <w:color w:val="000000" w:themeColor="text1"/>
          <w:szCs w:val="21"/>
        </w:rPr>
        <w:t>4</w:t>
      </w:r>
      <w:r w:rsidRPr="005A7DE6">
        <w:rPr>
          <w:rFonts w:asciiTheme="minorEastAsia" w:eastAsiaTheme="minorEastAsia" w:hAnsiTheme="minorEastAsia"/>
          <w:color w:val="000000" w:themeColor="text1"/>
          <w:szCs w:val="21"/>
        </w:rPr>
        <w:t>万元申购本基金</w:t>
      </w:r>
      <w:r w:rsidRPr="005A7DE6">
        <w:rPr>
          <w:rFonts w:asciiTheme="minorEastAsia" w:eastAsiaTheme="minorEastAsia" w:hAnsiTheme="minorEastAsia"/>
          <w:color w:val="000000" w:themeColor="text1"/>
          <w:szCs w:val="21"/>
        </w:rPr>
        <w:t>A</w:t>
      </w:r>
      <w:r w:rsidRPr="005A7DE6">
        <w:rPr>
          <w:rFonts w:asciiTheme="minorEastAsia" w:eastAsiaTheme="minorEastAsia" w:hAnsiTheme="minorEastAsia"/>
          <w:color w:val="000000" w:themeColor="text1"/>
          <w:szCs w:val="21"/>
        </w:rPr>
        <w:t>类份额，申购费率为</w:t>
      </w:r>
      <w:r w:rsidRPr="005A7DE6">
        <w:rPr>
          <w:rFonts w:asciiTheme="minorEastAsia" w:eastAsiaTheme="minorEastAsia" w:hAnsiTheme="minorEastAsia"/>
          <w:color w:val="000000" w:themeColor="text1"/>
          <w:szCs w:val="21"/>
        </w:rPr>
        <w:t>0.8%</w:t>
      </w:r>
      <w:r w:rsidRPr="005A7DE6">
        <w:rPr>
          <w:rFonts w:asciiTheme="minorEastAsia" w:eastAsiaTheme="minorEastAsia" w:hAnsiTheme="minorEastAsia"/>
          <w:color w:val="000000" w:themeColor="text1"/>
          <w:szCs w:val="21"/>
        </w:rPr>
        <w:t>，假设申购当日基金份额净值为</w:t>
      </w:r>
      <w:r w:rsidRPr="005A7DE6">
        <w:rPr>
          <w:rFonts w:asciiTheme="minorEastAsia" w:eastAsiaTheme="minorEastAsia" w:hAnsiTheme="minorEastAsia"/>
          <w:color w:val="000000" w:themeColor="text1"/>
          <w:szCs w:val="21"/>
        </w:rPr>
        <w:t>1.04</w:t>
      </w:r>
      <w:r w:rsidRPr="005A7DE6" w:rsidR="0052477F">
        <w:rPr>
          <w:rFonts w:asciiTheme="minorEastAsia" w:eastAsiaTheme="minorEastAsia" w:hAnsiTheme="minorEastAsia"/>
          <w:color w:val="000000" w:themeColor="text1"/>
          <w:szCs w:val="21"/>
        </w:rPr>
        <w:t>0</w:t>
      </w:r>
      <w:r w:rsidRPr="005A7DE6">
        <w:rPr>
          <w:rFonts w:asciiTheme="minorEastAsia" w:eastAsiaTheme="minorEastAsia" w:hAnsiTheme="minorEastAsia"/>
          <w:color w:val="000000" w:themeColor="text1"/>
          <w:szCs w:val="21"/>
        </w:rPr>
        <w:t>0</w:t>
      </w:r>
      <w:r w:rsidRPr="005A7DE6">
        <w:rPr>
          <w:rFonts w:asciiTheme="minorEastAsia" w:eastAsiaTheme="minorEastAsia" w:hAnsiTheme="minorEastAsia"/>
          <w:color w:val="000000" w:themeColor="text1"/>
          <w:szCs w:val="21"/>
        </w:rPr>
        <w:t>元，则其可得到的申购份额为：</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净申购金额</w:t>
      </w:r>
      <w:r w:rsidRPr="005A7DE6">
        <w:rPr>
          <w:rFonts w:asciiTheme="minorEastAsia" w:eastAsiaTheme="minorEastAsia" w:hAnsiTheme="minorEastAsia"/>
          <w:color w:val="000000" w:themeColor="text1"/>
          <w:szCs w:val="21"/>
        </w:rPr>
        <w:t>=40,000/</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1+0.8%</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=39,682.54</w:t>
      </w:r>
      <w:r w:rsidRPr="005A7DE6">
        <w:rPr>
          <w:rFonts w:asciiTheme="minorEastAsia" w:eastAsiaTheme="minorEastAsia" w:hAnsiTheme="minorEastAsia"/>
          <w:color w:val="000000" w:themeColor="text1"/>
          <w:szCs w:val="21"/>
        </w:rPr>
        <w:t>元</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申购费用</w:t>
      </w:r>
      <w:r w:rsidRPr="005A7DE6">
        <w:rPr>
          <w:rFonts w:asciiTheme="minorEastAsia" w:eastAsiaTheme="minorEastAsia" w:hAnsiTheme="minorEastAsia"/>
          <w:color w:val="000000" w:themeColor="text1"/>
          <w:szCs w:val="21"/>
        </w:rPr>
        <w:t>=40,000-39,682.54=</w:t>
      </w:r>
      <w:r w:rsidRPr="005A7DE6">
        <w:rPr>
          <w:rFonts w:asciiTheme="minorEastAsia" w:eastAsiaTheme="minorEastAsia" w:hAnsiTheme="minorEastAsia"/>
          <w:color w:val="000000" w:themeColor="text1"/>
          <w:szCs w:val="21"/>
        </w:rPr>
        <w:t>317.46</w:t>
      </w:r>
      <w:r w:rsidRPr="005A7DE6">
        <w:rPr>
          <w:rFonts w:asciiTheme="minorEastAsia" w:eastAsiaTheme="minorEastAsia" w:hAnsiTheme="minorEastAsia"/>
          <w:color w:val="000000" w:themeColor="text1"/>
          <w:szCs w:val="21"/>
        </w:rPr>
        <w:t>元</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申购份额</w:t>
      </w:r>
      <w:r w:rsidRPr="005A7DE6">
        <w:rPr>
          <w:rFonts w:asciiTheme="minorEastAsia" w:eastAsiaTheme="minorEastAsia" w:hAnsiTheme="minorEastAsia"/>
          <w:color w:val="000000" w:themeColor="text1"/>
          <w:szCs w:val="21"/>
        </w:rPr>
        <w:t>=39,682.54/1.04</w:t>
      </w:r>
      <w:r w:rsidRPr="005A7DE6" w:rsidR="0052477F">
        <w:rPr>
          <w:rFonts w:asciiTheme="minorEastAsia" w:eastAsiaTheme="minorEastAsia" w:hAnsiTheme="minorEastAsia"/>
          <w:color w:val="000000" w:themeColor="text1"/>
          <w:szCs w:val="21"/>
        </w:rPr>
        <w:t>0</w:t>
      </w:r>
      <w:r w:rsidRPr="005A7DE6">
        <w:rPr>
          <w:rFonts w:asciiTheme="minorEastAsia" w:eastAsiaTheme="minorEastAsia" w:hAnsiTheme="minorEastAsia"/>
          <w:color w:val="000000" w:themeColor="text1"/>
          <w:szCs w:val="21"/>
        </w:rPr>
        <w:t>0=38,156.29</w:t>
      </w:r>
      <w:r w:rsidRPr="005A7DE6">
        <w:rPr>
          <w:rFonts w:asciiTheme="minorEastAsia" w:eastAsiaTheme="minorEastAsia" w:hAnsiTheme="minorEastAsia"/>
          <w:color w:val="000000" w:themeColor="text1"/>
          <w:szCs w:val="21"/>
        </w:rPr>
        <w:t>份</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例</w:t>
      </w:r>
      <w:r w:rsidRPr="005A7DE6" w:rsidR="00522189">
        <w:rPr>
          <w:rFonts w:asciiTheme="minorEastAsia" w:eastAsiaTheme="minorEastAsia" w:hAnsiTheme="minorEastAsia" w:hint="eastAsia"/>
          <w:color w:val="000000" w:themeColor="text1"/>
          <w:szCs w:val="21"/>
        </w:rPr>
        <w:t>二</w:t>
      </w:r>
      <w:r w:rsidRPr="005A7DE6">
        <w:rPr>
          <w:rFonts w:asciiTheme="minorEastAsia" w:eastAsiaTheme="minorEastAsia" w:hAnsiTheme="minorEastAsia"/>
          <w:color w:val="000000" w:themeColor="text1"/>
          <w:szCs w:val="21"/>
        </w:rPr>
        <w:t>：某投资人</w:t>
      </w:r>
      <w:r w:rsidRPr="005A7DE6" w:rsidR="005B19FC">
        <w:rPr>
          <w:rFonts w:asciiTheme="minorEastAsia" w:eastAsiaTheme="minorEastAsia" w:hAnsiTheme="minorEastAsia"/>
          <w:color w:val="000000" w:themeColor="text1"/>
          <w:szCs w:val="21"/>
        </w:rPr>
        <w:t>（</w:t>
      </w:r>
      <w:r w:rsidRPr="005A7DE6" w:rsidR="00522189">
        <w:rPr>
          <w:rFonts w:asciiTheme="minorEastAsia" w:eastAsiaTheme="minorEastAsia" w:hAnsiTheme="minorEastAsia" w:hint="eastAsia"/>
          <w:color w:val="000000" w:themeColor="text1"/>
          <w:szCs w:val="21"/>
        </w:rPr>
        <w:t>特定投资群体</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通过本管理人的</w:t>
      </w:r>
      <w:r w:rsidRPr="005A7DE6" w:rsidR="00A26107">
        <w:rPr>
          <w:rFonts w:asciiTheme="minorEastAsia" w:eastAsiaTheme="minorEastAsia" w:hAnsiTheme="minorEastAsia"/>
          <w:color w:val="000000" w:themeColor="text1"/>
          <w:szCs w:val="21"/>
        </w:rPr>
        <w:t>直销</w:t>
      </w:r>
      <w:r w:rsidRPr="005A7DE6" w:rsidR="007F0FF0">
        <w:rPr>
          <w:rFonts w:asciiTheme="minorEastAsia" w:eastAsiaTheme="minorEastAsia" w:hAnsiTheme="minorEastAsia" w:hint="eastAsia"/>
          <w:color w:val="000000" w:themeColor="text1"/>
          <w:szCs w:val="21"/>
        </w:rPr>
        <w:t>中心</w:t>
      </w:r>
      <w:r w:rsidRPr="005A7DE6">
        <w:rPr>
          <w:rFonts w:asciiTheme="minorEastAsia" w:eastAsiaTheme="minorEastAsia" w:hAnsiTheme="minorEastAsia"/>
          <w:color w:val="000000" w:themeColor="text1"/>
          <w:szCs w:val="21"/>
        </w:rPr>
        <w:t>投资</w:t>
      </w:r>
      <w:r w:rsidRPr="005A7DE6" w:rsidR="00522189">
        <w:rPr>
          <w:rFonts w:asciiTheme="minorEastAsia" w:eastAsiaTheme="minorEastAsia" w:hAnsiTheme="minorEastAsia" w:hint="eastAsia"/>
          <w:color w:val="000000" w:themeColor="text1"/>
          <w:szCs w:val="21"/>
        </w:rPr>
        <w:t>5</w:t>
      </w:r>
      <w:r w:rsidRPr="005A7DE6">
        <w:rPr>
          <w:rFonts w:asciiTheme="minorEastAsia" w:eastAsiaTheme="minorEastAsia" w:hAnsiTheme="minorEastAsia"/>
          <w:color w:val="000000" w:themeColor="text1"/>
          <w:szCs w:val="21"/>
        </w:rPr>
        <w:t>万元申购本基金</w:t>
      </w:r>
      <w:r w:rsidRPr="005A7DE6">
        <w:rPr>
          <w:rFonts w:asciiTheme="minorEastAsia" w:eastAsiaTheme="minorEastAsia" w:hAnsiTheme="minorEastAsia"/>
          <w:color w:val="000000" w:themeColor="text1"/>
          <w:szCs w:val="21"/>
        </w:rPr>
        <w:t>A</w:t>
      </w:r>
      <w:r w:rsidRPr="005A7DE6">
        <w:rPr>
          <w:rFonts w:asciiTheme="minorEastAsia" w:eastAsiaTheme="minorEastAsia" w:hAnsiTheme="minorEastAsia"/>
          <w:color w:val="000000" w:themeColor="text1"/>
          <w:szCs w:val="21"/>
        </w:rPr>
        <w:t>类份额，申购费率为</w:t>
      </w:r>
      <w:r w:rsidRPr="005A7DE6">
        <w:rPr>
          <w:rFonts w:asciiTheme="minorEastAsia" w:eastAsiaTheme="minorEastAsia" w:hAnsiTheme="minorEastAsia"/>
          <w:color w:val="000000" w:themeColor="text1"/>
          <w:szCs w:val="21"/>
        </w:rPr>
        <w:t>0.</w:t>
      </w:r>
      <w:r w:rsidRPr="005A7DE6" w:rsidR="00522189">
        <w:rPr>
          <w:rFonts w:asciiTheme="minorEastAsia" w:eastAsiaTheme="minorEastAsia" w:hAnsiTheme="minorEastAsia" w:hint="eastAsia"/>
          <w:color w:val="000000" w:themeColor="text1"/>
          <w:szCs w:val="21"/>
        </w:rPr>
        <w:t>08</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，假设申购当日基金份额净值为</w:t>
      </w:r>
      <w:r w:rsidRPr="005A7DE6">
        <w:rPr>
          <w:rFonts w:asciiTheme="minorEastAsia" w:eastAsiaTheme="minorEastAsia" w:hAnsiTheme="minorEastAsia"/>
          <w:color w:val="000000" w:themeColor="text1"/>
          <w:szCs w:val="21"/>
        </w:rPr>
        <w:t>1.040</w:t>
      </w:r>
      <w:r w:rsidRPr="005A7DE6" w:rsidR="0052477F">
        <w:rPr>
          <w:rFonts w:asciiTheme="minorEastAsia" w:eastAsiaTheme="minorEastAsia" w:hAnsiTheme="minorEastAsia"/>
          <w:color w:val="000000" w:themeColor="text1"/>
          <w:szCs w:val="21"/>
        </w:rPr>
        <w:t>0</w:t>
      </w:r>
      <w:r w:rsidRPr="005A7DE6">
        <w:rPr>
          <w:rFonts w:asciiTheme="minorEastAsia" w:eastAsiaTheme="minorEastAsia" w:hAnsiTheme="minorEastAsia"/>
          <w:color w:val="000000" w:themeColor="text1"/>
          <w:szCs w:val="21"/>
        </w:rPr>
        <w:t>元，则其可得到的申购份额为：</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净申购金额</w:t>
      </w:r>
      <w:r w:rsidRPr="005A7DE6">
        <w:rPr>
          <w:rFonts w:asciiTheme="minorEastAsia" w:eastAsiaTheme="minorEastAsia" w:hAnsiTheme="minorEastAsia"/>
          <w:color w:val="000000" w:themeColor="text1"/>
          <w:szCs w:val="21"/>
        </w:rPr>
        <w:t>=</w:t>
      </w:r>
      <w:r w:rsidRPr="005A7DE6" w:rsidR="00522189">
        <w:rPr>
          <w:rFonts w:asciiTheme="minorEastAsia" w:eastAsiaTheme="minorEastAsia" w:hAnsiTheme="minorEastAsia" w:hint="eastAsia"/>
          <w:color w:val="000000" w:themeColor="text1"/>
          <w:szCs w:val="21"/>
        </w:rPr>
        <w:t>5</w:t>
      </w:r>
      <w:r w:rsidRPr="005A7DE6">
        <w:rPr>
          <w:rFonts w:asciiTheme="minorEastAsia" w:eastAsiaTheme="minorEastAsia" w:hAnsiTheme="minorEastAsia"/>
          <w:color w:val="000000" w:themeColor="text1"/>
          <w:szCs w:val="21"/>
        </w:rPr>
        <w:t>0,000/</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1+0.</w:t>
      </w:r>
      <w:r w:rsidRPr="005A7DE6" w:rsidR="00522189">
        <w:rPr>
          <w:rFonts w:asciiTheme="minorEastAsia" w:eastAsiaTheme="minorEastAsia" w:hAnsiTheme="minorEastAsia" w:hint="eastAsia"/>
          <w:color w:val="000000" w:themeColor="text1"/>
          <w:szCs w:val="21"/>
        </w:rPr>
        <w:t>08</w:t>
      </w:r>
      <w:r w:rsidRPr="005A7DE6">
        <w:rPr>
          <w:rFonts w:asciiTheme="minorEastAsia" w:eastAsiaTheme="minorEastAsia" w:hAnsiTheme="minorEastAsia"/>
          <w:color w:val="000000" w:themeColor="text1"/>
          <w:szCs w:val="21"/>
        </w:rPr>
        <w:t>%</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w:t>
      </w:r>
      <w:r w:rsidRPr="005A7DE6" w:rsidR="00522189">
        <w:rPr>
          <w:rFonts w:asciiTheme="minorEastAsia" w:eastAsiaTheme="minorEastAsia" w:hAnsiTheme="minorEastAsia" w:hint="eastAsia"/>
          <w:color w:val="000000" w:themeColor="text1"/>
          <w:szCs w:val="21"/>
        </w:rPr>
        <w:t>4</w:t>
      </w:r>
      <w:r w:rsidRPr="005A7DE6">
        <w:rPr>
          <w:rFonts w:asciiTheme="minorEastAsia" w:eastAsiaTheme="minorEastAsia" w:hAnsiTheme="minorEastAsia"/>
          <w:color w:val="000000" w:themeColor="text1"/>
          <w:szCs w:val="21"/>
        </w:rPr>
        <w:t>9,</w:t>
      </w:r>
      <w:r w:rsidRPr="005A7DE6" w:rsidR="00522189">
        <w:rPr>
          <w:rFonts w:asciiTheme="minorEastAsia" w:eastAsiaTheme="minorEastAsia" w:hAnsiTheme="minorEastAsia" w:hint="eastAsia"/>
          <w:color w:val="000000" w:themeColor="text1"/>
          <w:szCs w:val="21"/>
        </w:rPr>
        <w:t>960</w:t>
      </w:r>
      <w:r w:rsidRPr="005A7DE6">
        <w:rPr>
          <w:rFonts w:asciiTheme="minorEastAsia" w:eastAsiaTheme="minorEastAsia" w:hAnsiTheme="minorEastAsia"/>
          <w:color w:val="000000" w:themeColor="text1"/>
          <w:szCs w:val="21"/>
        </w:rPr>
        <w:t>.</w:t>
      </w:r>
      <w:r w:rsidRPr="005A7DE6" w:rsidR="00522189">
        <w:rPr>
          <w:rFonts w:asciiTheme="minorEastAsia" w:eastAsiaTheme="minorEastAsia" w:hAnsiTheme="minorEastAsia" w:hint="eastAsia"/>
          <w:color w:val="000000" w:themeColor="text1"/>
          <w:szCs w:val="21"/>
        </w:rPr>
        <w:t>03</w:t>
      </w:r>
      <w:r w:rsidRPr="005A7DE6">
        <w:rPr>
          <w:rFonts w:asciiTheme="minorEastAsia" w:eastAsiaTheme="minorEastAsia" w:hAnsiTheme="minorEastAsia"/>
          <w:color w:val="000000" w:themeColor="text1"/>
          <w:szCs w:val="21"/>
        </w:rPr>
        <w:t>元</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申购费用</w:t>
      </w:r>
      <w:r w:rsidRPr="005A7DE6">
        <w:rPr>
          <w:rFonts w:asciiTheme="minorEastAsia" w:eastAsiaTheme="minorEastAsia" w:hAnsiTheme="minorEastAsia"/>
          <w:color w:val="000000" w:themeColor="text1"/>
          <w:szCs w:val="21"/>
        </w:rPr>
        <w:t>=</w:t>
      </w:r>
      <w:r w:rsidRPr="005A7DE6" w:rsidR="00522189">
        <w:rPr>
          <w:rFonts w:asciiTheme="minorEastAsia" w:eastAsiaTheme="minorEastAsia" w:hAnsiTheme="minorEastAsia" w:hint="eastAsia"/>
          <w:color w:val="000000" w:themeColor="text1"/>
          <w:szCs w:val="21"/>
        </w:rPr>
        <w:t>5</w:t>
      </w:r>
      <w:r w:rsidRPr="005A7DE6">
        <w:rPr>
          <w:rFonts w:asciiTheme="minorEastAsia" w:eastAsiaTheme="minorEastAsia" w:hAnsiTheme="minorEastAsia"/>
          <w:color w:val="000000" w:themeColor="text1"/>
          <w:szCs w:val="21"/>
        </w:rPr>
        <w:t>0,000-</w:t>
      </w:r>
      <w:r w:rsidRPr="005A7DE6" w:rsidR="00522189">
        <w:rPr>
          <w:rFonts w:asciiTheme="minorEastAsia" w:eastAsiaTheme="minorEastAsia" w:hAnsiTheme="minorEastAsia" w:hint="eastAsia"/>
          <w:color w:val="000000" w:themeColor="text1"/>
          <w:szCs w:val="21"/>
        </w:rPr>
        <w:t>4</w:t>
      </w:r>
      <w:r w:rsidRPr="005A7DE6">
        <w:rPr>
          <w:rFonts w:asciiTheme="minorEastAsia" w:eastAsiaTheme="minorEastAsia" w:hAnsiTheme="minorEastAsia"/>
          <w:color w:val="000000" w:themeColor="text1"/>
          <w:szCs w:val="21"/>
        </w:rPr>
        <w:t>9,</w:t>
      </w:r>
      <w:r w:rsidRPr="005A7DE6" w:rsidR="00522189">
        <w:rPr>
          <w:rFonts w:asciiTheme="minorEastAsia" w:eastAsiaTheme="minorEastAsia" w:hAnsiTheme="minorEastAsia" w:hint="eastAsia"/>
          <w:color w:val="000000" w:themeColor="text1"/>
          <w:szCs w:val="21"/>
        </w:rPr>
        <w:t>960</w:t>
      </w:r>
      <w:r w:rsidRPr="005A7DE6">
        <w:rPr>
          <w:rFonts w:asciiTheme="minorEastAsia" w:eastAsiaTheme="minorEastAsia" w:hAnsiTheme="minorEastAsia"/>
          <w:color w:val="000000" w:themeColor="text1"/>
          <w:szCs w:val="21"/>
        </w:rPr>
        <w:t>.</w:t>
      </w:r>
      <w:r w:rsidRPr="005A7DE6" w:rsidR="00522189">
        <w:rPr>
          <w:rFonts w:asciiTheme="minorEastAsia" w:eastAsiaTheme="minorEastAsia" w:hAnsiTheme="minorEastAsia" w:hint="eastAsia"/>
          <w:color w:val="000000" w:themeColor="text1"/>
          <w:szCs w:val="21"/>
        </w:rPr>
        <w:t>03</w:t>
      </w:r>
      <w:r w:rsidRPr="005A7DE6">
        <w:rPr>
          <w:rFonts w:asciiTheme="minorEastAsia" w:eastAsiaTheme="minorEastAsia" w:hAnsiTheme="minorEastAsia"/>
          <w:color w:val="000000" w:themeColor="text1"/>
          <w:szCs w:val="21"/>
        </w:rPr>
        <w:t>=</w:t>
      </w:r>
      <w:r w:rsidRPr="005A7DE6" w:rsidR="00522189">
        <w:rPr>
          <w:rFonts w:asciiTheme="minorEastAsia" w:eastAsiaTheme="minorEastAsia" w:hAnsiTheme="minorEastAsia" w:hint="eastAsia"/>
          <w:color w:val="000000" w:themeColor="text1"/>
          <w:szCs w:val="21"/>
        </w:rPr>
        <w:t>39</w:t>
      </w:r>
      <w:r w:rsidRPr="005A7DE6">
        <w:rPr>
          <w:rFonts w:asciiTheme="minorEastAsia" w:eastAsiaTheme="minorEastAsia" w:hAnsiTheme="minorEastAsia"/>
          <w:color w:val="000000" w:themeColor="text1"/>
          <w:szCs w:val="21"/>
        </w:rPr>
        <w:t>.</w:t>
      </w:r>
      <w:r w:rsidRPr="005A7DE6" w:rsidR="00522189">
        <w:rPr>
          <w:rFonts w:asciiTheme="minorEastAsia" w:eastAsiaTheme="minorEastAsia" w:hAnsiTheme="minorEastAsia" w:hint="eastAsia"/>
          <w:color w:val="000000" w:themeColor="text1"/>
          <w:szCs w:val="21"/>
        </w:rPr>
        <w:t>97</w:t>
      </w:r>
      <w:r w:rsidRPr="005A7DE6">
        <w:rPr>
          <w:rFonts w:asciiTheme="minorEastAsia" w:eastAsiaTheme="minorEastAsia" w:hAnsiTheme="minorEastAsia"/>
          <w:color w:val="000000" w:themeColor="text1"/>
          <w:szCs w:val="21"/>
        </w:rPr>
        <w:t>元</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申购份额</w:t>
      </w:r>
      <w:r w:rsidRPr="005A7DE6">
        <w:rPr>
          <w:rFonts w:asciiTheme="minorEastAsia" w:eastAsiaTheme="minorEastAsia" w:hAnsiTheme="minorEastAsia"/>
          <w:color w:val="000000" w:themeColor="text1"/>
          <w:szCs w:val="21"/>
        </w:rPr>
        <w:t>=</w:t>
      </w:r>
      <w:r w:rsidRPr="005A7DE6" w:rsidR="00522189">
        <w:rPr>
          <w:rFonts w:asciiTheme="minorEastAsia" w:eastAsiaTheme="minorEastAsia" w:hAnsiTheme="minorEastAsia" w:hint="eastAsia"/>
          <w:color w:val="000000" w:themeColor="text1"/>
          <w:szCs w:val="21"/>
        </w:rPr>
        <w:t>4</w:t>
      </w:r>
      <w:r w:rsidRPr="005A7DE6" w:rsidR="00522189">
        <w:rPr>
          <w:rFonts w:asciiTheme="minorEastAsia" w:eastAsiaTheme="minorEastAsia" w:hAnsiTheme="minorEastAsia"/>
          <w:color w:val="000000" w:themeColor="text1"/>
          <w:szCs w:val="21"/>
        </w:rPr>
        <w:t>9,</w:t>
      </w:r>
      <w:r w:rsidRPr="005A7DE6" w:rsidR="00522189">
        <w:rPr>
          <w:rFonts w:asciiTheme="minorEastAsia" w:eastAsiaTheme="minorEastAsia" w:hAnsiTheme="minorEastAsia" w:hint="eastAsia"/>
          <w:color w:val="000000" w:themeColor="text1"/>
          <w:szCs w:val="21"/>
        </w:rPr>
        <w:t>960</w:t>
      </w:r>
      <w:r w:rsidRPr="005A7DE6" w:rsidR="00522189">
        <w:rPr>
          <w:rFonts w:asciiTheme="minorEastAsia" w:eastAsiaTheme="minorEastAsia" w:hAnsiTheme="minorEastAsia"/>
          <w:color w:val="000000" w:themeColor="text1"/>
          <w:szCs w:val="21"/>
        </w:rPr>
        <w:t>.</w:t>
      </w:r>
      <w:r w:rsidRPr="005A7DE6" w:rsidR="00522189">
        <w:rPr>
          <w:rFonts w:asciiTheme="minorEastAsia" w:eastAsiaTheme="minorEastAsia" w:hAnsiTheme="minorEastAsia" w:hint="eastAsia"/>
          <w:color w:val="000000" w:themeColor="text1"/>
          <w:szCs w:val="21"/>
        </w:rPr>
        <w:t>03</w:t>
      </w:r>
      <w:r w:rsidRPr="005A7DE6">
        <w:rPr>
          <w:rFonts w:asciiTheme="minorEastAsia" w:eastAsiaTheme="minorEastAsia" w:hAnsiTheme="minorEastAsia"/>
          <w:color w:val="000000" w:themeColor="text1"/>
          <w:szCs w:val="21"/>
        </w:rPr>
        <w:t>/1.04</w:t>
      </w:r>
      <w:r w:rsidRPr="005A7DE6" w:rsidR="0052477F">
        <w:rPr>
          <w:rFonts w:asciiTheme="minorEastAsia" w:eastAsiaTheme="minorEastAsia" w:hAnsiTheme="minorEastAsia"/>
          <w:color w:val="000000" w:themeColor="text1"/>
          <w:szCs w:val="21"/>
        </w:rPr>
        <w:t>0</w:t>
      </w:r>
      <w:r w:rsidRPr="005A7DE6">
        <w:rPr>
          <w:rFonts w:asciiTheme="minorEastAsia" w:eastAsiaTheme="minorEastAsia" w:hAnsiTheme="minorEastAsia"/>
          <w:color w:val="000000" w:themeColor="text1"/>
          <w:szCs w:val="21"/>
        </w:rPr>
        <w:t>0=</w:t>
      </w:r>
      <w:r w:rsidRPr="005A7DE6" w:rsidR="00522189">
        <w:rPr>
          <w:rFonts w:asciiTheme="minorEastAsia" w:eastAsiaTheme="minorEastAsia" w:hAnsiTheme="minorEastAsia" w:hint="eastAsia"/>
          <w:color w:val="000000" w:themeColor="text1"/>
          <w:szCs w:val="21"/>
        </w:rPr>
        <w:t>4</w:t>
      </w:r>
      <w:r w:rsidRPr="005A7DE6">
        <w:rPr>
          <w:rFonts w:asciiTheme="minorEastAsia" w:eastAsiaTheme="minorEastAsia" w:hAnsiTheme="minorEastAsia"/>
          <w:color w:val="000000" w:themeColor="text1"/>
          <w:szCs w:val="21"/>
        </w:rPr>
        <w:t>8,</w:t>
      </w:r>
      <w:r w:rsidRPr="005A7DE6" w:rsidR="00522189">
        <w:rPr>
          <w:rFonts w:asciiTheme="minorEastAsia" w:eastAsiaTheme="minorEastAsia" w:hAnsiTheme="minorEastAsia" w:hint="eastAsia"/>
          <w:color w:val="000000" w:themeColor="text1"/>
          <w:szCs w:val="21"/>
        </w:rPr>
        <w:t>0</w:t>
      </w:r>
      <w:r w:rsidRPr="005A7DE6">
        <w:rPr>
          <w:rFonts w:asciiTheme="minorEastAsia" w:eastAsiaTheme="minorEastAsia" w:hAnsiTheme="minorEastAsia"/>
          <w:color w:val="000000" w:themeColor="text1"/>
          <w:szCs w:val="21"/>
        </w:rPr>
        <w:t>38.</w:t>
      </w:r>
      <w:r w:rsidRPr="005A7DE6" w:rsidR="00522189">
        <w:rPr>
          <w:rFonts w:asciiTheme="minorEastAsia" w:eastAsiaTheme="minorEastAsia" w:hAnsiTheme="minorEastAsia" w:hint="eastAsia"/>
          <w:color w:val="000000" w:themeColor="text1"/>
          <w:szCs w:val="21"/>
        </w:rPr>
        <w:t>49</w:t>
      </w:r>
      <w:r w:rsidRPr="005A7DE6">
        <w:rPr>
          <w:rFonts w:asciiTheme="minorEastAsia" w:eastAsiaTheme="minorEastAsia" w:hAnsiTheme="minorEastAsia"/>
          <w:color w:val="000000" w:themeColor="text1"/>
          <w:szCs w:val="21"/>
        </w:rPr>
        <w:t>份</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color w:val="000000" w:themeColor="text1"/>
          <w:szCs w:val="21"/>
        </w:rPr>
        <w:t>）若</w:t>
      </w:r>
      <w:r w:rsidRPr="005A7DE6" w:rsidR="00214A68">
        <w:rPr>
          <w:rFonts w:asciiTheme="minorEastAsia" w:eastAsiaTheme="minorEastAsia" w:hAnsiTheme="minorEastAsia"/>
          <w:color w:val="000000" w:themeColor="text1"/>
          <w:szCs w:val="21"/>
        </w:rPr>
        <w:t>投资人</w:t>
      </w:r>
      <w:r w:rsidRPr="005A7DE6">
        <w:rPr>
          <w:rFonts w:asciiTheme="minorEastAsia" w:eastAsiaTheme="minorEastAsia" w:hAnsiTheme="minorEastAsia"/>
          <w:color w:val="000000" w:themeColor="text1"/>
          <w:szCs w:val="21"/>
        </w:rPr>
        <w:t>选择</w:t>
      </w:r>
      <w:r w:rsidRPr="005A7DE6">
        <w:rPr>
          <w:rFonts w:asciiTheme="minorEastAsia" w:eastAsiaTheme="minorEastAsia" w:hAnsiTheme="minorEastAsia"/>
          <w:color w:val="000000" w:themeColor="text1"/>
          <w:szCs w:val="21"/>
        </w:rPr>
        <w:t>C</w:t>
      </w:r>
      <w:r w:rsidRPr="005A7DE6">
        <w:rPr>
          <w:rFonts w:asciiTheme="minorEastAsia" w:eastAsiaTheme="minorEastAsia" w:hAnsiTheme="minorEastAsia"/>
          <w:color w:val="000000" w:themeColor="text1"/>
          <w:szCs w:val="21"/>
        </w:rPr>
        <w:t>类基金份额，则申购份额的计算公式如下：</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申购份额</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申购金额</w:t>
      </w:r>
      <w:r w:rsidRPr="005A7DE6">
        <w:rPr>
          <w:rFonts w:asciiTheme="minorEastAsia" w:eastAsiaTheme="minorEastAsia" w:hAnsiTheme="minorEastAsia"/>
          <w:color w:val="000000" w:themeColor="text1"/>
          <w:szCs w:val="21"/>
        </w:rPr>
        <w:t>/T</w:t>
      </w:r>
      <w:r w:rsidRPr="005A7DE6">
        <w:rPr>
          <w:rFonts w:asciiTheme="minorEastAsia" w:eastAsiaTheme="minorEastAsia" w:hAnsiTheme="minorEastAsia"/>
          <w:color w:val="000000" w:themeColor="text1"/>
          <w:szCs w:val="21"/>
        </w:rPr>
        <w:t>日基金份额净值</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例</w:t>
      </w:r>
      <w:r w:rsidRPr="005A7DE6" w:rsidR="00522189">
        <w:rPr>
          <w:rFonts w:asciiTheme="minorEastAsia" w:eastAsiaTheme="minorEastAsia" w:hAnsiTheme="minorEastAsia" w:hint="eastAsia"/>
          <w:color w:val="000000" w:themeColor="text1"/>
          <w:szCs w:val="21"/>
        </w:rPr>
        <w:t>三</w:t>
      </w:r>
      <w:r w:rsidRPr="005A7DE6">
        <w:rPr>
          <w:rFonts w:asciiTheme="minorEastAsia" w:eastAsiaTheme="minorEastAsia" w:hAnsiTheme="minorEastAsia"/>
          <w:color w:val="000000" w:themeColor="text1"/>
          <w:szCs w:val="21"/>
        </w:rPr>
        <w:t>：某投资人投资</w:t>
      </w:r>
      <w:r w:rsidRPr="005A7DE6">
        <w:rPr>
          <w:rFonts w:asciiTheme="minorEastAsia" w:eastAsiaTheme="minorEastAsia" w:hAnsiTheme="minorEastAsia"/>
          <w:color w:val="000000" w:themeColor="text1"/>
          <w:szCs w:val="21"/>
        </w:rPr>
        <w:t>4</w:t>
      </w:r>
      <w:r w:rsidRPr="005A7DE6">
        <w:rPr>
          <w:rFonts w:asciiTheme="minorEastAsia" w:eastAsiaTheme="minorEastAsia" w:hAnsiTheme="minorEastAsia"/>
          <w:color w:val="000000" w:themeColor="text1"/>
          <w:szCs w:val="21"/>
        </w:rPr>
        <w:t>万元申购本基金</w:t>
      </w:r>
      <w:r w:rsidRPr="005A7DE6">
        <w:rPr>
          <w:rFonts w:asciiTheme="minorEastAsia" w:eastAsiaTheme="minorEastAsia" w:hAnsiTheme="minorEastAsia"/>
          <w:color w:val="000000" w:themeColor="text1"/>
          <w:szCs w:val="21"/>
        </w:rPr>
        <w:t>C</w:t>
      </w:r>
      <w:r w:rsidRPr="005A7DE6">
        <w:rPr>
          <w:rFonts w:asciiTheme="minorEastAsia" w:eastAsiaTheme="minorEastAsia" w:hAnsiTheme="minorEastAsia"/>
          <w:color w:val="000000" w:themeColor="text1"/>
          <w:szCs w:val="21"/>
        </w:rPr>
        <w:t>类基金份额，假设申购当日基金份额净值为</w:t>
      </w:r>
      <w:r w:rsidRPr="005A7DE6">
        <w:rPr>
          <w:rFonts w:asciiTheme="minorEastAsia" w:eastAsiaTheme="minorEastAsia" w:hAnsiTheme="minorEastAsia"/>
          <w:color w:val="000000" w:themeColor="text1"/>
          <w:szCs w:val="21"/>
        </w:rPr>
        <w:t>1.04</w:t>
      </w:r>
      <w:r w:rsidRPr="005A7DE6" w:rsidR="0052477F">
        <w:rPr>
          <w:rFonts w:asciiTheme="minorEastAsia" w:eastAsiaTheme="minorEastAsia" w:hAnsiTheme="minorEastAsia"/>
          <w:color w:val="000000" w:themeColor="text1"/>
          <w:szCs w:val="21"/>
        </w:rPr>
        <w:t>0</w:t>
      </w:r>
      <w:r w:rsidRPr="005A7DE6">
        <w:rPr>
          <w:rFonts w:asciiTheme="minorEastAsia" w:eastAsiaTheme="minorEastAsia" w:hAnsiTheme="minorEastAsia"/>
          <w:color w:val="000000" w:themeColor="text1"/>
          <w:szCs w:val="21"/>
        </w:rPr>
        <w:t>0</w:t>
      </w:r>
      <w:r w:rsidRPr="005A7DE6">
        <w:rPr>
          <w:rFonts w:asciiTheme="minorEastAsia" w:eastAsiaTheme="minorEastAsia" w:hAnsiTheme="minorEastAsia"/>
          <w:color w:val="000000" w:themeColor="text1"/>
          <w:szCs w:val="21"/>
        </w:rPr>
        <w:t>元，则其可得到的申购份额为：</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申购份额</w:t>
      </w:r>
      <w:r w:rsidRPr="005A7DE6">
        <w:rPr>
          <w:rFonts w:asciiTheme="minorEastAsia" w:eastAsiaTheme="minorEastAsia" w:hAnsiTheme="minorEastAsia"/>
          <w:color w:val="000000" w:themeColor="text1"/>
          <w:szCs w:val="21"/>
        </w:rPr>
        <w:t>=40,000.00/1.04</w:t>
      </w:r>
      <w:r w:rsidRPr="005A7DE6" w:rsidR="0052477F">
        <w:rPr>
          <w:rFonts w:asciiTheme="minorEastAsia" w:eastAsiaTheme="minorEastAsia" w:hAnsiTheme="minorEastAsia"/>
          <w:color w:val="000000" w:themeColor="text1"/>
          <w:szCs w:val="21"/>
        </w:rPr>
        <w:t>0</w:t>
      </w:r>
      <w:r w:rsidRPr="005A7DE6">
        <w:rPr>
          <w:rFonts w:asciiTheme="minorEastAsia" w:eastAsiaTheme="minorEastAsia" w:hAnsiTheme="minorEastAsia"/>
          <w:color w:val="000000" w:themeColor="text1"/>
          <w:szCs w:val="21"/>
        </w:rPr>
        <w:t>0=38,461.54</w:t>
      </w:r>
      <w:r w:rsidRPr="005A7DE6">
        <w:rPr>
          <w:rFonts w:asciiTheme="minorEastAsia" w:eastAsiaTheme="minorEastAsia" w:hAnsiTheme="minorEastAsia"/>
          <w:color w:val="000000" w:themeColor="text1"/>
          <w:szCs w:val="21"/>
        </w:rPr>
        <w:t>份</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w:t>
      </w:r>
      <w:r w:rsidRPr="005A7DE6">
        <w:rPr>
          <w:rFonts w:asciiTheme="minorEastAsia" w:eastAsiaTheme="minorEastAsia" w:hAnsiTheme="minorEastAsia"/>
          <w:color w:val="000000" w:themeColor="text1"/>
          <w:szCs w:val="21"/>
        </w:rPr>
        <w:t>、赎回金额的计算</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赎回金额的计算方法如下：</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赎回费用</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赎回份额</w:t>
      </w:r>
      <w:r w:rsidRPr="005A7DE6">
        <w:rPr>
          <w:rFonts w:asciiTheme="minorEastAsia" w:eastAsiaTheme="minorEastAsia" w:hAnsiTheme="minorEastAsia"/>
          <w:color w:val="000000" w:themeColor="text1"/>
          <w:szCs w:val="21"/>
        </w:rPr>
        <w:t>×T</w:t>
      </w:r>
      <w:r w:rsidRPr="005A7DE6">
        <w:rPr>
          <w:rFonts w:asciiTheme="minorEastAsia" w:eastAsiaTheme="minorEastAsia" w:hAnsiTheme="minorEastAsia"/>
          <w:color w:val="000000" w:themeColor="text1"/>
          <w:szCs w:val="21"/>
        </w:rPr>
        <w:t>日基金份额净值</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赎回费率</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赎回金额</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赎回份额</w:t>
      </w:r>
      <w:r w:rsidRPr="005A7DE6">
        <w:rPr>
          <w:rFonts w:asciiTheme="minorEastAsia" w:eastAsiaTheme="minorEastAsia" w:hAnsiTheme="minorEastAsia"/>
          <w:color w:val="000000" w:themeColor="text1"/>
          <w:szCs w:val="21"/>
        </w:rPr>
        <w:t>×T</w:t>
      </w:r>
      <w:r w:rsidRPr="005A7DE6">
        <w:rPr>
          <w:rFonts w:asciiTheme="minorEastAsia" w:eastAsiaTheme="minorEastAsia" w:hAnsiTheme="minorEastAsia"/>
          <w:color w:val="000000" w:themeColor="text1"/>
          <w:szCs w:val="21"/>
        </w:rPr>
        <w:t>日基金份额净值</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赎回费用</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例</w:t>
      </w:r>
      <w:r w:rsidRPr="005A7DE6" w:rsidR="00522189">
        <w:rPr>
          <w:rFonts w:asciiTheme="minorEastAsia" w:eastAsiaTheme="minorEastAsia" w:hAnsiTheme="minorEastAsia" w:hint="eastAsia"/>
          <w:color w:val="000000" w:themeColor="text1"/>
          <w:szCs w:val="21"/>
        </w:rPr>
        <w:t>四</w:t>
      </w:r>
      <w:r w:rsidRPr="005A7DE6">
        <w:rPr>
          <w:rFonts w:asciiTheme="minorEastAsia" w:eastAsiaTheme="minorEastAsia" w:hAnsiTheme="minorEastAsia"/>
          <w:color w:val="000000" w:themeColor="text1"/>
          <w:szCs w:val="21"/>
        </w:rPr>
        <w:t>：某投资人赎回</w:t>
      </w: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万份</w:t>
      </w:r>
      <w:r w:rsidRPr="005A7DE6">
        <w:rPr>
          <w:rFonts w:asciiTheme="minorEastAsia" w:eastAsiaTheme="minorEastAsia" w:hAnsiTheme="minorEastAsia"/>
          <w:color w:val="000000" w:themeColor="text1"/>
          <w:szCs w:val="21"/>
        </w:rPr>
        <w:t>A</w:t>
      </w:r>
      <w:r w:rsidRPr="005A7DE6">
        <w:rPr>
          <w:rFonts w:asciiTheme="minorEastAsia" w:eastAsiaTheme="minorEastAsia" w:hAnsiTheme="minorEastAsia"/>
          <w:color w:val="000000" w:themeColor="text1"/>
          <w:szCs w:val="21"/>
        </w:rPr>
        <w:t>类基金份额，假设该笔份额持有期限为</w:t>
      </w:r>
      <w:r w:rsidRPr="005A7DE6">
        <w:rPr>
          <w:rFonts w:asciiTheme="minorEastAsia" w:eastAsiaTheme="minorEastAsia" w:hAnsiTheme="minorEastAsia"/>
          <w:color w:val="000000" w:themeColor="text1"/>
          <w:szCs w:val="21"/>
        </w:rPr>
        <w:t>100</w:t>
      </w:r>
      <w:r w:rsidRPr="005A7DE6">
        <w:rPr>
          <w:rFonts w:asciiTheme="minorEastAsia" w:eastAsiaTheme="minorEastAsia" w:hAnsiTheme="minorEastAsia"/>
          <w:color w:val="000000" w:themeColor="text1"/>
          <w:szCs w:val="21"/>
        </w:rPr>
        <w:t>天，则对应的赎回费率为</w:t>
      </w:r>
      <w:r w:rsidRPr="005A7DE6">
        <w:rPr>
          <w:rFonts w:asciiTheme="minorEastAsia" w:eastAsiaTheme="minorEastAsia" w:hAnsiTheme="minorEastAsia"/>
          <w:color w:val="000000" w:themeColor="text1"/>
          <w:szCs w:val="21"/>
        </w:rPr>
        <w:t>0.1%</w:t>
      </w:r>
      <w:r w:rsidRPr="005A7DE6">
        <w:rPr>
          <w:rFonts w:asciiTheme="minorEastAsia" w:eastAsiaTheme="minorEastAsia" w:hAnsiTheme="minorEastAsia"/>
          <w:color w:val="000000" w:themeColor="text1"/>
          <w:szCs w:val="21"/>
        </w:rPr>
        <w:t>，假设赎回当日基金份额净值是</w:t>
      </w:r>
      <w:r w:rsidRPr="005A7DE6">
        <w:rPr>
          <w:rFonts w:asciiTheme="minorEastAsia" w:eastAsiaTheme="minorEastAsia" w:hAnsiTheme="minorEastAsia"/>
          <w:color w:val="000000" w:themeColor="text1"/>
          <w:szCs w:val="21"/>
        </w:rPr>
        <w:t>1.016</w:t>
      </w:r>
      <w:r w:rsidRPr="005A7DE6" w:rsidR="0052477F">
        <w:rPr>
          <w:rFonts w:asciiTheme="minorEastAsia" w:eastAsiaTheme="minorEastAsia" w:hAnsiTheme="minorEastAsia"/>
          <w:color w:val="000000" w:themeColor="text1"/>
          <w:szCs w:val="21"/>
        </w:rPr>
        <w:t>0</w:t>
      </w:r>
      <w:r w:rsidRPr="005A7DE6">
        <w:rPr>
          <w:rFonts w:asciiTheme="minorEastAsia" w:eastAsiaTheme="minorEastAsia" w:hAnsiTheme="minorEastAsia"/>
          <w:color w:val="000000" w:themeColor="text1"/>
          <w:szCs w:val="21"/>
        </w:rPr>
        <w:t>元，则其可得到的赎回金额为：</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赎回费用</w:t>
      </w:r>
      <w:r w:rsidRPr="005A7DE6">
        <w:rPr>
          <w:rFonts w:asciiTheme="minorEastAsia" w:eastAsiaTheme="minorEastAsia" w:hAnsiTheme="minorEastAsia"/>
          <w:color w:val="000000" w:themeColor="text1"/>
          <w:szCs w:val="21"/>
        </w:rPr>
        <w:t>=10,000×1.016</w:t>
      </w:r>
      <w:r w:rsidRPr="005A7DE6" w:rsidR="0052477F">
        <w:rPr>
          <w:rFonts w:asciiTheme="minorEastAsia" w:eastAsiaTheme="minorEastAsia" w:hAnsiTheme="minorEastAsia"/>
          <w:color w:val="000000" w:themeColor="text1"/>
          <w:szCs w:val="21"/>
        </w:rPr>
        <w:t>0</w:t>
      </w:r>
      <w:r w:rsidRPr="005A7DE6">
        <w:rPr>
          <w:rFonts w:asciiTheme="minorEastAsia" w:eastAsiaTheme="minorEastAsia" w:hAnsiTheme="minorEastAsia"/>
          <w:color w:val="000000" w:themeColor="text1"/>
          <w:szCs w:val="21"/>
        </w:rPr>
        <w:t>×0.1%</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10.16</w:t>
      </w:r>
      <w:r w:rsidRPr="005A7DE6">
        <w:rPr>
          <w:rFonts w:asciiTheme="minorEastAsia" w:eastAsiaTheme="minorEastAsia" w:hAnsiTheme="minorEastAsia"/>
          <w:color w:val="000000" w:themeColor="text1"/>
          <w:szCs w:val="21"/>
        </w:rPr>
        <w:t>元</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赎回金额</w:t>
      </w:r>
      <w:r w:rsidRPr="005A7DE6">
        <w:rPr>
          <w:rFonts w:asciiTheme="minorEastAsia" w:eastAsiaTheme="minorEastAsia" w:hAnsiTheme="minorEastAsia"/>
          <w:color w:val="000000" w:themeColor="text1"/>
          <w:szCs w:val="21"/>
        </w:rPr>
        <w:t>=10,000×1.016</w:t>
      </w:r>
      <w:r w:rsidRPr="005A7DE6" w:rsidR="0052477F">
        <w:rPr>
          <w:rFonts w:asciiTheme="minorEastAsia" w:eastAsiaTheme="minorEastAsia" w:hAnsiTheme="minorEastAsia"/>
          <w:color w:val="000000" w:themeColor="text1"/>
          <w:szCs w:val="21"/>
        </w:rPr>
        <w:t>0</w:t>
      </w:r>
      <w:r w:rsidRPr="005A7DE6">
        <w:rPr>
          <w:rFonts w:asciiTheme="minorEastAsia" w:eastAsiaTheme="minorEastAsia" w:hAnsiTheme="minorEastAsia"/>
          <w:color w:val="000000" w:themeColor="text1"/>
          <w:szCs w:val="21"/>
        </w:rPr>
        <w:t>-10.16</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10,149.84</w:t>
      </w:r>
      <w:r w:rsidRPr="005A7DE6">
        <w:rPr>
          <w:rFonts w:asciiTheme="minorEastAsia" w:eastAsiaTheme="minorEastAsia" w:hAnsiTheme="minorEastAsia"/>
          <w:color w:val="000000" w:themeColor="text1"/>
          <w:szCs w:val="21"/>
        </w:rPr>
        <w:t>元</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即：投资人赎回本基金</w:t>
      </w: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万份</w:t>
      </w:r>
      <w:r w:rsidRPr="005A7DE6">
        <w:rPr>
          <w:rFonts w:asciiTheme="minorEastAsia" w:eastAsiaTheme="minorEastAsia" w:hAnsiTheme="minorEastAsia"/>
          <w:color w:val="000000" w:themeColor="text1"/>
          <w:szCs w:val="21"/>
        </w:rPr>
        <w:t>A</w:t>
      </w:r>
      <w:r w:rsidRPr="005A7DE6">
        <w:rPr>
          <w:rFonts w:asciiTheme="minorEastAsia" w:eastAsiaTheme="minorEastAsia" w:hAnsiTheme="minorEastAsia"/>
          <w:color w:val="000000" w:themeColor="text1"/>
          <w:szCs w:val="21"/>
        </w:rPr>
        <w:t>类基金份额，假设赎回当日基金份额净值是</w:t>
      </w:r>
      <w:r w:rsidRPr="005A7DE6">
        <w:rPr>
          <w:rFonts w:asciiTheme="minorEastAsia" w:eastAsiaTheme="minorEastAsia" w:hAnsiTheme="minorEastAsia"/>
          <w:color w:val="000000" w:themeColor="text1"/>
          <w:szCs w:val="21"/>
        </w:rPr>
        <w:t>1.016</w:t>
      </w:r>
      <w:r w:rsidRPr="005A7DE6" w:rsidR="0052477F">
        <w:rPr>
          <w:rFonts w:asciiTheme="minorEastAsia" w:eastAsiaTheme="minorEastAsia" w:hAnsiTheme="minorEastAsia"/>
          <w:color w:val="000000" w:themeColor="text1"/>
          <w:szCs w:val="21"/>
        </w:rPr>
        <w:t>0</w:t>
      </w:r>
      <w:r w:rsidRPr="005A7DE6">
        <w:rPr>
          <w:rFonts w:asciiTheme="minorEastAsia" w:eastAsiaTheme="minorEastAsia" w:hAnsiTheme="minorEastAsia"/>
          <w:color w:val="000000" w:themeColor="text1"/>
          <w:szCs w:val="21"/>
        </w:rPr>
        <w:t>元，则其可得到的赎回金额为</w:t>
      </w:r>
      <w:r w:rsidRPr="005A7DE6">
        <w:rPr>
          <w:rFonts w:asciiTheme="minorEastAsia" w:eastAsiaTheme="minorEastAsia" w:hAnsiTheme="minorEastAsia"/>
          <w:color w:val="000000" w:themeColor="text1"/>
          <w:szCs w:val="21"/>
        </w:rPr>
        <w:t>10,149.84</w:t>
      </w:r>
      <w:r w:rsidRPr="005A7DE6">
        <w:rPr>
          <w:rFonts w:asciiTheme="minorEastAsia" w:eastAsiaTheme="minorEastAsia" w:hAnsiTheme="minorEastAsia"/>
          <w:color w:val="000000" w:themeColor="text1"/>
          <w:szCs w:val="21"/>
        </w:rPr>
        <w:t>元。</w:t>
      </w:r>
    </w:p>
    <w:p w:rsidR="00473CDB" w:rsidRPr="005A7DE6" w:rsidP="00473CDB">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例</w:t>
      </w:r>
      <w:r w:rsidRPr="005A7DE6">
        <w:rPr>
          <w:rFonts w:asciiTheme="minorEastAsia" w:eastAsiaTheme="minorEastAsia" w:hAnsiTheme="minorEastAsia" w:hint="eastAsia"/>
          <w:color w:val="000000" w:themeColor="text1"/>
          <w:szCs w:val="21"/>
        </w:rPr>
        <w:t>五</w:t>
      </w:r>
      <w:r w:rsidRPr="005A7DE6">
        <w:rPr>
          <w:rFonts w:asciiTheme="minorEastAsia" w:eastAsiaTheme="minorEastAsia" w:hAnsiTheme="minorEastAsia"/>
          <w:color w:val="000000" w:themeColor="text1"/>
          <w:szCs w:val="21"/>
        </w:rPr>
        <w:t>：某投资人赎回</w:t>
      </w: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万份</w:t>
      </w:r>
      <w:r w:rsidRPr="005A7DE6">
        <w:rPr>
          <w:rFonts w:asciiTheme="minorEastAsia" w:eastAsiaTheme="minorEastAsia" w:hAnsiTheme="minorEastAsia"/>
          <w:color w:val="000000" w:themeColor="text1"/>
          <w:szCs w:val="21"/>
        </w:rPr>
        <w:t>A</w:t>
      </w:r>
      <w:r w:rsidRPr="005A7DE6">
        <w:rPr>
          <w:rFonts w:asciiTheme="minorEastAsia" w:eastAsiaTheme="minorEastAsia" w:hAnsiTheme="minorEastAsia"/>
          <w:color w:val="000000" w:themeColor="text1"/>
          <w:szCs w:val="21"/>
        </w:rPr>
        <w:t>类基金份额，假设该笔份额持有期限为</w:t>
      </w:r>
      <w:r w:rsidRPr="005A7DE6">
        <w:rPr>
          <w:rFonts w:asciiTheme="minorEastAsia" w:eastAsiaTheme="minorEastAsia" w:hAnsiTheme="minorEastAsia"/>
          <w:color w:val="000000" w:themeColor="text1"/>
          <w:szCs w:val="21"/>
        </w:rPr>
        <w:t>6</w:t>
      </w:r>
      <w:r w:rsidRPr="005A7DE6">
        <w:rPr>
          <w:rFonts w:asciiTheme="minorEastAsia" w:eastAsiaTheme="minorEastAsia" w:hAnsiTheme="minorEastAsia"/>
          <w:color w:val="000000" w:themeColor="text1"/>
          <w:szCs w:val="21"/>
        </w:rPr>
        <w:t>天，则对应的赎回费率为</w:t>
      </w:r>
      <w:r w:rsidRPr="005A7DE6">
        <w:rPr>
          <w:rFonts w:asciiTheme="minorEastAsia" w:eastAsiaTheme="minorEastAsia" w:hAnsiTheme="minorEastAsia"/>
          <w:color w:val="000000" w:themeColor="text1"/>
          <w:szCs w:val="21"/>
        </w:rPr>
        <w:t>1.5%</w:t>
      </w:r>
      <w:r w:rsidRPr="005A7DE6">
        <w:rPr>
          <w:rFonts w:asciiTheme="minorEastAsia" w:eastAsiaTheme="minorEastAsia" w:hAnsiTheme="minorEastAsia"/>
          <w:color w:val="000000" w:themeColor="text1"/>
          <w:szCs w:val="21"/>
        </w:rPr>
        <w:t>，假设赎回当日基金份额净值是</w:t>
      </w:r>
      <w:r w:rsidRPr="005A7DE6">
        <w:rPr>
          <w:rFonts w:asciiTheme="minorEastAsia" w:eastAsiaTheme="minorEastAsia" w:hAnsiTheme="minorEastAsia"/>
          <w:color w:val="000000" w:themeColor="text1"/>
          <w:szCs w:val="21"/>
        </w:rPr>
        <w:t>1.016</w:t>
      </w:r>
      <w:r w:rsidRPr="005A7DE6" w:rsidR="0052477F">
        <w:rPr>
          <w:rFonts w:asciiTheme="minorEastAsia" w:eastAsiaTheme="minorEastAsia" w:hAnsiTheme="minorEastAsia"/>
          <w:color w:val="000000" w:themeColor="text1"/>
          <w:szCs w:val="21"/>
        </w:rPr>
        <w:t>0</w:t>
      </w:r>
      <w:r w:rsidRPr="005A7DE6">
        <w:rPr>
          <w:rFonts w:asciiTheme="minorEastAsia" w:eastAsiaTheme="minorEastAsia" w:hAnsiTheme="minorEastAsia"/>
          <w:color w:val="000000" w:themeColor="text1"/>
          <w:szCs w:val="21"/>
        </w:rPr>
        <w:t>元，则其可得到的赎回金额为：</w:t>
      </w:r>
    </w:p>
    <w:p w:rsidR="00473CDB" w:rsidRPr="005A7DE6" w:rsidP="00473CDB">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赎回费用</w:t>
      </w:r>
      <w:r w:rsidRPr="005A7DE6">
        <w:rPr>
          <w:rFonts w:asciiTheme="minorEastAsia" w:eastAsiaTheme="minorEastAsia" w:hAnsiTheme="minorEastAsia"/>
          <w:color w:val="000000" w:themeColor="text1"/>
          <w:szCs w:val="21"/>
        </w:rPr>
        <w:t>=10,000×1.016</w:t>
      </w:r>
      <w:r w:rsidRPr="005A7DE6" w:rsidR="0052477F">
        <w:rPr>
          <w:rFonts w:asciiTheme="minorEastAsia" w:eastAsiaTheme="minorEastAsia" w:hAnsiTheme="minorEastAsia"/>
          <w:color w:val="000000" w:themeColor="text1"/>
          <w:szCs w:val="21"/>
        </w:rPr>
        <w:t>0</w:t>
      </w:r>
      <w:r w:rsidRPr="005A7DE6">
        <w:rPr>
          <w:rFonts w:asciiTheme="minorEastAsia" w:eastAsiaTheme="minorEastAsia" w:hAnsiTheme="minorEastAsia"/>
          <w:color w:val="000000" w:themeColor="text1"/>
          <w:szCs w:val="21"/>
        </w:rPr>
        <w:t>×1.5%</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152.40</w:t>
      </w:r>
      <w:r w:rsidRPr="005A7DE6">
        <w:rPr>
          <w:rFonts w:asciiTheme="minorEastAsia" w:eastAsiaTheme="minorEastAsia" w:hAnsiTheme="minorEastAsia"/>
          <w:color w:val="000000" w:themeColor="text1"/>
          <w:szCs w:val="21"/>
        </w:rPr>
        <w:t>元</w:t>
      </w:r>
    </w:p>
    <w:p w:rsidR="00473CDB" w:rsidRPr="005A7DE6" w:rsidP="00473CDB">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赎回金额</w:t>
      </w:r>
      <w:r w:rsidRPr="005A7DE6">
        <w:rPr>
          <w:rFonts w:asciiTheme="minorEastAsia" w:eastAsiaTheme="minorEastAsia" w:hAnsiTheme="minorEastAsia"/>
          <w:color w:val="000000" w:themeColor="text1"/>
          <w:szCs w:val="21"/>
        </w:rPr>
        <w:t>=10,000×1.016</w:t>
      </w:r>
      <w:r w:rsidRPr="005A7DE6" w:rsidR="0052477F">
        <w:rPr>
          <w:rFonts w:asciiTheme="minorEastAsia" w:eastAsiaTheme="minorEastAsia" w:hAnsiTheme="minorEastAsia"/>
          <w:color w:val="000000" w:themeColor="text1"/>
          <w:szCs w:val="21"/>
        </w:rPr>
        <w:t>0</w:t>
      </w:r>
      <w:r w:rsidRPr="005A7DE6">
        <w:rPr>
          <w:rFonts w:asciiTheme="minorEastAsia" w:eastAsiaTheme="minorEastAsia" w:hAnsiTheme="minorEastAsia"/>
          <w:color w:val="000000" w:themeColor="text1"/>
          <w:szCs w:val="21"/>
        </w:rPr>
        <w:t>-152.40</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10,007.60</w:t>
      </w:r>
      <w:r w:rsidRPr="005A7DE6">
        <w:rPr>
          <w:rFonts w:asciiTheme="minorEastAsia" w:eastAsiaTheme="minorEastAsia" w:hAnsiTheme="minorEastAsia"/>
          <w:color w:val="000000" w:themeColor="text1"/>
          <w:szCs w:val="21"/>
        </w:rPr>
        <w:t>元</w:t>
      </w:r>
    </w:p>
    <w:p w:rsidR="00473CDB" w:rsidRPr="005A7DE6" w:rsidP="00473CDB">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即：投资人赎回本基金</w:t>
      </w: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万份</w:t>
      </w:r>
      <w:r w:rsidRPr="005A7DE6">
        <w:rPr>
          <w:rFonts w:asciiTheme="minorEastAsia" w:eastAsiaTheme="minorEastAsia" w:hAnsiTheme="minorEastAsia"/>
          <w:color w:val="000000" w:themeColor="text1"/>
          <w:szCs w:val="21"/>
        </w:rPr>
        <w:t>A</w:t>
      </w:r>
      <w:r w:rsidRPr="005A7DE6">
        <w:rPr>
          <w:rFonts w:asciiTheme="minorEastAsia" w:eastAsiaTheme="minorEastAsia" w:hAnsiTheme="minorEastAsia"/>
          <w:color w:val="000000" w:themeColor="text1"/>
          <w:szCs w:val="21"/>
        </w:rPr>
        <w:t>类基金份额，假设赎回当日基金份额净值是</w:t>
      </w:r>
      <w:r w:rsidRPr="005A7DE6">
        <w:rPr>
          <w:rFonts w:asciiTheme="minorEastAsia" w:eastAsiaTheme="minorEastAsia" w:hAnsiTheme="minorEastAsia"/>
          <w:color w:val="000000" w:themeColor="text1"/>
          <w:szCs w:val="21"/>
        </w:rPr>
        <w:t>1.016</w:t>
      </w:r>
      <w:r w:rsidRPr="005A7DE6" w:rsidR="0052477F">
        <w:rPr>
          <w:rFonts w:asciiTheme="minorEastAsia" w:eastAsiaTheme="minorEastAsia" w:hAnsiTheme="minorEastAsia"/>
          <w:color w:val="000000" w:themeColor="text1"/>
          <w:szCs w:val="21"/>
        </w:rPr>
        <w:t>0</w:t>
      </w:r>
      <w:r w:rsidRPr="005A7DE6">
        <w:rPr>
          <w:rFonts w:asciiTheme="minorEastAsia" w:eastAsiaTheme="minorEastAsia" w:hAnsiTheme="minorEastAsia"/>
          <w:color w:val="000000" w:themeColor="text1"/>
          <w:szCs w:val="21"/>
        </w:rPr>
        <w:t>元，则其可得到的赎回金额为</w:t>
      </w:r>
      <w:r w:rsidRPr="005A7DE6">
        <w:rPr>
          <w:rFonts w:asciiTheme="minorEastAsia" w:eastAsiaTheme="minorEastAsia" w:hAnsiTheme="minorEastAsia"/>
          <w:color w:val="000000" w:themeColor="text1"/>
          <w:szCs w:val="21"/>
        </w:rPr>
        <w:t>10,007.60</w:t>
      </w:r>
      <w:r w:rsidRPr="005A7DE6">
        <w:rPr>
          <w:rFonts w:asciiTheme="minorEastAsia" w:eastAsiaTheme="minorEastAsia" w:hAnsiTheme="minorEastAsia"/>
          <w:color w:val="000000" w:themeColor="text1"/>
          <w:szCs w:val="21"/>
        </w:rPr>
        <w:t>元。</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例</w:t>
      </w:r>
      <w:r w:rsidRPr="005A7DE6">
        <w:rPr>
          <w:rFonts w:asciiTheme="minorEastAsia" w:eastAsiaTheme="minorEastAsia" w:hAnsiTheme="minorEastAsia" w:hint="eastAsia"/>
          <w:color w:val="000000" w:themeColor="text1"/>
          <w:szCs w:val="21"/>
        </w:rPr>
        <w:t>六</w:t>
      </w:r>
      <w:r w:rsidRPr="005A7DE6">
        <w:rPr>
          <w:rFonts w:asciiTheme="minorEastAsia" w:eastAsiaTheme="minorEastAsia" w:hAnsiTheme="minorEastAsia"/>
          <w:color w:val="000000" w:themeColor="text1"/>
          <w:szCs w:val="21"/>
        </w:rPr>
        <w:t>：某投资人赎回</w:t>
      </w: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万份</w:t>
      </w:r>
      <w:r w:rsidRPr="005A7DE6">
        <w:rPr>
          <w:rFonts w:asciiTheme="minorEastAsia" w:eastAsiaTheme="minorEastAsia" w:hAnsiTheme="minorEastAsia"/>
          <w:color w:val="000000" w:themeColor="text1"/>
          <w:szCs w:val="21"/>
        </w:rPr>
        <w:t>C</w:t>
      </w:r>
      <w:r w:rsidRPr="005A7DE6">
        <w:rPr>
          <w:rFonts w:asciiTheme="minorEastAsia" w:eastAsiaTheme="minorEastAsia" w:hAnsiTheme="minorEastAsia"/>
          <w:color w:val="000000" w:themeColor="text1"/>
          <w:szCs w:val="21"/>
        </w:rPr>
        <w:t>类基金份额，假设该笔份额持有期限为</w:t>
      </w:r>
      <w:r w:rsidRPr="005A7DE6">
        <w:rPr>
          <w:rFonts w:asciiTheme="minorEastAsia" w:eastAsiaTheme="minorEastAsia" w:hAnsiTheme="minorEastAsia"/>
          <w:color w:val="000000" w:themeColor="text1"/>
          <w:szCs w:val="21"/>
        </w:rPr>
        <w:t>10</w:t>
      </w:r>
      <w:r w:rsidRPr="005A7DE6">
        <w:rPr>
          <w:rFonts w:asciiTheme="minorEastAsia" w:eastAsiaTheme="minorEastAsia" w:hAnsiTheme="minorEastAsia"/>
          <w:color w:val="000000" w:themeColor="text1"/>
          <w:szCs w:val="21"/>
        </w:rPr>
        <w:t>天，则对应的赎回费率为</w:t>
      </w:r>
      <w:r w:rsidRPr="005A7DE6">
        <w:rPr>
          <w:rFonts w:asciiTheme="minorEastAsia" w:eastAsiaTheme="minorEastAsia" w:hAnsiTheme="minorEastAsia"/>
          <w:color w:val="000000" w:themeColor="text1"/>
          <w:szCs w:val="21"/>
        </w:rPr>
        <w:t>0.75%</w:t>
      </w:r>
      <w:r w:rsidRPr="005A7DE6">
        <w:rPr>
          <w:rFonts w:asciiTheme="minorEastAsia" w:eastAsiaTheme="minorEastAsia" w:hAnsiTheme="minorEastAsia"/>
          <w:color w:val="000000" w:themeColor="text1"/>
          <w:szCs w:val="21"/>
        </w:rPr>
        <w:t>，假设赎回当日基金份额净值是</w:t>
      </w:r>
      <w:r w:rsidRPr="005A7DE6">
        <w:rPr>
          <w:rFonts w:asciiTheme="minorEastAsia" w:eastAsiaTheme="minorEastAsia" w:hAnsiTheme="minorEastAsia"/>
          <w:color w:val="000000" w:themeColor="text1"/>
          <w:szCs w:val="21"/>
        </w:rPr>
        <w:t>1.016</w:t>
      </w:r>
      <w:r w:rsidRPr="005A7DE6" w:rsidR="0052477F">
        <w:rPr>
          <w:rFonts w:asciiTheme="minorEastAsia" w:eastAsiaTheme="minorEastAsia" w:hAnsiTheme="minorEastAsia"/>
          <w:color w:val="000000" w:themeColor="text1"/>
          <w:szCs w:val="21"/>
        </w:rPr>
        <w:t>0</w:t>
      </w:r>
      <w:r w:rsidRPr="005A7DE6">
        <w:rPr>
          <w:rFonts w:asciiTheme="minorEastAsia" w:eastAsiaTheme="minorEastAsia" w:hAnsiTheme="minorEastAsia"/>
          <w:color w:val="000000" w:themeColor="text1"/>
          <w:szCs w:val="21"/>
        </w:rPr>
        <w:t>元，则其可得到的赎回金额为：</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赎回费用</w:t>
      </w:r>
      <w:r w:rsidRPr="005A7DE6">
        <w:rPr>
          <w:rFonts w:asciiTheme="minorEastAsia" w:eastAsiaTheme="minorEastAsia" w:hAnsiTheme="minorEastAsia"/>
          <w:color w:val="000000" w:themeColor="text1"/>
          <w:szCs w:val="21"/>
        </w:rPr>
        <w:t>=10,000×1.016</w:t>
      </w:r>
      <w:r w:rsidRPr="005A7DE6" w:rsidR="0052477F">
        <w:rPr>
          <w:rFonts w:asciiTheme="minorEastAsia" w:eastAsiaTheme="minorEastAsia" w:hAnsiTheme="minorEastAsia"/>
          <w:color w:val="000000" w:themeColor="text1"/>
          <w:szCs w:val="21"/>
        </w:rPr>
        <w:t>0</w:t>
      </w:r>
      <w:r w:rsidRPr="005A7DE6">
        <w:rPr>
          <w:rFonts w:asciiTheme="minorEastAsia" w:eastAsiaTheme="minorEastAsia" w:hAnsiTheme="minorEastAsia"/>
          <w:color w:val="000000" w:themeColor="text1"/>
          <w:szCs w:val="21"/>
        </w:rPr>
        <w:t>×0.75%</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76.20</w:t>
      </w:r>
      <w:r w:rsidRPr="005A7DE6">
        <w:rPr>
          <w:rFonts w:asciiTheme="minorEastAsia" w:eastAsiaTheme="minorEastAsia" w:hAnsiTheme="minorEastAsia"/>
          <w:color w:val="000000" w:themeColor="text1"/>
          <w:szCs w:val="21"/>
        </w:rPr>
        <w:t>元</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赎回金额</w:t>
      </w:r>
      <w:r w:rsidRPr="005A7DE6">
        <w:rPr>
          <w:rFonts w:asciiTheme="minorEastAsia" w:eastAsiaTheme="minorEastAsia" w:hAnsiTheme="minorEastAsia"/>
          <w:color w:val="000000" w:themeColor="text1"/>
          <w:szCs w:val="21"/>
        </w:rPr>
        <w:t>=10,000×1.016</w:t>
      </w:r>
      <w:r w:rsidRPr="005A7DE6" w:rsidR="0052477F">
        <w:rPr>
          <w:rFonts w:asciiTheme="minorEastAsia" w:eastAsiaTheme="minorEastAsia" w:hAnsiTheme="minorEastAsia"/>
          <w:color w:val="000000" w:themeColor="text1"/>
          <w:szCs w:val="21"/>
        </w:rPr>
        <w:t>0</w:t>
      </w:r>
      <w:r w:rsidRPr="005A7DE6">
        <w:rPr>
          <w:rFonts w:asciiTheme="minorEastAsia" w:eastAsiaTheme="minorEastAsia" w:hAnsiTheme="minorEastAsia"/>
          <w:color w:val="000000" w:themeColor="text1"/>
          <w:szCs w:val="21"/>
        </w:rPr>
        <w:t>-76.20</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0,083.80</w:t>
      </w:r>
      <w:r w:rsidRPr="005A7DE6">
        <w:rPr>
          <w:rFonts w:asciiTheme="minorEastAsia" w:eastAsiaTheme="minorEastAsia" w:hAnsiTheme="minorEastAsia"/>
          <w:color w:val="000000" w:themeColor="text1"/>
          <w:szCs w:val="21"/>
        </w:rPr>
        <w:t>元</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即：投资人赎回本基金</w:t>
      </w: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万份</w:t>
      </w:r>
      <w:r w:rsidRPr="005A7DE6">
        <w:rPr>
          <w:rFonts w:asciiTheme="minorEastAsia" w:eastAsiaTheme="minorEastAsia" w:hAnsiTheme="minorEastAsia"/>
          <w:color w:val="000000" w:themeColor="text1"/>
          <w:szCs w:val="21"/>
        </w:rPr>
        <w:t>C</w:t>
      </w:r>
      <w:r w:rsidRPr="005A7DE6">
        <w:rPr>
          <w:rFonts w:asciiTheme="minorEastAsia" w:eastAsiaTheme="minorEastAsia" w:hAnsiTheme="minorEastAsia"/>
          <w:color w:val="000000" w:themeColor="text1"/>
          <w:szCs w:val="21"/>
        </w:rPr>
        <w:t>类基金份额，假设赎回当日基金份额净值是</w:t>
      </w:r>
      <w:r w:rsidRPr="005A7DE6">
        <w:rPr>
          <w:rFonts w:asciiTheme="minorEastAsia" w:eastAsiaTheme="minorEastAsia" w:hAnsiTheme="minorEastAsia"/>
          <w:color w:val="000000" w:themeColor="text1"/>
          <w:szCs w:val="21"/>
        </w:rPr>
        <w:t>1.016</w:t>
      </w:r>
      <w:r w:rsidRPr="005A7DE6" w:rsidR="0052477F">
        <w:rPr>
          <w:rFonts w:asciiTheme="minorEastAsia" w:eastAsiaTheme="minorEastAsia" w:hAnsiTheme="minorEastAsia"/>
          <w:color w:val="000000" w:themeColor="text1"/>
          <w:szCs w:val="21"/>
        </w:rPr>
        <w:t>0</w:t>
      </w:r>
      <w:r w:rsidRPr="005A7DE6">
        <w:rPr>
          <w:rFonts w:asciiTheme="minorEastAsia" w:eastAsiaTheme="minorEastAsia" w:hAnsiTheme="minorEastAsia"/>
          <w:color w:val="000000" w:themeColor="text1"/>
          <w:szCs w:val="21"/>
        </w:rPr>
        <w:t>元，则其可得到的赎回金额为</w:t>
      </w:r>
      <w:r w:rsidRPr="005A7DE6">
        <w:rPr>
          <w:rFonts w:asciiTheme="minorEastAsia" w:eastAsiaTheme="minorEastAsia" w:hAnsiTheme="minorEastAsia"/>
          <w:color w:val="000000" w:themeColor="text1"/>
          <w:szCs w:val="21"/>
        </w:rPr>
        <w:t>10,083.80</w:t>
      </w:r>
      <w:r w:rsidRPr="005A7DE6">
        <w:rPr>
          <w:rFonts w:asciiTheme="minorEastAsia" w:eastAsiaTheme="minorEastAsia" w:hAnsiTheme="minorEastAsia"/>
          <w:color w:val="000000" w:themeColor="text1"/>
          <w:szCs w:val="21"/>
        </w:rPr>
        <w:t>元。</w:t>
      </w:r>
    </w:p>
    <w:p w:rsidR="00473CDB" w:rsidRPr="005A7DE6" w:rsidP="00473CDB">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例</w:t>
      </w:r>
      <w:r w:rsidRPr="005A7DE6">
        <w:rPr>
          <w:rFonts w:asciiTheme="minorEastAsia" w:eastAsiaTheme="minorEastAsia" w:hAnsiTheme="minorEastAsia" w:hint="eastAsia"/>
          <w:color w:val="000000" w:themeColor="text1"/>
          <w:szCs w:val="21"/>
        </w:rPr>
        <w:t>七</w:t>
      </w:r>
      <w:r w:rsidRPr="005A7DE6">
        <w:rPr>
          <w:rFonts w:asciiTheme="minorEastAsia" w:eastAsiaTheme="minorEastAsia" w:hAnsiTheme="minorEastAsia"/>
          <w:color w:val="000000" w:themeColor="text1"/>
          <w:szCs w:val="21"/>
        </w:rPr>
        <w:t>：某投资人赎回</w:t>
      </w: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万份</w:t>
      </w:r>
      <w:r w:rsidRPr="005A7DE6">
        <w:rPr>
          <w:rFonts w:asciiTheme="minorEastAsia" w:eastAsiaTheme="minorEastAsia" w:hAnsiTheme="minorEastAsia"/>
          <w:color w:val="000000" w:themeColor="text1"/>
          <w:szCs w:val="21"/>
        </w:rPr>
        <w:t>C</w:t>
      </w:r>
      <w:r w:rsidRPr="005A7DE6">
        <w:rPr>
          <w:rFonts w:asciiTheme="minorEastAsia" w:eastAsiaTheme="minorEastAsia" w:hAnsiTheme="minorEastAsia"/>
          <w:color w:val="000000" w:themeColor="text1"/>
          <w:szCs w:val="21"/>
        </w:rPr>
        <w:t>类基金份额，假设该笔份额持有期限为</w:t>
      </w:r>
      <w:r w:rsidRPr="005A7DE6">
        <w:rPr>
          <w:rFonts w:asciiTheme="minorEastAsia" w:eastAsiaTheme="minorEastAsia" w:hAnsiTheme="minorEastAsia"/>
          <w:color w:val="000000" w:themeColor="text1"/>
          <w:szCs w:val="21"/>
        </w:rPr>
        <w:t>6</w:t>
      </w:r>
      <w:r w:rsidRPr="005A7DE6">
        <w:rPr>
          <w:rFonts w:asciiTheme="minorEastAsia" w:eastAsiaTheme="minorEastAsia" w:hAnsiTheme="minorEastAsia"/>
          <w:color w:val="000000" w:themeColor="text1"/>
          <w:szCs w:val="21"/>
        </w:rPr>
        <w:t>天，则对应的赎回费率为</w:t>
      </w:r>
      <w:r w:rsidRPr="005A7DE6">
        <w:rPr>
          <w:rFonts w:asciiTheme="minorEastAsia" w:eastAsiaTheme="minorEastAsia" w:hAnsiTheme="minorEastAsia"/>
          <w:color w:val="000000" w:themeColor="text1"/>
          <w:szCs w:val="21"/>
        </w:rPr>
        <w:t>1.5%</w:t>
      </w:r>
      <w:r w:rsidRPr="005A7DE6">
        <w:rPr>
          <w:rFonts w:asciiTheme="minorEastAsia" w:eastAsiaTheme="minorEastAsia" w:hAnsiTheme="minorEastAsia"/>
          <w:color w:val="000000" w:themeColor="text1"/>
          <w:szCs w:val="21"/>
        </w:rPr>
        <w:t>，假设赎回当日基金份额净值是</w:t>
      </w:r>
      <w:r w:rsidRPr="005A7DE6">
        <w:rPr>
          <w:rFonts w:asciiTheme="minorEastAsia" w:eastAsiaTheme="minorEastAsia" w:hAnsiTheme="minorEastAsia"/>
          <w:color w:val="000000" w:themeColor="text1"/>
          <w:szCs w:val="21"/>
        </w:rPr>
        <w:t>1.016</w:t>
      </w:r>
      <w:r w:rsidRPr="005A7DE6" w:rsidR="0052477F">
        <w:rPr>
          <w:rFonts w:asciiTheme="minorEastAsia" w:eastAsiaTheme="minorEastAsia" w:hAnsiTheme="minorEastAsia"/>
          <w:color w:val="000000" w:themeColor="text1"/>
          <w:szCs w:val="21"/>
        </w:rPr>
        <w:t>0</w:t>
      </w:r>
      <w:r w:rsidRPr="005A7DE6">
        <w:rPr>
          <w:rFonts w:asciiTheme="minorEastAsia" w:eastAsiaTheme="minorEastAsia" w:hAnsiTheme="minorEastAsia"/>
          <w:color w:val="000000" w:themeColor="text1"/>
          <w:szCs w:val="21"/>
        </w:rPr>
        <w:t>元，则其可得到的赎回金额为：</w:t>
      </w:r>
    </w:p>
    <w:p w:rsidR="00473CDB" w:rsidRPr="005A7DE6" w:rsidP="00473CDB">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赎回费用</w:t>
      </w:r>
      <w:r w:rsidRPr="005A7DE6">
        <w:rPr>
          <w:rFonts w:asciiTheme="minorEastAsia" w:eastAsiaTheme="minorEastAsia" w:hAnsiTheme="minorEastAsia"/>
          <w:color w:val="000000" w:themeColor="text1"/>
          <w:szCs w:val="21"/>
        </w:rPr>
        <w:t>=10,000×1.016</w:t>
      </w:r>
      <w:r w:rsidRPr="005A7DE6" w:rsidR="0052477F">
        <w:rPr>
          <w:rFonts w:asciiTheme="minorEastAsia" w:eastAsiaTheme="minorEastAsia" w:hAnsiTheme="minorEastAsia"/>
          <w:color w:val="000000" w:themeColor="text1"/>
          <w:szCs w:val="21"/>
        </w:rPr>
        <w:t>0</w:t>
      </w:r>
      <w:r w:rsidRPr="005A7DE6">
        <w:rPr>
          <w:rFonts w:asciiTheme="minorEastAsia" w:eastAsiaTheme="minorEastAsia" w:hAnsiTheme="minorEastAsia"/>
          <w:color w:val="000000" w:themeColor="text1"/>
          <w:szCs w:val="21"/>
        </w:rPr>
        <w:t>×1.5%</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152.40</w:t>
      </w:r>
      <w:r w:rsidRPr="005A7DE6">
        <w:rPr>
          <w:rFonts w:asciiTheme="minorEastAsia" w:eastAsiaTheme="minorEastAsia" w:hAnsiTheme="minorEastAsia"/>
          <w:color w:val="000000" w:themeColor="text1"/>
          <w:szCs w:val="21"/>
        </w:rPr>
        <w:t>元</w:t>
      </w:r>
    </w:p>
    <w:p w:rsidR="00473CDB" w:rsidRPr="005A7DE6" w:rsidP="00473CDB">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赎回金额</w:t>
      </w:r>
      <w:r w:rsidRPr="005A7DE6">
        <w:rPr>
          <w:rFonts w:asciiTheme="minorEastAsia" w:eastAsiaTheme="minorEastAsia" w:hAnsiTheme="minorEastAsia"/>
          <w:color w:val="000000" w:themeColor="text1"/>
          <w:szCs w:val="21"/>
        </w:rPr>
        <w:t>=10,000×1.016</w:t>
      </w:r>
      <w:r w:rsidRPr="005A7DE6" w:rsidR="0052477F">
        <w:rPr>
          <w:rFonts w:asciiTheme="minorEastAsia" w:eastAsiaTheme="minorEastAsia" w:hAnsiTheme="minorEastAsia"/>
          <w:color w:val="000000" w:themeColor="text1"/>
          <w:szCs w:val="21"/>
        </w:rPr>
        <w:t>0</w:t>
      </w:r>
      <w:r w:rsidRPr="005A7DE6">
        <w:rPr>
          <w:rFonts w:asciiTheme="minorEastAsia" w:eastAsiaTheme="minorEastAsia" w:hAnsiTheme="minorEastAsia"/>
          <w:color w:val="000000" w:themeColor="text1"/>
          <w:szCs w:val="21"/>
        </w:rPr>
        <w:t>-152.40</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10,007.60</w:t>
      </w:r>
      <w:r w:rsidRPr="005A7DE6">
        <w:rPr>
          <w:rFonts w:asciiTheme="minorEastAsia" w:eastAsiaTheme="minorEastAsia" w:hAnsiTheme="minorEastAsia"/>
          <w:color w:val="000000" w:themeColor="text1"/>
          <w:szCs w:val="21"/>
        </w:rPr>
        <w:t>元</w:t>
      </w:r>
    </w:p>
    <w:p w:rsidR="00473CDB" w:rsidRPr="005A7DE6" w:rsidP="00473CDB">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即：投资人赎回本基金</w:t>
      </w: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万份</w:t>
      </w:r>
      <w:r w:rsidRPr="005A7DE6">
        <w:rPr>
          <w:rFonts w:asciiTheme="minorEastAsia" w:eastAsiaTheme="minorEastAsia" w:hAnsiTheme="minorEastAsia"/>
          <w:color w:val="000000" w:themeColor="text1"/>
          <w:szCs w:val="21"/>
        </w:rPr>
        <w:t>C</w:t>
      </w:r>
      <w:r w:rsidRPr="005A7DE6">
        <w:rPr>
          <w:rFonts w:asciiTheme="minorEastAsia" w:eastAsiaTheme="minorEastAsia" w:hAnsiTheme="minorEastAsia"/>
          <w:color w:val="000000" w:themeColor="text1"/>
          <w:szCs w:val="21"/>
        </w:rPr>
        <w:t>类基金份额，假设赎回当日基金份额净值</w:t>
      </w:r>
      <w:r w:rsidRPr="005A7DE6">
        <w:rPr>
          <w:rFonts w:asciiTheme="minorEastAsia" w:eastAsiaTheme="minorEastAsia" w:hAnsiTheme="minorEastAsia"/>
          <w:color w:val="000000" w:themeColor="text1"/>
          <w:szCs w:val="21"/>
        </w:rPr>
        <w:t>是</w:t>
      </w:r>
      <w:r w:rsidRPr="005A7DE6">
        <w:rPr>
          <w:rFonts w:asciiTheme="minorEastAsia" w:eastAsiaTheme="minorEastAsia" w:hAnsiTheme="minorEastAsia"/>
          <w:color w:val="000000" w:themeColor="text1"/>
          <w:szCs w:val="21"/>
        </w:rPr>
        <w:t>1.016</w:t>
      </w:r>
      <w:r w:rsidRPr="005A7DE6" w:rsidR="0052477F">
        <w:rPr>
          <w:rFonts w:asciiTheme="minorEastAsia" w:eastAsiaTheme="minorEastAsia" w:hAnsiTheme="minorEastAsia"/>
          <w:color w:val="000000" w:themeColor="text1"/>
          <w:szCs w:val="21"/>
        </w:rPr>
        <w:t>0</w:t>
      </w:r>
      <w:r w:rsidRPr="005A7DE6">
        <w:rPr>
          <w:rFonts w:asciiTheme="minorEastAsia" w:eastAsiaTheme="minorEastAsia" w:hAnsiTheme="minorEastAsia"/>
          <w:color w:val="000000" w:themeColor="text1"/>
          <w:szCs w:val="21"/>
        </w:rPr>
        <w:t>元，则其可得到的赎回金额为</w:t>
      </w:r>
      <w:r w:rsidRPr="005A7DE6">
        <w:rPr>
          <w:rFonts w:asciiTheme="minorEastAsia" w:eastAsiaTheme="minorEastAsia" w:hAnsiTheme="minorEastAsia"/>
          <w:color w:val="000000" w:themeColor="text1"/>
          <w:szCs w:val="21"/>
        </w:rPr>
        <w:t>10,007.60</w:t>
      </w:r>
      <w:r w:rsidRPr="005A7DE6">
        <w:rPr>
          <w:rFonts w:asciiTheme="minorEastAsia" w:eastAsiaTheme="minorEastAsia" w:hAnsiTheme="minorEastAsia"/>
          <w:color w:val="000000" w:themeColor="text1"/>
          <w:szCs w:val="21"/>
        </w:rPr>
        <w:t>元。</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bookmarkStart w:id="3617" w:name="_Toc319688304"/>
      <w:bookmarkStart w:id="3618" w:name="_Toc319693428"/>
      <w:r w:rsidRPr="005A7DE6">
        <w:rPr>
          <w:rFonts w:asciiTheme="minorEastAsia" w:eastAsiaTheme="minorEastAsia" w:hAnsiTheme="minorEastAsia"/>
          <w:color w:val="000000" w:themeColor="text1"/>
          <w:szCs w:val="21"/>
        </w:rPr>
        <w:t>4</w:t>
      </w:r>
      <w:r w:rsidRPr="005A7DE6">
        <w:rPr>
          <w:rFonts w:asciiTheme="minorEastAsia" w:eastAsiaTheme="minorEastAsia" w:hAnsiTheme="minorEastAsia"/>
          <w:color w:val="000000" w:themeColor="text1"/>
          <w:szCs w:val="21"/>
        </w:rPr>
        <w:t>、基金份额净值的计算公式</w:t>
      </w:r>
      <w:bookmarkEnd w:id="3617"/>
      <w:bookmarkEnd w:id="3618"/>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计算日该类基金份额净值</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计算日该类基金资产净值</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计算日该类基金总份额。</w:t>
      </w:r>
    </w:p>
    <w:p w:rsidR="001F3F9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本基金份额净值的计算，保留到小数点后</w:t>
      </w:r>
      <w:r w:rsidRPr="005A7DE6" w:rsidR="004B13F2">
        <w:rPr>
          <w:rFonts w:asciiTheme="minorEastAsia" w:eastAsiaTheme="minorEastAsia" w:hAnsiTheme="minorEastAsia"/>
          <w:color w:val="000000" w:themeColor="text1"/>
          <w:szCs w:val="21"/>
        </w:rPr>
        <w:t>四</w:t>
      </w:r>
      <w:r w:rsidRPr="005A7DE6">
        <w:rPr>
          <w:rFonts w:asciiTheme="minorEastAsia" w:eastAsiaTheme="minorEastAsia" w:hAnsiTheme="minorEastAsia"/>
          <w:color w:val="000000" w:themeColor="text1"/>
          <w:szCs w:val="21"/>
        </w:rPr>
        <w:t>位，小数点后第</w:t>
      </w:r>
      <w:r w:rsidRPr="005A7DE6" w:rsidR="004B13F2">
        <w:rPr>
          <w:rFonts w:asciiTheme="minorEastAsia" w:eastAsiaTheme="minorEastAsia" w:hAnsiTheme="minorEastAsia"/>
          <w:color w:val="000000" w:themeColor="text1"/>
          <w:szCs w:val="21"/>
        </w:rPr>
        <w:t>五</w:t>
      </w:r>
      <w:r w:rsidRPr="005A7DE6">
        <w:rPr>
          <w:rFonts w:asciiTheme="minorEastAsia" w:eastAsiaTheme="minorEastAsia" w:hAnsiTheme="minorEastAsia"/>
          <w:color w:val="000000" w:themeColor="text1"/>
          <w:szCs w:val="21"/>
        </w:rPr>
        <w:t>位四舍五入，由此产生的收益或损失由基金财产承担。</w:t>
      </w:r>
      <w:r w:rsidRPr="005A7DE6">
        <w:rPr>
          <w:rFonts w:asciiTheme="minorEastAsia" w:eastAsiaTheme="minorEastAsia" w:hAnsiTheme="minorEastAsia"/>
          <w:color w:val="000000" w:themeColor="text1"/>
          <w:szCs w:val="21"/>
        </w:rPr>
        <w:t>T</w:t>
      </w:r>
      <w:r w:rsidRPr="005A7DE6">
        <w:rPr>
          <w:rFonts w:asciiTheme="minorEastAsia" w:eastAsiaTheme="minorEastAsia" w:hAnsiTheme="minorEastAsia"/>
          <w:color w:val="000000" w:themeColor="text1"/>
          <w:szCs w:val="21"/>
        </w:rPr>
        <w:t>日的基金份额净值在当天收市后计算，并在</w:t>
      </w:r>
      <w:r w:rsidRPr="005A7DE6">
        <w:rPr>
          <w:rFonts w:asciiTheme="minorEastAsia" w:eastAsiaTheme="minorEastAsia" w:hAnsiTheme="minorEastAsia"/>
          <w:color w:val="000000" w:themeColor="text1"/>
          <w:szCs w:val="21"/>
        </w:rPr>
        <w:t>T+1</w:t>
      </w:r>
      <w:r w:rsidRPr="005A7DE6">
        <w:rPr>
          <w:rFonts w:asciiTheme="minorEastAsia" w:eastAsiaTheme="minorEastAsia" w:hAnsiTheme="minorEastAsia"/>
          <w:color w:val="000000" w:themeColor="text1"/>
          <w:szCs w:val="21"/>
        </w:rPr>
        <w:t>日内公告。遇特殊情况，基金份额净值可以适当延迟计算并公告，并报中国证监会备案。</w:t>
      </w:r>
    </w:p>
    <w:p w:rsidR="00D12910"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19" w:name="_Toc94172402"/>
      <w:r w:rsidRPr="005A7DE6">
        <w:rPr>
          <w:rFonts w:asciiTheme="minorEastAsia" w:eastAsiaTheme="minorEastAsia" w:hAnsiTheme="minorEastAsia"/>
          <w:b w:val="0"/>
          <w:bCs/>
          <w:color w:val="000000" w:themeColor="text1"/>
        </w:rPr>
        <w:t>（</w:t>
      </w:r>
      <w:r w:rsidRPr="005A7DE6" w:rsidR="00214A68">
        <w:rPr>
          <w:rFonts w:asciiTheme="minorEastAsia" w:eastAsiaTheme="minorEastAsia" w:hAnsiTheme="minorEastAsia"/>
          <w:b w:val="0"/>
          <w:bCs/>
          <w:color w:val="000000" w:themeColor="text1"/>
        </w:rPr>
        <w:t>九</w:t>
      </w:r>
      <w:r w:rsidRPr="005A7DE6">
        <w:rPr>
          <w:rFonts w:asciiTheme="minorEastAsia" w:eastAsiaTheme="minorEastAsia" w:hAnsiTheme="minorEastAsia"/>
          <w:b w:val="0"/>
          <w:bCs/>
          <w:color w:val="000000" w:themeColor="text1"/>
        </w:rPr>
        <w:t>）</w:t>
      </w:r>
      <w:r w:rsidRPr="005A7DE6" w:rsidR="00BA4B87">
        <w:rPr>
          <w:rFonts w:asciiTheme="minorEastAsia" w:eastAsiaTheme="minorEastAsia" w:hAnsiTheme="minorEastAsia"/>
          <w:b w:val="0"/>
          <w:bCs/>
          <w:color w:val="000000" w:themeColor="text1"/>
        </w:rPr>
        <w:t>申购与赎回的注册登记</w:t>
      </w:r>
      <w:bookmarkEnd w:id="3619"/>
    </w:p>
    <w:p w:rsidR="00D660C9"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、投资人</w:t>
      </w:r>
      <w:r w:rsidRPr="005A7DE6">
        <w:rPr>
          <w:rFonts w:asciiTheme="minorEastAsia" w:eastAsiaTheme="minorEastAsia" w:hAnsiTheme="minorEastAsia"/>
          <w:color w:val="000000" w:themeColor="text1"/>
          <w:szCs w:val="21"/>
        </w:rPr>
        <w:t>T</w:t>
      </w:r>
      <w:r w:rsidRPr="005A7DE6">
        <w:rPr>
          <w:rFonts w:asciiTheme="minorEastAsia" w:eastAsiaTheme="minorEastAsia" w:hAnsiTheme="minorEastAsia"/>
          <w:color w:val="000000" w:themeColor="text1"/>
          <w:szCs w:val="21"/>
        </w:rPr>
        <w:t>日申购基金成功后，正常情况下，注册登记机构在</w:t>
      </w:r>
      <w:r w:rsidRPr="005A7DE6">
        <w:rPr>
          <w:rFonts w:asciiTheme="minorEastAsia" w:eastAsiaTheme="minorEastAsia" w:hAnsiTheme="minorEastAsia"/>
          <w:color w:val="000000" w:themeColor="text1"/>
          <w:szCs w:val="21"/>
        </w:rPr>
        <w:t>T+1</w:t>
      </w:r>
      <w:r w:rsidRPr="005A7DE6">
        <w:rPr>
          <w:rFonts w:asciiTheme="minorEastAsia" w:eastAsiaTheme="minorEastAsia" w:hAnsiTheme="minorEastAsia"/>
          <w:color w:val="000000" w:themeColor="text1"/>
          <w:szCs w:val="21"/>
        </w:rPr>
        <w:t>日为投资人登记权益并办理注册登记手续，投资人自</w:t>
      </w:r>
      <w:r w:rsidRPr="005A7DE6">
        <w:rPr>
          <w:rFonts w:asciiTheme="minorEastAsia" w:eastAsiaTheme="minorEastAsia" w:hAnsiTheme="minorEastAsia"/>
          <w:color w:val="000000" w:themeColor="text1"/>
          <w:szCs w:val="21"/>
        </w:rPr>
        <w:t>T+2</w:t>
      </w:r>
      <w:r w:rsidRPr="005A7DE6">
        <w:rPr>
          <w:rFonts w:asciiTheme="minorEastAsia" w:eastAsiaTheme="minorEastAsia" w:hAnsiTheme="minorEastAsia"/>
          <w:color w:val="000000" w:themeColor="text1"/>
          <w:szCs w:val="21"/>
        </w:rPr>
        <w:t>日起</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含该日</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有权赎回该部分基金份额。</w:t>
      </w:r>
    </w:p>
    <w:p w:rsidR="00D660C9"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color w:val="000000" w:themeColor="text1"/>
          <w:szCs w:val="21"/>
        </w:rPr>
        <w:t>、投资人</w:t>
      </w:r>
      <w:r w:rsidRPr="005A7DE6">
        <w:rPr>
          <w:rFonts w:asciiTheme="minorEastAsia" w:eastAsiaTheme="minorEastAsia" w:hAnsiTheme="minorEastAsia"/>
          <w:color w:val="000000" w:themeColor="text1"/>
          <w:szCs w:val="21"/>
        </w:rPr>
        <w:t>T</w:t>
      </w:r>
      <w:r w:rsidRPr="005A7DE6">
        <w:rPr>
          <w:rFonts w:asciiTheme="minorEastAsia" w:eastAsiaTheme="minorEastAsia" w:hAnsiTheme="minorEastAsia"/>
          <w:color w:val="000000" w:themeColor="text1"/>
          <w:szCs w:val="21"/>
        </w:rPr>
        <w:t>日赎回基金成功后，正常情况下，注册登记机构在</w:t>
      </w:r>
      <w:r w:rsidRPr="005A7DE6">
        <w:rPr>
          <w:rFonts w:asciiTheme="minorEastAsia" w:eastAsiaTheme="minorEastAsia" w:hAnsiTheme="minorEastAsia"/>
          <w:color w:val="000000" w:themeColor="text1"/>
          <w:szCs w:val="21"/>
        </w:rPr>
        <w:t>T+1</w:t>
      </w:r>
      <w:r w:rsidRPr="005A7DE6">
        <w:rPr>
          <w:rFonts w:asciiTheme="minorEastAsia" w:eastAsiaTheme="minorEastAsia" w:hAnsiTheme="minorEastAsia"/>
          <w:color w:val="000000" w:themeColor="text1"/>
          <w:szCs w:val="21"/>
        </w:rPr>
        <w:t>日为投资人扣除权益并办理相应的注册登记手续。</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w:t>
      </w:r>
      <w:r w:rsidRPr="005A7DE6">
        <w:rPr>
          <w:rFonts w:asciiTheme="minorEastAsia" w:eastAsiaTheme="minorEastAsia" w:hAnsiTheme="minorEastAsia"/>
          <w:color w:val="000000" w:themeColor="text1"/>
          <w:szCs w:val="21"/>
        </w:rPr>
        <w:t>、在法律法规允许的范围内，注册登记机构可对上述注册登记办理时间进行调整，本基金管理人将于该调整开始实施前依照《信息披露办法》的有关规定在</w:t>
      </w:r>
      <w:r w:rsidRPr="005A7DE6" w:rsidR="006E73AA">
        <w:rPr>
          <w:rFonts w:asciiTheme="minorEastAsia" w:eastAsiaTheme="minorEastAsia" w:hAnsiTheme="minorEastAsia"/>
          <w:color w:val="000000" w:themeColor="text1"/>
          <w:szCs w:val="21"/>
        </w:rPr>
        <w:t>指定媒介</w:t>
      </w:r>
      <w:r w:rsidRPr="005A7DE6">
        <w:rPr>
          <w:rFonts w:asciiTheme="minorEastAsia" w:eastAsiaTheme="minorEastAsia" w:hAnsiTheme="minorEastAsia"/>
          <w:color w:val="000000" w:themeColor="text1"/>
          <w:szCs w:val="21"/>
        </w:rPr>
        <w:t>上公告。</w:t>
      </w:r>
    </w:p>
    <w:p w:rsidR="00D12910"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20" w:name="_Toc94172403"/>
      <w:r w:rsidRPr="005A7DE6">
        <w:rPr>
          <w:rFonts w:asciiTheme="minorEastAsia" w:eastAsiaTheme="minorEastAsia" w:hAnsiTheme="minorEastAsia"/>
          <w:b w:val="0"/>
          <w:bCs/>
          <w:color w:val="000000" w:themeColor="text1"/>
        </w:rPr>
        <w:t>（</w:t>
      </w:r>
      <w:r w:rsidRPr="005A7DE6" w:rsidR="00214A68">
        <w:rPr>
          <w:rFonts w:asciiTheme="minorEastAsia" w:eastAsiaTheme="minorEastAsia" w:hAnsiTheme="minorEastAsia"/>
          <w:b w:val="0"/>
          <w:bCs/>
          <w:color w:val="000000" w:themeColor="text1"/>
        </w:rPr>
        <w:t>十</w:t>
      </w:r>
      <w:r w:rsidRPr="005A7DE6">
        <w:rPr>
          <w:rFonts w:asciiTheme="minorEastAsia" w:eastAsiaTheme="minorEastAsia" w:hAnsiTheme="minorEastAsia"/>
          <w:b w:val="0"/>
          <w:bCs/>
          <w:color w:val="000000" w:themeColor="text1"/>
        </w:rPr>
        <w:t>）</w:t>
      </w:r>
      <w:r w:rsidRPr="005A7DE6" w:rsidR="00BA4B87">
        <w:rPr>
          <w:rFonts w:asciiTheme="minorEastAsia" w:eastAsiaTheme="minorEastAsia" w:hAnsiTheme="minorEastAsia"/>
          <w:b w:val="0"/>
          <w:bCs/>
          <w:color w:val="000000" w:themeColor="text1"/>
        </w:rPr>
        <w:t>巨额赎回的认定及处理方式</w:t>
      </w:r>
      <w:bookmarkEnd w:id="3620"/>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w:t>
      </w:r>
      <w:r w:rsidRPr="005A7DE6" w:rsidR="008A168E">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巨额赎回的认定</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若本基金单个开放日内的基金份额净赎回申请</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赎回申请份额总数加上基金转换中转出申请份额总数后扣除申购申请份额总数及基金转换中转入申请份额总数后的余额</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超过前一开放日的基金总份额的</w:t>
      </w:r>
      <w:r w:rsidRPr="005A7DE6">
        <w:rPr>
          <w:rFonts w:asciiTheme="minorEastAsia" w:eastAsiaTheme="minorEastAsia" w:hAnsiTheme="minorEastAsia"/>
          <w:color w:val="000000" w:themeColor="text1"/>
          <w:szCs w:val="21"/>
        </w:rPr>
        <w:t>10%</w:t>
      </w:r>
      <w:r w:rsidRPr="005A7DE6">
        <w:rPr>
          <w:rFonts w:asciiTheme="minorEastAsia" w:eastAsiaTheme="minorEastAsia" w:hAnsiTheme="minorEastAsia"/>
          <w:color w:val="000000" w:themeColor="text1"/>
          <w:szCs w:val="21"/>
        </w:rPr>
        <w:t>，即认为是发生了巨额赎回。</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bookmarkStart w:id="3621" w:name="_Toc319688307"/>
      <w:bookmarkStart w:id="3622" w:name="_Toc319693431"/>
      <w:r w:rsidRPr="005A7DE6">
        <w:rPr>
          <w:rFonts w:asciiTheme="minorEastAsia" w:eastAsiaTheme="minorEastAsia" w:hAnsiTheme="minorEastAsia"/>
          <w:color w:val="000000" w:themeColor="text1"/>
          <w:szCs w:val="21"/>
        </w:rPr>
        <w:t>2</w:t>
      </w:r>
      <w:r w:rsidRPr="005A7DE6" w:rsidR="008A168E">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巨额赎回的处理方式</w:t>
      </w:r>
      <w:bookmarkEnd w:id="3621"/>
      <w:bookmarkEnd w:id="3622"/>
    </w:p>
    <w:p w:rsidR="00B26963"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当基金出现巨额赎回时，基金管理人可以根据基金当时的资产组合状况决定全额赎回或部分延期赎回。</w:t>
      </w:r>
    </w:p>
    <w:p w:rsidR="00B26963"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）全额赎回：当基金管理人认为有能力支付投资人的全部赎回申请时，按正常赎回程序执行。</w:t>
      </w:r>
    </w:p>
    <w:p w:rsidR="00B26963"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color w:val="000000" w:themeColor="text1"/>
          <w:szCs w:val="21"/>
        </w:rPr>
        <w:t>）部分延期赎回：当基金管理人认为支付投资人的赎回申请有困难或认为因支付投资人的赎回申请而进行的财产变现可能会对基金资产净值造成较大波动时</w:t>
      </w:r>
      <w:r w:rsidRPr="005A7DE6">
        <w:rPr>
          <w:rFonts w:asciiTheme="minorEastAsia" w:eastAsiaTheme="minorEastAsia" w:hAnsiTheme="minorEastAsia"/>
          <w:color w:val="000000" w:themeColor="text1"/>
          <w:szCs w:val="21"/>
        </w:rPr>
        <w:t>，基金管理人在当日接受赎回比例不低于上一开放日基金总份额的</w:t>
      </w:r>
      <w:r w:rsidRPr="005A7DE6">
        <w:rPr>
          <w:rFonts w:asciiTheme="minorEastAsia" w:eastAsiaTheme="minorEastAsia" w:hAnsiTheme="minorEastAsia"/>
          <w:color w:val="000000" w:themeColor="text1"/>
          <w:szCs w:val="21"/>
        </w:rPr>
        <w:t>10</w:t>
      </w:r>
      <w:r w:rsidRPr="005A7DE6">
        <w:rPr>
          <w:rFonts w:asciiTheme="minorEastAsia" w:eastAsiaTheme="minorEastAsia" w:hAnsiTheme="minorEastAsia"/>
          <w:color w:val="000000" w:themeColor="text1"/>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w:t>
      </w:r>
      <w:r w:rsidRPr="005A7DE6">
        <w:rPr>
          <w:rFonts w:asciiTheme="minorEastAsia" w:eastAsiaTheme="minorEastAsia" w:hAnsiTheme="minorEastAsia"/>
          <w:color w:val="000000" w:themeColor="text1"/>
          <w:szCs w:val="21"/>
        </w:rPr>
        <w:t>在提交赎回申请时未作明确选择，投资人未能赎回部分作自动延期赎回处理。</w:t>
      </w:r>
    </w:p>
    <w:p w:rsidR="00473CDB"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若本基金发生巨额赎回且单个基金份额持有人的赎回申请超过上一开放日基金总份额</w:t>
      </w:r>
      <w:r w:rsidRPr="005A7DE6">
        <w:rPr>
          <w:rFonts w:asciiTheme="minorEastAsia" w:eastAsiaTheme="minorEastAsia" w:hAnsiTheme="minorEastAsia" w:hint="eastAsia"/>
          <w:color w:val="000000" w:themeColor="text1"/>
          <w:szCs w:val="21"/>
        </w:rPr>
        <w:t>10%</w:t>
      </w:r>
      <w:r w:rsidRPr="005A7DE6">
        <w:rPr>
          <w:rFonts w:asciiTheme="minorEastAsia" w:eastAsiaTheme="minorEastAsia" w:hAnsiTheme="minorEastAsia" w:hint="eastAsia"/>
          <w:color w:val="000000" w:themeColor="text1"/>
          <w:szCs w:val="21"/>
        </w:rPr>
        <w:t>的，基金管理人有权对该单个基金份额持有人超出该比例的赎回申请实施延期办理，对该单个基金份额持有人剩余赎回申请与其他账户赎回申请按前述条款处理。</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sidR="00B26963">
        <w:rPr>
          <w:rFonts w:asciiTheme="minorEastAsia" w:eastAsiaTheme="minorEastAsia" w:hAnsiTheme="minorEastAsia"/>
          <w:color w:val="000000" w:themeColor="text1"/>
          <w:szCs w:val="21"/>
        </w:rPr>
        <w:t>3</w:t>
      </w:r>
      <w:r w:rsidRPr="005A7DE6">
        <w:rPr>
          <w:rFonts w:asciiTheme="minorEastAsia" w:eastAsiaTheme="minorEastAsia" w:hAnsiTheme="minorEastAsia"/>
          <w:color w:val="000000" w:themeColor="text1"/>
          <w:szCs w:val="21"/>
        </w:rPr>
        <w:t>）</w:t>
      </w:r>
      <w:r w:rsidRPr="005A7DE6" w:rsidR="00B26963">
        <w:rPr>
          <w:rFonts w:asciiTheme="minorEastAsia" w:eastAsiaTheme="minorEastAsia" w:hAnsiTheme="minorEastAsia"/>
          <w:color w:val="000000" w:themeColor="text1"/>
          <w:szCs w:val="21"/>
        </w:rPr>
        <w:t>暂停赎回：连续2日以上</w:t>
      </w:r>
      <w:r w:rsidRPr="005A7DE6">
        <w:rPr>
          <w:rFonts w:asciiTheme="minorEastAsia" w:eastAsiaTheme="minorEastAsia" w:hAnsiTheme="minorEastAsia"/>
          <w:color w:val="000000" w:themeColor="text1"/>
          <w:szCs w:val="21"/>
        </w:rPr>
        <w:t>（</w:t>
      </w:r>
      <w:r w:rsidRPr="005A7DE6" w:rsidR="00B26963">
        <w:rPr>
          <w:rFonts w:asciiTheme="minorEastAsia" w:eastAsiaTheme="minorEastAsia" w:hAnsiTheme="minorEastAsia"/>
          <w:color w:val="000000" w:themeColor="text1"/>
          <w:szCs w:val="21"/>
        </w:rPr>
        <w:t>含本数</w:t>
      </w:r>
      <w:r w:rsidRPr="005A7DE6">
        <w:rPr>
          <w:rFonts w:asciiTheme="minorEastAsia" w:eastAsiaTheme="minorEastAsia" w:hAnsiTheme="minorEastAsia"/>
          <w:color w:val="000000" w:themeColor="text1"/>
          <w:szCs w:val="21"/>
        </w:rPr>
        <w:t>）</w:t>
      </w:r>
      <w:r w:rsidRPr="005A7DE6" w:rsidR="00B26963">
        <w:rPr>
          <w:rFonts w:asciiTheme="minorEastAsia" w:eastAsiaTheme="minorEastAsia" w:hAnsiTheme="minorEastAsia"/>
          <w:color w:val="000000" w:themeColor="text1"/>
          <w:szCs w:val="21"/>
        </w:rPr>
        <w:t>发生巨额赎回，如基金管理人认为有必要，可暂停接受基金的赎回申请；已经接受的赎回申请可以延缓支付赎回款项，但不得超过20个工作日，并应当在</w:t>
      </w:r>
      <w:r w:rsidRPr="005A7DE6" w:rsidR="006E73AA">
        <w:rPr>
          <w:rFonts w:asciiTheme="minorEastAsia" w:eastAsiaTheme="minorEastAsia" w:hAnsiTheme="minorEastAsia"/>
          <w:color w:val="000000" w:themeColor="text1"/>
          <w:szCs w:val="21"/>
        </w:rPr>
        <w:t>指定媒介</w:t>
      </w:r>
      <w:r w:rsidRPr="005A7DE6" w:rsidR="00B26963">
        <w:rPr>
          <w:rFonts w:asciiTheme="minorEastAsia" w:eastAsiaTheme="minorEastAsia" w:hAnsiTheme="minorEastAsia"/>
          <w:color w:val="000000" w:themeColor="text1"/>
          <w:szCs w:val="21"/>
        </w:rPr>
        <w:t>上进行公告。</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bookmarkStart w:id="3623" w:name="_Toc319688308"/>
      <w:bookmarkStart w:id="3624" w:name="_Toc319693432"/>
      <w:r w:rsidRPr="005A7DE6">
        <w:rPr>
          <w:rFonts w:asciiTheme="minorEastAsia" w:eastAsiaTheme="minorEastAsia" w:hAnsiTheme="minorEastAsia"/>
          <w:color w:val="000000" w:themeColor="text1"/>
          <w:szCs w:val="21"/>
        </w:rPr>
        <w:t>3</w:t>
      </w:r>
      <w:r w:rsidRPr="005A7DE6" w:rsidR="008A168E">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巨额赎回的公告</w:t>
      </w:r>
      <w:bookmarkEnd w:id="3623"/>
      <w:bookmarkEnd w:id="3624"/>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当发生上述延期赎回并延期办理时，基金管理人应当通过邮寄、传真或者招募说明书规定的其他方式在</w:t>
      </w:r>
      <w:r w:rsidRPr="005A7DE6">
        <w:rPr>
          <w:rFonts w:asciiTheme="minorEastAsia" w:eastAsiaTheme="minorEastAsia" w:hAnsiTheme="minorEastAsia"/>
          <w:color w:val="000000" w:themeColor="text1"/>
          <w:szCs w:val="21"/>
        </w:rPr>
        <w:t>3</w:t>
      </w:r>
      <w:r w:rsidRPr="005A7DE6">
        <w:rPr>
          <w:rFonts w:asciiTheme="minorEastAsia" w:eastAsiaTheme="minorEastAsia" w:hAnsiTheme="minorEastAsia"/>
          <w:color w:val="000000" w:themeColor="text1"/>
          <w:szCs w:val="21"/>
        </w:rPr>
        <w:t>个交易日内通知基金份额持有人，说明有关处理方法，</w:t>
      </w:r>
      <w:r w:rsidRPr="005A7DE6" w:rsidR="00A83831">
        <w:rPr>
          <w:rFonts w:asciiTheme="minorEastAsia" w:eastAsiaTheme="minorEastAsia" w:hAnsiTheme="minorEastAsia" w:hint="eastAsia"/>
          <w:color w:val="000000" w:themeColor="text1"/>
          <w:szCs w:val="21"/>
        </w:rPr>
        <w:t>并在2日内</w:t>
      </w:r>
      <w:r w:rsidRPr="005A7DE6" w:rsidR="00A83831">
        <w:rPr>
          <w:rFonts w:asciiTheme="minorEastAsia" w:eastAsiaTheme="minorEastAsia" w:hAnsiTheme="minorEastAsia"/>
          <w:color w:val="000000" w:themeColor="text1"/>
          <w:szCs w:val="21"/>
        </w:rPr>
        <w:t>在指定媒介上刊登公告</w:t>
      </w:r>
      <w:r w:rsidRPr="005A7DE6">
        <w:rPr>
          <w:rFonts w:asciiTheme="minorEastAsia" w:eastAsiaTheme="minorEastAsia" w:hAnsiTheme="minorEastAsia"/>
          <w:color w:val="000000" w:themeColor="text1"/>
          <w:szCs w:val="21"/>
        </w:rPr>
        <w:t>。</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25" w:name="_Toc94172404"/>
      <w:r w:rsidRPr="005A7DE6">
        <w:rPr>
          <w:rFonts w:asciiTheme="minorEastAsia" w:eastAsiaTheme="minorEastAsia" w:hAnsiTheme="minorEastAsia"/>
          <w:b w:val="0"/>
          <w:bCs/>
          <w:color w:val="000000" w:themeColor="text1"/>
        </w:rPr>
        <w:t>（十</w:t>
      </w:r>
      <w:r w:rsidRPr="005A7DE6" w:rsidR="00090469">
        <w:rPr>
          <w:rFonts w:asciiTheme="minorEastAsia" w:eastAsiaTheme="minorEastAsia" w:hAnsiTheme="minorEastAsia"/>
          <w:b w:val="0"/>
          <w:bCs/>
          <w:color w:val="000000" w:themeColor="text1"/>
        </w:rPr>
        <w:t>一</w:t>
      </w:r>
      <w:r w:rsidRPr="005A7DE6">
        <w:rPr>
          <w:rFonts w:asciiTheme="minorEastAsia" w:eastAsiaTheme="minorEastAsia" w:hAnsiTheme="minorEastAsia"/>
          <w:b w:val="0"/>
          <w:bCs/>
          <w:color w:val="000000" w:themeColor="text1"/>
        </w:rPr>
        <w:t>）拒绝或暂停申购、暂停赎回的情形及处理</w:t>
      </w:r>
      <w:bookmarkEnd w:id="3625"/>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、发生下列情况时，基金管理人可拒绝或暂停接受投资人的申购申请：</w:t>
      </w:r>
    </w:p>
    <w:p w:rsidR="00F1406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）因不可抗力导致基金无法正常运作。</w:t>
      </w:r>
    </w:p>
    <w:p w:rsidR="00F1406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color w:val="000000" w:themeColor="text1"/>
          <w:szCs w:val="21"/>
        </w:rPr>
        <w:t>）证券交易所交易时间非正常停市，导致基金管理人无法计算当日基金资产净值。</w:t>
      </w:r>
    </w:p>
    <w:p w:rsidR="00F1406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3</w:t>
      </w:r>
      <w:r w:rsidRPr="005A7DE6">
        <w:rPr>
          <w:rFonts w:asciiTheme="minorEastAsia" w:eastAsiaTheme="minorEastAsia" w:hAnsiTheme="minorEastAsia"/>
          <w:color w:val="000000" w:themeColor="text1"/>
          <w:szCs w:val="21"/>
        </w:rPr>
        <w:t>）</w:t>
      </w:r>
      <w:r w:rsidRPr="005A7DE6" w:rsidR="00D019DA">
        <w:rPr>
          <w:rFonts w:asciiTheme="minorEastAsia" w:eastAsiaTheme="minorEastAsia" w:hAnsiTheme="minorEastAsia"/>
          <w:color w:val="000000" w:themeColor="text1"/>
          <w:szCs w:val="21"/>
        </w:rPr>
        <w:t>发生</w:t>
      </w:r>
      <w:r w:rsidRPr="005A7DE6">
        <w:rPr>
          <w:rFonts w:asciiTheme="minorEastAsia" w:eastAsiaTheme="minorEastAsia" w:hAnsiTheme="minorEastAsia"/>
          <w:color w:val="000000" w:themeColor="text1"/>
          <w:szCs w:val="21"/>
        </w:rPr>
        <w:t>基金合同规定的暂停基金资产估值情况。</w:t>
      </w:r>
    </w:p>
    <w:p w:rsidR="00F1406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4</w:t>
      </w:r>
      <w:r w:rsidRPr="005A7DE6">
        <w:rPr>
          <w:rFonts w:asciiTheme="minorEastAsia" w:eastAsiaTheme="minorEastAsia" w:hAnsiTheme="minorEastAsia"/>
          <w:color w:val="000000" w:themeColor="text1"/>
          <w:szCs w:val="21"/>
        </w:rPr>
        <w:t>）基金管理人认为接受某笔或某些申购申请可能会影响或损害现有基金份额持有人利益时。</w:t>
      </w:r>
    </w:p>
    <w:p w:rsidR="00F1406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5</w:t>
      </w:r>
      <w:r w:rsidRPr="005A7DE6">
        <w:rPr>
          <w:rFonts w:asciiTheme="minorEastAsia" w:eastAsiaTheme="minorEastAsia" w:hAnsiTheme="minorEastAsia"/>
          <w:color w:val="000000" w:themeColor="text1"/>
          <w:szCs w:val="21"/>
        </w:rPr>
        <w:t>）基金资产规模过大，使基金管理人无法找到合适的投资品种，或其他可能对基金业绩产生负面影响，从而损害现有基金份额持有人利益的情形。</w:t>
      </w:r>
    </w:p>
    <w:p w:rsidR="00473CDB"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sidR="00C014AA">
        <w:rPr>
          <w:rFonts w:asciiTheme="minorEastAsia" w:eastAsiaTheme="minorEastAsia" w:hAnsiTheme="minorEastAsia"/>
          <w:color w:val="000000" w:themeColor="text1"/>
          <w:szCs w:val="21"/>
        </w:rPr>
        <w:t>6</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hint="eastAsia"/>
          <w:color w:val="000000" w:themeColor="text1"/>
          <w:szCs w:val="21"/>
        </w:rPr>
        <w:t>基金管理人接受某笔或者某些申购申请有可能导致单一投资者持有基金份额的比</w:t>
      </w:r>
      <w:r w:rsidRPr="005A7DE6">
        <w:rPr>
          <w:rFonts w:asciiTheme="minorEastAsia" w:eastAsiaTheme="minorEastAsia" w:hAnsiTheme="minorEastAsia" w:hint="eastAsia"/>
          <w:color w:val="000000" w:themeColor="text1"/>
          <w:szCs w:val="21"/>
        </w:rPr>
        <w:t>例达到或者超过</w:t>
      </w:r>
      <w:r w:rsidRPr="005A7DE6">
        <w:rPr>
          <w:rFonts w:asciiTheme="minorEastAsia" w:eastAsiaTheme="minorEastAsia" w:hAnsiTheme="minorEastAsia" w:hint="eastAsia"/>
          <w:color w:val="000000" w:themeColor="text1"/>
          <w:szCs w:val="21"/>
        </w:rPr>
        <w:t>50%</w:t>
      </w:r>
      <w:r w:rsidRPr="005A7DE6">
        <w:rPr>
          <w:rFonts w:asciiTheme="minorEastAsia" w:eastAsiaTheme="minorEastAsia" w:hAnsiTheme="minorEastAsia" w:hint="eastAsia"/>
          <w:color w:val="000000" w:themeColor="text1"/>
          <w:szCs w:val="21"/>
        </w:rPr>
        <w:t>，或者变相规避</w:t>
      </w:r>
      <w:r w:rsidRPr="005A7DE6">
        <w:rPr>
          <w:rFonts w:asciiTheme="minorEastAsia" w:eastAsiaTheme="minorEastAsia" w:hAnsiTheme="minorEastAsia" w:hint="eastAsia"/>
          <w:color w:val="000000" w:themeColor="text1"/>
          <w:szCs w:val="21"/>
        </w:rPr>
        <w:t>50%</w:t>
      </w:r>
      <w:r w:rsidRPr="005A7DE6">
        <w:rPr>
          <w:rFonts w:asciiTheme="minorEastAsia" w:eastAsiaTheme="minorEastAsia" w:hAnsiTheme="minorEastAsia" w:hint="eastAsia"/>
          <w:color w:val="000000" w:themeColor="text1"/>
          <w:szCs w:val="21"/>
        </w:rPr>
        <w:t>集中度的情形时。</w:t>
      </w:r>
    </w:p>
    <w:p w:rsidR="00473CDB"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hint="eastAsia"/>
          <w:color w:val="000000" w:themeColor="text1"/>
          <w:szCs w:val="21"/>
        </w:rPr>
        <w:t>7</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hint="eastAsia"/>
          <w:color w:val="000000" w:themeColor="text1"/>
          <w:szCs w:val="21"/>
        </w:rPr>
        <w:t>当一笔新的申购申请被确认成功，使本基金总规模超过基金管理人规定的本基金总规模上限时；或使本基金单日申购金额或净申购比例超过基金管理人规定的当日申购金额或</w:t>
      </w:r>
      <w:r w:rsidRPr="005A7DE6">
        <w:rPr>
          <w:rFonts w:asciiTheme="minorEastAsia" w:eastAsiaTheme="minorEastAsia" w:hAnsiTheme="minorEastAsia" w:hint="eastAsia"/>
          <w:color w:val="000000" w:themeColor="text1"/>
          <w:szCs w:val="21"/>
        </w:rPr>
        <w:t>净申购比例上限时；或该投资人累计持有的份额超过单个投资人累计持有的份额上限时；或该投资人当日申购金额超过单个投资人单日或单笔申购金额上限时。</w:t>
      </w:r>
    </w:p>
    <w:p w:rsidR="00473CDB"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hint="eastAsia"/>
          <w:color w:val="000000" w:themeColor="text1"/>
          <w:szCs w:val="21"/>
        </w:rPr>
        <w:t>8</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hint="eastAsia"/>
          <w:color w:val="000000" w:themeColor="text1"/>
          <w:szCs w:val="21"/>
        </w:rPr>
        <w:t>当前一估值日基金资产净值</w:t>
      </w:r>
      <w:r w:rsidRPr="005A7DE6">
        <w:rPr>
          <w:rFonts w:asciiTheme="minorEastAsia" w:eastAsiaTheme="minorEastAsia" w:hAnsiTheme="minorEastAsia" w:hint="eastAsia"/>
          <w:color w:val="000000" w:themeColor="text1"/>
          <w:szCs w:val="21"/>
        </w:rPr>
        <w:t>50%</w:t>
      </w:r>
      <w:r w:rsidRPr="005A7DE6">
        <w:rPr>
          <w:rFonts w:asciiTheme="minorEastAsia" w:eastAsiaTheme="minorEastAsia" w:hAnsiTheme="minorEastAsia" w:hint="eastAsia"/>
          <w:color w:val="000000" w:themeColor="text1"/>
          <w:szCs w:val="21"/>
        </w:rPr>
        <w:t>以上的资产出现无可参考的活跃市场价格且采用估值技术仍导致公允价值存在重大不确定性时，经与基金托管人协商确认后，基金管理人应当采取暂停接受基金申购申请的措施。</w:t>
      </w:r>
    </w:p>
    <w:p w:rsidR="00F1406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hint="eastAsia"/>
          <w:color w:val="000000" w:themeColor="text1"/>
          <w:szCs w:val="21"/>
        </w:rPr>
        <w:t>9</w:t>
      </w:r>
      <w:r w:rsidRPr="005A7DE6">
        <w:rPr>
          <w:rFonts w:asciiTheme="minorEastAsia" w:eastAsiaTheme="minorEastAsia" w:hAnsiTheme="minorEastAsia"/>
          <w:color w:val="000000" w:themeColor="text1"/>
          <w:szCs w:val="21"/>
        </w:rPr>
        <w:t>）法律法规规定或中国证监会认定的其他情形。</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发生除上述第</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4</w:t>
      </w:r>
      <w:r w:rsidRPr="005A7DE6" w:rsidR="005B19FC">
        <w:rPr>
          <w:rFonts w:asciiTheme="minorEastAsia" w:eastAsiaTheme="minorEastAsia" w:hAnsiTheme="minorEastAsia"/>
          <w:color w:val="000000" w:themeColor="text1"/>
          <w:szCs w:val="21"/>
        </w:rPr>
        <w:t>）</w:t>
      </w:r>
      <w:r w:rsidRPr="005A7DE6" w:rsidR="00473CDB">
        <w:rPr>
          <w:rFonts w:asciiTheme="minorEastAsia" w:eastAsiaTheme="minorEastAsia" w:hAnsiTheme="minorEastAsia" w:hint="eastAsia"/>
          <w:color w:val="000000" w:themeColor="text1"/>
          <w:szCs w:val="21"/>
        </w:rPr>
        <w:t>、</w:t>
      </w:r>
      <w:r w:rsidRPr="005A7DE6" w:rsidR="00473CDB">
        <w:rPr>
          <w:rFonts w:asciiTheme="minorEastAsia" w:eastAsiaTheme="minorEastAsia" w:hAnsiTheme="minorEastAsia"/>
          <w:color w:val="000000" w:themeColor="text1"/>
          <w:szCs w:val="21"/>
        </w:rPr>
        <w:t>（</w:t>
      </w:r>
      <w:r w:rsidRPr="005A7DE6" w:rsidR="00473CDB">
        <w:rPr>
          <w:rFonts w:asciiTheme="minorEastAsia" w:eastAsiaTheme="minorEastAsia" w:hAnsiTheme="minorEastAsia" w:hint="eastAsia"/>
          <w:color w:val="000000" w:themeColor="text1"/>
          <w:szCs w:val="21"/>
        </w:rPr>
        <w:t>6</w:t>
      </w:r>
      <w:r w:rsidRPr="005A7DE6" w:rsidR="00473CDB">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项以外的暂停申购情形且基金管理人决定暂停申购时，基金管理人应当根据有关规定在</w:t>
      </w:r>
      <w:r w:rsidRPr="005A7DE6" w:rsidR="006E73AA">
        <w:rPr>
          <w:rFonts w:asciiTheme="minorEastAsia" w:eastAsiaTheme="minorEastAsia" w:hAnsiTheme="minorEastAsia"/>
          <w:color w:val="000000" w:themeColor="text1"/>
          <w:szCs w:val="21"/>
        </w:rPr>
        <w:t>指定媒介</w:t>
      </w:r>
      <w:r w:rsidRPr="005A7DE6">
        <w:rPr>
          <w:rFonts w:asciiTheme="minorEastAsia" w:eastAsiaTheme="minorEastAsia" w:hAnsiTheme="minorEastAsia"/>
          <w:color w:val="000000" w:themeColor="text1"/>
          <w:szCs w:val="21"/>
        </w:rPr>
        <w:t>上刊登暂停申购公告。如果投资人的申购申请被拒绝，被拒绝的申购款项本金将退还给投资人。在暂停申购的情况消除时，基金管理人应及时恢复申购业务的办理。</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color w:val="000000" w:themeColor="text1"/>
          <w:szCs w:val="21"/>
        </w:rPr>
        <w:t>、发生下列情形时，基金管理人可暂停接受投资人的赎回申请或延缓支付赎回款项：</w:t>
      </w:r>
    </w:p>
    <w:p w:rsidR="001E5840"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）因不可抗力导致基金无法正常运作。</w:t>
      </w:r>
    </w:p>
    <w:p w:rsidR="001E5840"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color w:val="000000" w:themeColor="text1"/>
          <w:szCs w:val="21"/>
        </w:rPr>
        <w:t>）证券交易所交易时间临时停市，导致基金管理人无法计算当日基金资产净值。</w:t>
      </w:r>
    </w:p>
    <w:p w:rsidR="001E5840"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3</w:t>
      </w:r>
      <w:r w:rsidRPr="005A7DE6">
        <w:rPr>
          <w:rFonts w:asciiTheme="minorEastAsia" w:eastAsiaTheme="minorEastAsia" w:hAnsiTheme="minorEastAsia"/>
          <w:color w:val="000000" w:themeColor="text1"/>
          <w:szCs w:val="21"/>
        </w:rPr>
        <w:t>）连续两个或两个以上开放日发生巨额赎回，导致本基金的现金支付出现困难。</w:t>
      </w:r>
    </w:p>
    <w:p w:rsidR="001E5840"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4</w:t>
      </w:r>
      <w:r w:rsidRPr="005A7DE6">
        <w:rPr>
          <w:rFonts w:asciiTheme="minorEastAsia" w:eastAsiaTheme="minorEastAsia" w:hAnsiTheme="minorEastAsia"/>
          <w:color w:val="000000" w:themeColor="text1"/>
          <w:szCs w:val="21"/>
        </w:rPr>
        <w:t>）</w:t>
      </w:r>
      <w:r w:rsidRPr="005A7DE6" w:rsidR="00D019DA">
        <w:rPr>
          <w:rFonts w:asciiTheme="minorEastAsia" w:eastAsiaTheme="minorEastAsia" w:hAnsiTheme="minorEastAsia"/>
          <w:color w:val="000000" w:themeColor="text1"/>
          <w:szCs w:val="21"/>
        </w:rPr>
        <w:t>发生</w:t>
      </w:r>
      <w:r w:rsidRPr="005A7DE6">
        <w:rPr>
          <w:rFonts w:asciiTheme="minorEastAsia" w:eastAsiaTheme="minorEastAsia" w:hAnsiTheme="minorEastAsia"/>
          <w:color w:val="000000" w:themeColor="text1"/>
          <w:szCs w:val="21"/>
        </w:rPr>
        <w:t>基金合同规定的暂停基金资产估值情况。</w:t>
      </w:r>
    </w:p>
    <w:p w:rsidR="00473CDB"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sidR="001E5840">
        <w:rPr>
          <w:rFonts w:asciiTheme="minorEastAsia" w:eastAsiaTheme="minorEastAsia" w:hAnsiTheme="minorEastAsia"/>
          <w:color w:val="000000" w:themeColor="text1"/>
          <w:szCs w:val="21"/>
        </w:rPr>
        <w:t>5</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hint="eastAsia"/>
          <w:color w:val="000000" w:themeColor="text1"/>
          <w:szCs w:val="21"/>
        </w:rPr>
        <w:t>当前一估值日基金资产净值</w:t>
      </w:r>
      <w:r w:rsidRPr="005A7DE6">
        <w:rPr>
          <w:rFonts w:asciiTheme="minorEastAsia" w:eastAsiaTheme="minorEastAsia" w:hAnsiTheme="minorEastAsia" w:hint="eastAsia"/>
          <w:color w:val="000000" w:themeColor="text1"/>
          <w:szCs w:val="21"/>
        </w:rPr>
        <w:t>50%</w:t>
      </w:r>
      <w:r w:rsidRPr="005A7DE6">
        <w:rPr>
          <w:rFonts w:asciiTheme="minorEastAsia" w:eastAsiaTheme="minorEastAsia" w:hAnsiTheme="minorEastAsia" w:hint="eastAsia"/>
          <w:color w:val="000000" w:themeColor="text1"/>
          <w:szCs w:val="21"/>
        </w:rPr>
        <w:t>以上的资产出现无可参考的活跃市场价格且采用估值技术仍导致公允价值存在重大不确定性时，经与基金托管人协商确认后，基金管理人应当采取延缓支付赎回款项或暂停接受基金赎回申请的措施。</w:t>
      </w:r>
    </w:p>
    <w:p w:rsidR="001E5840"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hint="eastAsia"/>
          <w:color w:val="000000" w:themeColor="text1"/>
          <w:szCs w:val="21"/>
        </w:rPr>
        <w:t>6</w:t>
      </w:r>
      <w:r w:rsidRPr="005A7DE6">
        <w:rPr>
          <w:rFonts w:asciiTheme="minorEastAsia" w:eastAsiaTheme="minorEastAsia" w:hAnsiTheme="minorEastAsia"/>
          <w:color w:val="000000" w:themeColor="text1"/>
          <w:szCs w:val="21"/>
        </w:rPr>
        <w:t>）法律法规规定或中国证监会认定的其他情形。</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发生上述情形且基金管理人决定暂停接受投资人的赎回申请或延缓支付赎回款项时，基金管理人应报中国证监会备案，已接受的赎回申请，基金管理人应足额支付；如暂时不能足额支付，应将可支付部分按单个账户申请量占申请总量的比例分配给赎回申请人，未支付部分可延期支付，并以后续</w:t>
      </w:r>
      <w:r w:rsidRPr="005A7DE6">
        <w:rPr>
          <w:rFonts w:asciiTheme="minorEastAsia" w:eastAsiaTheme="minorEastAsia" w:hAnsiTheme="minorEastAsia"/>
          <w:color w:val="000000" w:themeColor="text1"/>
          <w:szCs w:val="21"/>
        </w:rPr>
        <w:t>开放日的基金份额净值为依据计算赎回金额。若连续两个或两个以上开放日发生巨额赎回，延期支付最长不得超过</w:t>
      </w:r>
      <w:r w:rsidRPr="005A7DE6">
        <w:rPr>
          <w:rFonts w:asciiTheme="minorEastAsia" w:eastAsiaTheme="minorEastAsia" w:hAnsiTheme="minorEastAsia"/>
          <w:color w:val="000000" w:themeColor="text1"/>
          <w:szCs w:val="21"/>
        </w:rPr>
        <w:t>20</w:t>
      </w:r>
      <w:r w:rsidRPr="005A7DE6">
        <w:rPr>
          <w:rFonts w:asciiTheme="minorEastAsia" w:eastAsiaTheme="minorEastAsia" w:hAnsiTheme="minorEastAsia"/>
          <w:color w:val="000000" w:themeColor="text1"/>
          <w:szCs w:val="21"/>
        </w:rPr>
        <w:t>个工作日，并在</w:t>
      </w:r>
      <w:r w:rsidRPr="005A7DE6" w:rsidR="006E73AA">
        <w:rPr>
          <w:rFonts w:asciiTheme="minorEastAsia" w:eastAsiaTheme="minorEastAsia" w:hAnsiTheme="minorEastAsia"/>
          <w:color w:val="000000" w:themeColor="text1"/>
          <w:szCs w:val="21"/>
        </w:rPr>
        <w:t>指定媒介</w:t>
      </w:r>
      <w:r w:rsidRPr="005A7DE6">
        <w:rPr>
          <w:rFonts w:asciiTheme="minorEastAsia" w:eastAsiaTheme="minorEastAsia" w:hAnsiTheme="minorEastAsia"/>
          <w:color w:val="000000" w:themeColor="text1"/>
          <w:szCs w:val="21"/>
        </w:rPr>
        <w:t>上公告。投资人在申请赎回时可事先选择将当日可能未获受理部分予以撤销。在暂停赎回的情况消除时，基金管理人应及时恢复赎回业务的办理并予以公告。</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bookmarkStart w:id="3626" w:name="_Toc319688310"/>
      <w:bookmarkStart w:id="3627" w:name="_Toc319693434"/>
      <w:r w:rsidRPr="005A7DE6">
        <w:rPr>
          <w:rFonts w:asciiTheme="minorEastAsia" w:eastAsiaTheme="minorEastAsia" w:hAnsiTheme="minorEastAsia"/>
          <w:color w:val="000000" w:themeColor="text1"/>
          <w:szCs w:val="21"/>
        </w:rPr>
        <w:t>3</w:t>
      </w:r>
      <w:r w:rsidRPr="005A7DE6">
        <w:rPr>
          <w:rFonts w:asciiTheme="minorEastAsia" w:eastAsiaTheme="minorEastAsia" w:hAnsiTheme="minorEastAsia"/>
          <w:color w:val="000000" w:themeColor="text1"/>
          <w:szCs w:val="21"/>
        </w:rPr>
        <w:t>、暂停申购或赎回的公告和重新开放申购或赎回的公告</w:t>
      </w:r>
      <w:bookmarkEnd w:id="3626"/>
      <w:bookmarkEnd w:id="3627"/>
    </w:p>
    <w:p w:rsidR="00C014AA"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sidR="00164EE8">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）发生上述暂停申购或赎回情况的，基金管理人应在规定期限内在</w:t>
      </w:r>
      <w:r w:rsidRPr="005A7DE6" w:rsidR="006E73AA">
        <w:rPr>
          <w:rFonts w:asciiTheme="minorEastAsia" w:eastAsiaTheme="minorEastAsia" w:hAnsiTheme="minorEastAsia"/>
          <w:color w:val="000000" w:themeColor="text1"/>
          <w:szCs w:val="21"/>
        </w:rPr>
        <w:t>指定媒介</w:t>
      </w:r>
      <w:r w:rsidRPr="005A7DE6">
        <w:rPr>
          <w:rFonts w:asciiTheme="minorEastAsia" w:eastAsiaTheme="minorEastAsia" w:hAnsiTheme="minorEastAsia"/>
          <w:color w:val="000000" w:themeColor="text1"/>
          <w:szCs w:val="21"/>
        </w:rPr>
        <w:t>上刊登暂停公告。</w:t>
      </w:r>
    </w:p>
    <w:p w:rsidR="00164EE8"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sidR="00C014AA">
        <w:rPr>
          <w:rFonts w:asciiTheme="minorEastAsia" w:eastAsiaTheme="minorEastAsia" w:hAnsiTheme="minorEastAsia"/>
          <w:color w:val="000000" w:themeColor="text1"/>
          <w:szCs w:val="21"/>
        </w:rPr>
        <w:t>2</w:t>
      </w:r>
      <w:r w:rsidRPr="005A7DE6">
        <w:rPr>
          <w:rFonts w:asciiTheme="minorEastAsia" w:eastAsiaTheme="minorEastAsia" w:hAnsiTheme="minorEastAsia"/>
          <w:color w:val="000000" w:themeColor="text1"/>
          <w:szCs w:val="21"/>
        </w:rPr>
        <w:t>）如发生暂停的时间为</w:t>
      </w: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日，基金管理人应于重新开放日，在</w:t>
      </w:r>
      <w:r w:rsidRPr="005A7DE6" w:rsidR="006E73AA">
        <w:rPr>
          <w:rFonts w:asciiTheme="minorEastAsia" w:eastAsiaTheme="minorEastAsia" w:hAnsiTheme="minorEastAsia"/>
          <w:color w:val="000000" w:themeColor="text1"/>
          <w:szCs w:val="21"/>
        </w:rPr>
        <w:t>指定媒介</w:t>
      </w:r>
      <w:r w:rsidRPr="005A7DE6">
        <w:rPr>
          <w:rFonts w:asciiTheme="minorEastAsia" w:eastAsiaTheme="minorEastAsia" w:hAnsiTheme="minorEastAsia"/>
          <w:color w:val="000000" w:themeColor="text1"/>
          <w:szCs w:val="21"/>
        </w:rPr>
        <w:t>上刊登基金重新开放申购或赎回公告，并公布最近</w:t>
      </w: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个开放日的基金份额净值。</w:t>
      </w:r>
    </w:p>
    <w:p w:rsidR="00164EE8"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sidR="00C014AA">
        <w:rPr>
          <w:rFonts w:asciiTheme="minorEastAsia" w:eastAsiaTheme="minorEastAsia" w:hAnsiTheme="minorEastAsia"/>
          <w:color w:val="000000" w:themeColor="text1"/>
          <w:szCs w:val="21"/>
        </w:rPr>
        <w:t>3</w:t>
      </w:r>
      <w:r w:rsidRPr="005A7DE6">
        <w:rPr>
          <w:rFonts w:asciiTheme="minorEastAsia" w:eastAsiaTheme="minorEastAsia" w:hAnsiTheme="minorEastAsia"/>
          <w:color w:val="000000" w:themeColor="text1"/>
          <w:szCs w:val="21"/>
        </w:rPr>
        <w:t>）如发生暂停的时间超过</w:t>
      </w: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日但少于</w:t>
      </w: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color w:val="000000" w:themeColor="text1"/>
          <w:szCs w:val="21"/>
        </w:rPr>
        <w:t>周，暂停结束，基金重新开放申购或赎回时，基金管理人应提前</w:t>
      </w: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color w:val="000000" w:themeColor="text1"/>
          <w:szCs w:val="21"/>
        </w:rPr>
        <w:t>日在</w:t>
      </w:r>
      <w:r w:rsidRPr="005A7DE6" w:rsidR="006E73AA">
        <w:rPr>
          <w:rFonts w:asciiTheme="minorEastAsia" w:eastAsiaTheme="minorEastAsia" w:hAnsiTheme="minorEastAsia"/>
          <w:color w:val="000000" w:themeColor="text1"/>
          <w:szCs w:val="21"/>
        </w:rPr>
        <w:t>指定媒介</w:t>
      </w:r>
      <w:r w:rsidRPr="005A7DE6">
        <w:rPr>
          <w:rFonts w:asciiTheme="minorEastAsia" w:eastAsiaTheme="minorEastAsia" w:hAnsiTheme="minorEastAsia"/>
          <w:color w:val="000000" w:themeColor="text1"/>
          <w:szCs w:val="21"/>
        </w:rPr>
        <w:t>上刊登基金重新开放申购或赎回公告，并公告最近</w:t>
      </w: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个开放日的基金份额净值。</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sidR="00C014AA">
        <w:rPr>
          <w:rFonts w:asciiTheme="minorEastAsia" w:eastAsiaTheme="minorEastAsia" w:hAnsiTheme="minorEastAsia"/>
          <w:color w:val="000000" w:themeColor="text1"/>
          <w:szCs w:val="21"/>
        </w:rPr>
        <w:t>4</w:t>
      </w:r>
      <w:r w:rsidRPr="005A7DE6">
        <w:rPr>
          <w:rFonts w:asciiTheme="minorEastAsia" w:eastAsiaTheme="minorEastAsia" w:hAnsiTheme="minorEastAsia"/>
          <w:color w:val="000000" w:themeColor="text1"/>
          <w:szCs w:val="21"/>
        </w:rPr>
        <w:t>）</w:t>
      </w:r>
      <w:r w:rsidRPr="005A7DE6" w:rsidR="00164EE8">
        <w:rPr>
          <w:rFonts w:asciiTheme="minorEastAsia" w:eastAsiaTheme="minorEastAsia" w:hAnsiTheme="minorEastAsia"/>
          <w:color w:val="000000" w:themeColor="text1"/>
          <w:szCs w:val="21"/>
        </w:rPr>
        <w:t>如发生暂停的时间超过2周，暂停期间，基金管理人应每2周至少刊登暂停公告1次。暂停结束，基金重新开放申购或赎回时，基金管理人应提前2日在</w:t>
      </w:r>
      <w:r w:rsidRPr="005A7DE6" w:rsidR="006E73AA">
        <w:rPr>
          <w:rFonts w:asciiTheme="minorEastAsia" w:eastAsiaTheme="minorEastAsia" w:hAnsiTheme="minorEastAsia"/>
          <w:color w:val="000000" w:themeColor="text1"/>
          <w:szCs w:val="21"/>
        </w:rPr>
        <w:t>指定媒介</w:t>
      </w:r>
      <w:r w:rsidRPr="005A7DE6" w:rsidR="00164EE8">
        <w:rPr>
          <w:rFonts w:asciiTheme="minorEastAsia" w:eastAsiaTheme="minorEastAsia" w:hAnsiTheme="minorEastAsia"/>
          <w:color w:val="000000" w:themeColor="text1"/>
          <w:szCs w:val="21"/>
        </w:rPr>
        <w:t>上连续刊登基金重新开放申购或赎回公告，并公告最近1个开放日的基金份额净值。</w:t>
      </w:r>
    </w:p>
    <w:p w:rsidR="00C700D2" w:rsidRPr="005A7DE6" w:rsidP="00C05732">
      <w:pPr>
        <w:pStyle w:val="Heading2"/>
        <w:snapToGrid w:val="0"/>
        <w:spacing w:beforeLines="0" w:afterLines="0" w:line="360" w:lineRule="auto"/>
        <w:ind w:firstLine="0" w:firstLineChars="0"/>
        <w:rPr>
          <w:rFonts w:asciiTheme="minorEastAsia" w:eastAsiaTheme="minorEastAsia" w:hAnsiTheme="minorEastAsia"/>
          <w:bCs/>
          <w:color w:val="000000" w:themeColor="text1"/>
        </w:rPr>
      </w:pPr>
      <w:bookmarkStart w:id="3628" w:name="_Toc94172405"/>
      <w:r w:rsidRPr="005A7DE6">
        <w:rPr>
          <w:rFonts w:asciiTheme="minorEastAsia" w:eastAsiaTheme="minorEastAsia" w:hAnsiTheme="minorEastAsia" w:hint="eastAsia"/>
          <w:b w:val="0"/>
          <w:bCs/>
          <w:color w:val="000000" w:themeColor="text1"/>
        </w:rPr>
        <w:t>（十二）实施侧袋机制期间本基金的申购</w:t>
      </w:r>
      <w:r w:rsidRPr="005A7DE6">
        <w:rPr>
          <w:rFonts w:asciiTheme="minorEastAsia" w:eastAsiaTheme="minorEastAsia" w:hAnsiTheme="minorEastAsia" w:hint="eastAsia"/>
          <w:b w:val="0"/>
          <w:bCs/>
          <w:color w:val="000000" w:themeColor="text1"/>
        </w:rPr>
        <w:t>与赎回</w:t>
      </w:r>
      <w:bookmarkEnd w:id="3628"/>
    </w:p>
    <w:p w:rsidR="00C700D2" w:rsidRPr="005A7DE6" w:rsidP="00C700D2">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本基金实施侧袋机制的，本基金的申购和赎回安排详见本招募说明书“侧袋机制”部分的规定或相关公告。</w:t>
      </w:r>
    </w:p>
    <w:p w:rsidR="00615A3A" w:rsidRPr="005A7DE6" w:rsidP="006B758F">
      <w:pPr>
        <w:widowControl/>
        <w:spacing w:line="360" w:lineRule="auto"/>
        <w:jc w:val="left"/>
        <w:rPr>
          <w:rFonts w:asciiTheme="minorEastAsia" w:eastAsiaTheme="minorEastAsia" w:hAnsiTheme="minorEastAsia"/>
          <w:color w:val="000000" w:themeColor="text1"/>
          <w:sz w:val="30"/>
          <w:szCs w:val="20"/>
        </w:rPr>
      </w:pPr>
      <w:r w:rsidRPr="005A7DE6">
        <w:rPr>
          <w:rFonts w:asciiTheme="minorEastAsia" w:eastAsiaTheme="minorEastAsia" w:hAnsiTheme="minorEastAsia"/>
          <w:color w:val="000000" w:themeColor="text1"/>
          <w:sz w:val="30"/>
        </w:rPr>
        <w:br w:type="page"/>
      </w:r>
    </w:p>
    <w:p w:rsidR="00BA4B87" w:rsidRPr="005A7DE6" w:rsidP="006B758F">
      <w:pPr>
        <w:pStyle w:val="111"/>
        <w:pageBreakBefore w:val="0"/>
        <w:snapToGrid w:val="0"/>
        <w:spacing w:beforeLines="0" w:afterLines="0" w:line="360" w:lineRule="auto"/>
        <w:ind w:firstLine="602"/>
        <w:rPr>
          <w:rFonts w:asciiTheme="minorEastAsia" w:eastAsiaTheme="minorEastAsia" w:hAnsiTheme="minorEastAsia"/>
          <w:b/>
          <w:color w:val="000000" w:themeColor="text1"/>
          <w:sz w:val="30"/>
        </w:rPr>
      </w:pPr>
      <w:bookmarkStart w:id="3629" w:name="_Toc94172406"/>
      <w:r w:rsidRPr="005A7DE6">
        <w:rPr>
          <w:rFonts w:asciiTheme="minorEastAsia" w:eastAsiaTheme="minorEastAsia" w:hAnsiTheme="minorEastAsia"/>
          <w:b/>
          <w:color w:val="000000" w:themeColor="text1"/>
          <w:sz w:val="30"/>
        </w:rPr>
        <w:t>九、基金转换</w:t>
      </w:r>
      <w:bookmarkEnd w:id="3629"/>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30" w:name="_Toc94172407"/>
      <w:r w:rsidRPr="005A7DE6">
        <w:rPr>
          <w:rFonts w:asciiTheme="minorEastAsia" w:eastAsiaTheme="minorEastAsia" w:hAnsiTheme="minorEastAsia"/>
          <w:b w:val="0"/>
          <w:bCs/>
          <w:color w:val="000000" w:themeColor="text1"/>
        </w:rPr>
        <w:t>（一）</w:t>
      </w:r>
      <w:r w:rsidRPr="005A7DE6" w:rsidR="009A207D">
        <w:rPr>
          <w:rFonts w:asciiTheme="minorEastAsia" w:eastAsiaTheme="minorEastAsia" w:hAnsiTheme="minorEastAsia" w:hint="eastAsia"/>
          <w:b w:val="0"/>
          <w:bCs/>
          <w:color w:val="000000" w:themeColor="text1"/>
        </w:rPr>
        <w:t>基金转换开始日及时间</w:t>
      </w:r>
      <w:bookmarkEnd w:id="3630"/>
    </w:p>
    <w:p w:rsidR="009A207D"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本基金已于</w:t>
      </w:r>
      <w:r w:rsidRPr="005A7DE6">
        <w:rPr>
          <w:rFonts w:asciiTheme="minorEastAsia" w:eastAsiaTheme="minorEastAsia" w:hAnsiTheme="minorEastAsia"/>
          <w:color w:val="000000" w:themeColor="text1"/>
          <w:szCs w:val="21"/>
        </w:rPr>
        <w:t>20</w:t>
      </w:r>
      <w:r w:rsidRPr="005A7DE6">
        <w:rPr>
          <w:rFonts w:asciiTheme="minorEastAsia" w:eastAsiaTheme="minorEastAsia" w:hAnsiTheme="minorEastAsia" w:hint="eastAsia"/>
          <w:color w:val="000000" w:themeColor="text1"/>
          <w:szCs w:val="21"/>
        </w:rPr>
        <w:t>12</w:t>
      </w:r>
      <w:r w:rsidRPr="005A7DE6">
        <w:rPr>
          <w:rFonts w:asciiTheme="minorEastAsia" w:eastAsiaTheme="minorEastAsia" w:hAnsiTheme="minorEastAsia" w:hint="eastAsia"/>
          <w:color w:val="000000" w:themeColor="text1"/>
          <w:szCs w:val="21"/>
        </w:rPr>
        <w:t>年</w:t>
      </w:r>
      <w:r w:rsidRPr="005A7DE6">
        <w:rPr>
          <w:rFonts w:asciiTheme="minorEastAsia" w:eastAsiaTheme="minorEastAsia" w:hAnsiTheme="minorEastAsia" w:hint="eastAsia"/>
          <w:color w:val="000000" w:themeColor="text1"/>
          <w:szCs w:val="21"/>
        </w:rPr>
        <w:t>6</w:t>
      </w:r>
      <w:r w:rsidRPr="005A7DE6">
        <w:rPr>
          <w:rFonts w:asciiTheme="minorEastAsia" w:eastAsiaTheme="minorEastAsia" w:hAnsiTheme="minorEastAsia" w:hint="eastAsia"/>
          <w:color w:val="000000" w:themeColor="text1"/>
          <w:szCs w:val="21"/>
        </w:rPr>
        <w:t>月</w:t>
      </w:r>
      <w:r w:rsidRPr="005A7DE6">
        <w:rPr>
          <w:rFonts w:asciiTheme="minorEastAsia" w:eastAsiaTheme="minorEastAsia" w:hAnsiTheme="minorEastAsia" w:hint="eastAsia"/>
          <w:color w:val="000000" w:themeColor="text1"/>
          <w:szCs w:val="21"/>
        </w:rPr>
        <w:t>1</w:t>
      </w:r>
      <w:r w:rsidRPr="005A7DE6">
        <w:rPr>
          <w:rFonts w:asciiTheme="minorEastAsia" w:eastAsiaTheme="minorEastAsia" w:hAnsiTheme="minorEastAsia" w:hint="eastAsia"/>
          <w:color w:val="000000" w:themeColor="text1"/>
          <w:szCs w:val="21"/>
        </w:rPr>
        <w:t>日开始办理转换业务</w:t>
      </w:r>
      <w:r w:rsidRPr="005A7DE6" w:rsidR="00B437FB">
        <w:rPr>
          <w:rFonts w:asciiTheme="minorEastAsia" w:eastAsiaTheme="minorEastAsia" w:hAnsiTheme="minorEastAsia" w:hint="eastAsia"/>
          <w:color w:val="000000" w:themeColor="text1"/>
        </w:rPr>
        <w:t>。</w:t>
      </w:r>
    </w:p>
    <w:p w:rsidR="00015831"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投资人在开放日办理基金份额的转换，具体办理时间为上海证券交易所、深圳证券交易所的正常交易日的交易时间，但基金管理人根据法律法规、中国证监会的要求或基金合同的规定公告暂停转换时除外。</w:t>
      </w:r>
    </w:p>
    <w:p w:rsidR="003D783E"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若出现新的证券交易市场、证券交易所交易时间变更或其他特殊情况，基金管理人将视情况对前述开放日及开放时间进行相应的调整，但应在实施日前依照</w:t>
      </w:r>
      <w:r w:rsidRPr="005A7DE6">
        <w:rPr>
          <w:rFonts w:asciiTheme="minorEastAsia" w:eastAsiaTheme="minorEastAsia" w:hAnsiTheme="minorEastAsia" w:hint="eastAsia"/>
          <w:color w:val="000000" w:themeColor="text1"/>
          <w:szCs w:val="21"/>
        </w:rPr>
        <w:t>《信息披露办法》</w:t>
      </w:r>
      <w:r w:rsidRPr="005A7DE6">
        <w:rPr>
          <w:rFonts w:asciiTheme="minorEastAsia" w:eastAsiaTheme="minorEastAsia" w:hAnsiTheme="minorEastAsia"/>
          <w:color w:val="000000" w:themeColor="text1"/>
          <w:szCs w:val="21"/>
        </w:rPr>
        <w:t>的有关规定在</w:t>
      </w:r>
      <w:r w:rsidRPr="005A7DE6" w:rsidR="006E73AA">
        <w:rPr>
          <w:rFonts w:asciiTheme="minorEastAsia" w:eastAsiaTheme="minorEastAsia" w:hAnsiTheme="minorEastAsia"/>
          <w:color w:val="000000" w:themeColor="text1"/>
          <w:szCs w:val="21"/>
        </w:rPr>
        <w:t>指定媒介</w:t>
      </w:r>
      <w:r w:rsidRPr="005A7DE6">
        <w:rPr>
          <w:rFonts w:asciiTheme="minorEastAsia" w:eastAsiaTheme="minorEastAsia" w:hAnsiTheme="minorEastAsia"/>
          <w:color w:val="000000" w:themeColor="text1"/>
          <w:szCs w:val="21"/>
        </w:rPr>
        <w:t>上公告。</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投资者在</w:t>
      </w:r>
      <w:r w:rsidRPr="005A7DE6">
        <w:rPr>
          <w:rFonts w:asciiTheme="minorEastAsia" w:eastAsiaTheme="minorEastAsia" w:hAnsiTheme="minorEastAsia" w:hint="eastAsia"/>
          <w:color w:val="000000" w:themeColor="text1"/>
          <w:szCs w:val="21"/>
        </w:rPr>
        <w:t>基金合同</w:t>
      </w:r>
      <w:r w:rsidRPr="005A7DE6">
        <w:rPr>
          <w:rFonts w:asciiTheme="minorEastAsia" w:eastAsiaTheme="minorEastAsia" w:hAnsiTheme="minorEastAsia"/>
          <w:color w:val="000000" w:themeColor="text1"/>
          <w:szCs w:val="21"/>
        </w:rPr>
        <w:t>约定之外的日期和时间提出</w:t>
      </w:r>
      <w:r w:rsidRPr="005A7DE6">
        <w:rPr>
          <w:rFonts w:asciiTheme="minorEastAsia" w:eastAsiaTheme="minorEastAsia" w:hAnsiTheme="minorEastAsia" w:hint="eastAsia"/>
          <w:color w:val="000000" w:themeColor="text1"/>
          <w:szCs w:val="21"/>
        </w:rPr>
        <w:t>转换申请</w:t>
      </w:r>
      <w:r w:rsidRPr="005A7DE6">
        <w:rPr>
          <w:rFonts w:asciiTheme="minorEastAsia" w:eastAsiaTheme="minorEastAsia" w:hAnsiTheme="minorEastAsia"/>
          <w:color w:val="000000" w:themeColor="text1"/>
          <w:szCs w:val="21"/>
        </w:rPr>
        <w:t>的，其基金份额</w:t>
      </w:r>
      <w:r w:rsidRPr="005A7DE6">
        <w:rPr>
          <w:rFonts w:asciiTheme="minorEastAsia" w:eastAsiaTheme="minorEastAsia" w:hAnsiTheme="minorEastAsia" w:hint="eastAsia"/>
          <w:color w:val="000000" w:themeColor="text1"/>
          <w:szCs w:val="21"/>
        </w:rPr>
        <w:t>转换</w:t>
      </w:r>
      <w:r w:rsidRPr="005A7DE6">
        <w:rPr>
          <w:rFonts w:asciiTheme="minorEastAsia" w:eastAsiaTheme="minorEastAsia" w:hAnsiTheme="minorEastAsia"/>
          <w:color w:val="000000" w:themeColor="text1"/>
          <w:szCs w:val="21"/>
        </w:rPr>
        <w:t>价格为下一开放日基金份额</w:t>
      </w:r>
      <w:r w:rsidRPr="005A7DE6">
        <w:rPr>
          <w:rFonts w:asciiTheme="minorEastAsia" w:eastAsiaTheme="minorEastAsia" w:hAnsiTheme="minorEastAsia" w:hint="eastAsia"/>
          <w:color w:val="000000" w:themeColor="text1"/>
          <w:szCs w:val="21"/>
        </w:rPr>
        <w:t>转换</w:t>
      </w:r>
      <w:r w:rsidRPr="005A7DE6">
        <w:rPr>
          <w:rFonts w:asciiTheme="minorEastAsia" w:eastAsiaTheme="minorEastAsia" w:hAnsiTheme="minorEastAsia"/>
          <w:color w:val="000000" w:themeColor="text1"/>
          <w:szCs w:val="21"/>
        </w:rPr>
        <w:t>价格。</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31" w:name="_Toc94172408"/>
      <w:r w:rsidRPr="005A7DE6">
        <w:rPr>
          <w:rFonts w:asciiTheme="minorEastAsia" w:eastAsiaTheme="minorEastAsia" w:hAnsiTheme="minorEastAsia"/>
          <w:b w:val="0"/>
          <w:bCs/>
          <w:color w:val="000000" w:themeColor="text1"/>
        </w:rPr>
        <w:t>（二）</w:t>
      </w:r>
      <w:r w:rsidRPr="005A7DE6" w:rsidR="005F4648">
        <w:rPr>
          <w:rFonts w:asciiTheme="minorEastAsia" w:eastAsiaTheme="minorEastAsia" w:hAnsiTheme="minorEastAsia" w:hint="eastAsia"/>
          <w:b w:val="0"/>
          <w:bCs/>
          <w:color w:val="000000" w:themeColor="text1"/>
        </w:rPr>
        <w:t>基金转换的原则</w:t>
      </w:r>
      <w:bookmarkEnd w:id="3631"/>
    </w:p>
    <w:p w:rsidR="003D783E"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1</w:t>
      </w:r>
      <w:r w:rsidRPr="005A7DE6">
        <w:rPr>
          <w:rFonts w:asciiTheme="minorEastAsia" w:eastAsiaTheme="minorEastAsia" w:hAnsiTheme="minorEastAsia" w:hint="eastAsia"/>
          <w:color w:val="000000" w:themeColor="text1"/>
          <w:szCs w:val="21"/>
        </w:rPr>
        <w:t>、基金转换只能在同一销售机构进行。转换的两只基金必须都是该销售机构</w:t>
      </w:r>
      <w:r w:rsidRPr="005A7DE6" w:rsidR="007C0F95">
        <w:rPr>
          <w:rFonts w:asciiTheme="minorEastAsia" w:eastAsiaTheme="minorEastAsia" w:hAnsiTheme="minorEastAsia" w:hint="eastAsia"/>
          <w:color w:val="000000" w:themeColor="text1"/>
          <w:szCs w:val="21"/>
        </w:rPr>
        <w:t>销售</w:t>
      </w:r>
      <w:r w:rsidRPr="005A7DE6">
        <w:rPr>
          <w:rFonts w:asciiTheme="minorEastAsia" w:eastAsiaTheme="minorEastAsia" w:hAnsiTheme="minorEastAsia" w:hint="eastAsia"/>
          <w:color w:val="000000" w:themeColor="text1"/>
          <w:szCs w:val="21"/>
        </w:rPr>
        <w:t>的同一基金管理人管理的、在同一注册登记机构注册登记的基金。</w:t>
      </w:r>
    </w:p>
    <w:p w:rsidR="000A1E5B" w:rsidRPr="005A7DE6" w:rsidP="006B758F">
      <w:pPr>
        <w:widowControl/>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2</w:t>
      </w:r>
      <w:r w:rsidRPr="005A7DE6">
        <w:rPr>
          <w:rFonts w:asciiTheme="minorEastAsia" w:eastAsiaTheme="minorEastAsia" w:hAnsiTheme="minorEastAsia" w:hint="eastAsia"/>
          <w:color w:val="000000" w:themeColor="text1"/>
          <w:szCs w:val="21"/>
        </w:rPr>
        <w:t>、当日的转换申请可以在当日交易结束时间前撤销，在当日的交易时间结束后不得撤销。</w:t>
      </w:r>
    </w:p>
    <w:p w:rsidR="003D783E"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3</w:t>
      </w:r>
      <w:r w:rsidRPr="005A7DE6">
        <w:rPr>
          <w:rFonts w:asciiTheme="minorEastAsia" w:eastAsiaTheme="minorEastAsia" w:hAnsiTheme="minorEastAsia" w:hint="eastAsia"/>
          <w:color w:val="000000" w:themeColor="text1"/>
          <w:szCs w:val="21"/>
        </w:rPr>
        <w:t>、基金转换以份额为单位进行申请。投资者可以发起多次基金转换业务，基金转换费用按每笔申请单独计算。转换费用以人民币元为单位，计算结果按照四舍五入方法，保留小数点后两位。</w:t>
      </w:r>
    </w:p>
    <w:p w:rsidR="003D783E"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4</w:t>
      </w:r>
      <w:r w:rsidRPr="005A7DE6">
        <w:rPr>
          <w:rFonts w:asciiTheme="minorEastAsia" w:eastAsiaTheme="minorEastAsia" w:hAnsiTheme="minorEastAsia" w:hint="eastAsia"/>
          <w:color w:val="000000" w:themeColor="text1"/>
          <w:szCs w:val="21"/>
        </w:rPr>
        <w:t>、基金转换采取未知价法，即基金的转换价格以转换申请受理当日各转出、转入基金的份额净值为基准进行计算。</w:t>
      </w:r>
    </w:p>
    <w:p w:rsidR="003D783E"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5</w:t>
      </w:r>
      <w:r w:rsidRPr="005A7DE6">
        <w:rPr>
          <w:rFonts w:asciiTheme="minorEastAsia" w:eastAsiaTheme="minorEastAsia" w:hAnsiTheme="minorEastAsia" w:hint="eastAsia"/>
          <w:color w:val="000000" w:themeColor="text1"/>
          <w:szCs w:val="21"/>
        </w:rPr>
        <w:t>、基金转换后，转入的基金份额的持有期将自转入的基金份额被确认之日起重新开始计算。</w:t>
      </w:r>
    </w:p>
    <w:p w:rsidR="003D783E"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6</w:t>
      </w:r>
      <w:r w:rsidRPr="005A7DE6">
        <w:rPr>
          <w:rFonts w:asciiTheme="minorEastAsia" w:eastAsiaTheme="minorEastAsia" w:hAnsiTheme="minorEastAsia" w:hint="eastAsia"/>
          <w:color w:val="000000" w:themeColor="text1"/>
          <w:szCs w:val="21"/>
        </w:rPr>
        <w:t>、投资者办理基金转换业务时，转出方的基金必须处于可赎回状态，转入方的基</w:t>
      </w:r>
      <w:r w:rsidRPr="005A7DE6">
        <w:rPr>
          <w:rFonts w:asciiTheme="minorEastAsia" w:eastAsiaTheme="minorEastAsia" w:hAnsiTheme="minorEastAsia" w:hint="eastAsia"/>
          <w:color w:val="000000" w:themeColor="text1"/>
          <w:szCs w:val="21"/>
        </w:rPr>
        <w:t>金必须处于可申购状态。</w:t>
      </w:r>
    </w:p>
    <w:p w:rsidR="003D783E"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7</w:t>
      </w:r>
      <w:r w:rsidRPr="005A7DE6">
        <w:rPr>
          <w:rFonts w:asciiTheme="minorEastAsia" w:eastAsiaTheme="minorEastAsia" w:hAnsiTheme="minorEastAsia" w:hint="eastAsia"/>
          <w:color w:val="000000" w:themeColor="text1"/>
          <w:szCs w:val="21"/>
        </w:rPr>
        <w:t>、转换业务遵循“先进先出”的业务规则，即份额注册日期在前的先转换出，份额注册日期在后的后转换出，如果转换申请当日，同时有赎回申请的情况下，则遵循先赎回后转换的处理原则。</w:t>
      </w:r>
    </w:p>
    <w:p w:rsidR="00862B05"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基金管理人可根据基金运作的实际情况依法对上述原则进行调整。基金管理人必须在新规则开始实施前依照《信息披露办法》的有关规定在</w:t>
      </w:r>
      <w:r w:rsidRPr="005A7DE6" w:rsidR="006E73AA">
        <w:rPr>
          <w:rFonts w:asciiTheme="minorEastAsia" w:eastAsiaTheme="minorEastAsia" w:hAnsiTheme="minorEastAsia"/>
          <w:color w:val="000000" w:themeColor="text1"/>
          <w:szCs w:val="21"/>
        </w:rPr>
        <w:t>指定媒介</w:t>
      </w:r>
      <w:r w:rsidRPr="005A7DE6">
        <w:rPr>
          <w:rFonts w:asciiTheme="minorEastAsia" w:eastAsiaTheme="minorEastAsia" w:hAnsiTheme="minorEastAsia"/>
          <w:color w:val="000000" w:themeColor="text1"/>
          <w:szCs w:val="21"/>
        </w:rPr>
        <w:t>上公告。</w:t>
      </w:r>
    </w:p>
    <w:p w:rsidR="000A1E5B"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32" w:name="_Toc94172409"/>
      <w:r w:rsidRPr="005A7DE6">
        <w:rPr>
          <w:rFonts w:asciiTheme="minorEastAsia" w:eastAsiaTheme="minorEastAsia" w:hAnsiTheme="minorEastAsia"/>
          <w:b w:val="0"/>
          <w:bCs/>
          <w:color w:val="000000" w:themeColor="text1"/>
        </w:rPr>
        <w:t>（</w:t>
      </w:r>
      <w:r w:rsidRPr="005A7DE6">
        <w:rPr>
          <w:rFonts w:asciiTheme="minorEastAsia" w:eastAsiaTheme="minorEastAsia" w:hAnsiTheme="minorEastAsia" w:hint="eastAsia"/>
          <w:b w:val="0"/>
          <w:bCs/>
          <w:color w:val="000000" w:themeColor="text1"/>
        </w:rPr>
        <w:t>三</w:t>
      </w:r>
      <w:r w:rsidRPr="005A7DE6">
        <w:rPr>
          <w:rFonts w:asciiTheme="minorEastAsia" w:eastAsiaTheme="minorEastAsia" w:hAnsiTheme="minorEastAsia"/>
          <w:b w:val="0"/>
          <w:bCs/>
          <w:color w:val="000000" w:themeColor="text1"/>
        </w:rPr>
        <w:t>）</w:t>
      </w:r>
      <w:r w:rsidRPr="005A7DE6">
        <w:rPr>
          <w:rFonts w:asciiTheme="minorEastAsia" w:eastAsiaTheme="minorEastAsia" w:hAnsiTheme="minorEastAsia" w:hint="eastAsia"/>
          <w:b w:val="0"/>
          <w:bCs/>
          <w:color w:val="000000" w:themeColor="text1"/>
        </w:rPr>
        <w:t>基金转换的程序</w:t>
      </w:r>
      <w:bookmarkEnd w:id="3632"/>
    </w:p>
    <w:p w:rsidR="00D95C10"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1</w:t>
      </w:r>
      <w:r w:rsidRPr="005A7DE6">
        <w:rPr>
          <w:rFonts w:asciiTheme="minorEastAsia" w:eastAsiaTheme="minorEastAsia" w:hAnsiTheme="minorEastAsia" w:hint="eastAsia"/>
          <w:color w:val="000000" w:themeColor="text1"/>
          <w:szCs w:val="21"/>
        </w:rPr>
        <w:t>、基金转换的申请方式</w:t>
      </w:r>
    </w:p>
    <w:p w:rsidR="00D95C10"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基金投资者必须根据基金管理人和基金</w:t>
      </w:r>
      <w:r w:rsidRPr="005A7DE6" w:rsidR="007C0F95">
        <w:rPr>
          <w:rFonts w:asciiTheme="minorEastAsia" w:eastAsiaTheme="minorEastAsia" w:hAnsiTheme="minorEastAsia" w:hint="eastAsia"/>
          <w:color w:val="000000" w:themeColor="text1"/>
        </w:rPr>
        <w:t>销售</w:t>
      </w:r>
      <w:r w:rsidRPr="005A7DE6">
        <w:rPr>
          <w:rFonts w:asciiTheme="minorEastAsia" w:eastAsiaTheme="minorEastAsia" w:hAnsiTheme="minorEastAsia" w:hint="eastAsia"/>
          <w:color w:val="000000" w:themeColor="text1"/>
          <w:szCs w:val="21"/>
        </w:rPr>
        <w:t>机构规定的手续，在开放日的业务办理时间</w:t>
      </w:r>
      <w:r w:rsidRPr="005A7DE6">
        <w:rPr>
          <w:rFonts w:asciiTheme="minorEastAsia" w:eastAsiaTheme="minorEastAsia" w:hAnsiTheme="minorEastAsia" w:hint="eastAsia"/>
          <w:color w:val="000000" w:themeColor="text1"/>
          <w:szCs w:val="21"/>
        </w:rPr>
        <w:t>提出转换的申请。</w:t>
      </w:r>
    </w:p>
    <w:p w:rsidR="00D95C10"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提交基金转换申请时，账户中必须有足够可用的转出基金份额余额。</w:t>
      </w:r>
    </w:p>
    <w:p w:rsidR="00D95C10"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2</w:t>
      </w:r>
      <w:r w:rsidRPr="005A7DE6">
        <w:rPr>
          <w:rFonts w:asciiTheme="minorEastAsia" w:eastAsiaTheme="minorEastAsia" w:hAnsiTheme="minorEastAsia" w:hint="eastAsia"/>
          <w:color w:val="000000" w:themeColor="text1"/>
          <w:szCs w:val="21"/>
        </w:rPr>
        <w:t>、基金转换申请的确认</w:t>
      </w:r>
    </w:p>
    <w:p w:rsidR="00D95C10"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正常情况下，基金管理人以在规定的基金业务办理时间段内收到基金转换申请的当天作为基金转换的申请日（</w:t>
      </w:r>
      <w:r w:rsidRPr="005A7DE6">
        <w:rPr>
          <w:rFonts w:asciiTheme="minorEastAsia" w:eastAsiaTheme="minorEastAsia" w:hAnsiTheme="minorEastAsia" w:hint="eastAsia"/>
          <w:color w:val="000000" w:themeColor="text1"/>
          <w:szCs w:val="21"/>
        </w:rPr>
        <w:t>T</w:t>
      </w:r>
      <w:r w:rsidRPr="005A7DE6">
        <w:rPr>
          <w:rFonts w:asciiTheme="minorEastAsia" w:eastAsiaTheme="minorEastAsia" w:hAnsiTheme="minorEastAsia" w:hint="eastAsia"/>
          <w:color w:val="000000" w:themeColor="text1"/>
          <w:szCs w:val="21"/>
        </w:rPr>
        <w:t>日），并在</w:t>
      </w:r>
      <w:r w:rsidRPr="005A7DE6">
        <w:rPr>
          <w:rFonts w:asciiTheme="minorEastAsia" w:eastAsiaTheme="minorEastAsia" w:hAnsiTheme="minorEastAsia" w:hint="eastAsia"/>
          <w:color w:val="000000" w:themeColor="text1"/>
          <w:szCs w:val="21"/>
        </w:rPr>
        <w:t>T+1</w:t>
      </w:r>
      <w:r w:rsidRPr="005A7DE6">
        <w:rPr>
          <w:rFonts w:asciiTheme="minorEastAsia" w:eastAsiaTheme="minorEastAsia" w:hAnsiTheme="minorEastAsia" w:hint="eastAsia"/>
          <w:color w:val="000000" w:themeColor="text1"/>
          <w:szCs w:val="21"/>
        </w:rPr>
        <w:t>工作日对该交易的有效性进行确认。投资者可在</w:t>
      </w:r>
      <w:r w:rsidRPr="005A7DE6">
        <w:rPr>
          <w:rFonts w:asciiTheme="minorEastAsia" w:eastAsiaTheme="minorEastAsia" w:hAnsiTheme="minorEastAsia" w:hint="eastAsia"/>
          <w:color w:val="000000" w:themeColor="text1"/>
          <w:szCs w:val="21"/>
        </w:rPr>
        <w:t>T+2</w:t>
      </w:r>
      <w:r w:rsidRPr="005A7DE6">
        <w:rPr>
          <w:rFonts w:asciiTheme="minorEastAsia" w:eastAsiaTheme="minorEastAsia" w:hAnsiTheme="minorEastAsia" w:hint="eastAsia"/>
          <w:color w:val="000000" w:themeColor="text1"/>
          <w:szCs w:val="21"/>
        </w:rPr>
        <w:t>工作日及之后查询成交情况。</w:t>
      </w:r>
    </w:p>
    <w:p w:rsidR="00D95C10"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33" w:name="_Toc328061351"/>
      <w:bookmarkStart w:id="3634" w:name="_Toc94172410"/>
      <w:r w:rsidRPr="005A7DE6">
        <w:rPr>
          <w:rFonts w:asciiTheme="minorEastAsia" w:eastAsiaTheme="minorEastAsia" w:hAnsiTheme="minorEastAsia" w:hint="eastAsia"/>
          <w:b w:val="0"/>
          <w:bCs/>
          <w:color w:val="000000" w:themeColor="text1"/>
        </w:rPr>
        <w:t>（四）基金转换的份额限制</w:t>
      </w:r>
      <w:bookmarkEnd w:id="3633"/>
      <w:bookmarkEnd w:id="3634"/>
    </w:p>
    <w:p w:rsidR="00D95C10"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基金份额持有人可将其全部或部分基金份额转换成另一只基金，本基金每类基金份额单笔转出申请不得少于</w:t>
      </w:r>
      <w:r w:rsidRPr="005A7DE6">
        <w:rPr>
          <w:rFonts w:asciiTheme="minorEastAsia" w:eastAsiaTheme="minorEastAsia" w:hAnsiTheme="minorEastAsia" w:hint="eastAsia"/>
          <w:color w:val="000000" w:themeColor="text1"/>
          <w:szCs w:val="21"/>
        </w:rPr>
        <w:t>1</w:t>
      </w:r>
      <w:r w:rsidRPr="005A7DE6">
        <w:rPr>
          <w:rFonts w:asciiTheme="minorEastAsia" w:eastAsiaTheme="minorEastAsia" w:hAnsiTheme="minorEastAsia" w:hint="eastAsia"/>
          <w:color w:val="000000" w:themeColor="text1"/>
          <w:szCs w:val="21"/>
        </w:rPr>
        <w:t>份（</w:t>
      </w:r>
      <w:r w:rsidRPr="005A7DE6" w:rsidR="00E41492">
        <w:rPr>
          <w:rFonts w:asciiTheme="minorEastAsia" w:eastAsiaTheme="minorEastAsia" w:hAnsiTheme="minorEastAsia" w:hint="eastAsia"/>
          <w:color w:val="000000" w:themeColor="text1"/>
          <w:szCs w:val="21"/>
        </w:rPr>
        <w:t>如该账户在该销售机构托管的该类基金余额不足</w:t>
      </w:r>
      <w:r w:rsidRPr="005A7DE6">
        <w:rPr>
          <w:rFonts w:asciiTheme="minorEastAsia" w:eastAsiaTheme="minorEastAsia" w:hAnsiTheme="minorEastAsia" w:hint="eastAsia"/>
          <w:color w:val="000000" w:themeColor="text1"/>
          <w:szCs w:val="21"/>
        </w:rPr>
        <w:t>1</w:t>
      </w:r>
      <w:r w:rsidRPr="005A7DE6">
        <w:rPr>
          <w:rFonts w:asciiTheme="minorEastAsia" w:eastAsiaTheme="minorEastAsia" w:hAnsiTheme="minorEastAsia" w:hint="eastAsia"/>
          <w:color w:val="000000" w:themeColor="text1"/>
          <w:szCs w:val="21"/>
        </w:rPr>
        <w:t>份，则</w:t>
      </w:r>
      <w:r w:rsidRPr="005A7DE6" w:rsidR="00C53DDB">
        <w:rPr>
          <w:rFonts w:asciiTheme="minorEastAsia" w:eastAsiaTheme="minorEastAsia" w:hAnsiTheme="minorEastAsia" w:hint="eastAsia"/>
          <w:color w:val="000000" w:themeColor="text1"/>
          <w:szCs w:val="21"/>
        </w:rPr>
        <w:t>投资者发起转换时</w:t>
      </w:r>
      <w:r w:rsidRPr="005A7DE6">
        <w:rPr>
          <w:rFonts w:asciiTheme="minorEastAsia" w:eastAsiaTheme="minorEastAsia" w:hAnsiTheme="minorEastAsia" w:hint="eastAsia"/>
          <w:color w:val="000000" w:themeColor="text1"/>
          <w:szCs w:val="21"/>
        </w:rPr>
        <w:t>必须一次性转出该类基金全部份额）。</w:t>
      </w:r>
    </w:p>
    <w:p w:rsidR="00D95C10"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基金管理</w:t>
      </w:r>
      <w:r w:rsidRPr="005A7DE6">
        <w:rPr>
          <w:rFonts w:asciiTheme="minorEastAsia" w:eastAsiaTheme="minorEastAsia" w:hAnsiTheme="minorEastAsia" w:hint="eastAsia"/>
          <w:color w:val="000000" w:themeColor="text1"/>
          <w:szCs w:val="21"/>
        </w:rPr>
        <w:t>人可根据市场情况制定或调整上述基金转换的程序及有关限制，</w:t>
      </w:r>
      <w:r w:rsidRPr="005A7DE6" w:rsidR="00400506">
        <w:rPr>
          <w:rFonts w:asciiTheme="minorEastAsia" w:eastAsiaTheme="minorEastAsia" w:hAnsiTheme="minorEastAsia" w:hint="eastAsia"/>
          <w:color w:val="000000" w:themeColor="text1"/>
          <w:szCs w:val="21"/>
        </w:rPr>
        <w:t>但应在调整生效前在指定媒介上予以公告</w:t>
      </w:r>
      <w:r w:rsidRPr="005A7DE6">
        <w:rPr>
          <w:rFonts w:asciiTheme="minorEastAsia" w:eastAsiaTheme="minorEastAsia" w:hAnsiTheme="minorEastAsia" w:hint="eastAsia"/>
          <w:color w:val="000000" w:themeColor="text1"/>
          <w:szCs w:val="21"/>
        </w:rPr>
        <w:t>。</w:t>
      </w:r>
    </w:p>
    <w:p w:rsidR="007B68D9"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35" w:name="_Toc94172411"/>
      <w:r w:rsidRPr="005A7DE6">
        <w:rPr>
          <w:rFonts w:asciiTheme="minorEastAsia" w:eastAsiaTheme="minorEastAsia" w:hAnsiTheme="minorEastAsia" w:hint="eastAsia"/>
          <w:b w:val="0"/>
          <w:bCs/>
          <w:color w:val="000000" w:themeColor="text1"/>
        </w:rPr>
        <w:t>（五）基金转换费率</w:t>
      </w:r>
      <w:bookmarkEnd w:id="3635"/>
    </w:p>
    <w:p w:rsidR="000750C3"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szCs w:val="21"/>
        </w:rPr>
        <w:t>基金转换费用由</w:t>
      </w:r>
      <w:r w:rsidRPr="005A7DE6" w:rsidR="00FE1CA4">
        <w:rPr>
          <w:rFonts w:asciiTheme="minorEastAsia" w:eastAsiaTheme="minorEastAsia" w:hAnsiTheme="minorEastAsia" w:hint="eastAsia"/>
          <w:color w:val="000000" w:themeColor="text1"/>
        </w:rPr>
        <w:t>基金份额持有人承担，由</w:t>
      </w:r>
      <w:r w:rsidRPr="005A7DE6">
        <w:rPr>
          <w:rFonts w:asciiTheme="minorEastAsia" w:eastAsiaTheme="minorEastAsia" w:hAnsiTheme="minorEastAsia" w:hint="eastAsia"/>
          <w:color w:val="000000" w:themeColor="text1"/>
          <w:szCs w:val="21"/>
        </w:rPr>
        <w:t>转出基金赎回费用及基金申购补差费用两部分构成，其中赎回费按照</w:t>
      </w:r>
      <w:r w:rsidRPr="005A7DE6" w:rsidR="00E41492">
        <w:rPr>
          <w:rFonts w:asciiTheme="minorEastAsia" w:eastAsiaTheme="minorEastAsia" w:hAnsiTheme="minorEastAsia" w:hint="eastAsia"/>
          <w:color w:val="000000" w:themeColor="text1"/>
          <w:szCs w:val="21"/>
        </w:rPr>
        <w:t>各基金</w:t>
      </w:r>
      <w:r w:rsidRPr="005A7DE6" w:rsidR="00E41492">
        <w:rPr>
          <w:rFonts w:asciiTheme="minorEastAsia" w:eastAsiaTheme="minorEastAsia" w:hAnsiTheme="minorEastAsia"/>
          <w:color w:val="000000" w:themeColor="text1"/>
          <w:szCs w:val="21"/>
        </w:rPr>
        <w:t>的</w:t>
      </w:r>
      <w:r w:rsidRPr="005A7DE6">
        <w:rPr>
          <w:rFonts w:asciiTheme="minorEastAsia" w:eastAsiaTheme="minorEastAsia" w:hAnsiTheme="minorEastAsia" w:hint="eastAsia"/>
          <w:color w:val="000000" w:themeColor="text1"/>
          <w:szCs w:val="21"/>
        </w:rPr>
        <w:t>基金合同、更新的招募说明书及最新的相关公告约定的比例归入基金财产，其余部分用于支付注册登记费等相关手续费，</w:t>
      </w:r>
      <w:r w:rsidRPr="005A7DE6">
        <w:rPr>
          <w:rFonts w:asciiTheme="minorEastAsia" w:eastAsiaTheme="minorEastAsia" w:hAnsiTheme="minorEastAsia" w:hint="eastAsia"/>
          <w:color w:val="000000" w:themeColor="text1"/>
        </w:rPr>
        <w:t>具体实施办法和基金转换费率详见相关公告。转换费用以人民币元为单位，计算结果按照四舍五入方法，保留小数点后两位。</w:t>
      </w:r>
    </w:p>
    <w:p w:rsidR="008A1874"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基金管理人可以根据市场情况在不违背有关法律法规和《基金合同》的规定之前提下调整上述费率，但应在调整生效前在指定媒介上予以公告。</w:t>
      </w:r>
    </w:p>
    <w:p w:rsidR="000171C0"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E80502"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36" w:name="_Toc94172412"/>
      <w:r w:rsidRPr="005A7DE6">
        <w:rPr>
          <w:rFonts w:asciiTheme="minorEastAsia" w:eastAsiaTheme="minorEastAsia" w:hAnsiTheme="minorEastAsia" w:hint="eastAsia"/>
          <w:b w:val="0"/>
          <w:bCs/>
          <w:color w:val="000000" w:themeColor="text1"/>
        </w:rPr>
        <w:t>（六）基金转换份额的计算方式</w:t>
      </w:r>
      <w:bookmarkEnd w:id="3636"/>
    </w:p>
    <w:p w:rsidR="00E8050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计算公式</w:t>
      </w:r>
    </w:p>
    <w:p w:rsidR="00E8050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A=</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hint="eastAsia"/>
          <w:color w:val="000000" w:themeColor="text1"/>
          <w:szCs w:val="21"/>
        </w:rPr>
        <w:t>B</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hint="eastAsia"/>
          <w:color w:val="000000" w:themeColor="text1"/>
          <w:szCs w:val="21"/>
        </w:rPr>
        <w:t>C</w:t>
      </w:r>
      <w:r w:rsidRPr="005A7DE6">
        <w:rPr>
          <w:rFonts w:asciiTheme="minorEastAsia" w:eastAsiaTheme="minorEastAsia" w:hAnsiTheme="minorEastAsia" w:hint="eastAsia"/>
          <w:color w:val="000000" w:themeColor="text1"/>
          <w:szCs w:val="21"/>
        </w:rPr>
        <w:t>×</w:t>
      </w:r>
      <w:r w:rsidRPr="005A7DE6" w:rsidR="005B19FC">
        <w:rPr>
          <w:rFonts w:asciiTheme="minorEastAsia" w:eastAsiaTheme="minorEastAsia" w:hAnsiTheme="minorEastAsia" w:hint="eastAsia"/>
          <w:color w:val="000000" w:themeColor="text1"/>
          <w:szCs w:val="21"/>
        </w:rPr>
        <w:t>（</w:t>
      </w:r>
      <w:r w:rsidRPr="005A7DE6">
        <w:rPr>
          <w:rFonts w:asciiTheme="minorEastAsia" w:eastAsiaTheme="minorEastAsia" w:hAnsiTheme="minorEastAsia" w:hint="eastAsia"/>
          <w:color w:val="000000" w:themeColor="text1"/>
          <w:szCs w:val="21"/>
        </w:rPr>
        <w:t>1-D</w:t>
      </w:r>
      <w:r w:rsidRPr="005A7DE6" w:rsidR="005B19FC">
        <w:rPr>
          <w:rFonts w:asciiTheme="minorEastAsia" w:eastAsiaTheme="minorEastAsia" w:hAnsiTheme="minorEastAsia" w:hint="eastAsia"/>
          <w:color w:val="000000" w:themeColor="text1"/>
          <w:szCs w:val="21"/>
        </w:rPr>
        <w:t>）</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hint="eastAsia"/>
          <w:color w:val="000000" w:themeColor="text1"/>
          <w:szCs w:val="21"/>
        </w:rPr>
        <w:t>1+G</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hint="eastAsia"/>
          <w:color w:val="000000" w:themeColor="text1"/>
          <w:szCs w:val="21"/>
        </w:rPr>
        <w:t>+F</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hint="eastAsia"/>
          <w:color w:val="000000" w:themeColor="text1"/>
          <w:szCs w:val="21"/>
        </w:rPr>
        <w:t>/E</w:t>
      </w:r>
    </w:p>
    <w:p w:rsidR="00E8050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H=B×C×D</w:t>
      </w:r>
    </w:p>
    <w:p w:rsidR="00E8050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J=[B×C×</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1-D</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1+G</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]×G</w:t>
      </w:r>
    </w:p>
    <w:p w:rsidR="00E8050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其中，</w:t>
      </w:r>
      <w:r w:rsidRPr="005A7DE6">
        <w:rPr>
          <w:rFonts w:asciiTheme="minorEastAsia" w:eastAsiaTheme="minorEastAsia" w:hAnsiTheme="minorEastAsia" w:hint="eastAsia"/>
          <w:color w:val="000000" w:themeColor="text1"/>
          <w:szCs w:val="21"/>
        </w:rPr>
        <w:t>A</w:t>
      </w:r>
      <w:r w:rsidRPr="005A7DE6">
        <w:rPr>
          <w:rFonts w:asciiTheme="minorEastAsia" w:eastAsiaTheme="minorEastAsia" w:hAnsiTheme="minorEastAsia" w:hint="eastAsia"/>
          <w:color w:val="000000" w:themeColor="text1"/>
          <w:szCs w:val="21"/>
        </w:rPr>
        <w:t>为转入的基金份额；</w:t>
      </w:r>
      <w:r w:rsidRPr="005A7DE6">
        <w:rPr>
          <w:rFonts w:asciiTheme="minorEastAsia" w:eastAsiaTheme="minorEastAsia" w:hAnsiTheme="minorEastAsia" w:hint="eastAsia"/>
          <w:color w:val="000000" w:themeColor="text1"/>
          <w:szCs w:val="21"/>
        </w:rPr>
        <w:t>B</w:t>
      </w:r>
      <w:r w:rsidRPr="005A7DE6">
        <w:rPr>
          <w:rFonts w:asciiTheme="minorEastAsia" w:eastAsiaTheme="minorEastAsia" w:hAnsiTheme="minorEastAsia" w:hint="eastAsia"/>
          <w:color w:val="000000" w:themeColor="text1"/>
          <w:szCs w:val="21"/>
        </w:rPr>
        <w:t>为转出的基金份额；</w:t>
      </w:r>
      <w:r w:rsidRPr="005A7DE6">
        <w:rPr>
          <w:rFonts w:asciiTheme="minorEastAsia" w:eastAsiaTheme="minorEastAsia" w:hAnsiTheme="minorEastAsia" w:hint="eastAsia"/>
          <w:color w:val="000000" w:themeColor="text1"/>
          <w:szCs w:val="21"/>
        </w:rPr>
        <w:t>C</w:t>
      </w:r>
      <w:r w:rsidRPr="005A7DE6">
        <w:rPr>
          <w:rFonts w:asciiTheme="minorEastAsia" w:eastAsiaTheme="minorEastAsia" w:hAnsiTheme="minorEastAsia" w:hint="eastAsia"/>
          <w:color w:val="000000" w:themeColor="text1"/>
          <w:szCs w:val="21"/>
        </w:rPr>
        <w:t>为转换申请当日转出基金的基金份额净值；</w:t>
      </w:r>
      <w:r w:rsidRPr="005A7DE6">
        <w:rPr>
          <w:rFonts w:asciiTheme="minorEastAsia" w:eastAsiaTheme="minorEastAsia" w:hAnsiTheme="minorEastAsia" w:hint="eastAsia"/>
          <w:color w:val="000000" w:themeColor="text1"/>
          <w:szCs w:val="21"/>
        </w:rPr>
        <w:t>D</w:t>
      </w:r>
      <w:r w:rsidRPr="005A7DE6">
        <w:rPr>
          <w:rFonts w:asciiTheme="minorEastAsia" w:eastAsiaTheme="minorEastAsia" w:hAnsiTheme="minorEastAsia" w:hint="eastAsia"/>
          <w:color w:val="000000" w:themeColor="text1"/>
          <w:szCs w:val="21"/>
        </w:rPr>
        <w:t>为转出基金的对应赎回费率；</w:t>
      </w:r>
      <w:r w:rsidRPr="005A7DE6">
        <w:rPr>
          <w:rFonts w:asciiTheme="minorEastAsia" w:eastAsiaTheme="minorEastAsia" w:hAnsiTheme="minorEastAsia" w:hint="eastAsia"/>
          <w:color w:val="000000" w:themeColor="text1"/>
          <w:szCs w:val="21"/>
        </w:rPr>
        <w:t>E</w:t>
      </w:r>
      <w:r w:rsidRPr="005A7DE6">
        <w:rPr>
          <w:rFonts w:asciiTheme="minorEastAsia" w:eastAsiaTheme="minorEastAsia" w:hAnsiTheme="minorEastAsia" w:hint="eastAsia"/>
          <w:color w:val="000000" w:themeColor="text1"/>
          <w:szCs w:val="21"/>
        </w:rPr>
        <w:t>为转换申请当日转入基金的基金份额净值；</w:t>
      </w:r>
      <w:r w:rsidRPr="005A7DE6" w:rsidR="00544D84">
        <w:rPr>
          <w:rFonts w:asciiTheme="minorEastAsia" w:eastAsiaTheme="minorEastAsia" w:hAnsiTheme="minorEastAsia" w:hint="eastAsia"/>
          <w:color w:val="000000" w:themeColor="text1"/>
          <w:szCs w:val="21"/>
        </w:rPr>
        <w:t>F为货币市场基金全部转出时注册登记机构已支付的未付收益</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hint="eastAsia"/>
          <w:color w:val="000000" w:themeColor="text1"/>
          <w:szCs w:val="21"/>
        </w:rPr>
        <w:t>G</w:t>
      </w:r>
      <w:r w:rsidRPr="005A7DE6">
        <w:rPr>
          <w:rFonts w:asciiTheme="minorEastAsia" w:eastAsiaTheme="minorEastAsia" w:hAnsiTheme="minorEastAsia" w:hint="eastAsia"/>
          <w:color w:val="000000" w:themeColor="text1"/>
          <w:szCs w:val="21"/>
        </w:rPr>
        <w:t>为对应的申购补差费率；</w:t>
      </w:r>
      <w:r w:rsidRPr="005A7DE6">
        <w:rPr>
          <w:rFonts w:asciiTheme="minorEastAsia" w:eastAsiaTheme="minorEastAsia" w:hAnsiTheme="minorEastAsia" w:hint="eastAsia"/>
          <w:color w:val="000000" w:themeColor="text1"/>
          <w:szCs w:val="21"/>
        </w:rPr>
        <w:t>H</w:t>
      </w:r>
      <w:r w:rsidRPr="005A7DE6">
        <w:rPr>
          <w:rFonts w:asciiTheme="minorEastAsia" w:eastAsiaTheme="minorEastAsia" w:hAnsiTheme="minorEastAsia" w:hint="eastAsia"/>
          <w:color w:val="000000" w:themeColor="text1"/>
          <w:szCs w:val="21"/>
        </w:rPr>
        <w:t>为转出基金赎回费；</w:t>
      </w:r>
      <w:r w:rsidRPr="005A7DE6">
        <w:rPr>
          <w:rFonts w:asciiTheme="minorEastAsia" w:eastAsiaTheme="minorEastAsia" w:hAnsiTheme="minorEastAsia" w:hint="eastAsia"/>
          <w:color w:val="000000" w:themeColor="text1"/>
          <w:szCs w:val="21"/>
        </w:rPr>
        <w:t>J</w:t>
      </w:r>
      <w:r w:rsidRPr="005A7DE6">
        <w:rPr>
          <w:rFonts w:asciiTheme="minorEastAsia" w:eastAsiaTheme="minorEastAsia" w:hAnsiTheme="minorEastAsia" w:hint="eastAsia"/>
          <w:color w:val="000000" w:themeColor="text1"/>
          <w:szCs w:val="21"/>
        </w:rPr>
        <w:t>为申购补差费。</w:t>
      </w:r>
    </w:p>
    <w:p w:rsidR="00544D84"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w:t>
      </w:r>
      <w:r w:rsidRPr="005A7DE6">
        <w:rPr>
          <w:rFonts w:asciiTheme="minorEastAsia" w:eastAsiaTheme="minorEastAsia" w:hAnsiTheme="minorEastAsia" w:hint="eastAsia"/>
          <w:color w:val="000000" w:themeColor="text1"/>
          <w:szCs w:val="21"/>
        </w:rPr>
        <w:t>其未付收益为负，基金份额对应的未付收益与转换转出份额对应的款项一并划转到转换转入的基金。</w:t>
      </w:r>
    </w:p>
    <w:p w:rsidR="00E8050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说明：</w:t>
      </w:r>
    </w:p>
    <w:p w:rsidR="00E80502"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1</w:t>
      </w:r>
      <w:r w:rsidRPr="005A7DE6">
        <w:rPr>
          <w:rFonts w:asciiTheme="minorEastAsia" w:eastAsiaTheme="minorEastAsia" w:hAnsiTheme="minorEastAsia" w:hint="eastAsia"/>
          <w:color w:val="000000" w:themeColor="text1"/>
        </w:rPr>
        <w:t>、基金转换费用由转出基金赎回费用及基金申购补差费用两部分构成。</w:t>
      </w:r>
    </w:p>
    <w:p w:rsidR="00E80502"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2</w:t>
      </w:r>
      <w:r w:rsidRPr="005A7DE6">
        <w:rPr>
          <w:rFonts w:asciiTheme="minorEastAsia" w:eastAsiaTheme="minorEastAsia" w:hAnsiTheme="minorEastAsia" w:hint="eastAsia"/>
          <w:color w:val="000000" w:themeColor="text1"/>
        </w:rPr>
        <w:t>、转入基金时，从申购费用低的基金向申购费用高的基金转换时，每次收取申购补差费用；从申购费用高的基金向申购费用低的基金转换时，不收取申购补差费用</w:t>
      </w:r>
      <w:r w:rsidRPr="005A7DE6" w:rsidR="009422BF">
        <w:rPr>
          <w:rFonts w:asciiTheme="minorEastAsia" w:eastAsiaTheme="minorEastAsia" w:hAnsiTheme="minorEastAsia" w:hint="eastAsia"/>
          <w:color w:val="000000" w:themeColor="text1"/>
        </w:rPr>
        <w:t>（注：对通过直销中心申购实施差别申购费率的投资群体基金份额的申购费，以除</w:t>
      </w:r>
      <w:r w:rsidRPr="005A7DE6" w:rsidR="00B7130F">
        <w:rPr>
          <w:rFonts w:asciiTheme="minorEastAsia" w:eastAsiaTheme="minorEastAsia" w:hAnsiTheme="minorEastAsia" w:hint="eastAsia"/>
          <w:color w:val="000000" w:themeColor="text1"/>
        </w:rPr>
        <w:t>上述</w:t>
      </w:r>
      <w:r w:rsidRPr="005A7DE6" w:rsidR="009422BF">
        <w:rPr>
          <w:rFonts w:asciiTheme="minorEastAsia" w:eastAsiaTheme="minorEastAsia" w:hAnsiTheme="minorEastAsia" w:hint="eastAsia"/>
          <w:color w:val="000000" w:themeColor="text1"/>
        </w:rPr>
        <w:t>投资群体之外的其他投资者申购费为比较标准）</w:t>
      </w:r>
      <w:r w:rsidRPr="005A7DE6">
        <w:rPr>
          <w:rFonts w:asciiTheme="minorEastAsia" w:eastAsiaTheme="minorEastAsia" w:hAnsiTheme="minorEastAsia" w:hint="eastAsia"/>
          <w:color w:val="000000" w:themeColor="text1"/>
        </w:rPr>
        <w:t>。申购补差费用按照转换金额对应的转出基金与转入基金的申购费率差额进行补差，具体收取情况视每次转换时两只基金的申购费率的差异情况而定并见相关公告。</w:t>
      </w:r>
    </w:p>
    <w:p w:rsidR="00E80502"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3</w:t>
      </w:r>
      <w:r w:rsidRPr="005A7DE6">
        <w:rPr>
          <w:rFonts w:asciiTheme="minorEastAsia" w:eastAsiaTheme="minorEastAsia" w:hAnsiTheme="minorEastAsia" w:hint="eastAsia"/>
          <w:color w:val="000000" w:themeColor="text1"/>
        </w:rPr>
        <w:t>、转出基金时，如涉及的转出基金有赎回费用，收取该基金的赎回费用。收取的赎回费按照</w:t>
      </w:r>
      <w:r w:rsidRPr="005A7DE6" w:rsidR="009D29EB">
        <w:rPr>
          <w:rFonts w:asciiTheme="minorEastAsia" w:eastAsiaTheme="minorEastAsia" w:hAnsiTheme="minorEastAsia" w:hint="eastAsia"/>
          <w:color w:val="000000" w:themeColor="text1"/>
        </w:rPr>
        <w:t>各基金</w:t>
      </w:r>
      <w:r w:rsidRPr="005A7DE6" w:rsidR="009D29EB">
        <w:rPr>
          <w:rFonts w:asciiTheme="minorEastAsia" w:eastAsiaTheme="minorEastAsia" w:hAnsiTheme="minorEastAsia"/>
          <w:color w:val="000000" w:themeColor="text1"/>
        </w:rPr>
        <w:t>的</w:t>
      </w:r>
      <w:r w:rsidRPr="005A7DE6">
        <w:rPr>
          <w:rFonts w:asciiTheme="minorEastAsia" w:eastAsiaTheme="minorEastAsia" w:hAnsiTheme="minorEastAsia" w:hint="eastAsia"/>
          <w:color w:val="000000" w:themeColor="text1"/>
        </w:rPr>
        <w:t>基金合同、更新的招募说明书及最新的相关公告约定的比例归入基金财产，其余部分用于支付注册登记费等相关手续费。</w:t>
      </w:r>
    </w:p>
    <w:p w:rsidR="00E8050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4</w:t>
      </w:r>
      <w:r w:rsidRPr="005A7DE6">
        <w:rPr>
          <w:rFonts w:asciiTheme="minorEastAsia" w:eastAsiaTheme="minorEastAsia" w:hAnsiTheme="minorEastAsia" w:hint="eastAsia"/>
          <w:color w:val="000000" w:themeColor="text1"/>
          <w:szCs w:val="21"/>
        </w:rPr>
        <w:t>、投资者可以发起多次基金转换业务，基金转换费用按每笔申请单独计算。转换费用以人民币元为单位，计算结果按照四舍五入方法，保留小数点后两位。</w:t>
      </w:r>
    </w:p>
    <w:p w:rsidR="00E8050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举例说明：</w:t>
      </w:r>
    </w:p>
    <w:p w:rsidR="00E80502"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假设某持有人</w:t>
      </w:r>
      <w:r w:rsidRPr="005A7DE6" w:rsidR="00E41492">
        <w:rPr>
          <w:rFonts w:asciiTheme="minorEastAsia" w:eastAsiaTheme="minorEastAsia" w:hAnsiTheme="minorEastAsia" w:hint="eastAsia"/>
          <w:color w:val="000000" w:themeColor="text1"/>
        </w:rPr>
        <w:t>（</w:t>
      </w:r>
      <w:r w:rsidRPr="005A7DE6" w:rsidR="0084214F">
        <w:rPr>
          <w:rFonts w:asciiTheme="minorEastAsia" w:eastAsiaTheme="minorEastAsia" w:hAnsiTheme="minorEastAsia" w:hint="eastAsia"/>
          <w:color w:val="000000" w:themeColor="text1"/>
        </w:rPr>
        <w:t>其他投资者</w:t>
      </w:r>
      <w:r w:rsidRPr="005A7DE6" w:rsidR="00E41492">
        <w:rPr>
          <w:rFonts w:asciiTheme="minorEastAsia" w:eastAsiaTheme="minorEastAsia" w:hAnsiTheme="minorEastAsia"/>
          <w:color w:val="000000" w:themeColor="text1"/>
        </w:rPr>
        <w:t>）</w:t>
      </w:r>
      <w:r w:rsidRPr="005A7DE6">
        <w:rPr>
          <w:rFonts w:asciiTheme="minorEastAsia" w:eastAsiaTheme="minorEastAsia" w:hAnsiTheme="minorEastAsia" w:hint="eastAsia"/>
          <w:color w:val="000000" w:themeColor="text1"/>
        </w:rPr>
        <w:t>持有本基金</w:t>
      </w:r>
      <w:r w:rsidRPr="005A7DE6">
        <w:rPr>
          <w:rFonts w:asciiTheme="minorEastAsia" w:eastAsiaTheme="minorEastAsia" w:hAnsiTheme="minorEastAsia" w:hint="eastAsia"/>
          <w:color w:val="000000" w:themeColor="text1"/>
        </w:rPr>
        <w:t>C</w:t>
      </w:r>
      <w:r w:rsidRPr="005A7DE6">
        <w:rPr>
          <w:rFonts w:asciiTheme="minorEastAsia" w:eastAsiaTheme="minorEastAsia" w:hAnsiTheme="minorEastAsia" w:hint="eastAsia"/>
          <w:color w:val="000000" w:themeColor="text1"/>
        </w:rPr>
        <w:t>类基金份额</w:t>
      </w:r>
      <w:r w:rsidRPr="005A7DE6">
        <w:rPr>
          <w:rFonts w:asciiTheme="minorEastAsia" w:eastAsiaTheme="minorEastAsia" w:hAnsiTheme="minorEastAsia" w:hint="eastAsia"/>
          <w:color w:val="000000" w:themeColor="text1"/>
        </w:rPr>
        <w:t>10,000</w:t>
      </w:r>
      <w:r w:rsidRPr="005A7DE6">
        <w:rPr>
          <w:rFonts w:asciiTheme="minorEastAsia" w:eastAsiaTheme="minorEastAsia" w:hAnsiTheme="minorEastAsia" w:hint="eastAsia"/>
          <w:color w:val="000000" w:themeColor="text1"/>
        </w:rPr>
        <w:t>份，持有</w:t>
      </w:r>
      <w:r w:rsidRPr="005A7DE6">
        <w:rPr>
          <w:rFonts w:asciiTheme="minorEastAsia" w:eastAsiaTheme="minorEastAsia" w:hAnsiTheme="minorEastAsia" w:hint="eastAsia"/>
          <w:color w:val="000000" w:themeColor="text1"/>
        </w:rPr>
        <w:t>100</w:t>
      </w:r>
      <w:r w:rsidRPr="005A7DE6">
        <w:rPr>
          <w:rFonts w:asciiTheme="minorEastAsia" w:eastAsiaTheme="minorEastAsia" w:hAnsiTheme="minorEastAsia" w:hint="eastAsia"/>
          <w:color w:val="000000" w:themeColor="text1"/>
        </w:rPr>
        <w:t>天，现欲转换为易方达策略成长二号混合型证券投资基金；假设转出基金</w:t>
      </w:r>
      <w:r w:rsidRPr="005A7DE6">
        <w:rPr>
          <w:rFonts w:asciiTheme="minorEastAsia" w:eastAsiaTheme="minorEastAsia" w:hAnsiTheme="minorEastAsia" w:hint="eastAsia"/>
          <w:color w:val="000000" w:themeColor="text1"/>
        </w:rPr>
        <w:t>T</w:t>
      </w:r>
      <w:r w:rsidRPr="005A7DE6">
        <w:rPr>
          <w:rFonts w:asciiTheme="minorEastAsia" w:eastAsiaTheme="minorEastAsia" w:hAnsiTheme="minorEastAsia" w:hint="eastAsia"/>
          <w:color w:val="000000" w:themeColor="text1"/>
        </w:rPr>
        <w:t>日的基金份额净值为</w:t>
      </w:r>
      <w:r w:rsidRPr="005A7DE6">
        <w:rPr>
          <w:rFonts w:asciiTheme="minorEastAsia" w:eastAsiaTheme="minorEastAsia" w:hAnsiTheme="minorEastAsia" w:hint="eastAsia"/>
          <w:color w:val="000000" w:themeColor="text1"/>
        </w:rPr>
        <w:t>1.100</w:t>
      </w:r>
      <w:r w:rsidRPr="005A7DE6" w:rsidR="0052477F">
        <w:rPr>
          <w:rFonts w:asciiTheme="minorEastAsia" w:eastAsiaTheme="minorEastAsia" w:hAnsiTheme="minorEastAsia"/>
          <w:color w:val="000000" w:themeColor="text1"/>
        </w:rPr>
        <w:t>0</w:t>
      </w:r>
      <w:r w:rsidRPr="005A7DE6">
        <w:rPr>
          <w:rFonts w:asciiTheme="minorEastAsia" w:eastAsiaTheme="minorEastAsia" w:hAnsiTheme="minorEastAsia" w:hint="eastAsia"/>
          <w:color w:val="000000" w:themeColor="text1"/>
        </w:rPr>
        <w:t>元，转入基金易方达策略成长二号混合型证券投资基金</w:t>
      </w:r>
      <w:r w:rsidRPr="005A7DE6">
        <w:rPr>
          <w:rFonts w:asciiTheme="minorEastAsia" w:eastAsiaTheme="minorEastAsia" w:hAnsiTheme="minorEastAsia" w:hint="eastAsia"/>
          <w:color w:val="000000" w:themeColor="text1"/>
        </w:rPr>
        <w:t>T</w:t>
      </w:r>
      <w:r w:rsidRPr="005A7DE6">
        <w:rPr>
          <w:rFonts w:asciiTheme="minorEastAsia" w:eastAsiaTheme="minorEastAsia" w:hAnsiTheme="minorEastAsia" w:hint="eastAsia"/>
          <w:color w:val="000000" w:themeColor="text1"/>
        </w:rPr>
        <w:t>日的基金份额净值为</w:t>
      </w:r>
      <w:r w:rsidRPr="005A7DE6">
        <w:rPr>
          <w:rFonts w:asciiTheme="minorEastAsia" w:eastAsiaTheme="minorEastAsia" w:hAnsiTheme="minorEastAsia" w:hint="eastAsia"/>
          <w:color w:val="000000" w:themeColor="text1"/>
        </w:rPr>
        <w:t>1.020</w:t>
      </w:r>
      <w:r w:rsidRPr="005A7DE6">
        <w:rPr>
          <w:rFonts w:asciiTheme="minorEastAsia" w:eastAsiaTheme="minorEastAsia" w:hAnsiTheme="minorEastAsia" w:hint="eastAsia"/>
          <w:color w:val="000000" w:themeColor="text1"/>
        </w:rPr>
        <w:t>元，则转出基金的赎回费率为</w:t>
      </w:r>
      <w:r w:rsidRPr="005A7DE6">
        <w:rPr>
          <w:rFonts w:asciiTheme="minorEastAsia" w:eastAsiaTheme="minorEastAsia" w:hAnsiTheme="minorEastAsia" w:hint="eastAsia"/>
          <w:color w:val="000000" w:themeColor="text1"/>
        </w:rPr>
        <w:t>0</w:t>
      </w:r>
      <w:r w:rsidRPr="005A7DE6">
        <w:rPr>
          <w:rFonts w:asciiTheme="minorEastAsia" w:eastAsiaTheme="minorEastAsia" w:hAnsiTheme="minorEastAsia" w:hint="eastAsia"/>
          <w:color w:val="000000" w:themeColor="text1"/>
        </w:rPr>
        <w:t>，申购补差费率为</w:t>
      </w:r>
      <w:r w:rsidRPr="005A7DE6">
        <w:rPr>
          <w:rFonts w:asciiTheme="minorEastAsia" w:eastAsiaTheme="minorEastAsia" w:hAnsiTheme="minorEastAsia" w:hint="eastAsia"/>
          <w:color w:val="000000" w:themeColor="text1"/>
        </w:rPr>
        <w:t>2.0%</w:t>
      </w:r>
      <w:r w:rsidRPr="005A7DE6">
        <w:rPr>
          <w:rFonts w:asciiTheme="minorEastAsia" w:eastAsiaTheme="minorEastAsia" w:hAnsiTheme="minorEastAsia" w:hint="eastAsia"/>
          <w:color w:val="000000" w:themeColor="text1"/>
        </w:rPr>
        <w:t>。转换份额计算如下：</w:t>
      </w:r>
    </w:p>
    <w:p w:rsidR="00E80502"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转换金额</w:t>
      </w: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hint="eastAsia"/>
          <w:color w:val="000000" w:themeColor="text1"/>
        </w:rPr>
        <w:t>转出基金申请份额×转出基金份额净值</w:t>
      </w:r>
      <w:r w:rsidRPr="005A7DE6">
        <w:rPr>
          <w:rFonts w:asciiTheme="minorEastAsia" w:eastAsiaTheme="minorEastAsia" w:hAnsiTheme="minorEastAsia" w:hint="eastAsia"/>
          <w:color w:val="000000" w:themeColor="text1"/>
        </w:rPr>
        <w:t>=10,000</w:t>
      </w: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hint="eastAsia"/>
          <w:color w:val="000000" w:themeColor="text1"/>
        </w:rPr>
        <w:t>1.100</w:t>
      </w:r>
      <w:r w:rsidRPr="005A7DE6" w:rsidR="0052477F">
        <w:rPr>
          <w:rFonts w:asciiTheme="minorEastAsia" w:eastAsiaTheme="minorEastAsia" w:hAnsiTheme="minorEastAsia"/>
          <w:color w:val="000000" w:themeColor="text1"/>
        </w:rPr>
        <w:t>0</w:t>
      </w:r>
      <w:r w:rsidRPr="005A7DE6">
        <w:rPr>
          <w:rFonts w:asciiTheme="minorEastAsia" w:eastAsiaTheme="minorEastAsia" w:hAnsiTheme="minorEastAsia" w:hint="eastAsia"/>
          <w:color w:val="000000" w:themeColor="text1"/>
        </w:rPr>
        <w:t>=11,000.00</w:t>
      </w:r>
      <w:r w:rsidRPr="005A7DE6">
        <w:rPr>
          <w:rFonts w:asciiTheme="minorEastAsia" w:eastAsiaTheme="minorEastAsia" w:hAnsiTheme="minorEastAsia" w:hint="eastAsia"/>
          <w:color w:val="000000" w:themeColor="text1"/>
        </w:rPr>
        <w:t>元</w:t>
      </w:r>
    </w:p>
    <w:p w:rsidR="00E80502"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转出基金赎回费</w:t>
      </w: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hint="eastAsia"/>
          <w:color w:val="000000" w:themeColor="text1"/>
        </w:rPr>
        <w:t>转换金额×转出基金赎回费率</w:t>
      </w:r>
      <w:r w:rsidRPr="005A7DE6">
        <w:rPr>
          <w:rFonts w:asciiTheme="minorEastAsia" w:eastAsiaTheme="minorEastAsia" w:hAnsiTheme="minorEastAsia" w:hint="eastAsia"/>
          <w:color w:val="000000" w:themeColor="text1"/>
        </w:rPr>
        <w:t>=11,000.00</w:t>
      </w: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hint="eastAsia"/>
          <w:color w:val="000000" w:themeColor="text1"/>
        </w:rPr>
        <w:t>0.00=0.00</w:t>
      </w:r>
      <w:r w:rsidRPr="005A7DE6">
        <w:rPr>
          <w:rFonts w:asciiTheme="minorEastAsia" w:eastAsiaTheme="minorEastAsia" w:hAnsiTheme="minorEastAsia" w:hint="eastAsia"/>
          <w:color w:val="000000" w:themeColor="text1"/>
        </w:rPr>
        <w:t>元</w:t>
      </w:r>
    </w:p>
    <w:p w:rsidR="00E80502"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申购补差费</w:t>
      </w:r>
      <w:r w:rsidRPr="005A7DE6">
        <w:rPr>
          <w:rFonts w:asciiTheme="minorEastAsia" w:eastAsiaTheme="minorEastAsia" w:hAnsiTheme="minorEastAsia" w:hint="eastAsia"/>
          <w:color w:val="000000" w:themeColor="text1"/>
        </w:rPr>
        <w:t>=</w:t>
      </w:r>
      <w:r w:rsidRPr="005A7DE6" w:rsidR="005B19FC">
        <w:rPr>
          <w:rFonts w:asciiTheme="minorEastAsia" w:eastAsiaTheme="minorEastAsia" w:hAnsiTheme="minorEastAsia" w:hint="eastAsia"/>
          <w:color w:val="000000" w:themeColor="text1"/>
        </w:rPr>
        <w:t>（</w:t>
      </w:r>
      <w:r w:rsidRPr="005A7DE6">
        <w:rPr>
          <w:rFonts w:asciiTheme="minorEastAsia" w:eastAsiaTheme="minorEastAsia" w:hAnsiTheme="minorEastAsia" w:hint="eastAsia"/>
          <w:color w:val="000000" w:themeColor="text1"/>
        </w:rPr>
        <w:t>转换金额</w:t>
      </w: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hint="eastAsia"/>
          <w:color w:val="000000" w:themeColor="text1"/>
        </w:rPr>
        <w:t>转出基金赎回费</w:t>
      </w:r>
      <w:r w:rsidRPr="005A7DE6" w:rsidR="005B19FC">
        <w:rPr>
          <w:rFonts w:asciiTheme="minorEastAsia" w:eastAsiaTheme="minorEastAsia" w:hAnsiTheme="minorEastAsia" w:hint="eastAsia"/>
          <w:color w:val="000000" w:themeColor="text1"/>
        </w:rPr>
        <w:t>）</w:t>
      </w:r>
      <w:r w:rsidRPr="005A7DE6">
        <w:rPr>
          <w:rFonts w:asciiTheme="minorEastAsia" w:eastAsiaTheme="minorEastAsia" w:hAnsiTheme="minorEastAsia" w:hint="eastAsia"/>
          <w:color w:val="000000" w:themeColor="text1"/>
        </w:rPr>
        <w:t>×申购补差费率÷</w:t>
      </w:r>
      <w:r w:rsidRPr="005A7DE6" w:rsidR="005B19FC">
        <w:rPr>
          <w:rFonts w:asciiTheme="minorEastAsia" w:eastAsiaTheme="minorEastAsia" w:hAnsiTheme="minorEastAsia" w:hint="eastAsia"/>
          <w:color w:val="000000" w:themeColor="text1"/>
        </w:rPr>
        <w:t>（</w:t>
      </w:r>
      <w:r w:rsidRPr="005A7DE6">
        <w:rPr>
          <w:rFonts w:asciiTheme="minorEastAsia" w:eastAsiaTheme="minorEastAsia" w:hAnsiTheme="minorEastAsia" w:hint="eastAsia"/>
          <w:color w:val="000000" w:themeColor="text1"/>
        </w:rPr>
        <w:t>１＋申购补差费率</w:t>
      </w:r>
      <w:r w:rsidRPr="005A7DE6" w:rsidR="005B19FC">
        <w:rPr>
          <w:rFonts w:asciiTheme="minorEastAsia" w:eastAsiaTheme="minorEastAsia" w:hAnsiTheme="minorEastAsia" w:hint="eastAsia"/>
          <w:color w:val="000000" w:themeColor="text1"/>
        </w:rPr>
        <w:t>）</w:t>
      </w: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hint="eastAsia"/>
          <w:color w:val="000000" w:themeColor="text1"/>
        </w:rPr>
        <w:t>11,000.00-0.00</w:t>
      </w:r>
      <w:r w:rsidRPr="005A7DE6" w:rsidR="005B19FC">
        <w:rPr>
          <w:rFonts w:asciiTheme="minorEastAsia" w:eastAsiaTheme="minorEastAsia" w:hAnsiTheme="minorEastAsia" w:hint="eastAsia"/>
          <w:color w:val="000000" w:themeColor="text1"/>
        </w:rPr>
        <w:t>）</w:t>
      </w: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hint="eastAsia"/>
          <w:color w:val="000000" w:themeColor="text1"/>
        </w:rPr>
        <w:t>2.0%</w:t>
      </w:r>
      <w:r w:rsidRPr="005A7DE6">
        <w:rPr>
          <w:rFonts w:asciiTheme="minorEastAsia" w:eastAsiaTheme="minorEastAsia" w:hAnsiTheme="minorEastAsia" w:hint="eastAsia"/>
          <w:color w:val="000000" w:themeColor="text1"/>
        </w:rPr>
        <w:t>÷</w:t>
      </w:r>
      <w:r w:rsidRPr="005A7DE6" w:rsidR="005B19FC">
        <w:rPr>
          <w:rFonts w:asciiTheme="minorEastAsia" w:eastAsiaTheme="minorEastAsia" w:hAnsiTheme="minorEastAsia" w:hint="eastAsia"/>
          <w:color w:val="000000" w:themeColor="text1"/>
        </w:rPr>
        <w:t>（</w:t>
      </w:r>
      <w:r w:rsidRPr="005A7DE6">
        <w:rPr>
          <w:rFonts w:asciiTheme="minorEastAsia" w:eastAsiaTheme="minorEastAsia" w:hAnsiTheme="minorEastAsia" w:hint="eastAsia"/>
          <w:color w:val="000000" w:themeColor="text1"/>
        </w:rPr>
        <w:t>1+2.0%</w:t>
      </w:r>
      <w:r w:rsidRPr="005A7DE6" w:rsidR="005B19FC">
        <w:rPr>
          <w:rFonts w:asciiTheme="minorEastAsia" w:eastAsiaTheme="minorEastAsia" w:hAnsiTheme="minorEastAsia" w:hint="eastAsia"/>
          <w:color w:val="000000" w:themeColor="text1"/>
        </w:rPr>
        <w:t>）</w:t>
      </w:r>
      <w:r w:rsidRPr="005A7DE6">
        <w:rPr>
          <w:rFonts w:asciiTheme="minorEastAsia" w:eastAsiaTheme="minorEastAsia" w:hAnsiTheme="minorEastAsia" w:hint="eastAsia"/>
          <w:color w:val="000000" w:themeColor="text1"/>
        </w:rPr>
        <w:t>=215.69</w:t>
      </w:r>
      <w:r w:rsidRPr="005A7DE6">
        <w:rPr>
          <w:rFonts w:asciiTheme="minorEastAsia" w:eastAsiaTheme="minorEastAsia" w:hAnsiTheme="minorEastAsia" w:hint="eastAsia"/>
          <w:color w:val="000000" w:themeColor="text1"/>
        </w:rPr>
        <w:t>元</w:t>
      </w:r>
    </w:p>
    <w:p w:rsidR="00E80502"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转换费</w:t>
      </w: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hint="eastAsia"/>
          <w:color w:val="000000" w:themeColor="text1"/>
        </w:rPr>
        <w:t>转出基金赎回费</w:t>
      </w: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hint="eastAsia"/>
          <w:color w:val="000000" w:themeColor="text1"/>
        </w:rPr>
        <w:t>申购补差费</w:t>
      </w:r>
      <w:r w:rsidRPr="005A7DE6">
        <w:rPr>
          <w:rFonts w:asciiTheme="minorEastAsia" w:eastAsiaTheme="minorEastAsia" w:hAnsiTheme="minorEastAsia" w:hint="eastAsia"/>
          <w:color w:val="000000" w:themeColor="text1"/>
        </w:rPr>
        <w:t>=0.00+215.69=215.69</w:t>
      </w:r>
      <w:r w:rsidRPr="005A7DE6">
        <w:rPr>
          <w:rFonts w:asciiTheme="minorEastAsia" w:eastAsiaTheme="minorEastAsia" w:hAnsiTheme="minorEastAsia" w:hint="eastAsia"/>
          <w:color w:val="000000" w:themeColor="text1"/>
        </w:rPr>
        <w:t>元</w:t>
      </w:r>
    </w:p>
    <w:p w:rsidR="00E80502"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转入金额</w:t>
      </w: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hint="eastAsia"/>
          <w:color w:val="000000" w:themeColor="text1"/>
        </w:rPr>
        <w:t>转换金额</w:t>
      </w: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hint="eastAsia"/>
          <w:color w:val="000000" w:themeColor="text1"/>
        </w:rPr>
        <w:t>转换费</w:t>
      </w:r>
      <w:r w:rsidRPr="005A7DE6">
        <w:rPr>
          <w:rFonts w:asciiTheme="minorEastAsia" w:eastAsiaTheme="minorEastAsia" w:hAnsiTheme="minorEastAsia" w:hint="eastAsia"/>
          <w:color w:val="000000" w:themeColor="text1"/>
        </w:rPr>
        <w:t>=11,000.00-215.69=10784.31</w:t>
      </w:r>
      <w:r w:rsidRPr="005A7DE6">
        <w:rPr>
          <w:rFonts w:asciiTheme="minorEastAsia" w:eastAsiaTheme="minorEastAsia" w:hAnsiTheme="minorEastAsia" w:hint="eastAsia"/>
          <w:color w:val="000000" w:themeColor="text1"/>
        </w:rPr>
        <w:t>元</w:t>
      </w:r>
    </w:p>
    <w:p w:rsidR="00E80502"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转入份额</w:t>
      </w: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hint="eastAsia"/>
          <w:color w:val="000000" w:themeColor="text1"/>
        </w:rPr>
        <w:t>转入金额÷转入基金份额净值</w:t>
      </w:r>
      <w:r w:rsidRPr="005A7DE6">
        <w:rPr>
          <w:rFonts w:asciiTheme="minorEastAsia" w:eastAsiaTheme="minorEastAsia" w:hAnsiTheme="minorEastAsia" w:hint="eastAsia"/>
          <w:color w:val="000000" w:themeColor="text1"/>
        </w:rPr>
        <w:t>=10784.31</w:t>
      </w: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hint="eastAsia"/>
          <w:color w:val="000000" w:themeColor="text1"/>
        </w:rPr>
        <w:t>1.020=10572.85</w:t>
      </w:r>
      <w:r w:rsidRPr="005A7DE6">
        <w:rPr>
          <w:rFonts w:asciiTheme="minorEastAsia" w:eastAsiaTheme="minorEastAsia" w:hAnsiTheme="minorEastAsia" w:hint="eastAsia"/>
          <w:color w:val="000000" w:themeColor="text1"/>
        </w:rPr>
        <w:t>份</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900"/>
        <w:gridCol w:w="1440"/>
        <w:gridCol w:w="1260"/>
        <w:gridCol w:w="1080"/>
        <w:gridCol w:w="1440"/>
        <w:gridCol w:w="1185"/>
        <w:gridCol w:w="1335"/>
      </w:tblGrid>
      <w:tr w:rsidTr="00CD67B4">
        <w:tblPrEx>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13"/>
        </w:trPr>
        <w:tc>
          <w:tcPr>
            <w:tcW w:w="1080" w:type="dxa"/>
            <w:vMerge w:val="restart"/>
          </w:tcPr>
          <w:p w:rsidR="00E80502" w:rsidRPr="005A7DE6" w:rsidP="006B758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5A7DE6">
              <w:rPr>
                <w:rFonts w:asciiTheme="minorEastAsia" w:eastAsiaTheme="minorEastAsia" w:hAnsiTheme="minorEastAsia" w:hint="eastAsia"/>
                <w:color w:val="000000" w:themeColor="text1"/>
                <w:szCs w:val="20"/>
              </w:rPr>
              <w:t>转出</w:t>
            </w:r>
            <w:r w:rsidRPr="005A7DE6">
              <w:rPr>
                <w:rFonts w:asciiTheme="minorEastAsia" w:eastAsiaTheme="minorEastAsia" w:hAnsiTheme="minorEastAsia"/>
                <w:color w:val="000000" w:themeColor="text1"/>
                <w:szCs w:val="20"/>
              </w:rPr>
              <w:t>份额</w:t>
            </w:r>
          </w:p>
        </w:tc>
        <w:tc>
          <w:tcPr>
            <w:tcW w:w="900" w:type="dxa"/>
            <w:vMerge w:val="restart"/>
          </w:tcPr>
          <w:p w:rsidR="00E80502" w:rsidRPr="005A7DE6" w:rsidP="006B758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5A7DE6">
              <w:rPr>
                <w:rFonts w:asciiTheme="minorEastAsia" w:eastAsiaTheme="minorEastAsia" w:hAnsiTheme="minorEastAsia" w:hint="eastAsia"/>
                <w:color w:val="000000" w:themeColor="text1"/>
                <w:szCs w:val="20"/>
              </w:rPr>
              <w:t>转出</w:t>
            </w:r>
            <w:r w:rsidRPr="005A7DE6">
              <w:rPr>
                <w:rFonts w:asciiTheme="minorEastAsia" w:eastAsiaTheme="minorEastAsia" w:hAnsiTheme="minorEastAsia"/>
                <w:color w:val="000000" w:themeColor="text1"/>
                <w:szCs w:val="20"/>
              </w:rPr>
              <w:t>基金</w:t>
            </w:r>
            <w:r w:rsidRPr="005A7DE6">
              <w:rPr>
                <w:rFonts w:asciiTheme="minorEastAsia" w:eastAsiaTheme="minorEastAsia" w:hAnsiTheme="minorEastAsia" w:hint="eastAsia"/>
                <w:color w:val="000000" w:themeColor="text1"/>
                <w:szCs w:val="20"/>
              </w:rPr>
              <w:t>份额</w:t>
            </w:r>
            <w:r w:rsidRPr="005A7DE6">
              <w:rPr>
                <w:rFonts w:asciiTheme="minorEastAsia" w:eastAsiaTheme="minorEastAsia" w:hAnsiTheme="minorEastAsia"/>
                <w:color w:val="000000" w:themeColor="text1"/>
                <w:szCs w:val="20"/>
              </w:rPr>
              <w:t>净值</w:t>
            </w:r>
          </w:p>
        </w:tc>
        <w:tc>
          <w:tcPr>
            <w:tcW w:w="1440" w:type="dxa"/>
            <w:vMerge w:val="restart"/>
          </w:tcPr>
          <w:p w:rsidR="00E80502" w:rsidRPr="005A7DE6" w:rsidP="006B758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5A7DE6">
              <w:rPr>
                <w:rFonts w:asciiTheme="minorEastAsia" w:eastAsiaTheme="minorEastAsia" w:hAnsiTheme="minorEastAsia" w:hint="eastAsia"/>
                <w:color w:val="000000" w:themeColor="text1"/>
                <w:szCs w:val="20"/>
              </w:rPr>
              <w:t>转换金额</w:t>
            </w:r>
          </w:p>
        </w:tc>
        <w:tc>
          <w:tcPr>
            <w:tcW w:w="2340" w:type="dxa"/>
            <w:gridSpan w:val="2"/>
          </w:tcPr>
          <w:p w:rsidR="00E80502" w:rsidRPr="005A7DE6" w:rsidP="006B758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5A7DE6">
              <w:rPr>
                <w:rFonts w:asciiTheme="minorEastAsia" w:eastAsiaTheme="minorEastAsia" w:hAnsiTheme="minorEastAsia" w:hint="eastAsia"/>
                <w:color w:val="000000" w:themeColor="text1"/>
                <w:szCs w:val="20"/>
              </w:rPr>
              <w:t>转换费</w:t>
            </w:r>
          </w:p>
        </w:tc>
        <w:tc>
          <w:tcPr>
            <w:tcW w:w="1440" w:type="dxa"/>
            <w:vMerge w:val="restart"/>
          </w:tcPr>
          <w:p w:rsidR="00E80502" w:rsidRPr="005A7DE6" w:rsidP="006B758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5A7DE6">
              <w:rPr>
                <w:rFonts w:asciiTheme="minorEastAsia" w:eastAsiaTheme="minorEastAsia" w:hAnsiTheme="minorEastAsia" w:hint="eastAsia"/>
                <w:color w:val="000000" w:themeColor="text1"/>
                <w:szCs w:val="20"/>
              </w:rPr>
              <w:t>转入金额</w:t>
            </w:r>
          </w:p>
        </w:tc>
        <w:tc>
          <w:tcPr>
            <w:tcW w:w="1185" w:type="dxa"/>
            <w:vMerge w:val="restart"/>
          </w:tcPr>
          <w:p w:rsidR="007679D5" w:rsidRPr="005A7DE6" w:rsidP="006B758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5A7DE6">
              <w:rPr>
                <w:rFonts w:asciiTheme="minorEastAsia" w:eastAsiaTheme="minorEastAsia" w:hAnsiTheme="minorEastAsia" w:hint="eastAsia"/>
                <w:color w:val="000000" w:themeColor="text1"/>
                <w:szCs w:val="20"/>
              </w:rPr>
              <w:t>转入</w:t>
            </w:r>
            <w:r w:rsidRPr="005A7DE6">
              <w:rPr>
                <w:rFonts w:asciiTheme="minorEastAsia" w:eastAsiaTheme="minorEastAsia" w:hAnsiTheme="minorEastAsia"/>
                <w:color w:val="000000" w:themeColor="text1"/>
                <w:szCs w:val="20"/>
              </w:rPr>
              <w:t>基金</w:t>
            </w:r>
          </w:p>
          <w:p w:rsidR="00E80502" w:rsidRPr="005A7DE6" w:rsidP="006B758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5A7DE6">
              <w:rPr>
                <w:rFonts w:asciiTheme="minorEastAsia" w:eastAsiaTheme="minorEastAsia" w:hAnsiTheme="minorEastAsia" w:hint="eastAsia"/>
                <w:color w:val="000000" w:themeColor="text1"/>
                <w:szCs w:val="20"/>
              </w:rPr>
              <w:t>份额</w:t>
            </w:r>
            <w:r w:rsidRPr="005A7DE6">
              <w:rPr>
                <w:rFonts w:asciiTheme="minorEastAsia" w:eastAsiaTheme="minorEastAsia" w:hAnsiTheme="minorEastAsia"/>
                <w:color w:val="000000" w:themeColor="text1"/>
                <w:szCs w:val="20"/>
              </w:rPr>
              <w:t>净值</w:t>
            </w:r>
          </w:p>
        </w:tc>
        <w:tc>
          <w:tcPr>
            <w:tcW w:w="1335" w:type="dxa"/>
            <w:vMerge w:val="restart"/>
          </w:tcPr>
          <w:p w:rsidR="00E80502" w:rsidRPr="005A7DE6" w:rsidP="006B758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5A7DE6">
              <w:rPr>
                <w:rFonts w:asciiTheme="minorEastAsia" w:eastAsiaTheme="minorEastAsia" w:hAnsiTheme="minorEastAsia" w:hint="eastAsia"/>
                <w:color w:val="000000" w:themeColor="text1"/>
                <w:szCs w:val="20"/>
              </w:rPr>
              <w:t>转入份额</w:t>
            </w:r>
          </w:p>
        </w:tc>
      </w:tr>
      <w:tr w:rsidTr="00CD67B4">
        <w:tblPrEx>
          <w:tblW w:w="9720" w:type="dxa"/>
          <w:tblLayout w:type="fixed"/>
          <w:tblLook w:val="0000"/>
        </w:tblPrEx>
        <w:trPr>
          <w:trHeight w:val="412"/>
        </w:trPr>
        <w:tc>
          <w:tcPr>
            <w:tcW w:w="1080" w:type="dxa"/>
            <w:vMerge/>
          </w:tcPr>
          <w:p w:rsidR="00E80502" w:rsidRPr="005A7DE6" w:rsidP="006B758F">
            <w:pPr>
              <w:snapToGrid w:val="0"/>
              <w:spacing w:line="360" w:lineRule="auto"/>
              <w:ind w:firstLine="420"/>
              <w:rPr>
                <w:rFonts w:asciiTheme="minorEastAsia" w:eastAsiaTheme="minorEastAsia" w:hAnsiTheme="minorEastAsia"/>
                <w:color w:val="000000" w:themeColor="text1"/>
                <w:szCs w:val="20"/>
              </w:rPr>
            </w:pPr>
          </w:p>
        </w:tc>
        <w:tc>
          <w:tcPr>
            <w:tcW w:w="900" w:type="dxa"/>
            <w:vMerge/>
          </w:tcPr>
          <w:p w:rsidR="00E80502" w:rsidRPr="005A7DE6" w:rsidP="006B758F">
            <w:pPr>
              <w:snapToGrid w:val="0"/>
              <w:spacing w:line="360" w:lineRule="auto"/>
              <w:ind w:firstLine="420"/>
              <w:rPr>
                <w:rFonts w:asciiTheme="minorEastAsia" w:eastAsiaTheme="minorEastAsia" w:hAnsiTheme="minorEastAsia"/>
                <w:color w:val="000000" w:themeColor="text1"/>
                <w:szCs w:val="20"/>
              </w:rPr>
            </w:pPr>
          </w:p>
        </w:tc>
        <w:tc>
          <w:tcPr>
            <w:tcW w:w="1440" w:type="dxa"/>
            <w:vMerge/>
          </w:tcPr>
          <w:p w:rsidR="00E80502" w:rsidRPr="005A7DE6" w:rsidP="006B758F">
            <w:pPr>
              <w:snapToGrid w:val="0"/>
              <w:spacing w:line="360" w:lineRule="auto"/>
              <w:ind w:firstLine="420"/>
              <w:rPr>
                <w:rFonts w:asciiTheme="minorEastAsia" w:eastAsiaTheme="minorEastAsia" w:hAnsiTheme="minorEastAsia"/>
                <w:color w:val="000000" w:themeColor="text1"/>
                <w:szCs w:val="20"/>
              </w:rPr>
            </w:pPr>
          </w:p>
        </w:tc>
        <w:tc>
          <w:tcPr>
            <w:tcW w:w="1260" w:type="dxa"/>
          </w:tcPr>
          <w:p w:rsidR="007679D5" w:rsidRPr="005A7DE6" w:rsidP="006B758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5A7DE6">
              <w:rPr>
                <w:rFonts w:asciiTheme="minorEastAsia" w:eastAsiaTheme="minorEastAsia" w:hAnsiTheme="minorEastAsia" w:hint="eastAsia"/>
                <w:color w:val="000000" w:themeColor="text1"/>
                <w:szCs w:val="20"/>
              </w:rPr>
              <w:t>转出基金</w:t>
            </w:r>
          </w:p>
          <w:p w:rsidR="00E80502" w:rsidRPr="005A7DE6" w:rsidP="006B758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5A7DE6">
              <w:rPr>
                <w:rFonts w:asciiTheme="minorEastAsia" w:eastAsiaTheme="minorEastAsia" w:hAnsiTheme="minorEastAsia"/>
                <w:color w:val="000000" w:themeColor="text1"/>
                <w:szCs w:val="20"/>
              </w:rPr>
              <w:t>赎回费</w:t>
            </w:r>
          </w:p>
        </w:tc>
        <w:tc>
          <w:tcPr>
            <w:tcW w:w="1080" w:type="dxa"/>
          </w:tcPr>
          <w:p w:rsidR="00E80502" w:rsidRPr="005A7DE6" w:rsidP="006B758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5A7DE6">
              <w:rPr>
                <w:rFonts w:asciiTheme="minorEastAsia" w:eastAsiaTheme="minorEastAsia" w:hAnsiTheme="minorEastAsia" w:hint="eastAsia"/>
                <w:color w:val="000000" w:themeColor="text1"/>
                <w:szCs w:val="20"/>
              </w:rPr>
              <w:t>申购</w:t>
            </w:r>
            <w:r w:rsidRPr="005A7DE6">
              <w:rPr>
                <w:rFonts w:asciiTheme="minorEastAsia" w:eastAsiaTheme="minorEastAsia" w:hAnsiTheme="minorEastAsia"/>
                <w:color w:val="000000" w:themeColor="text1"/>
                <w:szCs w:val="20"/>
              </w:rPr>
              <w:t>补差费</w:t>
            </w:r>
          </w:p>
        </w:tc>
        <w:tc>
          <w:tcPr>
            <w:tcW w:w="1440" w:type="dxa"/>
            <w:vMerge/>
          </w:tcPr>
          <w:p w:rsidR="00E80502" w:rsidRPr="005A7DE6" w:rsidP="006B758F">
            <w:pPr>
              <w:snapToGrid w:val="0"/>
              <w:spacing w:line="360" w:lineRule="auto"/>
              <w:ind w:firstLine="420"/>
              <w:rPr>
                <w:rFonts w:asciiTheme="minorEastAsia" w:eastAsiaTheme="minorEastAsia" w:hAnsiTheme="minorEastAsia"/>
                <w:color w:val="000000" w:themeColor="text1"/>
                <w:szCs w:val="20"/>
              </w:rPr>
            </w:pPr>
          </w:p>
        </w:tc>
        <w:tc>
          <w:tcPr>
            <w:tcW w:w="1185" w:type="dxa"/>
            <w:vMerge/>
          </w:tcPr>
          <w:p w:rsidR="00E80502" w:rsidRPr="005A7DE6" w:rsidP="006B758F">
            <w:pPr>
              <w:snapToGrid w:val="0"/>
              <w:spacing w:line="360" w:lineRule="auto"/>
              <w:ind w:firstLine="420"/>
              <w:rPr>
                <w:rFonts w:asciiTheme="minorEastAsia" w:eastAsiaTheme="minorEastAsia" w:hAnsiTheme="minorEastAsia"/>
                <w:color w:val="000000" w:themeColor="text1"/>
                <w:szCs w:val="20"/>
              </w:rPr>
            </w:pPr>
          </w:p>
        </w:tc>
        <w:tc>
          <w:tcPr>
            <w:tcW w:w="1335" w:type="dxa"/>
            <w:vMerge/>
          </w:tcPr>
          <w:p w:rsidR="00E80502" w:rsidRPr="005A7DE6" w:rsidP="006B758F">
            <w:pPr>
              <w:snapToGrid w:val="0"/>
              <w:spacing w:line="360" w:lineRule="auto"/>
              <w:ind w:firstLine="420"/>
              <w:rPr>
                <w:rFonts w:asciiTheme="minorEastAsia" w:eastAsiaTheme="minorEastAsia" w:hAnsiTheme="minorEastAsia"/>
                <w:color w:val="000000" w:themeColor="text1"/>
                <w:szCs w:val="20"/>
              </w:rPr>
            </w:pPr>
          </w:p>
        </w:tc>
      </w:tr>
      <w:tr w:rsidTr="00CD67B4">
        <w:tblPrEx>
          <w:tblW w:w="9720" w:type="dxa"/>
          <w:tblLayout w:type="fixed"/>
          <w:tblLook w:val="0000"/>
        </w:tblPrEx>
        <w:tc>
          <w:tcPr>
            <w:tcW w:w="1080" w:type="dxa"/>
          </w:tcPr>
          <w:p w:rsidR="00E80502" w:rsidRPr="005A7DE6" w:rsidP="006B758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5A7DE6">
              <w:rPr>
                <w:rFonts w:asciiTheme="minorEastAsia" w:eastAsiaTheme="minorEastAsia" w:hAnsiTheme="minorEastAsia"/>
                <w:color w:val="000000" w:themeColor="text1"/>
                <w:szCs w:val="20"/>
              </w:rPr>
              <w:t>10,000</w:t>
            </w:r>
            <w:r w:rsidRPr="005A7DE6">
              <w:rPr>
                <w:rFonts w:asciiTheme="minorEastAsia" w:eastAsiaTheme="minorEastAsia" w:hAnsiTheme="minorEastAsia" w:hint="eastAsia"/>
                <w:color w:val="000000" w:themeColor="text1"/>
                <w:szCs w:val="20"/>
              </w:rPr>
              <w:t>份</w:t>
            </w:r>
          </w:p>
        </w:tc>
        <w:tc>
          <w:tcPr>
            <w:tcW w:w="900" w:type="dxa"/>
          </w:tcPr>
          <w:p w:rsidR="00E80502" w:rsidRPr="005A7DE6" w:rsidP="006B758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5A7DE6">
              <w:rPr>
                <w:rFonts w:asciiTheme="minorEastAsia" w:eastAsiaTheme="minorEastAsia" w:hAnsiTheme="minorEastAsia"/>
                <w:color w:val="000000" w:themeColor="text1"/>
                <w:szCs w:val="20"/>
              </w:rPr>
              <w:t>1.</w:t>
            </w:r>
            <w:r w:rsidRPr="005A7DE6">
              <w:rPr>
                <w:rFonts w:asciiTheme="minorEastAsia" w:eastAsiaTheme="minorEastAsia" w:hAnsiTheme="minorEastAsia" w:hint="eastAsia"/>
                <w:color w:val="000000" w:themeColor="text1"/>
                <w:szCs w:val="20"/>
              </w:rPr>
              <w:t>1</w:t>
            </w:r>
            <w:r w:rsidRPr="005A7DE6">
              <w:rPr>
                <w:rFonts w:asciiTheme="minorEastAsia" w:eastAsiaTheme="minorEastAsia" w:hAnsiTheme="minorEastAsia"/>
                <w:color w:val="000000" w:themeColor="text1"/>
                <w:szCs w:val="20"/>
              </w:rPr>
              <w:t>0</w:t>
            </w:r>
            <w:r w:rsidRPr="005A7DE6">
              <w:rPr>
                <w:rFonts w:asciiTheme="minorEastAsia" w:eastAsiaTheme="minorEastAsia" w:hAnsiTheme="minorEastAsia" w:hint="eastAsia"/>
                <w:color w:val="000000" w:themeColor="text1"/>
                <w:szCs w:val="20"/>
              </w:rPr>
              <w:t>0</w:t>
            </w:r>
            <w:r w:rsidRPr="005A7DE6" w:rsidR="0052477F">
              <w:rPr>
                <w:rFonts w:asciiTheme="minorEastAsia" w:eastAsiaTheme="minorEastAsia" w:hAnsiTheme="minorEastAsia"/>
                <w:color w:val="000000" w:themeColor="text1"/>
                <w:szCs w:val="20"/>
              </w:rPr>
              <w:t>0</w:t>
            </w:r>
            <w:r w:rsidRPr="005A7DE6">
              <w:rPr>
                <w:rFonts w:asciiTheme="minorEastAsia" w:eastAsiaTheme="minorEastAsia" w:hAnsiTheme="minorEastAsia"/>
                <w:color w:val="000000" w:themeColor="text1"/>
                <w:szCs w:val="20"/>
              </w:rPr>
              <w:t>元</w:t>
            </w:r>
          </w:p>
        </w:tc>
        <w:tc>
          <w:tcPr>
            <w:tcW w:w="1440" w:type="dxa"/>
          </w:tcPr>
          <w:p w:rsidR="00E80502" w:rsidRPr="005A7DE6" w:rsidP="006B758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5A7DE6">
              <w:rPr>
                <w:rFonts w:asciiTheme="minorEastAsia" w:eastAsiaTheme="minorEastAsia" w:hAnsiTheme="minorEastAsia" w:hint="eastAsia"/>
                <w:color w:val="000000" w:themeColor="text1"/>
                <w:szCs w:val="20"/>
              </w:rPr>
              <w:t>11,000.00</w:t>
            </w:r>
            <w:r w:rsidRPr="005A7DE6">
              <w:rPr>
                <w:rFonts w:asciiTheme="minorEastAsia" w:eastAsiaTheme="minorEastAsia" w:hAnsiTheme="minorEastAsia" w:hint="eastAsia"/>
                <w:color w:val="000000" w:themeColor="text1"/>
                <w:szCs w:val="20"/>
              </w:rPr>
              <w:t>元</w:t>
            </w:r>
          </w:p>
        </w:tc>
        <w:tc>
          <w:tcPr>
            <w:tcW w:w="1260" w:type="dxa"/>
          </w:tcPr>
          <w:p w:rsidR="00E80502" w:rsidRPr="005A7DE6" w:rsidP="006B758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5A7DE6">
              <w:rPr>
                <w:rFonts w:asciiTheme="minorEastAsia" w:eastAsiaTheme="minorEastAsia" w:hAnsiTheme="minorEastAsia" w:hint="eastAsia"/>
                <w:color w:val="000000" w:themeColor="text1"/>
                <w:szCs w:val="20"/>
              </w:rPr>
              <w:t>0.00</w:t>
            </w:r>
            <w:r w:rsidRPr="005A7DE6">
              <w:rPr>
                <w:rFonts w:asciiTheme="minorEastAsia" w:eastAsiaTheme="minorEastAsia" w:hAnsiTheme="minorEastAsia" w:hint="eastAsia"/>
                <w:color w:val="000000" w:themeColor="text1"/>
                <w:szCs w:val="20"/>
              </w:rPr>
              <w:t>元</w:t>
            </w:r>
          </w:p>
        </w:tc>
        <w:tc>
          <w:tcPr>
            <w:tcW w:w="1080" w:type="dxa"/>
          </w:tcPr>
          <w:p w:rsidR="00E80502" w:rsidRPr="005A7DE6" w:rsidP="006B758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5A7DE6">
              <w:rPr>
                <w:rFonts w:asciiTheme="minorEastAsia" w:eastAsiaTheme="minorEastAsia" w:hAnsiTheme="minorEastAsia" w:hint="eastAsia"/>
                <w:color w:val="000000" w:themeColor="text1"/>
              </w:rPr>
              <w:t>215.69</w:t>
            </w:r>
            <w:r w:rsidRPr="005A7DE6">
              <w:rPr>
                <w:rFonts w:asciiTheme="minorEastAsia" w:eastAsiaTheme="minorEastAsia" w:hAnsiTheme="minorEastAsia" w:hint="eastAsia"/>
                <w:color w:val="000000" w:themeColor="text1"/>
                <w:szCs w:val="20"/>
              </w:rPr>
              <w:t>元</w:t>
            </w:r>
          </w:p>
        </w:tc>
        <w:tc>
          <w:tcPr>
            <w:tcW w:w="1440" w:type="dxa"/>
          </w:tcPr>
          <w:p w:rsidR="00E80502" w:rsidRPr="005A7DE6" w:rsidP="006B758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5A7DE6">
              <w:rPr>
                <w:rFonts w:asciiTheme="minorEastAsia" w:eastAsiaTheme="minorEastAsia" w:hAnsiTheme="minorEastAsia"/>
                <w:color w:val="000000" w:themeColor="text1"/>
                <w:szCs w:val="20"/>
              </w:rPr>
              <w:t>10</w:t>
            </w:r>
            <w:r w:rsidRPr="005A7DE6">
              <w:rPr>
                <w:rFonts w:asciiTheme="minorEastAsia" w:eastAsiaTheme="minorEastAsia" w:hAnsiTheme="minorEastAsia" w:hint="eastAsia"/>
                <w:color w:val="000000" w:themeColor="text1"/>
                <w:szCs w:val="20"/>
              </w:rPr>
              <w:t>,</w:t>
            </w:r>
            <w:r w:rsidRPr="005A7DE6">
              <w:rPr>
                <w:rFonts w:asciiTheme="minorEastAsia" w:eastAsiaTheme="minorEastAsia" w:hAnsiTheme="minorEastAsia"/>
                <w:color w:val="000000" w:themeColor="text1"/>
                <w:szCs w:val="20"/>
              </w:rPr>
              <w:t>784.31</w:t>
            </w:r>
            <w:r w:rsidRPr="005A7DE6">
              <w:rPr>
                <w:rFonts w:asciiTheme="minorEastAsia" w:eastAsiaTheme="minorEastAsia" w:hAnsiTheme="minorEastAsia" w:hint="eastAsia"/>
                <w:color w:val="000000" w:themeColor="text1"/>
                <w:szCs w:val="20"/>
              </w:rPr>
              <w:t>元</w:t>
            </w:r>
          </w:p>
        </w:tc>
        <w:tc>
          <w:tcPr>
            <w:tcW w:w="1185" w:type="dxa"/>
          </w:tcPr>
          <w:p w:rsidR="00E80502" w:rsidRPr="005A7DE6" w:rsidP="006B758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5A7DE6">
              <w:rPr>
                <w:rFonts w:asciiTheme="minorEastAsia" w:eastAsiaTheme="minorEastAsia" w:hAnsiTheme="minorEastAsia" w:hint="eastAsia"/>
                <w:color w:val="000000" w:themeColor="text1"/>
                <w:szCs w:val="20"/>
              </w:rPr>
              <w:t>1.020</w:t>
            </w:r>
            <w:r w:rsidRPr="005A7DE6">
              <w:rPr>
                <w:rFonts w:asciiTheme="minorEastAsia" w:eastAsiaTheme="minorEastAsia" w:hAnsiTheme="minorEastAsia" w:hint="eastAsia"/>
                <w:color w:val="000000" w:themeColor="text1"/>
                <w:szCs w:val="20"/>
              </w:rPr>
              <w:t>元</w:t>
            </w:r>
          </w:p>
        </w:tc>
        <w:tc>
          <w:tcPr>
            <w:tcW w:w="1335" w:type="dxa"/>
          </w:tcPr>
          <w:p w:rsidR="00E80502" w:rsidRPr="005A7DE6" w:rsidP="006B758F">
            <w:pPr>
              <w:snapToGrid w:val="0"/>
              <w:spacing w:line="360" w:lineRule="auto"/>
              <w:ind w:left="-94" w:right="-120" w:leftChars="-45" w:rightChars="-57"/>
              <w:jc w:val="center"/>
              <w:rPr>
                <w:rFonts w:asciiTheme="minorEastAsia" w:eastAsiaTheme="minorEastAsia" w:hAnsiTheme="minorEastAsia"/>
                <w:color w:val="000000" w:themeColor="text1"/>
                <w:szCs w:val="20"/>
              </w:rPr>
            </w:pPr>
            <w:r w:rsidRPr="005A7DE6">
              <w:rPr>
                <w:rFonts w:asciiTheme="minorEastAsia" w:eastAsiaTheme="minorEastAsia" w:hAnsiTheme="minorEastAsia"/>
                <w:color w:val="000000" w:themeColor="text1"/>
                <w:szCs w:val="20"/>
              </w:rPr>
              <w:t>10</w:t>
            </w:r>
            <w:r w:rsidRPr="005A7DE6">
              <w:rPr>
                <w:rFonts w:asciiTheme="minorEastAsia" w:eastAsiaTheme="minorEastAsia" w:hAnsiTheme="minorEastAsia" w:hint="eastAsia"/>
                <w:color w:val="000000" w:themeColor="text1"/>
                <w:szCs w:val="20"/>
              </w:rPr>
              <w:t>,</w:t>
            </w:r>
            <w:r w:rsidRPr="005A7DE6">
              <w:rPr>
                <w:rFonts w:asciiTheme="minorEastAsia" w:eastAsiaTheme="minorEastAsia" w:hAnsiTheme="minorEastAsia"/>
                <w:color w:val="000000" w:themeColor="text1"/>
                <w:szCs w:val="20"/>
              </w:rPr>
              <w:t>572.85</w:t>
            </w:r>
            <w:r w:rsidRPr="005A7DE6">
              <w:rPr>
                <w:rFonts w:asciiTheme="minorEastAsia" w:eastAsiaTheme="minorEastAsia" w:hAnsiTheme="minorEastAsia" w:hint="eastAsia"/>
                <w:color w:val="000000" w:themeColor="text1"/>
                <w:szCs w:val="20"/>
              </w:rPr>
              <w:t>份</w:t>
            </w:r>
          </w:p>
        </w:tc>
      </w:tr>
    </w:tbl>
    <w:p w:rsidR="004B3500" w:rsidRPr="005A7DE6" w:rsidP="00C039F9">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注：本基金开通与易方达旗下其它开放式基金（由同一注册登记机构办理注册登记的、且已公告开通基金转换业务）之间的转换业务，各基金转换业务的开放状态及交易限制详见各基金相关公告。投资者需到同时销售拟转出和转入两只基金的同一销售机构办理基金的转换业务，具体的业务流程、办理时间和办理方式以销售机构的规定为准。转入本基金时转入份额的计算结果保留到小数点后两位，小数点后两位以后的部分四舍五入，由此误差产生的损失由基金财产承担，产生的收益归基金财产所有。</w:t>
      </w:r>
    </w:p>
    <w:p w:rsidR="002D4316"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37" w:name="_Toc94172413"/>
      <w:r w:rsidRPr="005A7DE6">
        <w:rPr>
          <w:rFonts w:asciiTheme="minorEastAsia" w:eastAsiaTheme="minorEastAsia" w:hAnsiTheme="minorEastAsia" w:hint="eastAsia"/>
          <w:b w:val="0"/>
          <w:bCs/>
          <w:color w:val="000000" w:themeColor="text1"/>
        </w:rPr>
        <w:t>（七）基金转换的注册登记</w:t>
      </w:r>
      <w:bookmarkEnd w:id="3637"/>
    </w:p>
    <w:p w:rsidR="00E80502"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szCs w:val="21"/>
        </w:rPr>
        <w:t>投资者</w:t>
      </w:r>
      <w:r w:rsidRPr="005A7DE6">
        <w:rPr>
          <w:rFonts w:asciiTheme="minorEastAsia" w:eastAsiaTheme="minorEastAsia" w:hAnsiTheme="minorEastAsia" w:hint="eastAsia"/>
          <w:color w:val="000000" w:themeColor="text1"/>
          <w:szCs w:val="21"/>
        </w:rPr>
        <w:t>T</w:t>
      </w:r>
      <w:r w:rsidRPr="005A7DE6">
        <w:rPr>
          <w:rFonts w:asciiTheme="minorEastAsia" w:eastAsiaTheme="minorEastAsia" w:hAnsiTheme="minorEastAsia" w:hint="eastAsia"/>
          <w:color w:val="000000" w:themeColor="text1"/>
          <w:szCs w:val="21"/>
        </w:rPr>
        <w:t>日申请基金转换成功后，注册登记机构</w:t>
      </w:r>
      <w:r w:rsidRPr="005A7DE6">
        <w:rPr>
          <w:rFonts w:asciiTheme="minorEastAsia" w:eastAsiaTheme="minorEastAsia" w:hAnsiTheme="minorEastAsia" w:hint="eastAsia"/>
          <w:color w:val="000000" w:themeColor="text1"/>
          <w:szCs w:val="21"/>
        </w:rPr>
        <w:t>将在</w:t>
      </w:r>
      <w:r w:rsidRPr="005A7DE6">
        <w:rPr>
          <w:rFonts w:asciiTheme="minorEastAsia" w:eastAsiaTheme="minorEastAsia" w:hAnsiTheme="minorEastAsia" w:hint="eastAsia"/>
          <w:color w:val="000000" w:themeColor="text1"/>
          <w:szCs w:val="21"/>
        </w:rPr>
        <w:t>T</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hint="eastAsia"/>
          <w:color w:val="000000" w:themeColor="text1"/>
          <w:szCs w:val="21"/>
        </w:rPr>
        <w:t>1</w:t>
      </w:r>
      <w:r w:rsidRPr="005A7DE6">
        <w:rPr>
          <w:rFonts w:asciiTheme="minorEastAsia" w:eastAsiaTheme="minorEastAsia" w:hAnsiTheme="minorEastAsia" w:hint="eastAsia"/>
          <w:color w:val="000000" w:themeColor="text1"/>
          <w:szCs w:val="21"/>
        </w:rPr>
        <w:t>工作日为投资者办理减少转出基金份额、增加转入基金份额的权益登记手续，一般情况下，投资者自</w:t>
      </w:r>
      <w:r w:rsidRPr="005A7DE6">
        <w:rPr>
          <w:rFonts w:asciiTheme="minorEastAsia" w:eastAsiaTheme="minorEastAsia" w:hAnsiTheme="minorEastAsia" w:hint="eastAsia"/>
          <w:color w:val="000000" w:themeColor="text1"/>
          <w:szCs w:val="21"/>
        </w:rPr>
        <w:t>T</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hint="eastAsia"/>
          <w:color w:val="000000" w:themeColor="text1"/>
          <w:szCs w:val="21"/>
        </w:rPr>
        <w:t>2</w:t>
      </w:r>
      <w:r w:rsidRPr="005A7DE6">
        <w:rPr>
          <w:rFonts w:asciiTheme="minorEastAsia" w:eastAsiaTheme="minorEastAsia" w:hAnsiTheme="minorEastAsia" w:hint="eastAsia"/>
          <w:color w:val="000000" w:themeColor="text1"/>
          <w:szCs w:val="21"/>
        </w:rPr>
        <w:t>工作日起有权赎回转入部分的基金份额。</w:t>
      </w:r>
    </w:p>
    <w:p w:rsidR="00E8050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基金管理人可在法律法规允许的范围内，对上述注册登记办理时间进行调整，</w:t>
      </w:r>
      <w:r w:rsidRPr="005A7DE6" w:rsidR="00400506">
        <w:rPr>
          <w:rFonts w:asciiTheme="minorEastAsia" w:eastAsiaTheme="minorEastAsia" w:hAnsiTheme="minorEastAsia" w:hint="eastAsia"/>
          <w:color w:val="000000" w:themeColor="text1"/>
          <w:szCs w:val="21"/>
        </w:rPr>
        <w:t>并应在调整生效前在指定媒介上予以公告</w:t>
      </w:r>
      <w:r w:rsidRPr="005A7DE6">
        <w:rPr>
          <w:rFonts w:asciiTheme="minorEastAsia" w:eastAsiaTheme="minorEastAsia" w:hAnsiTheme="minorEastAsia" w:hint="eastAsia"/>
          <w:color w:val="000000" w:themeColor="text1"/>
          <w:szCs w:val="21"/>
        </w:rPr>
        <w:t>。</w:t>
      </w:r>
    </w:p>
    <w:p w:rsidR="002D4316"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38" w:name="_Toc328061355"/>
      <w:bookmarkStart w:id="3639" w:name="_Toc94172414"/>
      <w:r w:rsidRPr="005A7DE6">
        <w:rPr>
          <w:rFonts w:asciiTheme="minorEastAsia" w:eastAsiaTheme="minorEastAsia" w:hAnsiTheme="minorEastAsia" w:hint="eastAsia"/>
          <w:b w:val="0"/>
          <w:bCs/>
          <w:color w:val="000000" w:themeColor="text1"/>
        </w:rPr>
        <w:t>（八）基金转换与巨额赎回</w:t>
      </w:r>
      <w:bookmarkEnd w:id="3638"/>
      <w:bookmarkEnd w:id="3639"/>
    </w:p>
    <w:p w:rsidR="002D4316"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发生巨额赎回时，基金转出与基金赎回具有相同的优先级，基金管理人可根据基金资产组合情况，决定全额转出或部分转出，并且对于基金转出和基金赎回，将采取相同的比例确认（除另有公告外）；在转出申请得到部分确认的情况下，未确认的转出申请将不予以顺延</w:t>
      </w:r>
      <w:r w:rsidRPr="005A7DE6">
        <w:rPr>
          <w:rFonts w:asciiTheme="minorEastAsia" w:eastAsiaTheme="minorEastAsia" w:hAnsiTheme="minorEastAsia" w:hint="eastAsia"/>
          <w:color w:val="000000" w:themeColor="text1"/>
        </w:rPr>
        <w:t>。</w:t>
      </w:r>
    </w:p>
    <w:p w:rsidR="002D4316"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40" w:name="_Toc328061356"/>
      <w:bookmarkStart w:id="3641" w:name="_Toc94172415"/>
      <w:r w:rsidRPr="005A7DE6">
        <w:rPr>
          <w:rFonts w:asciiTheme="minorEastAsia" w:eastAsiaTheme="minorEastAsia" w:hAnsiTheme="minorEastAsia" w:hint="eastAsia"/>
          <w:b w:val="0"/>
          <w:bCs/>
          <w:color w:val="000000" w:themeColor="text1"/>
        </w:rPr>
        <w:t>（九）暂停基金转换的情形</w:t>
      </w:r>
      <w:bookmarkEnd w:id="3640"/>
      <w:bookmarkEnd w:id="3641"/>
    </w:p>
    <w:p w:rsidR="002D4316"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发生下列情况时，基金管理人可拒绝或暂停接受基金投资者的转换申请：</w:t>
      </w:r>
    </w:p>
    <w:p w:rsidR="002D4316"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1</w:t>
      </w:r>
      <w:r w:rsidRPr="005A7DE6">
        <w:rPr>
          <w:rFonts w:asciiTheme="minorEastAsia" w:eastAsiaTheme="minorEastAsia" w:hAnsiTheme="minorEastAsia" w:hint="eastAsia"/>
          <w:color w:val="000000" w:themeColor="text1"/>
        </w:rPr>
        <w:t>、因不可抗力导致基金管理人无法受理投资者的转换申请。</w:t>
      </w:r>
    </w:p>
    <w:p w:rsidR="002D4316"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2</w:t>
      </w:r>
      <w:r w:rsidRPr="005A7DE6">
        <w:rPr>
          <w:rFonts w:asciiTheme="minorEastAsia" w:eastAsiaTheme="minorEastAsia" w:hAnsiTheme="minorEastAsia" w:hint="eastAsia"/>
          <w:color w:val="000000" w:themeColor="text1"/>
        </w:rPr>
        <w:t>、证券交易场所交易时间临时停市，导致基金管理人无法计算当日基金资产净值。</w:t>
      </w:r>
    </w:p>
    <w:p w:rsidR="002D4316"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3</w:t>
      </w:r>
      <w:r w:rsidRPr="005A7DE6">
        <w:rPr>
          <w:rFonts w:asciiTheme="minorEastAsia" w:eastAsiaTheme="minorEastAsia" w:hAnsiTheme="minorEastAsia" w:hint="eastAsia"/>
          <w:color w:val="000000" w:themeColor="text1"/>
        </w:rPr>
        <w:t>、发生基金合同规定的暂停基金资产估值情况。</w:t>
      </w:r>
    </w:p>
    <w:p w:rsidR="002D4316"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4</w:t>
      </w:r>
      <w:r w:rsidRPr="005A7DE6">
        <w:rPr>
          <w:rFonts w:asciiTheme="minorEastAsia" w:eastAsiaTheme="minorEastAsia" w:hAnsiTheme="minorEastAsia" w:hint="eastAsia"/>
          <w:color w:val="000000" w:themeColor="text1"/>
        </w:rPr>
        <w:t>、基金财产规模过大，使基金管理人无法找到合适的投资品种，或其他可能对基金业绩产生负面影响，从而损害现有基金份额持有人的利益的情形。</w:t>
      </w:r>
    </w:p>
    <w:p w:rsidR="002D4316"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5</w:t>
      </w:r>
      <w:r w:rsidRPr="005A7DE6">
        <w:rPr>
          <w:rFonts w:asciiTheme="minorEastAsia" w:eastAsiaTheme="minorEastAsia" w:hAnsiTheme="minorEastAsia" w:hint="eastAsia"/>
          <w:color w:val="000000" w:themeColor="text1"/>
        </w:rPr>
        <w:t>、连续两个或两个以上开放日发生巨额赎回，导致本基金的现金支付出现困难。</w:t>
      </w:r>
    </w:p>
    <w:p w:rsidR="00473CDB" w:rsidRPr="005A7DE6" w:rsidP="006B758F">
      <w:pPr>
        <w:snapToGrid w:val="0"/>
        <w:spacing w:line="360" w:lineRule="auto"/>
        <w:ind w:firstLine="420" w:firstLineChars="200"/>
        <w:rPr>
          <w:rStyle w:val="da"/>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rPr>
        <w:t>6</w:t>
      </w:r>
      <w:r w:rsidRPr="005A7DE6">
        <w:rPr>
          <w:rFonts w:asciiTheme="minorEastAsia" w:eastAsiaTheme="minorEastAsia" w:hAnsiTheme="minorEastAsia" w:hint="eastAsia"/>
          <w:color w:val="000000" w:themeColor="text1"/>
        </w:rPr>
        <w:t>、</w:t>
      </w:r>
      <w:r w:rsidRPr="005A7DE6">
        <w:rPr>
          <w:rStyle w:val="da"/>
          <w:rFonts w:asciiTheme="minorEastAsia" w:eastAsiaTheme="minorEastAsia" w:hAnsiTheme="minorEastAsia" w:hint="eastAsia"/>
          <w:color w:val="000000" w:themeColor="text1"/>
          <w:szCs w:val="21"/>
        </w:rPr>
        <w:t>基金管理人接受某笔或者某些转换转入申请有可能导致单一投资者持有基金份额的比例达到或者超过</w:t>
      </w:r>
      <w:r w:rsidRPr="005A7DE6">
        <w:rPr>
          <w:rStyle w:val="da"/>
          <w:rFonts w:asciiTheme="minorEastAsia" w:eastAsiaTheme="minorEastAsia" w:hAnsiTheme="minorEastAsia" w:hint="eastAsia"/>
          <w:color w:val="000000" w:themeColor="text1"/>
          <w:szCs w:val="21"/>
        </w:rPr>
        <w:t>50%</w:t>
      </w:r>
      <w:r w:rsidRPr="005A7DE6">
        <w:rPr>
          <w:rStyle w:val="da"/>
          <w:rFonts w:asciiTheme="minorEastAsia" w:eastAsiaTheme="minorEastAsia" w:hAnsiTheme="minorEastAsia" w:hint="eastAsia"/>
          <w:color w:val="000000" w:themeColor="text1"/>
          <w:szCs w:val="21"/>
        </w:rPr>
        <w:t>，或者变相规避</w:t>
      </w:r>
      <w:r w:rsidRPr="005A7DE6">
        <w:rPr>
          <w:rStyle w:val="da"/>
          <w:rFonts w:asciiTheme="minorEastAsia" w:eastAsiaTheme="minorEastAsia" w:hAnsiTheme="minorEastAsia" w:hint="eastAsia"/>
          <w:color w:val="000000" w:themeColor="text1"/>
          <w:szCs w:val="21"/>
        </w:rPr>
        <w:t>50%</w:t>
      </w:r>
      <w:r w:rsidRPr="005A7DE6">
        <w:rPr>
          <w:rStyle w:val="da"/>
          <w:rFonts w:asciiTheme="minorEastAsia" w:eastAsiaTheme="minorEastAsia" w:hAnsiTheme="minorEastAsia" w:hint="eastAsia"/>
          <w:color w:val="000000" w:themeColor="text1"/>
          <w:szCs w:val="21"/>
        </w:rPr>
        <w:t>集中度的情形时。</w:t>
      </w:r>
    </w:p>
    <w:p w:rsidR="00473CDB" w:rsidRPr="005A7DE6" w:rsidP="006B758F">
      <w:pPr>
        <w:snapToGrid w:val="0"/>
        <w:spacing w:line="360" w:lineRule="auto"/>
        <w:ind w:firstLine="420" w:firstLineChars="200"/>
        <w:rPr>
          <w:rStyle w:val="da"/>
          <w:rFonts w:asciiTheme="minorEastAsia" w:eastAsiaTheme="minorEastAsia" w:hAnsiTheme="minorEastAsia"/>
          <w:color w:val="000000" w:themeColor="text1"/>
          <w:szCs w:val="21"/>
        </w:rPr>
      </w:pPr>
      <w:r w:rsidRPr="005A7DE6">
        <w:rPr>
          <w:rStyle w:val="da"/>
          <w:rFonts w:asciiTheme="minorEastAsia" w:eastAsiaTheme="minorEastAsia" w:hAnsiTheme="minorEastAsia" w:hint="eastAsia"/>
          <w:color w:val="000000" w:themeColor="text1"/>
          <w:szCs w:val="21"/>
        </w:rPr>
        <w:t>7</w:t>
      </w:r>
      <w:r w:rsidRPr="005A7DE6">
        <w:rPr>
          <w:rStyle w:val="da"/>
          <w:rFonts w:asciiTheme="minorEastAsia" w:eastAsiaTheme="minorEastAsia" w:hAnsiTheme="minorEastAsia"/>
          <w:color w:val="000000" w:themeColor="text1"/>
          <w:szCs w:val="21"/>
        </w:rPr>
        <w:t>、</w:t>
      </w:r>
      <w:r w:rsidRPr="005A7DE6">
        <w:rPr>
          <w:rStyle w:val="da"/>
          <w:rFonts w:asciiTheme="minorEastAsia" w:eastAsiaTheme="minorEastAsia" w:hAnsiTheme="minorEastAsia" w:hint="eastAsia"/>
          <w:color w:val="000000" w:themeColor="text1"/>
          <w:szCs w:val="21"/>
        </w:rPr>
        <w:t>当一笔新的转换转入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473CDB"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Style w:val="da"/>
          <w:rFonts w:asciiTheme="minorEastAsia" w:eastAsiaTheme="minorEastAsia" w:hAnsiTheme="minorEastAsia" w:hint="eastAsia"/>
          <w:color w:val="000000" w:themeColor="text1"/>
          <w:szCs w:val="21"/>
        </w:rPr>
        <w:t>8</w:t>
      </w:r>
      <w:r w:rsidRPr="005A7DE6">
        <w:rPr>
          <w:rStyle w:val="da"/>
          <w:rFonts w:asciiTheme="minorEastAsia" w:eastAsiaTheme="minorEastAsia" w:hAnsiTheme="minorEastAsia"/>
          <w:color w:val="000000" w:themeColor="text1"/>
          <w:szCs w:val="21"/>
        </w:rPr>
        <w:t>、</w:t>
      </w:r>
      <w:r w:rsidRPr="005A7DE6">
        <w:rPr>
          <w:rStyle w:val="da"/>
          <w:rFonts w:asciiTheme="minorEastAsia" w:eastAsiaTheme="minorEastAsia" w:hAnsiTheme="minorEastAsia" w:hint="eastAsia"/>
          <w:color w:val="000000" w:themeColor="text1"/>
          <w:szCs w:val="21"/>
        </w:rPr>
        <w:t>当前一估值日基金资产净值</w:t>
      </w:r>
      <w:r w:rsidRPr="005A7DE6">
        <w:rPr>
          <w:rStyle w:val="da"/>
          <w:rFonts w:asciiTheme="minorEastAsia" w:eastAsiaTheme="minorEastAsia" w:hAnsiTheme="minorEastAsia" w:hint="eastAsia"/>
          <w:color w:val="000000" w:themeColor="text1"/>
          <w:szCs w:val="21"/>
        </w:rPr>
        <w:t>50%</w:t>
      </w:r>
      <w:r w:rsidRPr="005A7DE6">
        <w:rPr>
          <w:rStyle w:val="da"/>
          <w:rFonts w:asciiTheme="minorEastAsia" w:eastAsiaTheme="minorEastAsia" w:hAnsiTheme="minorEastAsia" w:hint="eastAsia"/>
          <w:color w:val="000000" w:themeColor="text1"/>
          <w:szCs w:val="21"/>
        </w:rPr>
        <w:t>以上的资产出现无可参考的活跃市场价格且采用估</w:t>
      </w:r>
      <w:r w:rsidRPr="005A7DE6">
        <w:rPr>
          <w:rStyle w:val="da"/>
          <w:rFonts w:asciiTheme="minorEastAsia" w:eastAsiaTheme="minorEastAsia" w:hAnsiTheme="minorEastAsia" w:hint="eastAsia"/>
          <w:color w:val="000000" w:themeColor="text1"/>
          <w:szCs w:val="21"/>
        </w:rPr>
        <w:t>值技术仍导致公允价值存在重大不确定性时，经与基金托管人协商确认后，基金管理人应当采取暂停接受基金转换申请的措施。</w:t>
      </w:r>
    </w:p>
    <w:p w:rsidR="002D4316"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9</w:t>
      </w:r>
      <w:r w:rsidRPr="005A7DE6">
        <w:rPr>
          <w:rFonts w:asciiTheme="minorEastAsia" w:eastAsiaTheme="minorEastAsia" w:hAnsiTheme="minorEastAsia"/>
          <w:color w:val="000000" w:themeColor="text1"/>
        </w:rPr>
        <w:t>、</w:t>
      </w:r>
      <w:r w:rsidRPr="005A7DE6">
        <w:rPr>
          <w:rFonts w:asciiTheme="minorEastAsia" w:eastAsiaTheme="minorEastAsia" w:hAnsiTheme="minorEastAsia" w:hint="eastAsia"/>
          <w:color w:val="000000" w:themeColor="text1"/>
        </w:rPr>
        <w:t>法律法规规定或经中国证监会认定的其他情形。</w:t>
      </w:r>
    </w:p>
    <w:p w:rsidR="002D4316"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szCs w:val="21"/>
        </w:rPr>
        <w:t>发生暂停基金转换时，</w:t>
      </w:r>
      <w:r w:rsidRPr="005A7DE6" w:rsidR="00400506">
        <w:rPr>
          <w:rFonts w:asciiTheme="minorEastAsia" w:eastAsiaTheme="minorEastAsia" w:hAnsiTheme="minorEastAsia" w:hint="eastAsia"/>
          <w:color w:val="000000" w:themeColor="text1"/>
          <w:szCs w:val="21"/>
        </w:rPr>
        <w:t>基金管理人应当在指定媒介上予以公告</w:t>
      </w:r>
      <w:r w:rsidRPr="005A7DE6">
        <w:rPr>
          <w:rFonts w:asciiTheme="minorEastAsia" w:eastAsiaTheme="minorEastAsia" w:hAnsiTheme="minorEastAsia" w:hint="eastAsia"/>
          <w:color w:val="000000" w:themeColor="text1"/>
          <w:szCs w:val="21"/>
        </w:rPr>
        <w:t>。</w:t>
      </w:r>
    </w:p>
    <w:p w:rsidR="00BA4B87" w:rsidRPr="005A7DE6" w:rsidP="006B758F">
      <w:pPr>
        <w:pStyle w:val="111"/>
        <w:pageBreakBefore w:val="0"/>
        <w:snapToGrid w:val="0"/>
        <w:spacing w:beforeLines="0" w:afterLines="0" w:line="360" w:lineRule="auto"/>
        <w:ind w:firstLine="600"/>
        <w:rPr>
          <w:rFonts w:asciiTheme="minorEastAsia" w:eastAsiaTheme="minorEastAsia" w:hAnsiTheme="minorEastAsia"/>
          <w:b/>
          <w:color w:val="000000" w:themeColor="text1"/>
          <w:sz w:val="30"/>
        </w:rPr>
      </w:pPr>
      <w:r w:rsidRPr="005A7DE6">
        <w:rPr>
          <w:rFonts w:asciiTheme="minorEastAsia" w:eastAsiaTheme="minorEastAsia" w:hAnsiTheme="minorEastAsia"/>
          <w:color w:val="000000" w:themeColor="text1"/>
          <w:sz w:val="30"/>
        </w:rPr>
        <w:br w:type="column"/>
      </w:r>
      <w:bookmarkStart w:id="3642" w:name="_Toc94172416"/>
      <w:r w:rsidRPr="005A7DE6">
        <w:rPr>
          <w:rFonts w:asciiTheme="minorEastAsia" w:eastAsiaTheme="minorEastAsia" w:hAnsiTheme="minorEastAsia"/>
          <w:b/>
          <w:color w:val="000000" w:themeColor="text1"/>
          <w:sz w:val="30"/>
        </w:rPr>
        <w:t>十、基金的转托管、非交易过户、冻结与解冻</w:t>
      </w:r>
      <w:bookmarkEnd w:id="3642"/>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43" w:name="_Toc94172417"/>
      <w:bookmarkStart w:id="3644" w:name="_Toc79392621"/>
      <w:r w:rsidRPr="005A7DE6">
        <w:rPr>
          <w:rFonts w:asciiTheme="minorEastAsia" w:eastAsiaTheme="minorEastAsia" w:hAnsiTheme="minorEastAsia"/>
          <w:b w:val="0"/>
          <w:bCs/>
          <w:color w:val="000000" w:themeColor="text1"/>
        </w:rPr>
        <w:t>（一）</w:t>
      </w:r>
      <w:r w:rsidRPr="005A7DE6" w:rsidR="00401F67">
        <w:rPr>
          <w:rFonts w:asciiTheme="minorEastAsia" w:eastAsiaTheme="minorEastAsia" w:hAnsiTheme="minorEastAsia"/>
          <w:b w:val="0"/>
          <w:bCs/>
          <w:color w:val="000000" w:themeColor="text1"/>
        </w:rPr>
        <w:t>基金的</w:t>
      </w:r>
      <w:r w:rsidRPr="005A7DE6">
        <w:rPr>
          <w:rFonts w:asciiTheme="minorEastAsia" w:eastAsiaTheme="minorEastAsia" w:hAnsiTheme="minorEastAsia"/>
          <w:b w:val="0"/>
          <w:bCs/>
          <w:color w:val="000000" w:themeColor="text1"/>
        </w:rPr>
        <w:t>转托管</w:t>
      </w:r>
      <w:bookmarkEnd w:id="3643"/>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基金份额持有人可办理已持有基金份额在不同销售机构之间的转托管，基金销售机构可以按照规定的标准收取转托管费。具体办理方法参照《业务规则》的有关规定以及基金</w:t>
      </w:r>
      <w:r w:rsidRPr="005A7DE6" w:rsidR="007C0F95">
        <w:rPr>
          <w:rFonts w:asciiTheme="minorEastAsia" w:eastAsiaTheme="minorEastAsia" w:hAnsiTheme="minorEastAsia" w:hint="eastAsia"/>
          <w:color w:val="000000" w:themeColor="text1"/>
        </w:rPr>
        <w:t>销售</w:t>
      </w:r>
      <w:r w:rsidRPr="005A7DE6">
        <w:rPr>
          <w:rFonts w:asciiTheme="minorEastAsia" w:eastAsiaTheme="minorEastAsia" w:hAnsiTheme="minorEastAsia"/>
          <w:color w:val="000000" w:themeColor="text1"/>
          <w:szCs w:val="21"/>
        </w:rPr>
        <w:t>机构的业务规则。</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45" w:name="_Toc94172418"/>
      <w:r w:rsidRPr="005A7DE6">
        <w:rPr>
          <w:rFonts w:asciiTheme="minorEastAsia" w:eastAsiaTheme="minorEastAsia" w:hAnsiTheme="minorEastAsia"/>
          <w:b w:val="0"/>
          <w:bCs/>
          <w:color w:val="000000" w:themeColor="text1"/>
        </w:rPr>
        <w:t>（二）基金的非交易过户</w:t>
      </w:r>
      <w:bookmarkEnd w:id="3645"/>
    </w:p>
    <w:p w:rsidR="00FC0129"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的非交易过户是指基金注册登记机构受理继承、捐赠和司法强制执行而产生的非交易过户以及注册登记机构认可、符合法律法规的其它非交易过户，或者按照相关法律法规或国家有权机关另有要求的方式对基金份额进行处理的行为。接受划转的主体必须是依法可以持有本基金基金份额的投资人，或者是按照相关法律法规或国家有权机关要求的划转主体。</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w:t>
      </w:r>
      <w:r w:rsidRPr="005A7DE6">
        <w:rPr>
          <w:rFonts w:asciiTheme="minorEastAsia" w:eastAsiaTheme="minorEastAsia" w:hAnsiTheme="minorEastAsia"/>
          <w:color w:val="000000" w:themeColor="text1"/>
          <w:szCs w:val="21"/>
        </w:rPr>
        <w:t>有人持有的基金份额强制划转给其他自然人、法人或其他组织或者以其他方式处分。办理非交易过户必须提供基金注册登记机构要求提供的相关资料。对于符合条件的非交易过户申请，基金注册登记机构按《业务规则》的有关规定办理并有权收取一定费用。</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46" w:name="_Toc94172419"/>
      <w:r w:rsidRPr="005A7DE6">
        <w:rPr>
          <w:rFonts w:asciiTheme="minorEastAsia" w:eastAsiaTheme="minorEastAsia" w:hAnsiTheme="minorEastAsia"/>
          <w:b w:val="0"/>
          <w:bCs/>
          <w:color w:val="000000" w:themeColor="text1"/>
        </w:rPr>
        <w:t>（三）基金的冻结与解冻</w:t>
      </w:r>
      <w:bookmarkEnd w:id="3646"/>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注册登记机构只受理国家有权机关依法要求的基金份额的冻结与解冻，以及注册登记机构认可、符合法律法规的其他情况下的冻结与解冻。基金份额被冻结的，被冻结部分产生的权益一并冻结，被冻结部分份额仍然参与收益分配与支付。</w:t>
      </w:r>
    </w:p>
    <w:bookmarkEnd w:id="3644"/>
    <w:p w:rsidR="00BA4B87" w:rsidRPr="005A7DE6" w:rsidP="006B758F">
      <w:pPr>
        <w:pStyle w:val="111"/>
        <w:pageBreakBefore w:val="0"/>
        <w:snapToGrid w:val="0"/>
        <w:spacing w:beforeLines="0" w:afterLines="0" w:line="360" w:lineRule="auto"/>
        <w:ind w:firstLine="640"/>
        <w:rPr>
          <w:rFonts w:asciiTheme="minorEastAsia" w:eastAsiaTheme="minorEastAsia" w:hAnsiTheme="minorEastAsia"/>
          <w:b/>
          <w:color w:val="000000" w:themeColor="text1"/>
          <w:sz w:val="30"/>
        </w:rPr>
      </w:pPr>
      <w:r w:rsidRPr="005A7DE6">
        <w:rPr>
          <w:rFonts w:asciiTheme="minorEastAsia" w:eastAsiaTheme="minorEastAsia" w:hAnsiTheme="minorEastAsia"/>
          <w:color w:val="000000" w:themeColor="text1"/>
        </w:rPr>
        <w:br w:type="column"/>
      </w:r>
      <w:bookmarkStart w:id="3647" w:name="_Toc94172420"/>
      <w:r w:rsidRPr="005A7DE6">
        <w:rPr>
          <w:rFonts w:asciiTheme="minorEastAsia" w:eastAsiaTheme="minorEastAsia" w:hAnsiTheme="minorEastAsia"/>
          <w:b/>
          <w:color w:val="000000" w:themeColor="text1"/>
          <w:sz w:val="30"/>
        </w:rPr>
        <w:t>十一、基金的投资</w:t>
      </w:r>
      <w:bookmarkEnd w:id="3647"/>
    </w:p>
    <w:p w:rsidR="00D12910"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48" w:name="_Toc94172421"/>
      <w:r w:rsidRPr="005A7DE6">
        <w:rPr>
          <w:rFonts w:asciiTheme="minorEastAsia" w:eastAsiaTheme="minorEastAsia" w:hAnsiTheme="minorEastAsia"/>
          <w:b w:val="0"/>
          <w:color w:val="000000" w:themeColor="text1"/>
        </w:rPr>
        <w:t>（</w:t>
      </w:r>
      <w:r w:rsidRPr="005A7DE6" w:rsidR="00BA4B87">
        <w:rPr>
          <w:rFonts w:asciiTheme="minorEastAsia" w:eastAsiaTheme="minorEastAsia" w:hAnsiTheme="minorEastAsia"/>
          <w:b w:val="0"/>
          <w:color w:val="000000" w:themeColor="text1"/>
        </w:rPr>
        <w:t>一</w:t>
      </w:r>
      <w:r w:rsidRPr="005A7DE6">
        <w:rPr>
          <w:rFonts w:asciiTheme="minorEastAsia" w:eastAsiaTheme="minorEastAsia" w:hAnsiTheme="minorEastAsia"/>
          <w:b w:val="0"/>
          <w:color w:val="000000" w:themeColor="text1"/>
        </w:rPr>
        <w:t>）</w:t>
      </w:r>
      <w:r w:rsidRPr="005A7DE6" w:rsidR="00BA4B87">
        <w:rPr>
          <w:rFonts w:asciiTheme="minorEastAsia" w:eastAsiaTheme="minorEastAsia" w:hAnsiTheme="minorEastAsia"/>
          <w:b w:val="0"/>
          <w:color w:val="000000" w:themeColor="text1"/>
        </w:rPr>
        <w:t>投资目标</w:t>
      </w:r>
      <w:bookmarkEnd w:id="3648"/>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本基金为纯债基金，管理人主要通过分析影响债券市场的各类要素，对债券组合的平均久期、期限结构、类属品种进行有效配置，力争为投资人提供长期稳定的投资回报。</w:t>
      </w:r>
    </w:p>
    <w:p w:rsidR="00D12910"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49" w:name="_Toc94172422"/>
      <w:r w:rsidRPr="005A7DE6">
        <w:rPr>
          <w:rFonts w:asciiTheme="minorEastAsia" w:eastAsiaTheme="minorEastAsia" w:hAnsiTheme="minorEastAsia"/>
          <w:b w:val="0"/>
          <w:color w:val="000000" w:themeColor="text1"/>
        </w:rPr>
        <w:t>（</w:t>
      </w:r>
      <w:r w:rsidRPr="005A7DE6" w:rsidR="009648D4">
        <w:rPr>
          <w:rFonts w:asciiTheme="minorEastAsia" w:eastAsiaTheme="minorEastAsia" w:hAnsiTheme="minorEastAsia"/>
          <w:b w:val="0"/>
          <w:color w:val="000000" w:themeColor="text1"/>
        </w:rPr>
        <w:t>二</w:t>
      </w:r>
      <w:r w:rsidRPr="005A7DE6">
        <w:rPr>
          <w:rFonts w:asciiTheme="minorEastAsia" w:eastAsiaTheme="minorEastAsia" w:hAnsiTheme="minorEastAsia"/>
          <w:b w:val="0"/>
          <w:color w:val="000000" w:themeColor="text1"/>
        </w:rPr>
        <w:t>）</w:t>
      </w:r>
      <w:r w:rsidRPr="005A7DE6" w:rsidR="00BA4B87">
        <w:rPr>
          <w:rFonts w:asciiTheme="minorEastAsia" w:eastAsiaTheme="minorEastAsia" w:hAnsiTheme="minorEastAsia"/>
          <w:b w:val="0"/>
          <w:color w:val="000000" w:themeColor="text1"/>
        </w:rPr>
        <w:t>投资范围</w:t>
      </w:r>
      <w:bookmarkEnd w:id="3649"/>
    </w:p>
    <w:p w:rsidR="009648D4"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的投资范围为具有良好流动性的金融工具，包括国债、央行票据、地方政府债、金融债、企业债、短期融资券、中期票据、公司债、资产支持证券、债券逆回购、银行存款等固定收益类资产以及法律法规或中国证监会允许基金投资的其他金融工具，但须符合中国证监会相关规定。</w:t>
      </w:r>
    </w:p>
    <w:p w:rsidR="009648D4"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本基金不直接在二级市场买入股票、权证等权益类资产，也不参与一级市场新股申购和新股增发。</w:t>
      </w:r>
      <w:r w:rsidRPr="005A7DE6" w:rsidR="00C014AA">
        <w:rPr>
          <w:rFonts w:asciiTheme="minorEastAsia" w:eastAsiaTheme="minorEastAsia" w:hAnsiTheme="minorEastAsia"/>
          <w:color w:val="000000" w:themeColor="text1"/>
          <w:szCs w:val="21"/>
        </w:rPr>
        <w:t>同时本基金不参与可转换债券投资。</w:t>
      </w:r>
    </w:p>
    <w:p w:rsidR="009648D4"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如法律法规或监管机构以后允许基金投资其他品种，基金管理人</w:t>
      </w:r>
      <w:r w:rsidRPr="005A7DE6" w:rsidR="00BF0A17">
        <w:rPr>
          <w:rFonts w:asciiTheme="minorEastAsia" w:eastAsiaTheme="minorEastAsia" w:hAnsiTheme="minorEastAsia"/>
          <w:color w:val="000000" w:themeColor="text1"/>
          <w:szCs w:val="21"/>
        </w:rPr>
        <w:t>履行适当程序</w:t>
      </w:r>
      <w:r w:rsidRPr="005A7DE6">
        <w:rPr>
          <w:rFonts w:asciiTheme="minorEastAsia" w:eastAsiaTheme="minorEastAsia" w:hAnsiTheme="minorEastAsia"/>
          <w:color w:val="000000" w:themeColor="text1"/>
          <w:szCs w:val="21"/>
        </w:rPr>
        <w:t>后，可以将其纳入投资范围，其投资比例遵循届时有效法律法规或相关规定。</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本基金各类资产的投资比例范围为：固定收益类资产的比例不低于基金资产的</w:t>
      </w:r>
      <w:r w:rsidRPr="005A7DE6">
        <w:rPr>
          <w:rFonts w:asciiTheme="minorEastAsia" w:eastAsiaTheme="minorEastAsia" w:hAnsiTheme="minorEastAsia"/>
          <w:color w:val="000000" w:themeColor="text1"/>
          <w:szCs w:val="21"/>
        </w:rPr>
        <w:t>80%</w:t>
      </w:r>
      <w:r w:rsidRPr="005A7DE6">
        <w:rPr>
          <w:rFonts w:asciiTheme="minorEastAsia" w:eastAsiaTheme="minorEastAsia" w:hAnsiTheme="minorEastAsia"/>
          <w:color w:val="000000" w:themeColor="text1"/>
          <w:szCs w:val="21"/>
        </w:rPr>
        <w:t>；现金或到期日在一年以内的政府债券的比例合计不低于基金资产净值的</w:t>
      </w:r>
      <w:r w:rsidRPr="005A7DE6">
        <w:rPr>
          <w:rFonts w:asciiTheme="minorEastAsia" w:eastAsiaTheme="minorEastAsia" w:hAnsiTheme="minorEastAsia"/>
          <w:color w:val="000000" w:themeColor="text1"/>
          <w:szCs w:val="21"/>
        </w:rPr>
        <w:t>5%</w:t>
      </w:r>
      <w:r w:rsidRPr="005A7DE6" w:rsidR="00473CDB">
        <w:rPr>
          <w:rFonts w:asciiTheme="minorEastAsia" w:eastAsiaTheme="minorEastAsia" w:hAnsiTheme="minorEastAsia" w:hint="eastAsia"/>
          <w:color w:val="000000" w:themeColor="text1"/>
          <w:szCs w:val="21"/>
        </w:rPr>
        <w:t>，现金不包括结算备付金、存出保证金、应收申购款等</w:t>
      </w:r>
      <w:r w:rsidRPr="005A7DE6">
        <w:rPr>
          <w:rFonts w:asciiTheme="minorEastAsia" w:eastAsiaTheme="minorEastAsia" w:hAnsiTheme="minorEastAsia"/>
          <w:color w:val="000000" w:themeColor="text1"/>
          <w:szCs w:val="21"/>
        </w:rPr>
        <w:t>。</w:t>
      </w:r>
    </w:p>
    <w:p w:rsidR="00D12910"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650" w:name="_Toc94172423"/>
      <w:r w:rsidRPr="005A7DE6">
        <w:rPr>
          <w:rFonts w:asciiTheme="minorEastAsia" w:eastAsiaTheme="minorEastAsia" w:hAnsiTheme="minorEastAsia"/>
          <w:b w:val="0"/>
          <w:color w:val="000000" w:themeColor="text1"/>
        </w:rPr>
        <w:t>（</w:t>
      </w:r>
      <w:r w:rsidRPr="005A7DE6" w:rsidR="00090469">
        <w:rPr>
          <w:rFonts w:asciiTheme="minorEastAsia" w:eastAsiaTheme="minorEastAsia" w:hAnsiTheme="minorEastAsia"/>
          <w:b w:val="0"/>
          <w:color w:val="000000" w:themeColor="text1"/>
        </w:rPr>
        <w:t>三</w:t>
      </w:r>
      <w:r w:rsidRPr="005A7DE6">
        <w:rPr>
          <w:rFonts w:asciiTheme="minorEastAsia" w:eastAsiaTheme="minorEastAsia" w:hAnsiTheme="minorEastAsia"/>
          <w:b w:val="0"/>
          <w:color w:val="000000" w:themeColor="text1"/>
        </w:rPr>
        <w:t>）</w:t>
      </w:r>
      <w:r w:rsidRPr="005A7DE6" w:rsidR="00BA4B87">
        <w:rPr>
          <w:rFonts w:asciiTheme="minorEastAsia" w:eastAsiaTheme="minorEastAsia" w:hAnsiTheme="minorEastAsia"/>
          <w:b w:val="0"/>
          <w:color w:val="000000" w:themeColor="text1"/>
        </w:rPr>
        <w:t>投资策略</w:t>
      </w:r>
      <w:bookmarkEnd w:id="3650"/>
    </w:p>
    <w:p w:rsidR="004327CF"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、固定收益品种的配置策略</w:t>
      </w:r>
    </w:p>
    <w:p w:rsidR="004327CF"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）平均久期配置</w:t>
      </w:r>
    </w:p>
    <w:p w:rsidR="004327CF"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本基金通过对宏观经济变量</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包括国内生产总值、工业增长、货币信贷、固定资产投资、消费、外贸差额、财政收支、价格指数和汇率等</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和宏观经济政策</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包括货币政策、财政政策、产业政策、外贸和汇率政策等</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进行分析，预测未来的利率趋势，判断债券市场对上述变量和政策的反应，并据此对债券组合的平均久期进行调整，提高债券组合的总投资收益。</w:t>
      </w:r>
    </w:p>
    <w:p w:rsidR="004327CF"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2</w:t>
      </w:r>
      <w:r w:rsidRPr="005A7DE6">
        <w:rPr>
          <w:rFonts w:asciiTheme="minorEastAsia" w:eastAsiaTheme="minorEastAsia" w:hAnsiTheme="minorEastAsia"/>
          <w:color w:val="000000" w:themeColor="text1"/>
        </w:rPr>
        <w:t>）期限结构配置</w:t>
      </w:r>
    </w:p>
    <w:p w:rsidR="004327CF"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本基金对债券市场收益率期限结构进行分析，运用统计和数量分析技术，预测收益率期限结构的变化方式，选择确定期限结构配置策略，配置各期限固定收益品种的比例，以达到预期投资收益最大化的目的。</w:t>
      </w:r>
    </w:p>
    <w:p w:rsidR="004327CF"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3</w:t>
      </w:r>
      <w:r w:rsidRPr="005A7DE6">
        <w:rPr>
          <w:rFonts w:asciiTheme="minorEastAsia" w:eastAsiaTheme="minorEastAsia" w:hAnsiTheme="minorEastAsia"/>
          <w:color w:val="000000" w:themeColor="text1"/>
        </w:rPr>
        <w:t>）类属配置</w:t>
      </w:r>
    </w:p>
    <w:p w:rsidR="004327CF"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本基金对不同类型固定收益品种的信用风险、税赋水平、市场流动性、市场风险等因素进行分析，研究同期限的国债、金融债、企业债、交易所和银行间市场投资品种的利差和变化趋势，制定债券类属配置策略，以获取不同债券类属之间利差变化所带来的投资收益。</w:t>
      </w:r>
    </w:p>
    <w:p w:rsidR="004327CF"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w:t>
      </w:r>
      <w:r w:rsidRPr="005A7DE6">
        <w:rPr>
          <w:rFonts w:asciiTheme="minorEastAsia" w:eastAsiaTheme="minorEastAsia" w:hAnsiTheme="minorEastAsia"/>
          <w:color w:val="000000" w:themeColor="text1"/>
        </w:rPr>
        <w:t>、利率品种的投资策略</w:t>
      </w:r>
    </w:p>
    <w:p w:rsidR="004327CF"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本基金对国债、央行票据等利率品种的投资，是在对国内、国外经济趋势进行分析和预</w:t>
      </w:r>
      <w:r w:rsidRPr="005A7DE6">
        <w:rPr>
          <w:rFonts w:asciiTheme="minorEastAsia" w:eastAsiaTheme="minorEastAsia" w:hAnsiTheme="minorEastAsia"/>
          <w:color w:val="000000" w:themeColor="text1"/>
        </w:rPr>
        <w:t>测基础上，运用数量方法对利率期限结构变化趋势和债券市场供求关系变化进行分析和预测，深入分析利率品种的收益和风险，并据此调整债券组合的平均久期。在确定组合平均久期后，本基金对债</w:t>
      </w:r>
      <w:r w:rsidRPr="005A7DE6">
        <w:rPr>
          <w:rFonts w:asciiTheme="minorEastAsia" w:eastAsiaTheme="minorEastAsia" w:hAnsiTheme="minorEastAsia"/>
          <w:color w:val="000000" w:themeColor="text1"/>
        </w:rPr>
        <w:t>券的期限结构进行分析，运用统计和数量分析技术，选择合适的期限结构的配置策略，在合理控制风险的前提下，综合考虑组合的流动性，决定投资品种。</w:t>
      </w:r>
    </w:p>
    <w:p w:rsidR="004327CF"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w:t>
      </w:r>
      <w:r w:rsidRPr="005A7DE6">
        <w:rPr>
          <w:rFonts w:asciiTheme="minorEastAsia" w:eastAsiaTheme="minorEastAsia" w:hAnsiTheme="minorEastAsia"/>
          <w:color w:val="000000" w:themeColor="text1"/>
        </w:rPr>
        <w:t>、信用品种的投资策略与信用风险管理</w:t>
      </w:r>
    </w:p>
    <w:p w:rsidR="004327CF" w:rsidRPr="005A7DE6" w:rsidP="006B758F">
      <w:pPr>
        <w:snapToGrid w:val="0"/>
        <w:spacing w:line="360" w:lineRule="auto"/>
        <w:ind w:firstLine="420" w:firstLineChars="200"/>
        <w:jc w:val="left"/>
        <w:rPr>
          <w:rFonts w:asciiTheme="minorEastAsia" w:eastAsiaTheme="minorEastAsia" w:hAnsiTheme="minorEastAsia"/>
          <w:bCs/>
          <w:color w:val="000000" w:themeColor="text1"/>
          <w:szCs w:val="21"/>
        </w:rPr>
      </w:pPr>
      <w:r w:rsidRPr="005A7DE6">
        <w:rPr>
          <w:rFonts w:asciiTheme="minorEastAsia" w:eastAsiaTheme="minorEastAsia" w:hAnsiTheme="minorEastAsia"/>
          <w:color w:val="000000" w:themeColor="text1"/>
        </w:rPr>
        <w:t>本基金对金融债、企业债、公司债和短期融资券等信用品种采取自上而下和自下而上相</w:t>
      </w:r>
      <w:r w:rsidRPr="005A7DE6">
        <w:rPr>
          <w:rFonts w:asciiTheme="minorEastAsia" w:eastAsiaTheme="minorEastAsia" w:hAnsiTheme="minorEastAsia"/>
          <w:bCs/>
          <w:color w:val="000000" w:themeColor="text1"/>
          <w:szCs w:val="21"/>
        </w:rPr>
        <w:t>结合的投资策略。自上而下投资策略指本基金在平均久期配置策略与期限结构配置策略基础上，运用数量化分析方法对信用产品的信用风险溢价、流动性风险溢价、税收溢价等因素进行分析，对利差走势及其收益和风险进行判断。自下而上投资策略指本基金运用行业研究方法和公司财务分析方法对债券发行人信用风险进行分析和度量，选择风险与收益相匹配的更优品种进行配置。具体而言：</w:t>
      </w:r>
    </w:p>
    <w:p w:rsidR="004327CF" w:rsidRPr="005A7DE6" w:rsidP="006B758F">
      <w:pPr>
        <w:snapToGrid w:val="0"/>
        <w:spacing w:line="360" w:lineRule="auto"/>
        <w:ind w:firstLine="420" w:firstLineChars="200"/>
        <w:rPr>
          <w:rFonts w:asciiTheme="minorEastAsia" w:eastAsiaTheme="minorEastAsia" w:hAnsiTheme="minorEastAsia"/>
          <w:bCs/>
          <w:color w:val="000000" w:themeColor="text1"/>
          <w:szCs w:val="21"/>
        </w:rPr>
      </w:pPr>
      <w:r w:rsidRPr="005A7DE6">
        <w:rPr>
          <w:rFonts w:asciiTheme="minorEastAsia" w:eastAsiaTheme="minorEastAsia" w:hAnsiTheme="minorEastAsia"/>
          <w:bCs/>
          <w:color w:val="000000" w:themeColor="text1"/>
          <w:szCs w:val="21"/>
        </w:rPr>
        <w:t>（</w:t>
      </w:r>
      <w:r w:rsidRPr="005A7DE6">
        <w:rPr>
          <w:rFonts w:asciiTheme="minorEastAsia" w:eastAsiaTheme="minorEastAsia" w:hAnsiTheme="minorEastAsia"/>
          <w:bCs/>
          <w:color w:val="000000" w:themeColor="text1"/>
          <w:szCs w:val="21"/>
        </w:rPr>
        <w:t>1</w:t>
      </w:r>
      <w:r w:rsidRPr="005A7DE6">
        <w:rPr>
          <w:rFonts w:asciiTheme="minorEastAsia" w:eastAsiaTheme="minorEastAsia" w:hAnsiTheme="minorEastAsia"/>
          <w:bCs/>
          <w:color w:val="000000" w:themeColor="text1"/>
          <w:szCs w:val="21"/>
        </w:rPr>
        <w:t>）根据宏观经济环境及各行业的发展状况，确定各行业的优先配置顺序；</w:t>
      </w:r>
    </w:p>
    <w:p w:rsidR="004327CF" w:rsidRPr="005A7DE6" w:rsidP="006B758F">
      <w:pPr>
        <w:snapToGrid w:val="0"/>
        <w:spacing w:line="360" w:lineRule="auto"/>
        <w:ind w:firstLine="420" w:firstLineChars="200"/>
        <w:rPr>
          <w:rFonts w:asciiTheme="minorEastAsia" w:eastAsiaTheme="minorEastAsia" w:hAnsiTheme="minorEastAsia"/>
          <w:bCs/>
          <w:color w:val="000000" w:themeColor="text1"/>
          <w:szCs w:val="21"/>
        </w:rPr>
      </w:pPr>
      <w:r w:rsidRPr="005A7DE6">
        <w:rPr>
          <w:rFonts w:asciiTheme="minorEastAsia" w:eastAsiaTheme="minorEastAsia" w:hAnsiTheme="minorEastAsia"/>
          <w:bCs/>
          <w:color w:val="000000" w:themeColor="text1"/>
          <w:szCs w:val="21"/>
        </w:rPr>
        <w:t>（</w:t>
      </w:r>
      <w:r w:rsidRPr="005A7DE6">
        <w:rPr>
          <w:rFonts w:asciiTheme="minorEastAsia" w:eastAsiaTheme="minorEastAsia" w:hAnsiTheme="minorEastAsia"/>
          <w:bCs/>
          <w:color w:val="000000" w:themeColor="text1"/>
          <w:szCs w:val="21"/>
        </w:rPr>
        <w:t>2</w:t>
      </w:r>
      <w:r w:rsidRPr="005A7DE6">
        <w:rPr>
          <w:rFonts w:asciiTheme="minorEastAsia" w:eastAsiaTheme="minorEastAsia" w:hAnsiTheme="minorEastAsia"/>
          <w:bCs/>
          <w:color w:val="000000" w:themeColor="text1"/>
          <w:szCs w:val="21"/>
        </w:rPr>
        <w:t>）研究债券发行人的产业发展趋势、行业政策、公司背景、盈利状况、竞争地位、治理结构、特殊事件</w:t>
      </w:r>
      <w:r w:rsidRPr="005A7DE6">
        <w:rPr>
          <w:rFonts w:asciiTheme="minorEastAsia" w:eastAsiaTheme="minorEastAsia" w:hAnsiTheme="minorEastAsia"/>
          <w:bCs/>
          <w:color w:val="000000" w:themeColor="text1"/>
          <w:szCs w:val="21"/>
        </w:rPr>
        <w:t>风险等基本面信息，分析企业的长期运作风险；</w:t>
      </w:r>
    </w:p>
    <w:p w:rsidR="004327CF" w:rsidRPr="005A7DE6" w:rsidP="006B758F">
      <w:pPr>
        <w:snapToGrid w:val="0"/>
        <w:spacing w:line="360" w:lineRule="auto"/>
        <w:ind w:firstLine="420" w:firstLineChars="200"/>
        <w:rPr>
          <w:rFonts w:asciiTheme="minorEastAsia" w:eastAsiaTheme="minorEastAsia" w:hAnsiTheme="minorEastAsia"/>
          <w:bCs/>
          <w:color w:val="000000" w:themeColor="text1"/>
          <w:szCs w:val="21"/>
        </w:rPr>
      </w:pPr>
      <w:r w:rsidRPr="005A7DE6">
        <w:rPr>
          <w:rFonts w:asciiTheme="minorEastAsia" w:eastAsiaTheme="minorEastAsia" w:hAnsiTheme="minorEastAsia"/>
          <w:bCs/>
          <w:color w:val="000000" w:themeColor="text1"/>
          <w:szCs w:val="21"/>
        </w:rPr>
        <w:t>（</w:t>
      </w:r>
      <w:r w:rsidRPr="005A7DE6">
        <w:rPr>
          <w:rFonts w:asciiTheme="minorEastAsia" w:eastAsiaTheme="minorEastAsia" w:hAnsiTheme="minorEastAsia"/>
          <w:bCs/>
          <w:color w:val="000000" w:themeColor="text1"/>
          <w:szCs w:val="21"/>
        </w:rPr>
        <w:t>3</w:t>
      </w:r>
      <w:r w:rsidRPr="005A7DE6">
        <w:rPr>
          <w:rFonts w:asciiTheme="minorEastAsia" w:eastAsiaTheme="minorEastAsia" w:hAnsiTheme="minorEastAsia"/>
          <w:bCs/>
          <w:color w:val="000000" w:themeColor="text1"/>
          <w:szCs w:val="21"/>
        </w:rPr>
        <w:t>）运用财务评价体系对债券发行人的资产流动性、盈利能力、偿债能力、现金流水平等方面进行综合评价，度量发行人财务风险；</w:t>
      </w:r>
    </w:p>
    <w:p w:rsidR="004327CF" w:rsidRPr="005A7DE6" w:rsidP="006B758F">
      <w:pPr>
        <w:snapToGrid w:val="0"/>
        <w:spacing w:line="360" w:lineRule="auto"/>
        <w:ind w:firstLine="420" w:firstLineChars="200"/>
        <w:rPr>
          <w:rFonts w:asciiTheme="minorEastAsia" w:eastAsiaTheme="minorEastAsia" w:hAnsiTheme="minorEastAsia"/>
          <w:bCs/>
          <w:color w:val="000000" w:themeColor="text1"/>
          <w:szCs w:val="21"/>
        </w:rPr>
      </w:pPr>
      <w:r w:rsidRPr="005A7DE6">
        <w:rPr>
          <w:rFonts w:asciiTheme="minorEastAsia" w:eastAsiaTheme="minorEastAsia" w:hAnsiTheme="minorEastAsia"/>
          <w:bCs/>
          <w:color w:val="000000" w:themeColor="text1"/>
          <w:szCs w:val="21"/>
        </w:rPr>
        <w:t>（</w:t>
      </w:r>
      <w:r w:rsidRPr="005A7DE6">
        <w:rPr>
          <w:rFonts w:asciiTheme="minorEastAsia" w:eastAsiaTheme="minorEastAsia" w:hAnsiTheme="minorEastAsia"/>
          <w:bCs/>
          <w:color w:val="000000" w:themeColor="text1"/>
          <w:szCs w:val="21"/>
        </w:rPr>
        <w:t>4</w:t>
      </w:r>
      <w:r w:rsidRPr="005A7DE6">
        <w:rPr>
          <w:rFonts w:asciiTheme="minorEastAsia" w:eastAsiaTheme="minorEastAsia" w:hAnsiTheme="minorEastAsia"/>
          <w:bCs/>
          <w:color w:val="000000" w:themeColor="text1"/>
          <w:szCs w:val="21"/>
        </w:rPr>
        <w:t>）利用历史数据、市场价格以及资产质量等信息，估算债券发行人的违约率及违约损失率；</w:t>
      </w:r>
    </w:p>
    <w:p w:rsidR="004327CF" w:rsidRPr="005A7DE6" w:rsidP="006B758F">
      <w:pPr>
        <w:snapToGrid w:val="0"/>
        <w:spacing w:line="360" w:lineRule="auto"/>
        <w:ind w:firstLine="420" w:firstLineChars="200"/>
        <w:rPr>
          <w:rFonts w:asciiTheme="minorEastAsia" w:eastAsiaTheme="minorEastAsia" w:hAnsiTheme="minorEastAsia"/>
          <w:bCs/>
          <w:color w:val="000000" w:themeColor="text1"/>
          <w:szCs w:val="21"/>
        </w:rPr>
      </w:pPr>
      <w:r w:rsidRPr="005A7DE6">
        <w:rPr>
          <w:rFonts w:asciiTheme="minorEastAsia" w:eastAsiaTheme="minorEastAsia" w:hAnsiTheme="minorEastAsia"/>
          <w:bCs/>
          <w:color w:val="000000" w:themeColor="text1"/>
          <w:szCs w:val="21"/>
        </w:rPr>
        <w:t>（</w:t>
      </w:r>
      <w:r w:rsidRPr="005A7DE6">
        <w:rPr>
          <w:rFonts w:asciiTheme="minorEastAsia" w:eastAsiaTheme="minorEastAsia" w:hAnsiTheme="minorEastAsia"/>
          <w:bCs/>
          <w:color w:val="000000" w:themeColor="text1"/>
          <w:szCs w:val="21"/>
        </w:rPr>
        <w:t>5</w:t>
      </w:r>
      <w:r w:rsidRPr="005A7DE6">
        <w:rPr>
          <w:rFonts w:asciiTheme="minorEastAsia" w:eastAsiaTheme="minorEastAsia" w:hAnsiTheme="minorEastAsia"/>
          <w:bCs/>
          <w:color w:val="000000" w:themeColor="text1"/>
          <w:szCs w:val="21"/>
        </w:rPr>
        <w:t>）综合发行人各方面分析结果，确定信用利差的合理水平，利用市场的相对失衡，选择溢价偏高的品种进行投资。</w:t>
      </w:r>
    </w:p>
    <w:p w:rsidR="004327CF" w:rsidRPr="005A7DE6" w:rsidP="006B758F">
      <w:pPr>
        <w:snapToGrid w:val="0"/>
        <w:spacing w:line="360" w:lineRule="auto"/>
        <w:ind w:firstLine="420" w:firstLineChars="200"/>
        <w:rPr>
          <w:rFonts w:asciiTheme="minorEastAsia" w:eastAsiaTheme="minorEastAsia" w:hAnsiTheme="minorEastAsia"/>
          <w:bCs/>
          <w:color w:val="000000" w:themeColor="text1"/>
          <w:szCs w:val="21"/>
        </w:rPr>
      </w:pPr>
      <w:r w:rsidRPr="005A7DE6">
        <w:rPr>
          <w:rFonts w:asciiTheme="minorEastAsia" w:eastAsiaTheme="minorEastAsia" w:hAnsiTheme="minorEastAsia"/>
          <w:bCs/>
          <w:color w:val="000000" w:themeColor="text1"/>
          <w:szCs w:val="21"/>
        </w:rPr>
        <w:t>本基金从以下三个方面来进行信用风险管理：</w:t>
      </w:r>
      <w:r w:rsidRPr="005A7DE6">
        <w:rPr>
          <w:rFonts w:asciiTheme="minorEastAsia" w:eastAsiaTheme="minorEastAsia" w:hAnsiTheme="minorEastAsia"/>
          <w:bCs/>
          <w:color w:val="000000" w:themeColor="text1"/>
          <w:szCs w:val="21"/>
        </w:rPr>
        <w:t>1</w:t>
      </w:r>
      <w:r w:rsidRPr="005A7DE6" w:rsidR="005B19FC">
        <w:rPr>
          <w:rFonts w:asciiTheme="minorEastAsia" w:eastAsiaTheme="minorEastAsia" w:hAnsiTheme="minorEastAsia"/>
          <w:bCs/>
          <w:color w:val="000000" w:themeColor="text1"/>
          <w:szCs w:val="21"/>
        </w:rPr>
        <w:t>）</w:t>
      </w:r>
      <w:r w:rsidRPr="005A7DE6">
        <w:rPr>
          <w:rFonts w:asciiTheme="minorEastAsia" w:eastAsiaTheme="minorEastAsia" w:hAnsiTheme="minorEastAsia"/>
          <w:bCs/>
          <w:color w:val="000000" w:themeColor="text1"/>
          <w:szCs w:val="21"/>
        </w:rPr>
        <w:t>进行独立的发行主体信用分析，不断在实践中完善分析方法和积累分析经验数据；</w:t>
      </w:r>
      <w:r w:rsidRPr="005A7DE6">
        <w:rPr>
          <w:rFonts w:asciiTheme="minorEastAsia" w:eastAsiaTheme="minorEastAsia" w:hAnsiTheme="minorEastAsia"/>
          <w:bCs/>
          <w:color w:val="000000" w:themeColor="text1"/>
          <w:szCs w:val="21"/>
        </w:rPr>
        <w:t>2</w:t>
      </w:r>
      <w:r w:rsidRPr="005A7DE6" w:rsidR="005B19FC">
        <w:rPr>
          <w:rFonts w:asciiTheme="minorEastAsia" w:eastAsiaTheme="minorEastAsia" w:hAnsiTheme="minorEastAsia"/>
          <w:bCs/>
          <w:color w:val="000000" w:themeColor="text1"/>
          <w:szCs w:val="21"/>
        </w:rPr>
        <w:t>）</w:t>
      </w:r>
      <w:r w:rsidRPr="005A7DE6">
        <w:rPr>
          <w:rFonts w:asciiTheme="minorEastAsia" w:eastAsiaTheme="minorEastAsia" w:hAnsiTheme="minorEastAsia"/>
          <w:bCs/>
          <w:color w:val="000000" w:themeColor="text1"/>
          <w:szCs w:val="21"/>
        </w:rPr>
        <w:t>严格遵守信用类债券的备选库制度，根据</w:t>
      </w:r>
      <w:r w:rsidRPr="005A7DE6">
        <w:rPr>
          <w:rFonts w:asciiTheme="minorEastAsia" w:eastAsiaTheme="minorEastAsia" w:hAnsiTheme="minorEastAsia"/>
          <w:bCs/>
          <w:color w:val="000000" w:themeColor="text1"/>
          <w:szCs w:val="21"/>
        </w:rPr>
        <w:t>不同的信用风险等级，按照不同的投资管理流程和权限管理制度，对入库债券进行定期信用跟踪分析；</w:t>
      </w:r>
      <w:r w:rsidRPr="005A7DE6">
        <w:rPr>
          <w:rFonts w:asciiTheme="minorEastAsia" w:eastAsiaTheme="minorEastAsia" w:hAnsiTheme="minorEastAsia"/>
          <w:bCs/>
          <w:color w:val="000000" w:themeColor="text1"/>
          <w:szCs w:val="21"/>
        </w:rPr>
        <w:t>3</w:t>
      </w:r>
      <w:r w:rsidRPr="005A7DE6" w:rsidR="005B19FC">
        <w:rPr>
          <w:rFonts w:asciiTheme="minorEastAsia" w:eastAsiaTheme="minorEastAsia" w:hAnsiTheme="minorEastAsia"/>
          <w:bCs/>
          <w:color w:val="000000" w:themeColor="text1"/>
          <w:szCs w:val="21"/>
        </w:rPr>
        <w:t>）</w:t>
      </w:r>
      <w:r w:rsidRPr="005A7DE6">
        <w:rPr>
          <w:rFonts w:asciiTheme="minorEastAsia" w:eastAsiaTheme="minorEastAsia" w:hAnsiTheme="minorEastAsia"/>
          <w:bCs/>
          <w:color w:val="000000" w:themeColor="text1"/>
          <w:szCs w:val="21"/>
        </w:rPr>
        <w:t>采取分散化投资策略和集中度限制，严格控制组合整体的违约风险水平。</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51" w:name="_Toc94172424"/>
      <w:bookmarkStart w:id="3652" w:name="question3"/>
      <w:r w:rsidRPr="005A7DE6">
        <w:rPr>
          <w:rFonts w:asciiTheme="minorEastAsia" w:eastAsiaTheme="minorEastAsia" w:hAnsiTheme="minorEastAsia"/>
          <w:b w:val="0"/>
          <w:color w:val="000000" w:themeColor="text1"/>
        </w:rPr>
        <w:t>（</w:t>
      </w:r>
      <w:r w:rsidRPr="005A7DE6" w:rsidR="00090469">
        <w:rPr>
          <w:rFonts w:asciiTheme="minorEastAsia" w:eastAsiaTheme="minorEastAsia" w:hAnsiTheme="minorEastAsia"/>
          <w:b w:val="0"/>
          <w:color w:val="000000" w:themeColor="text1"/>
        </w:rPr>
        <w:t>四</w:t>
      </w:r>
      <w:r w:rsidRPr="005A7DE6">
        <w:rPr>
          <w:rFonts w:asciiTheme="minorEastAsia" w:eastAsiaTheme="minorEastAsia" w:hAnsiTheme="minorEastAsia"/>
          <w:b w:val="0"/>
          <w:color w:val="000000" w:themeColor="text1"/>
        </w:rPr>
        <w:t>）业绩比较基准</w:t>
      </w:r>
      <w:bookmarkEnd w:id="3651"/>
    </w:p>
    <w:p w:rsidR="00ED3374" w:rsidRPr="005A7DE6" w:rsidP="006B758F">
      <w:pPr>
        <w:snapToGrid w:val="0"/>
        <w:spacing w:line="360" w:lineRule="auto"/>
        <w:ind w:firstLine="420" w:firstLineChars="200"/>
        <w:rPr>
          <w:rFonts w:asciiTheme="minorEastAsia" w:eastAsiaTheme="minorEastAsia" w:hAnsiTheme="minorEastAsia"/>
          <w:bCs/>
          <w:color w:val="000000" w:themeColor="text1"/>
          <w:szCs w:val="21"/>
        </w:rPr>
      </w:pPr>
      <w:r w:rsidRPr="005A7DE6">
        <w:rPr>
          <w:rFonts w:asciiTheme="minorEastAsia" w:eastAsiaTheme="minorEastAsia" w:hAnsiTheme="minorEastAsia"/>
          <w:bCs/>
          <w:color w:val="000000" w:themeColor="text1"/>
          <w:szCs w:val="21"/>
        </w:rPr>
        <w:t>中债综合指数</w:t>
      </w:r>
      <w:r w:rsidRPr="005A7DE6" w:rsidR="005B19FC">
        <w:rPr>
          <w:rFonts w:asciiTheme="minorEastAsia" w:eastAsiaTheme="minorEastAsia" w:hAnsiTheme="minorEastAsia"/>
          <w:bCs/>
          <w:color w:val="000000" w:themeColor="text1"/>
          <w:szCs w:val="21"/>
        </w:rPr>
        <w:t>（</w:t>
      </w:r>
      <w:r w:rsidRPr="005A7DE6">
        <w:rPr>
          <w:rFonts w:asciiTheme="minorEastAsia" w:eastAsiaTheme="minorEastAsia" w:hAnsiTheme="minorEastAsia"/>
          <w:bCs/>
          <w:color w:val="000000" w:themeColor="text1"/>
          <w:szCs w:val="21"/>
        </w:rPr>
        <w:t>全价</w:t>
      </w:r>
      <w:r w:rsidRPr="005A7DE6" w:rsidR="005B19FC">
        <w:rPr>
          <w:rFonts w:asciiTheme="minorEastAsia" w:eastAsiaTheme="minorEastAsia" w:hAnsiTheme="minorEastAsia"/>
          <w:bCs/>
          <w:color w:val="000000" w:themeColor="text1"/>
          <w:szCs w:val="21"/>
        </w:rPr>
        <w:t>）</w:t>
      </w:r>
    </w:p>
    <w:p w:rsidR="001176C5" w:rsidRPr="005A7DE6" w:rsidP="006B758F">
      <w:pPr>
        <w:snapToGrid w:val="0"/>
        <w:spacing w:line="360" w:lineRule="auto"/>
        <w:ind w:firstLine="420" w:firstLineChars="200"/>
        <w:rPr>
          <w:rFonts w:asciiTheme="minorEastAsia" w:eastAsiaTheme="minorEastAsia" w:hAnsiTheme="minorEastAsia"/>
          <w:bCs/>
          <w:color w:val="000000" w:themeColor="text1"/>
          <w:szCs w:val="21"/>
        </w:rPr>
      </w:pPr>
      <w:r w:rsidRPr="005A7DE6">
        <w:rPr>
          <w:rFonts w:asciiTheme="minorEastAsia" w:eastAsiaTheme="minorEastAsia" w:hAnsiTheme="minorEastAsia"/>
          <w:bCs/>
          <w:color w:val="000000" w:themeColor="text1"/>
          <w:szCs w:val="21"/>
        </w:rPr>
        <w:t>中债综合指数</w:t>
      </w:r>
      <w:r w:rsidRPr="005A7DE6" w:rsidR="005B19FC">
        <w:rPr>
          <w:rFonts w:asciiTheme="minorEastAsia" w:eastAsiaTheme="minorEastAsia" w:hAnsiTheme="minorEastAsia"/>
          <w:bCs/>
          <w:color w:val="000000" w:themeColor="text1"/>
          <w:szCs w:val="21"/>
        </w:rPr>
        <w:t>（</w:t>
      </w:r>
      <w:r w:rsidRPr="005A7DE6">
        <w:rPr>
          <w:rFonts w:asciiTheme="minorEastAsia" w:eastAsiaTheme="minorEastAsia" w:hAnsiTheme="minorEastAsia"/>
          <w:bCs/>
          <w:color w:val="000000" w:themeColor="text1"/>
          <w:szCs w:val="21"/>
        </w:rPr>
        <w:t>全价</w:t>
      </w:r>
      <w:r w:rsidRPr="005A7DE6" w:rsidR="005B19FC">
        <w:rPr>
          <w:rFonts w:asciiTheme="minorEastAsia" w:eastAsiaTheme="minorEastAsia" w:hAnsiTheme="minorEastAsia"/>
          <w:bCs/>
          <w:color w:val="000000" w:themeColor="text1"/>
          <w:szCs w:val="21"/>
        </w:rPr>
        <w:t>）</w:t>
      </w:r>
      <w:r w:rsidRPr="005A7DE6">
        <w:rPr>
          <w:rFonts w:asciiTheme="minorEastAsia" w:eastAsiaTheme="minorEastAsia" w:hAnsiTheme="minorEastAsia"/>
          <w:bCs/>
          <w:color w:val="000000" w:themeColor="text1"/>
          <w:szCs w:val="21"/>
        </w:rPr>
        <w:t>由中央国债登记结算公司编制，该指数旨在综合反映债券全市场整体价格和投资回报情况。该指数涵盖了银行间市场和交易所市场，</w:t>
      </w:r>
      <w:r w:rsidRPr="005A7DE6" w:rsidR="0069527F">
        <w:rPr>
          <w:rFonts w:asciiTheme="minorEastAsia" w:eastAsiaTheme="minorEastAsia" w:hAnsiTheme="minorEastAsia"/>
          <w:bCs/>
          <w:color w:val="000000" w:themeColor="text1"/>
          <w:szCs w:val="21"/>
        </w:rPr>
        <w:t>成份</w:t>
      </w:r>
      <w:r w:rsidRPr="005A7DE6">
        <w:rPr>
          <w:rFonts w:asciiTheme="minorEastAsia" w:eastAsiaTheme="minorEastAsia" w:hAnsiTheme="minorEastAsia"/>
          <w:bCs/>
          <w:color w:val="000000" w:themeColor="text1"/>
          <w:szCs w:val="21"/>
        </w:rPr>
        <w:t>券种包括除资产支持债和部分在交易所发行上市的债券以外的其他所有债券，具有广泛的市场代表性，能够反映债券市场总体走势，适合作为本基金的业绩比较基准。</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bCs/>
          <w:color w:val="000000" w:themeColor="text1"/>
          <w:szCs w:val="21"/>
        </w:rPr>
        <w:t>如果今后法律法规发生变化，或者有更权威的、更能为市场普遍接受的业绩比较基准推出，或者是市场上出现更加适合用于本基金的业绩基准的指数时，基金管理人可以根据本基金的投资范围和投资策略，确定变更基金的业绩比较基准。业绩比较基准的变更需经基金管理人与基金托管人协商一致。基金管理人最迟应于新的业绩比较基准实施前</w:t>
      </w:r>
      <w:r w:rsidRPr="005A7DE6">
        <w:rPr>
          <w:rFonts w:asciiTheme="minorEastAsia" w:eastAsiaTheme="minorEastAsia" w:hAnsiTheme="minorEastAsia"/>
          <w:bCs/>
          <w:color w:val="000000" w:themeColor="text1"/>
          <w:szCs w:val="21"/>
        </w:rPr>
        <w:t>2</w:t>
      </w:r>
      <w:r w:rsidRPr="005A7DE6">
        <w:rPr>
          <w:rFonts w:asciiTheme="minorEastAsia" w:eastAsiaTheme="minorEastAsia" w:hAnsiTheme="minorEastAsia"/>
          <w:bCs/>
          <w:color w:val="000000" w:themeColor="text1"/>
          <w:szCs w:val="21"/>
        </w:rPr>
        <w:t>日在</w:t>
      </w:r>
      <w:r w:rsidRPr="005A7DE6" w:rsidR="006E73AA">
        <w:rPr>
          <w:rFonts w:asciiTheme="minorEastAsia" w:eastAsiaTheme="minorEastAsia" w:hAnsiTheme="minorEastAsia"/>
          <w:bCs/>
          <w:color w:val="000000" w:themeColor="text1"/>
          <w:szCs w:val="21"/>
        </w:rPr>
        <w:t>指定媒介</w:t>
      </w:r>
      <w:r w:rsidRPr="005A7DE6">
        <w:rPr>
          <w:rFonts w:asciiTheme="minorEastAsia" w:eastAsiaTheme="minorEastAsia" w:hAnsiTheme="minorEastAsia"/>
          <w:bCs/>
          <w:color w:val="000000" w:themeColor="text1"/>
          <w:szCs w:val="21"/>
        </w:rPr>
        <w:t>上进行公告并报中国证监会备案。</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53" w:name="_Toc94172425"/>
      <w:bookmarkEnd w:id="3652"/>
      <w:r w:rsidRPr="005A7DE6">
        <w:rPr>
          <w:rFonts w:asciiTheme="minorEastAsia" w:eastAsiaTheme="minorEastAsia" w:hAnsiTheme="minorEastAsia"/>
          <w:b w:val="0"/>
          <w:color w:val="000000" w:themeColor="text1"/>
        </w:rPr>
        <w:t>（</w:t>
      </w:r>
      <w:r w:rsidRPr="005A7DE6" w:rsidR="00090469">
        <w:rPr>
          <w:rFonts w:asciiTheme="minorEastAsia" w:eastAsiaTheme="minorEastAsia" w:hAnsiTheme="minorEastAsia"/>
          <w:b w:val="0"/>
          <w:color w:val="000000" w:themeColor="text1"/>
        </w:rPr>
        <w:t>五</w:t>
      </w:r>
      <w:r w:rsidRPr="005A7DE6">
        <w:rPr>
          <w:rFonts w:asciiTheme="minorEastAsia" w:eastAsiaTheme="minorEastAsia" w:hAnsiTheme="minorEastAsia"/>
          <w:b w:val="0"/>
          <w:color w:val="000000" w:themeColor="text1"/>
        </w:rPr>
        <w:t>）风险收益特征</w:t>
      </w:r>
      <w:bookmarkEnd w:id="3653"/>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bCs/>
          <w:color w:val="000000" w:themeColor="text1"/>
          <w:szCs w:val="21"/>
        </w:rPr>
        <w:t>本基金为债券型基金，其长期平均风险和预期收益率低于混合型基金、股票型基金，高于货币市场基金。</w:t>
      </w:r>
    </w:p>
    <w:p w:rsidR="00D12910"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654" w:name="_Toc94172426"/>
      <w:r w:rsidRPr="005A7DE6">
        <w:rPr>
          <w:rFonts w:asciiTheme="minorEastAsia" w:eastAsiaTheme="minorEastAsia" w:hAnsiTheme="minorEastAsia"/>
          <w:b w:val="0"/>
          <w:color w:val="000000" w:themeColor="text1"/>
        </w:rPr>
        <w:t>（</w:t>
      </w:r>
      <w:r w:rsidRPr="005A7DE6" w:rsidR="00090469">
        <w:rPr>
          <w:rFonts w:asciiTheme="minorEastAsia" w:eastAsiaTheme="minorEastAsia" w:hAnsiTheme="minorEastAsia"/>
          <w:b w:val="0"/>
          <w:color w:val="000000" w:themeColor="text1"/>
        </w:rPr>
        <w:t>六</w:t>
      </w:r>
      <w:r w:rsidRPr="005A7DE6">
        <w:rPr>
          <w:rFonts w:asciiTheme="minorEastAsia" w:eastAsiaTheme="minorEastAsia" w:hAnsiTheme="minorEastAsia"/>
          <w:b w:val="0"/>
          <w:color w:val="000000" w:themeColor="text1"/>
        </w:rPr>
        <w:t>）</w:t>
      </w:r>
      <w:r w:rsidRPr="005A7DE6" w:rsidR="00BA4B87">
        <w:rPr>
          <w:rFonts w:asciiTheme="minorEastAsia" w:eastAsiaTheme="minorEastAsia" w:hAnsiTheme="minorEastAsia"/>
          <w:b w:val="0"/>
          <w:color w:val="000000" w:themeColor="text1"/>
        </w:rPr>
        <w:t>投资决策</w:t>
      </w:r>
      <w:bookmarkEnd w:id="3654"/>
    </w:p>
    <w:p w:rsidR="001176C5" w:rsidRPr="005A7DE6" w:rsidP="006B758F">
      <w:pPr>
        <w:snapToGrid w:val="0"/>
        <w:spacing w:line="360" w:lineRule="auto"/>
        <w:ind w:firstLine="420" w:firstLineChars="200"/>
        <w:rPr>
          <w:rFonts w:asciiTheme="minorEastAsia" w:eastAsiaTheme="minorEastAsia" w:hAnsiTheme="minorEastAsia"/>
          <w:bCs/>
          <w:color w:val="000000" w:themeColor="text1"/>
          <w:szCs w:val="21"/>
        </w:rPr>
      </w:pPr>
      <w:r w:rsidRPr="005A7DE6">
        <w:rPr>
          <w:rFonts w:asciiTheme="minorEastAsia" w:eastAsiaTheme="minorEastAsia" w:hAnsiTheme="minorEastAsia"/>
          <w:bCs/>
          <w:color w:val="000000" w:themeColor="text1"/>
          <w:szCs w:val="21"/>
        </w:rPr>
        <w:t>1</w:t>
      </w:r>
      <w:r w:rsidRPr="005A7DE6">
        <w:rPr>
          <w:rFonts w:asciiTheme="minorEastAsia" w:eastAsiaTheme="minorEastAsia" w:hAnsiTheme="minorEastAsia" w:hint="eastAsia"/>
          <w:bCs/>
          <w:color w:val="000000" w:themeColor="text1"/>
          <w:szCs w:val="21"/>
        </w:rPr>
        <w:t>、</w:t>
      </w:r>
      <w:r w:rsidRPr="005A7DE6">
        <w:rPr>
          <w:rFonts w:asciiTheme="minorEastAsia" w:eastAsiaTheme="minorEastAsia" w:hAnsiTheme="minorEastAsia"/>
          <w:bCs/>
          <w:color w:val="000000" w:themeColor="text1"/>
          <w:szCs w:val="21"/>
        </w:rPr>
        <w:t>决策依据</w:t>
      </w:r>
    </w:p>
    <w:p w:rsidR="001176C5" w:rsidRPr="005A7DE6" w:rsidP="006B758F">
      <w:pPr>
        <w:snapToGrid w:val="0"/>
        <w:spacing w:line="360" w:lineRule="auto"/>
        <w:ind w:firstLine="420" w:firstLineChars="200"/>
        <w:rPr>
          <w:rFonts w:asciiTheme="minorEastAsia" w:eastAsiaTheme="minorEastAsia" w:hAnsiTheme="minorEastAsia"/>
          <w:bCs/>
          <w:color w:val="000000" w:themeColor="text1"/>
          <w:szCs w:val="21"/>
        </w:rPr>
      </w:pPr>
      <w:r w:rsidRPr="005A7DE6">
        <w:rPr>
          <w:rFonts w:asciiTheme="minorEastAsia" w:eastAsiaTheme="minorEastAsia" w:hAnsiTheme="minorEastAsia"/>
          <w:bCs/>
          <w:color w:val="000000" w:themeColor="text1"/>
          <w:szCs w:val="21"/>
        </w:rPr>
        <w:t>（</w:t>
      </w:r>
      <w:r w:rsidRPr="005A7DE6">
        <w:rPr>
          <w:rFonts w:asciiTheme="minorEastAsia" w:eastAsiaTheme="minorEastAsia" w:hAnsiTheme="minorEastAsia"/>
          <w:bCs/>
          <w:color w:val="000000" w:themeColor="text1"/>
          <w:szCs w:val="21"/>
        </w:rPr>
        <w:t>1</w:t>
      </w:r>
      <w:r w:rsidRPr="005A7DE6">
        <w:rPr>
          <w:rFonts w:asciiTheme="minorEastAsia" w:eastAsiaTheme="minorEastAsia" w:hAnsiTheme="minorEastAsia"/>
          <w:bCs/>
          <w:color w:val="000000" w:themeColor="text1"/>
          <w:szCs w:val="21"/>
        </w:rPr>
        <w:t>）国家有关法律、法规和基金合同的有关规定。</w:t>
      </w:r>
    </w:p>
    <w:p w:rsidR="001176C5" w:rsidRPr="005A7DE6" w:rsidP="006B758F">
      <w:pPr>
        <w:snapToGrid w:val="0"/>
        <w:spacing w:line="360" w:lineRule="auto"/>
        <w:ind w:firstLine="420" w:firstLineChars="200"/>
        <w:rPr>
          <w:rFonts w:asciiTheme="minorEastAsia" w:eastAsiaTheme="minorEastAsia" w:hAnsiTheme="minorEastAsia"/>
          <w:bCs/>
          <w:color w:val="000000" w:themeColor="text1"/>
          <w:szCs w:val="21"/>
        </w:rPr>
      </w:pPr>
      <w:r w:rsidRPr="005A7DE6">
        <w:rPr>
          <w:rFonts w:asciiTheme="minorEastAsia" w:eastAsiaTheme="minorEastAsia" w:hAnsiTheme="minorEastAsia"/>
          <w:bCs/>
          <w:color w:val="000000" w:themeColor="text1"/>
          <w:szCs w:val="21"/>
        </w:rPr>
        <w:t>（</w:t>
      </w:r>
      <w:r w:rsidRPr="005A7DE6">
        <w:rPr>
          <w:rFonts w:asciiTheme="minorEastAsia" w:eastAsiaTheme="minorEastAsia" w:hAnsiTheme="minorEastAsia"/>
          <w:bCs/>
          <w:color w:val="000000" w:themeColor="text1"/>
          <w:szCs w:val="21"/>
        </w:rPr>
        <w:t>2</w:t>
      </w:r>
      <w:r w:rsidRPr="005A7DE6">
        <w:rPr>
          <w:rFonts w:asciiTheme="minorEastAsia" w:eastAsiaTheme="minorEastAsia" w:hAnsiTheme="minorEastAsia"/>
          <w:bCs/>
          <w:color w:val="000000" w:themeColor="text1"/>
          <w:szCs w:val="21"/>
        </w:rPr>
        <w:t>）宏观经济发展态势</w:t>
      </w:r>
      <w:r w:rsidRPr="005A7DE6" w:rsidR="009F6A37">
        <w:rPr>
          <w:rFonts w:asciiTheme="minorEastAsia" w:eastAsiaTheme="minorEastAsia" w:hAnsiTheme="minorEastAsia"/>
          <w:bCs/>
          <w:color w:val="000000" w:themeColor="text1"/>
          <w:szCs w:val="21"/>
        </w:rPr>
        <w:t>和</w:t>
      </w:r>
      <w:r w:rsidRPr="005A7DE6">
        <w:rPr>
          <w:rFonts w:asciiTheme="minorEastAsia" w:eastAsiaTheme="minorEastAsia" w:hAnsiTheme="minorEastAsia"/>
          <w:bCs/>
          <w:color w:val="000000" w:themeColor="text1"/>
          <w:szCs w:val="21"/>
        </w:rPr>
        <w:t>微观经济运行环境。</w:t>
      </w:r>
    </w:p>
    <w:p w:rsidR="001176C5" w:rsidRPr="005A7DE6" w:rsidP="006B758F">
      <w:pPr>
        <w:snapToGrid w:val="0"/>
        <w:spacing w:line="360" w:lineRule="auto"/>
        <w:ind w:firstLine="420" w:firstLineChars="200"/>
        <w:rPr>
          <w:rFonts w:asciiTheme="minorEastAsia" w:eastAsiaTheme="minorEastAsia" w:hAnsiTheme="minorEastAsia"/>
          <w:bCs/>
          <w:color w:val="000000" w:themeColor="text1"/>
          <w:szCs w:val="21"/>
        </w:rPr>
      </w:pPr>
      <w:r w:rsidRPr="005A7DE6">
        <w:rPr>
          <w:rFonts w:asciiTheme="minorEastAsia" w:eastAsiaTheme="minorEastAsia" w:hAnsiTheme="minorEastAsia"/>
          <w:bCs/>
          <w:color w:val="000000" w:themeColor="text1"/>
          <w:szCs w:val="21"/>
        </w:rPr>
        <w:t>2</w:t>
      </w:r>
      <w:r w:rsidRPr="005A7DE6">
        <w:rPr>
          <w:rFonts w:asciiTheme="minorEastAsia" w:eastAsiaTheme="minorEastAsia" w:hAnsiTheme="minorEastAsia" w:hint="eastAsia"/>
          <w:bCs/>
          <w:color w:val="000000" w:themeColor="text1"/>
          <w:szCs w:val="21"/>
        </w:rPr>
        <w:t>、</w:t>
      </w:r>
      <w:r w:rsidRPr="005A7DE6">
        <w:rPr>
          <w:rFonts w:asciiTheme="minorEastAsia" w:eastAsiaTheme="minorEastAsia" w:hAnsiTheme="minorEastAsia"/>
          <w:bCs/>
          <w:color w:val="000000" w:themeColor="text1"/>
          <w:szCs w:val="21"/>
        </w:rPr>
        <w:t>决策程序</w:t>
      </w:r>
    </w:p>
    <w:p w:rsidR="001176C5" w:rsidRPr="005A7DE6" w:rsidP="006B758F">
      <w:pPr>
        <w:snapToGrid w:val="0"/>
        <w:spacing w:line="360" w:lineRule="auto"/>
        <w:ind w:firstLine="420" w:firstLineChars="200"/>
        <w:rPr>
          <w:rFonts w:asciiTheme="minorEastAsia" w:eastAsiaTheme="minorEastAsia" w:hAnsiTheme="minorEastAsia"/>
          <w:bCs/>
          <w:color w:val="000000" w:themeColor="text1"/>
          <w:szCs w:val="21"/>
        </w:rPr>
      </w:pPr>
      <w:r w:rsidRPr="005A7DE6">
        <w:rPr>
          <w:rFonts w:asciiTheme="minorEastAsia" w:eastAsiaTheme="minorEastAsia" w:hAnsiTheme="minorEastAsia"/>
          <w:bCs/>
          <w:color w:val="000000" w:themeColor="text1"/>
          <w:szCs w:val="21"/>
        </w:rPr>
        <w:t>（</w:t>
      </w:r>
      <w:r w:rsidRPr="005A7DE6">
        <w:rPr>
          <w:rFonts w:asciiTheme="minorEastAsia" w:eastAsiaTheme="minorEastAsia" w:hAnsiTheme="minorEastAsia"/>
          <w:bCs/>
          <w:color w:val="000000" w:themeColor="text1"/>
          <w:szCs w:val="21"/>
        </w:rPr>
        <w:t>1</w:t>
      </w:r>
      <w:r w:rsidRPr="005A7DE6">
        <w:rPr>
          <w:rFonts w:asciiTheme="minorEastAsia" w:eastAsiaTheme="minorEastAsia" w:hAnsiTheme="minorEastAsia"/>
          <w:bCs/>
          <w:color w:val="000000" w:themeColor="text1"/>
          <w:szCs w:val="21"/>
        </w:rPr>
        <w:t>）研究员提交宏观经济、债券市场、行业分析、公司研究及信用分析报告；</w:t>
      </w:r>
    </w:p>
    <w:p w:rsidR="001176C5" w:rsidRPr="005A7DE6" w:rsidP="006B758F">
      <w:pPr>
        <w:snapToGrid w:val="0"/>
        <w:spacing w:line="360" w:lineRule="auto"/>
        <w:ind w:firstLine="420" w:firstLineChars="200"/>
        <w:rPr>
          <w:rFonts w:asciiTheme="minorEastAsia" w:eastAsiaTheme="minorEastAsia" w:hAnsiTheme="minorEastAsia"/>
          <w:bCs/>
          <w:color w:val="000000" w:themeColor="text1"/>
          <w:szCs w:val="21"/>
        </w:rPr>
      </w:pPr>
      <w:r w:rsidRPr="005A7DE6">
        <w:rPr>
          <w:rFonts w:asciiTheme="minorEastAsia" w:eastAsiaTheme="minorEastAsia" w:hAnsiTheme="minorEastAsia"/>
          <w:bCs/>
          <w:color w:val="000000" w:themeColor="text1"/>
          <w:szCs w:val="21"/>
        </w:rPr>
        <w:t>（</w:t>
      </w:r>
      <w:r w:rsidRPr="005A7DE6">
        <w:rPr>
          <w:rFonts w:asciiTheme="minorEastAsia" w:eastAsiaTheme="minorEastAsia" w:hAnsiTheme="minorEastAsia"/>
          <w:bCs/>
          <w:color w:val="000000" w:themeColor="text1"/>
          <w:szCs w:val="21"/>
        </w:rPr>
        <w:t>2</w:t>
      </w:r>
      <w:r w:rsidRPr="005A7DE6">
        <w:rPr>
          <w:rFonts w:asciiTheme="minorEastAsia" w:eastAsiaTheme="minorEastAsia" w:hAnsiTheme="minorEastAsia"/>
          <w:bCs/>
          <w:color w:val="000000" w:themeColor="text1"/>
          <w:szCs w:val="21"/>
        </w:rPr>
        <w:t>）基金经理根据研究报告以及对宏观经济、债券市场投资机会的判断，制定资产配置计划，按照公司制度提交审议并实施；</w:t>
      </w:r>
    </w:p>
    <w:p w:rsidR="001176C5"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3</w:t>
      </w:r>
      <w:r w:rsidRPr="005A7DE6">
        <w:rPr>
          <w:rFonts w:asciiTheme="minorEastAsia" w:eastAsiaTheme="minorEastAsia" w:hAnsiTheme="minorEastAsia"/>
          <w:color w:val="000000" w:themeColor="text1"/>
        </w:rPr>
        <w:t>）基金经理制定具体的固定收益品种的投资方案，构造投资组合；</w:t>
      </w:r>
    </w:p>
    <w:p w:rsidR="001176C5"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4</w:t>
      </w:r>
      <w:r w:rsidRPr="005A7DE6">
        <w:rPr>
          <w:rFonts w:asciiTheme="minorEastAsia" w:eastAsiaTheme="minorEastAsia" w:hAnsiTheme="minorEastAsia"/>
          <w:color w:val="000000" w:themeColor="text1"/>
        </w:rPr>
        <w:t>）集中交易室依据基金经理的指令，执行交易；</w:t>
      </w:r>
    </w:p>
    <w:p w:rsidR="001176C5"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5</w:t>
      </w:r>
      <w:r w:rsidRPr="005A7DE6">
        <w:rPr>
          <w:rFonts w:asciiTheme="minorEastAsia" w:eastAsiaTheme="minorEastAsia" w:hAnsiTheme="minorEastAsia"/>
          <w:color w:val="000000" w:themeColor="text1"/>
        </w:rPr>
        <w:t>）</w:t>
      </w:r>
      <w:r w:rsidRPr="005A7DE6" w:rsidR="00820EDA">
        <w:rPr>
          <w:rFonts w:asciiTheme="minorEastAsia" w:eastAsiaTheme="minorEastAsia" w:hAnsiTheme="minorEastAsia"/>
          <w:color w:val="000000" w:themeColor="text1"/>
          <w:szCs w:val="21"/>
        </w:rPr>
        <w:t>监察合规管理部门</w:t>
      </w:r>
      <w:r w:rsidRPr="005A7DE6">
        <w:rPr>
          <w:rFonts w:asciiTheme="minorEastAsia" w:eastAsiaTheme="minorEastAsia" w:hAnsiTheme="minorEastAsia"/>
          <w:color w:val="000000" w:themeColor="text1"/>
        </w:rPr>
        <w:t>对基金的日常投资和交易是否遵守法律法规、基金合同进行独立监督检查；</w:t>
      </w:r>
    </w:p>
    <w:p w:rsidR="001176C5"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6</w:t>
      </w:r>
      <w:r w:rsidRPr="005A7DE6">
        <w:rPr>
          <w:rFonts w:asciiTheme="minorEastAsia" w:eastAsiaTheme="minorEastAsia" w:hAnsiTheme="minorEastAsia"/>
          <w:color w:val="000000" w:themeColor="text1"/>
        </w:rPr>
        <w:t>）投资风险管理</w:t>
      </w:r>
      <w:r w:rsidRPr="005A7DE6">
        <w:rPr>
          <w:rFonts w:asciiTheme="minorEastAsia" w:eastAsiaTheme="minorEastAsia" w:hAnsiTheme="minorEastAsia"/>
          <w:color w:val="000000" w:themeColor="text1"/>
        </w:rPr>
        <w:t>部定期出具基金绩效评估和风险管理报告，供基金经理调整投资组合时参考；</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bCs/>
          <w:color w:val="000000" w:themeColor="text1"/>
          <w:szCs w:val="21"/>
        </w:rPr>
        <w:t>（</w:t>
      </w:r>
      <w:r w:rsidRPr="005A7DE6" w:rsidR="001176C5">
        <w:rPr>
          <w:rFonts w:asciiTheme="minorEastAsia" w:eastAsiaTheme="minorEastAsia" w:hAnsiTheme="minorEastAsia"/>
          <w:bCs/>
          <w:color w:val="000000" w:themeColor="text1"/>
          <w:szCs w:val="21"/>
        </w:rPr>
        <w:t>7</w:t>
      </w:r>
      <w:r w:rsidRPr="005A7DE6">
        <w:rPr>
          <w:rFonts w:asciiTheme="minorEastAsia" w:eastAsiaTheme="minorEastAsia" w:hAnsiTheme="minorEastAsia"/>
          <w:bCs/>
          <w:color w:val="000000" w:themeColor="text1"/>
          <w:szCs w:val="21"/>
        </w:rPr>
        <w:t>）</w:t>
      </w:r>
      <w:r w:rsidRPr="005A7DE6" w:rsidR="001176C5">
        <w:rPr>
          <w:rFonts w:asciiTheme="minorEastAsia" w:eastAsiaTheme="minorEastAsia" w:hAnsiTheme="minorEastAsia"/>
          <w:bCs/>
          <w:color w:val="000000" w:themeColor="text1"/>
          <w:szCs w:val="21"/>
        </w:rPr>
        <w:t>基金经理定期检讨投资组合的运作成效，并进行相应的组合调整。</w:t>
      </w:r>
    </w:p>
    <w:p w:rsidR="00D12910"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szCs w:val="21"/>
        </w:rPr>
      </w:pPr>
      <w:bookmarkStart w:id="3655" w:name="_Toc94172427"/>
      <w:r w:rsidRPr="005A7DE6">
        <w:rPr>
          <w:rFonts w:asciiTheme="minorEastAsia" w:eastAsiaTheme="minorEastAsia" w:hAnsiTheme="minorEastAsia"/>
          <w:b w:val="0"/>
          <w:color w:val="000000" w:themeColor="text1"/>
          <w:szCs w:val="21"/>
        </w:rPr>
        <w:t>（</w:t>
      </w:r>
      <w:r w:rsidRPr="005A7DE6" w:rsidR="00090469">
        <w:rPr>
          <w:rFonts w:asciiTheme="minorEastAsia" w:eastAsiaTheme="minorEastAsia" w:hAnsiTheme="minorEastAsia"/>
          <w:b w:val="0"/>
          <w:color w:val="000000" w:themeColor="text1"/>
          <w:szCs w:val="21"/>
        </w:rPr>
        <w:t>七</w:t>
      </w:r>
      <w:r w:rsidRPr="005A7DE6">
        <w:rPr>
          <w:rFonts w:asciiTheme="minorEastAsia" w:eastAsiaTheme="minorEastAsia" w:hAnsiTheme="minorEastAsia"/>
          <w:b w:val="0"/>
          <w:color w:val="000000" w:themeColor="text1"/>
          <w:szCs w:val="21"/>
        </w:rPr>
        <w:t>）</w:t>
      </w:r>
      <w:r w:rsidRPr="005A7DE6" w:rsidR="00BA4B87">
        <w:rPr>
          <w:rFonts w:asciiTheme="minorEastAsia" w:eastAsiaTheme="minorEastAsia" w:hAnsiTheme="minorEastAsia"/>
          <w:b w:val="0"/>
          <w:color w:val="000000" w:themeColor="text1"/>
          <w:szCs w:val="21"/>
        </w:rPr>
        <w:t>投资禁止行为与限制</w:t>
      </w:r>
      <w:bookmarkEnd w:id="3655"/>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、禁止行为</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为维护基金份额持有人的合法权益，基金财产不得用于下列投资或者活动：</w:t>
      </w:r>
    </w:p>
    <w:p w:rsidR="00E51D51"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）承销证券；</w:t>
      </w:r>
    </w:p>
    <w:p w:rsidR="00E51D51"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color w:val="000000" w:themeColor="text1"/>
          <w:szCs w:val="21"/>
        </w:rPr>
        <w:t>）向他人贷款或者提供担保；</w:t>
      </w:r>
    </w:p>
    <w:p w:rsidR="00E51D51"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3</w:t>
      </w:r>
      <w:r w:rsidRPr="005A7DE6">
        <w:rPr>
          <w:rFonts w:asciiTheme="minorEastAsia" w:eastAsiaTheme="minorEastAsia" w:hAnsiTheme="minorEastAsia"/>
          <w:color w:val="000000" w:themeColor="text1"/>
          <w:szCs w:val="21"/>
        </w:rPr>
        <w:t>）从事承担无限责任的投资；</w:t>
      </w:r>
    </w:p>
    <w:p w:rsidR="00E51D51"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4</w:t>
      </w:r>
      <w:r w:rsidRPr="005A7DE6">
        <w:rPr>
          <w:rFonts w:asciiTheme="minorEastAsia" w:eastAsiaTheme="minorEastAsia" w:hAnsiTheme="minorEastAsia"/>
          <w:color w:val="000000" w:themeColor="text1"/>
          <w:szCs w:val="21"/>
        </w:rPr>
        <w:t>）买卖其他基金份额，但是国务院另有规定的除外；</w:t>
      </w:r>
    </w:p>
    <w:p w:rsidR="00E51D51"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5</w:t>
      </w:r>
      <w:r w:rsidRPr="005A7DE6">
        <w:rPr>
          <w:rFonts w:asciiTheme="minorEastAsia" w:eastAsiaTheme="minorEastAsia" w:hAnsiTheme="minorEastAsia"/>
          <w:color w:val="000000" w:themeColor="text1"/>
          <w:szCs w:val="21"/>
        </w:rPr>
        <w:t>）向其基金管理人、基金托管人出资或者买卖其基金管理人、基金托管人发行的股票或者债券；</w:t>
      </w:r>
    </w:p>
    <w:p w:rsidR="00E51D51"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6</w:t>
      </w:r>
      <w:r w:rsidRPr="005A7DE6">
        <w:rPr>
          <w:rFonts w:asciiTheme="minorEastAsia" w:eastAsiaTheme="minorEastAsia" w:hAnsiTheme="minorEastAsia"/>
          <w:color w:val="000000" w:themeColor="text1"/>
          <w:szCs w:val="21"/>
        </w:rPr>
        <w:t>）买卖与其基金管理人、基金托管人有控股关系的股东或者与其基金管理人、基金托管人有其他重大利害关系的公司发行的证券或者承销期内承销的证券；</w:t>
      </w:r>
    </w:p>
    <w:p w:rsidR="00E51D51"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7</w:t>
      </w:r>
      <w:r w:rsidRPr="005A7DE6">
        <w:rPr>
          <w:rFonts w:asciiTheme="minorEastAsia" w:eastAsiaTheme="minorEastAsia" w:hAnsiTheme="minorEastAsia"/>
          <w:color w:val="000000" w:themeColor="text1"/>
          <w:szCs w:val="21"/>
        </w:rPr>
        <w:t>）从事内幕交易、操纵证券交易价格及其他不正当的证券交易活动；</w:t>
      </w:r>
    </w:p>
    <w:p w:rsidR="00E51D51"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8</w:t>
      </w:r>
      <w:r w:rsidRPr="005A7DE6">
        <w:rPr>
          <w:rFonts w:asciiTheme="minorEastAsia" w:eastAsiaTheme="minorEastAsia" w:hAnsiTheme="minorEastAsia"/>
          <w:color w:val="000000" w:themeColor="text1"/>
        </w:rPr>
        <w:t>）依照法律法规有关规定，由中国证监会规定禁止的其他活动；</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sidR="00E51D51">
        <w:rPr>
          <w:rFonts w:asciiTheme="minorEastAsia" w:eastAsiaTheme="minorEastAsia" w:hAnsiTheme="minorEastAsia"/>
          <w:color w:val="000000" w:themeColor="text1"/>
          <w:szCs w:val="21"/>
        </w:rPr>
        <w:t>9</w:t>
      </w:r>
      <w:r w:rsidRPr="005A7DE6">
        <w:rPr>
          <w:rFonts w:asciiTheme="minorEastAsia" w:eastAsiaTheme="minorEastAsia" w:hAnsiTheme="minorEastAsia"/>
          <w:color w:val="000000" w:themeColor="text1"/>
          <w:szCs w:val="21"/>
        </w:rPr>
        <w:t>）</w:t>
      </w:r>
      <w:r w:rsidRPr="005A7DE6" w:rsidR="00E51D51">
        <w:rPr>
          <w:rFonts w:asciiTheme="minorEastAsia" w:eastAsiaTheme="minorEastAsia" w:hAnsiTheme="minorEastAsia"/>
          <w:color w:val="000000" w:themeColor="text1"/>
          <w:szCs w:val="21"/>
        </w:rPr>
        <w:t>法律法规或监管部门取消上述限制，如适用于本基金，则本基金投资不再受相关</w:t>
      </w:r>
      <w:r w:rsidRPr="005A7DE6" w:rsidR="00E51D51">
        <w:rPr>
          <w:rFonts w:asciiTheme="minorEastAsia" w:eastAsiaTheme="minorEastAsia" w:hAnsiTheme="minorEastAsia"/>
          <w:color w:val="000000" w:themeColor="text1"/>
          <w:szCs w:val="21"/>
        </w:rPr>
        <w:t>限制。</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w:t>
      </w:r>
      <w:r w:rsidRPr="005A7DE6">
        <w:rPr>
          <w:rFonts w:asciiTheme="minorEastAsia" w:eastAsiaTheme="minorEastAsia" w:hAnsiTheme="minorEastAsia"/>
          <w:color w:val="000000" w:themeColor="text1"/>
        </w:rPr>
        <w:t>、投资组合限制</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本基金在投资策略上兼顾投资原则以及开放式基金的固有特点，通过分散投资降低基金财产的非系统性风险，保持基金组合良好的流动性。基金的投资组合将遵循以下限制：</w:t>
      </w:r>
    </w:p>
    <w:p w:rsidR="00473CDB"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sidR="00090469">
        <w:rPr>
          <w:rFonts w:asciiTheme="minorEastAsia" w:eastAsiaTheme="minorEastAsia" w:hAnsiTheme="minorEastAsia"/>
          <w:color w:val="000000" w:themeColor="text1"/>
        </w:rPr>
        <w:t>1</w:t>
      </w:r>
      <w:r w:rsidRPr="005A7DE6">
        <w:rPr>
          <w:rFonts w:asciiTheme="minorEastAsia" w:eastAsiaTheme="minorEastAsia" w:hAnsiTheme="minorEastAsia"/>
          <w:color w:val="000000" w:themeColor="text1"/>
        </w:rPr>
        <w:t>）</w:t>
      </w:r>
      <w:r w:rsidRPr="005A7DE6" w:rsidR="00884427">
        <w:rPr>
          <w:rFonts w:asciiTheme="minorEastAsia" w:eastAsiaTheme="minorEastAsia" w:hAnsiTheme="minorEastAsia"/>
          <w:color w:val="000000" w:themeColor="text1"/>
        </w:rPr>
        <w:t>固定收益类资产的比例不低于基金资产的80%；</w:t>
      </w:r>
    </w:p>
    <w:p w:rsidR="00884427"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hint="eastAsia"/>
          <w:color w:val="000000" w:themeColor="text1"/>
        </w:rPr>
        <w:t>2</w:t>
      </w:r>
      <w:r w:rsidRPr="005A7DE6">
        <w:rPr>
          <w:rFonts w:asciiTheme="minorEastAsia" w:eastAsiaTheme="minorEastAsia" w:hAnsiTheme="minorEastAsia"/>
          <w:color w:val="000000" w:themeColor="text1"/>
        </w:rPr>
        <w:t>）现金或到期日在一年以内的政府债券的比例合计不低于基金资产净值的</w:t>
      </w:r>
      <w:r w:rsidRPr="005A7DE6">
        <w:rPr>
          <w:rFonts w:asciiTheme="minorEastAsia" w:eastAsiaTheme="minorEastAsia" w:hAnsiTheme="minorEastAsia"/>
          <w:color w:val="000000" w:themeColor="text1"/>
        </w:rPr>
        <w:t>5%</w:t>
      </w:r>
      <w:r w:rsidRPr="005A7DE6">
        <w:rPr>
          <w:rFonts w:asciiTheme="minorEastAsia" w:eastAsiaTheme="minorEastAsia" w:hAnsiTheme="minorEastAsia" w:hint="eastAsia"/>
          <w:color w:val="000000" w:themeColor="text1"/>
        </w:rPr>
        <w:t>，现金不包括结算备付金、存出保证金、应收申购款等</w:t>
      </w:r>
      <w:r w:rsidRPr="005A7DE6">
        <w:rPr>
          <w:rFonts w:asciiTheme="minorEastAsia" w:eastAsiaTheme="minorEastAsia" w:hAnsiTheme="minorEastAsia"/>
          <w:color w:val="000000" w:themeColor="text1"/>
        </w:rPr>
        <w:t>；</w:t>
      </w:r>
    </w:p>
    <w:p w:rsidR="00090469"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sidR="00473CDB">
        <w:rPr>
          <w:rFonts w:asciiTheme="minorEastAsia" w:eastAsiaTheme="minorEastAsia" w:hAnsiTheme="minorEastAsia"/>
          <w:color w:val="000000" w:themeColor="text1"/>
        </w:rPr>
        <w:t>3</w:t>
      </w:r>
      <w:r w:rsidRPr="005A7DE6">
        <w:rPr>
          <w:rFonts w:asciiTheme="minorEastAsia" w:eastAsiaTheme="minorEastAsia" w:hAnsiTheme="minorEastAsia"/>
          <w:color w:val="000000" w:themeColor="text1"/>
        </w:rPr>
        <w:t>）本基金与由本基金管理人管理的其他基金共同持有一家公司发行的证券，不得超过该证券的</w:t>
      </w:r>
      <w:r w:rsidRPr="005A7DE6">
        <w:rPr>
          <w:rFonts w:asciiTheme="minorEastAsia" w:eastAsiaTheme="minorEastAsia" w:hAnsiTheme="minorEastAsia"/>
          <w:color w:val="000000" w:themeColor="text1"/>
        </w:rPr>
        <w:t>10%</w:t>
      </w:r>
      <w:r w:rsidRPr="005A7DE6">
        <w:rPr>
          <w:rFonts w:asciiTheme="minorEastAsia" w:eastAsiaTheme="minorEastAsia" w:hAnsiTheme="minorEastAsia"/>
          <w:color w:val="000000" w:themeColor="text1"/>
        </w:rPr>
        <w:t>；</w:t>
      </w:r>
    </w:p>
    <w:p w:rsidR="00A45EF6"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sidR="00473CDB">
        <w:rPr>
          <w:rFonts w:asciiTheme="minorEastAsia" w:eastAsiaTheme="minorEastAsia" w:hAnsiTheme="minorEastAsia"/>
          <w:color w:val="000000" w:themeColor="text1"/>
        </w:rPr>
        <w:t>4</w:t>
      </w:r>
      <w:r w:rsidRPr="005A7DE6">
        <w:rPr>
          <w:rFonts w:asciiTheme="minorEastAsia" w:eastAsiaTheme="minorEastAsia" w:hAnsiTheme="minorEastAsia"/>
          <w:color w:val="000000" w:themeColor="text1"/>
        </w:rPr>
        <w:t>）中期票据属于固定收益类证券，基金投资中期票据应符合法律、法规及基金合同中关于该基</w:t>
      </w:r>
      <w:r w:rsidRPr="005A7DE6">
        <w:rPr>
          <w:rFonts w:asciiTheme="minorEastAsia" w:eastAsiaTheme="minorEastAsia" w:hAnsiTheme="minorEastAsia"/>
          <w:color w:val="000000" w:themeColor="text1"/>
        </w:rPr>
        <w:t>金投资固定收益类证券的相关比例及期限限制；</w:t>
      </w:r>
    </w:p>
    <w:p w:rsidR="00090469"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sidR="00473CDB">
        <w:rPr>
          <w:rFonts w:asciiTheme="minorEastAsia" w:eastAsiaTheme="minorEastAsia" w:hAnsiTheme="minorEastAsia"/>
          <w:color w:val="000000" w:themeColor="text1"/>
        </w:rPr>
        <w:t>5</w:t>
      </w:r>
      <w:r w:rsidRPr="005A7DE6">
        <w:rPr>
          <w:rFonts w:asciiTheme="minorEastAsia" w:eastAsiaTheme="minorEastAsia" w:hAnsiTheme="minorEastAsia"/>
          <w:color w:val="000000" w:themeColor="text1"/>
        </w:rPr>
        <w:t>）基金管理人管理的全部公募基金投资于一家企业发行的单期中期票据合计不超过该期证券的</w:t>
      </w:r>
      <w:r w:rsidRPr="005A7DE6">
        <w:rPr>
          <w:rFonts w:asciiTheme="minorEastAsia" w:eastAsiaTheme="minorEastAsia" w:hAnsiTheme="minorEastAsia"/>
          <w:color w:val="000000" w:themeColor="text1"/>
        </w:rPr>
        <w:t>10%</w:t>
      </w:r>
      <w:r w:rsidRPr="005A7DE6" w:rsidR="00E568AD">
        <w:rPr>
          <w:rFonts w:asciiTheme="minorEastAsia" w:eastAsiaTheme="minorEastAsia" w:hAnsiTheme="minorEastAsia"/>
          <w:color w:val="000000" w:themeColor="text1"/>
        </w:rPr>
        <w:t>；</w:t>
      </w:r>
    </w:p>
    <w:p w:rsidR="00090469"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sidR="00473CDB">
        <w:rPr>
          <w:rFonts w:asciiTheme="minorEastAsia" w:eastAsiaTheme="minorEastAsia" w:hAnsiTheme="minorEastAsia"/>
          <w:color w:val="000000" w:themeColor="text1"/>
        </w:rPr>
        <w:t>6</w:t>
      </w:r>
      <w:r w:rsidRPr="005A7DE6">
        <w:rPr>
          <w:rFonts w:asciiTheme="minorEastAsia" w:eastAsiaTheme="minorEastAsia" w:hAnsiTheme="minorEastAsia"/>
          <w:color w:val="000000" w:themeColor="text1"/>
        </w:rPr>
        <w:t>）基金持有的全部权证的市值不超过基金资产净值的</w:t>
      </w:r>
      <w:r w:rsidRPr="005A7DE6">
        <w:rPr>
          <w:rFonts w:asciiTheme="minorEastAsia" w:eastAsiaTheme="minorEastAsia" w:hAnsiTheme="minorEastAsia"/>
          <w:color w:val="000000" w:themeColor="text1"/>
        </w:rPr>
        <w:t>3%</w:t>
      </w:r>
      <w:r w:rsidRPr="005A7DE6">
        <w:rPr>
          <w:rFonts w:asciiTheme="minorEastAsia" w:eastAsiaTheme="minorEastAsia" w:hAnsiTheme="minorEastAsia"/>
          <w:color w:val="000000" w:themeColor="text1"/>
        </w:rPr>
        <w:t>，基金管理人管理的全部基金持有同一权证的比例不超过该权证的</w:t>
      </w:r>
      <w:r w:rsidRPr="005A7DE6">
        <w:rPr>
          <w:rFonts w:asciiTheme="minorEastAsia" w:eastAsiaTheme="minorEastAsia" w:hAnsiTheme="minorEastAsia"/>
          <w:color w:val="000000" w:themeColor="text1"/>
        </w:rPr>
        <w:t>10%</w:t>
      </w:r>
      <w:r w:rsidRPr="005A7DE6">
        <w:rPr>
          <w:rFonts w:asciiTheme="minorEastAsia" w:eastAsiaTheme="minorEastAsia" w:hAnsiTheme="minorEastAsia"/>
          <w:color w:val="000000" w:themeColor="text1"/>
        </w:rPr>
        <w:t>。其它权证的投资比例，遵从法规或监管部门的相关规定；</w:t>
      </w:r>
    </w:p>
    <w:p w:rsidR="00090469"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sidR="00473CDB">
        <w:rPr>
          <w:rFonts w:asciiTheme="minorEastAsia" w:eastAsiaTheme="minorEastAsia" w:hAnsiTheme="minorEastAsia"/>
          <w:color w:val="000000" w:themeColor="text1"/>
        </w:rPr>
        <w:t>7</w:t>
      </w:r>
      <w:r w:rsidRPr="005A7DE6">
        <w:rPr>
          <w:rFonts w:asciiTheme="minorEastAsia" w:eastAsiaTheme="minorEastAsia" w:hAnsiTheme="minorEastAsia"/>
          <w:color w:val="000000" w:themeColor="text1"/>
        </w:rPr>
        <w:t>）本基金进入全国银行间同业市场进行债券回购的资金余额不得超过基金资产净值的</w:t>
      </w:r>
      <w:r w:rsidRPr="005A7DE6">
        <w:rPr>
          <w:rFonts w:asciiTheme="minorEastAsia" w:eastAsiaTheme="minorEastAsia" w:hAnsiTheme="minorEastAsia"/>
          <w:color w:val="000000" w:themeColor="text1"/>
        </w:rPr>
        <w:t>40</w:t>
      </w:r>
      <w:r w:rsidRPr="005A7DE6">
        <w:rPr>
          <w:rFonts w:asciiTheme="minorEastAsia" w:eastAsiaTheme="minorEastAsia" w:hAnsiTheme="minorEastAsia"/>
          <w:color w:val="000000" w:themeColor="text1"/>
        </w:rPr>
        <w:t>％；债券回购最长期限为</w:t>
      </w:r>
      <w:r w:rsidRPr="005A7DE6">
        <w:rPr>
          <w:rFonts w:asciiTheme="minorEastAsia" w:eastAsiaTheme="minorEastAsia" w:hAnsiTheme="minorEastAsia"/>
          <w:color w:val="000000" w:themeColor="text1"/>
        </w:rPr>
        <w:t>1</w:t>
      </w:r>
      <w:r w:rsidRPr="005A7DE6">
        <w:rPr>
          <w:rFonts w:asciiTheme="minorEastAsia" w:eastAsiaTheme="minorEastAsia" w:hAnsiTheme="minorEastAsia"/>
          <w:color w:val="000000" w:themeColor="text1"/>
        </w:rPr>
        <w:t>年，债券回购到期后不得展期；</w:t>
      </w:r>
    </w:p>
    <w:p w:rsidR="00090469"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sidR="00473CDB">
        <w:rPr>
          <w:rFonts w:asciiTheme="minorEastAsia" w:eastAsiaTheme="minorEastAsia" w:hAnsiTheme="minorEastAsia"/>
          <w:color w:val="000000" w:themeColor="text1"/>
        </w:rPr>
        <w:t>8</w:t>
      </w:r>
      <w:r w:rsidRPr="005A7DE6">
        <w:rPr>
          <w:rFonts w:asciiTheme="minorEastAsia" w:eastAsiaTheme="minorEastAsia" w:hAnsiTheme="minorEastAsia"/>
          <w:color w:val="000000" w:themeColor="text1"/>
        </w:rPr>
        <w:t>）本基金投资于同一原始权益人的各类资产支持证券的比例，不得超过基金资产净值的</w:t>
      </w:r>
      <w:r w:rsidRPr="005A7DE6">
        <w:rPr>
          <w:rFonts w:asciiTheme="minorEastAsia" w:eastAsiaTheme="minorEastAsia" w:hAnsiTheme="minorEastAsia"/>
          <w:color w:val="000000" w:themeColor="text1"/>
        </w:rPr>
        <w:t>10</w:t>
      </w:r>
      <w:r w:rsidRPr="005A7DE6">
        <w:rPr>
          <w:rFonts w:asciiTheme="minorEastAsia" w:eastAsiaTheme="minorEastAsia" w:hAnsiTheme="minorEastAsia"/>
          <w:color w:val="000000" w:themeColor="text1"/>
        </w:rPr>
        <w:t>％；本基金持有的全部资产支持证券，其市值不得超过基金资产净值的</w:t>
      </w:r>
      <w:r w:rsidRPr="005A7DE6">
        <w:rPr>
          <w:rFonts w:asciiTheme="minorEastAsia" w:eastAsiaTheme="minorEastAsia" w:hAnsiTheme="minorEastAsia"/>
          <w:color w:val="000000" w:themeColor="text1"/>
        </w:rPr>
        <w:t>20</w:t>
      </w:r>
      <w:r w:rsidRPr="005A7DE6">
        <w:rPr>
          <w:rFonts w:asciiTheme="minorEastAsia" w:eastAsiaTheme="minorEastAsia" w:hAnsiTheme="minorEastAsia"/>
          <w:color w:val="000000" w:themeColor="text1"/>
        </w:rPr>
        <w:t>％；本基金持有的同一（指同一信用级别）资产支持证券的比例，不得超过该资产支持证券规模的</w:t>
      </w:r>
      <w:r w:rsidRPr="005A7DE6">
        <w:rPr>
          <w:rFonts w:asciiTheme="minorEastAsia" w:eastAsiaTheme="minorEastAsia" w:hAnsiTheme="minorEastAsia"/>
          <w:color w:val="000000" w:themeColor="text1"/>
        </w:rPr>
        <w:t>10</w:t>
      </w:r>
      <w:r w:rsidRPr="005A7DE6">
        <w:rPr>
          <w:rFonts w:asciiTheme="minorEastAsia" w:eastAsiaTheme="minorEastAsia" w:hAnsiTheme="minorEastAsia"/>
          <w:color w:val="000000" w:themeColor="text1"/>
        </w:rPr>
        <w:t>％；</w:t>
      </w:r>
    </w:p>
    <w:p w:rsidR="00090469"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sidR="00473CDB">
        <w:rPr>
          <w:rFonts w:asciiTheme="minorEastAsia" w:eastAsiaTheme="minorEastAsia" w:hAnsiTheme="minorEastAsia"/>
          <w:color w:val="000000" w:themeColor="text1"/>
        </w:rPr>
        <w:t>9</w:t>
      </w:r>
      <w:r w:rsidRPr="005A7DE6">
        <w:rPr>
          <w:rFonts w:asciiTheme="minorEastAsia" w:eastAsiaTheme="minorEastAsia" w:hAnsiTheme="minorEastAsia"/>
          <w:color w:val="000000" w:themeColor="text1"/>
        </w:rPr>
        <w:t>）本基金管理人管理的全部基金投资于同一原始权益人的各类资产支持证券，不得超过其各类资产支持证券合计规模的</w:t>
      </w:r>
      <w:r w:rsidRPr="005A7DE6">
        <w:rPr>
          <w:rFonts w:asciiTheme="minorEastAsia" w:eastAsiaTheme="minorEastAsia" w:hAnsiTheme="minorEastAsia"/>
          <w:color w:val="000000" w:themeColor="text1"/>
        </w:rPr>
        <w:t>10</w:t>
      </w:r>
      <w:r w:rsidRPr="005A7DE6">
        <w:rPr>
          <w:rFonts w:asciiTheme="minorEastAsia" w:eastAsiaTheme="minorEastAsia" w:hAnsiTheme="minorEastAsia"/>
          <w:color w:val="000000" w:themeColor="text1"/>
        </w:rPr>
        <w:t>％；本基金应投资于信用级别评级为</w:t>
      </w:r>
      <w:r w:rsidRPr="005A7DE6">
        <w:rPr>
          <w:rFonts w:asciiTheme="minorEastAsia" w:eastAsiaTheme="minorEastAsia" w:hAnsiTheme="minorEastAsia"/>
          <w:color w:val="000000" w:themeColor="text1"/>
        </w:rPr>
        <w:t>BBB</w:t>
      </w:r>
      <w:r w:rsidRPr="005A7DE6">
        <w:rPr>
          <w:rFonts w:asciiTheme="minorEastAsia" w:eastAsiaTheme="minorEastAsia" w:hAnsiTheme="minorEastAsia"/>
          <w:color w:val="000000" w:themeColor="text1"/>
        </w:rPr>
        <w:t>以上（含</w:t>
      </w:r>
      <w:r w:rsidRPr="005A7DE6">
        <w:rPr>
          <w:rFonts w:asciiTheme="minorEastAsia" w:eastAsiaTheme="minorEastAsia" w:hAnsiTheme="minorEastAsia"/>
          <w:color w:val="000000" w:themeColor="text1"/>
        </w:rPr>
        <w:t>BBB</w:t>
      </w:r>
      <w:r w:rsidRPr="005A7DE6">
        <w:rPr>
          <w:rFonts w:asciiTheme="minorEastAsia" w:eastAsiaTheme="minorEastAsia" w:hAnsiTheme="minorEastAsia"/>
          <w:color w:val="000000" w:themeColor="text1"/>
        </w:rPr>
        <w:t>）的资产支持证券，本基金持有资产支持证券期间，如果其信用等级下降、不再符合投资标准，应在评级报告发布之日起</w:t>
      </w:r>
      <w:r w:rsidRPr="005A7DE6">
        <w:rPr>
          <w:rFonts w:asciiTheme="minorEastAsia" w:eastAsiaTheme="minorEastAsia" w:hAnsiTheme="minorEastAsia"/>
          <w:color w:val="000000" w:themeColor="text1"/>
        </w:rPr>
        <w:t>3</w:t>
      </w:r>
      <w:r w:rsidRPr="005A7DE6">
        <w:rPr>
          <w:rFonts w:asciiTheme="minorEastAsia" w:eastAsiaTheme="minorEastAsia" w:hAnsiTheme="minorEastAsia"/>
          <w:color w:val="000000" w:themeColor="text1"/>
        </w:rPr>
        <w:t>个月内予以全部卖出</w:t>
      </w:r>
      <w:r w:rsidRPr="005A7DE6" w:rsidR="00EA58FD">
        <w:rPr>
          <w:rFonts w:asciiTheme="minorEastAsia" w:eastAsiaTheme="minorEastAsia" w:hAnsiTheme="minorEastAsia" w:hint="eastAsia"/>
          <w:color w:val="000000" w:themeColor="text1"/>
        </w:rPr>
        <w:t>；</w:t>
      </w:r>
    </w:p>
    <w:p w:rsidR="00473CDB" w:rsidRPr="005A7DE6" w:rsidP="00473CDB">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(10)</w:t>
      </w:r>
      <w:r w:rsidRPr="005A7DE6">
        <w:rPr>
          <w:rFonts w:asciiTheme="minorEastAsia" w:eastAsiaTheme="minorEastAsia" w:hAnsiTheme="minorEastAsia" w:hint="eastAsia"/>
          <w:color w:val="000000" w:themeColor="text1"/>
        </w:rPr>
        <w:t>本基金主动投资于流动性受限资产的市值合计不得超过该基金资产净值的</w:t>
      </w:r>
      <w:r w:rsidRPr="005A7DE6">
        <w:rPr>
          <w:rFonts w:asciiTheme="minorEastAsia" w:eastAsiaTheme="minorEastAsia" w:hAnsiTheme="minorEastAsia" w:hint="eastAsia"/>
          <w:color w:val="000000" w:themeColor="text1"/>
        </w:rPr>
        <w:t>15%</w:t>
      </w:r>
      <w:r w:rsidRPr="005A7DE6">
        <w:rPr>
          <w:rFonts w:asciiTheme="minorEastAsia" w:eastAsiaTheme="minorEastAsia" w:hAnsiTheme="minorEastAsia" w:hint="eastAsia"/>
          <w:color w:val="000000" w:themeColor="text1"/>
        </w:rPr>
        <w:t>。</w:t>
      </w:r>
    </w:p>
    <w:p w:rsidR="00473CDB" w:rsidRPr="005A7DE6" w:rsidP="00473CDB">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因证券市场波动、证券停牌、基金规模变动等基金管理人之外的因素致使基金不符合前款所规定比例限制的，基金管理人不得主动新增流动性受限资产的投资；</w:t>
      </w:r>
    </w:p>
    <w:p w:rsidR="00473CDB" w:rsidRPr="005A7DE6" w:rsidP="00473CDB">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(11)</w:t>
      </w:r>
      <w:r w:rsidRPr="005A7DE6">
        <w:rPr>
          <w:rFonts w:asciiTheme="minorEastAsia" w:eastAsiaTheme="minorEastAsia" w:hAnsiTheme="minorEastAsia" w:hint="eastAsia"/>
          <w:color w:val="000000" w:themeColor="text1"/>
        </w:rPr>
        <w:t>本基金与私募类证券资管产品及中国证监会认定的其他主体为交易对手开展逆回购交易的，可接受质押品的资质要求应当与基金合同约定的投资范围保持一致；</w:t>
      </w:r>
    </w:p>
    <w:p w:rsidR="00090469"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sidR="00473CDB">
        <w:rPr>
          <w:rFonts w:asciiTheme="minorEastAsia" w:eastAsiaTheme="minorEastAsia" w:hAnsiTheme="minorEastAsia"/>
          <w:color w:val="000000" w:themeColor="text1"/>
        </w:rPr>
        <w:t>12</w:t>
      </w:r>
      <w:r w:rsidRPr="005A7DE6">
        <w:rPr>
          <w:rFonts w:asciiTheme="minorEastAsia" w:eastAsiaTheme="minorEastAsia" w:hAnsiTheme="minorEastAsia"/>
          <w:color w:val="000000" w:themeColor="text1"/>
        </w:rPr>
        <w:t>）本基金资产投资不得违反法律法规、监管部门及基金合同规定的其他比例限制。</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rPr>
        <w:t>除上述（</w:t>
      </w:r>
      <w:r w:rsidRPr="005A7DE6">
        <w:rPr>
          <w:rFonts w:asciiTheme="minorEastAsia" w:eastAsiaTheme="minorEastAsia" w:hAnsiTheme="minorEastAsia" w:hint="eastAsia"/>
          <w:color w:val="000000" w:themeColor="text1"/>
        </w:rPr>
        <w:t>2</w:t>
      </w: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hint="eastAsia"/>
          <w:color w:val="000000" w:themeColor="text1"/>
        </w:rPr>
        <w:t>10</w:t>
      </w: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hint="eastAsia"/>
          <w:color w:val="000000" w:themeColor="text1"/>
        </w:rPr>
        <w:t>11</w:t>
      </w:r>
      <w:r w:rsidRPr="005A7DE6">
        <w:rPr>
          <w:rFonts w:asciiTheme="minorEastAsia" w:eastAsiaTheme="minorEastAsia" w:hAnsiTheme="minorEastAsia" w:hint="eastAsia"/>
          <w:color w:val="000000" w:themeColor="text1"/>
        </w:rPr>
        <w:t>）以</w:t>
      </w:r>
      <w:r w:rsidRPr="005A7DE6">
        <w:rPr>
          <w:rFonts w:asciiTheme="minorEastAsia" w:eastAsiaTheme="minorEastAsia" w:hAnsiTheme="minorEastAsia" w:hint="eastAsia"/>
          <w:color w:val="000000" w:themeColor="text1"/>
        </w:rPr>
        <w:t>外，</w:t>
      </w:r>
      <w:r w:rsidRPr="005A7DE6" w:rsidR="00E51D51">
        <w:rPr>
          <w:rFonts w:asciiTheme="minorEastAsia" w:eastAsiaTheme="minorEastAsia" w:hAnsiTheme="minorEastAsia"/>
          <w:color w:val="000000" w:themeColor="text1"/>
        </w:rPr>
        <w:t>对于因证券市场波动、上市公司合并、基金规模变动等原因导致基金的投资不符合基金合同的约定的，基金管理人应在10个交易日内进行调整，</w:t>
      </w:r>
      <w:r w:rsidRPr="005A7DE6" w:rsidR="00E51D51">
        <w:rPr>
          <w:rFonts w:asciiTheme="minorEastAsia" w:eastAsiaTheme="minorEastAsia" w:hAnsiTheme="minorEastAsia"/>
          <w:color w:val="000000" w:themeColor="text1"/>
        </w:rPr>
        <w:t>以达到上述标准。法律、法规另有规定时，从其规定。</w:t>
      </w:r>
      <w:r w:rsidRPr="005A7DE6" w:rsidR="00E51D51">
        <w:rPr>
          <w:rFonts w:asciiTheme="minorEastAsia" w:eastAsiaTheme="minorEastAsia" w:hAnsiTheme="minorEastAsia"/>
          <w:color w:val="000000" w:themeColor="text1"/>
          <w:szCs w:val="21"/>
        </w:rPr>
        <w:t>如果法律法规对上述投资比例限制进行变更的，以变更后的规定为准。如法律法规或监管部门取消上述限制，且适用于本基金，则本基金投资不再受</w:t>
      </w:r>
      <w:r w:rsidRPr="005A7DE6" w:rsidR="00493758">
        <w:rPr>
          <w:rFonts w:asciiTheme="minorEastAsia" w:eastAsiaTheme="minorEastAsia" w:hAnsiTheme="minorEastAsia"/>
          <w:color w:val="000000" w:themeColor="text1"/>
          <w:szCs w:val="21"/>
        </w:rPr>
        <w:t>相</w:t>
      </w:r>
      <w:r w:rsidRPr="005A7DE6" w:rsidR="00493758">
        <w:rPr>
          <w:rFonts w:asciiTheme="minorEastAsia" w:eastAsiaTheme="minorEastAsia" w:hAnsiTheme="minorEastAsia" w:hint="eastAsia"/>
          <w:color w:val="000000" w:themeColor="text1"/>
          <w:szCs w:val="21"/>
        </w:rPr>
        <w:t>关</w:t>
      </w:r>
      <w:r w:rsidRPr="005A7DE6" w:rsidR="00E51D51">
        <w:rPr>
          <w:rFonts w:asciiTheme="minorEastAsia" w:eastAsiaTheme="minorEastAsia" w:hAnsiTheme="minorEastAsia"/>
          <w:color w:val="000000" w:themeColor="text1"/>
          <w:szCs w:val="21"/>
        </w:rPr>
        <w:t>限制，不需要经基金份额持有人大会审议。</w:t>
      </w:r>
    </w:p>
    <w:p w:rsidR="00D12910"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656" w:name="_Toc94172428"/>
      <w:r w:rsidRPr="005A7DE6">
        <w:rPr>
          <w:rFonts w:asciiTheme="minorEastAsia" w:eastAsiaTheme="minorEastAsia" w:hAnsiTheme="minorEastAsia"/>
          <w:b w:val="0"/>
          <w:color w:val="000000" w:themeColor="text1"/>
        </w:rPr>
        <w:t>（</w:t>
      </w:r>
      <w:r w:rsidRPr="005A7DE6" w:rsidR="00090469">
        <w:rPr>
          <w:rFonts w:asciiTheme="minorEastAsia" w:eastAsiaTheme="minorEastAsia" w:hAnsiTheme="minorEastAsia"/>
          <w:b w:val="0"/>
          <w:color w:val="000000" w:themeColor="text1"/>
        </w:rPr>
        <w:t>八</w:t>
      </w:r>
      <w:r w:rsidRPr="005A7DE6">
        <w:rPr>
          <w:rFonts w:asciiTheme="minorEastAsia" w:eastAsiaTheme="minorEastAsia" w:hAnsiTheme="minorEastAsia"/>
          <w:b w:val="0"/>
          <w:color w:val="000000" w:themeColor="text1"/>
        </w:rPr>
        <w:t>）</w:t>
      </w:r>
      <w:r w:rsidRPr="005A7DE6" w:rsidR="00BA4B87">
        <w:rPr>
          <w:rFonts w:asciiTheme="minorEastAsia" w:eastAsiaTheme="minorEastAsia" w:hAnsiTheme="minorEastAsia"/>
          <w:b w:val="0"/>
          <w:color w:val="000000" w:themeColor="text1"/>
        </w:rPr>
        <w:t>投资组合比例调整</w:t>
      </w:r>
      <w:bookmarkEnd w:id="3656"/>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基金管理人应当自基金合同生效之日起</w:t>
      </w:r>
      <w:r w:rsidRPr="005A7DE6">
        <w:rPr>
          <w:rFonts w:asciiTheme="minorEastAsia" w:eastAsiaTheme="minorEastAsia" w:hAnsiTheme="minorEastAsia"/>
          <w:color w:val="000000" w:themeColor="text1"/>
          <w:szCs w:val="21"/>
        </w:rPr>
        <w:t>6</w:t>
      </w:r>
      <w:r w:rsidRPr="005A7DE6">
        <w:rPr>
          <w:rFonts w:asciiTheme="minorEastAsia" w:eastAsiaTheme="minorEastAsia" w:hAnsiTheme="minorEastAsia"/>
          <w:color w:val="000000" w:themeColor="text1"/>
          <w:szCs w:val="21"/>
        </w:rPr>
        <w:t>个月内使基金的投资组合比例符合基金合同的有关约定。基金托管人对基金的投资的监督与检查自基金合同生效之日起开始。因证券市场波动、上市公司合并、基金规模变动等基金管理人之外的因素致使基金投资比例不符合上述规定投资比例的，基金管理人应当在</w:t>
      </w:r>
      <w:r w:rsidRPr="005A7DE6">
        <w:rPr>
          <w:rFonts w:asciiTheme="minorEastAsia" w:eastAsiaTheme="minorEastAsia" w:hAnsiTheme="minorEastAsia"/>
          <w:color w:val="000000" w:themeColor="text1"/>
          <w:szCs w:val="21"/>
        </w:rPr>
        <w:t>10</w:t>
      </w:r>
      <w:r w:rsidRPr="005A7DE6">
        <w:rPr>
          <w:rFonts w:asciiTheme="minorEastAsia" w:eastAsiaTheme="minorEastAsia" w:hAnsiTheme="minorEastAsia"/>
          <w:color w:val="000000" w:themeColor="text1"/>
          <w:szCs w:val="21"/>
        </w:rPr>
        <w:t>个交易日内进行调整。</w:t>
      </w:r>
    </w:p>
    <w:p w:rsidR="00D12910"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kern w:val="0"/>
          <w:szCs w:val="21"/>
        </w:rPr>
      </w:pPr>
      <w:bookmarkStart w:id="3657" w:name="_Toc94172429"/>
      <w:r w:rsidRPr="005A7DE6">
        <w:rPr>
          <w:rFonts w:asciiTheme="minorEastAsia" w:eastAsiaTheme="minorEastAsia" w:hAnsiTheme="minorEastAsia"/>
          <w:b w:val="0"/>
          <w:color w:val="000000" w:themeColor="text1"/>
          <w:kern w:val="0"/>
          <w:szCs w:val="21"/>
        </w:rPr>
        <w:t>（</w:t>
      </w:r>
      <w:r w:rsidRPr="005A7DE6" w:rsidR="00090469">
        <w:rPr>
          <w:rFonts w:asciiTheme="minorEastAsia" w:eastAsiaTheme="minorEastAsia" w:hAnsiTheme="minorEastAsia"/>
          <w:b w:val="0"/>
          <w:color w:val="000000" w:themeColor="text1"/>
          <w:kern w:val="0"/>
          <w:szCs w:val="21"/>
        </w:rPr>
        <w:t>九</w:t>
      </w:r>
      <w:r w:rsidRPr="005A7DE6">
        <w:rPr>
          <w:rFonts w:asciiTheme="minorEastAsia" w:eastAsiaTheme="minorEastAsia" w:hAnsiTheme="minorEastAsia"/>
          <w:b w:val="0"/>
          <w:color w:val="000000" w:themeColor="text1"/>
          <w:kern w:val="0"/>
          <w:szCs w:val="21"/>
        </w:rPr>
        <w:t>）</w:t>
      </w:r>
      <w:r w:rsidRPr="005A7DE6" w:rsidR="00BA4B87">
        <w:rPr>
          <w:rFonts w:asciiTheme="minorEastAsia" w:eastAsiaTheme="minorEastAsia" w:hAnsiTheme="minorEastAsia"/>
          <w:b w:val="0"/>
          <w:color w:val="000000" w:themeColor="text1"/>
          <w:kern w:val="0"/>
          <w:szCs w:val="21"/>
        </w:rPr>
        <w:t>基金的融资、融券</w:t>
      </w:r>
      <w:bookmarkEnd w:id="3657"/>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本基金可以按照国家的有关规定进行融资、融券。</w:t>
      </w:r>
      <w:bookmarkStart w:id="3658" w:name="_Toc79392634"/>
    </w:p>
    <w:p w:rsidR="00D12910"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kern w:val="0"/>
          <w:szCs w:val="21"/>
        </w:rPr>
      </w:pPr>
      <w:bookmarkStart w:id="3659" w:name="_Toc94172430"/>
      <w:bookmarkEnd w:id="3658"/>
      <w:r w:rsidRPr="005A7DE6">
        <w:rPr>
          <w:rFonts w:asciiTheme="minorEastAsia" w:eastAsiaTheme="minorEastAsia" w:hAnsiTheme="minorEastAsia"/>
          <w:b w:val="0"/>
          <w:bCs/>
          <w:color w:val="000000" w:themeColor="text1"/>
          <w:kern w:val="0"/>
          <w:szCs w:val="21"/>
        </w:rPr>
        <w:t>（</w:t>
      </w:r>
      <w:r w:rsidRPr="005A7DE6" w:rsidR="00BA4B87">
        <w:rPr>
          <w:rFonts w:asciiTheme="minorEastAsia" w:eastAsiaTheme="minorEastAsia" w:hAnsiTheme="minorEastAsia"/>
          <w:b w:val="0"/>
          <w:bCs/>
          <w:color w:val="000000" w:themeColor="text1"/>
          <w:kern w:val="0"/>
          <w:szCs w:val="21"/>
        </w:rPr>
        <w:t>十</w:t>
      </w:r>
      <w:r w:rsidRPr="005A7DE6">
        <w:rPr>
          <w:rFonts w:asciiTheme="minorEastAsia" w:eastAsiaTheme="minorEastAsia" w:hAnsiTheme="minorEastAsia"/>
          <w:b w:val="0"/>
          <w:bCs/>
          <w:color w:val="000000" w:themeColor="text1"/>
          <w:kern w:val="0"/>
          <w:szCs w:val="21"/>
        </w:rPr>
        <w:t>）</w:t>
      </w:r>
      <w:r w:rsidRPr="005A7DE6" w:rsidR="00BA4B87">
        <w:rPr>
          <w:rFonts w:asciiTheme="minorEastAsia" w:eastAsiaTheme="minorEastAsia" w:hAnsiTheme="minorEastAsia"/>
          <w:b w:val="0"/>
          <w:bCs/>
          <w:color w:val="000000" w:themeColor="text1"/>
          <w:kern w:val="0"/>
          <w:szCs w:val="21"/>
        </w:rPr>
        <w:t>基金管理人代表基金行使债权人权利的处理原则及方法</w:t>
      </w:r>
      <w:bookmarkEnd w:id="3659"/>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w:t>
      </w:r>
      <w:r w:rsidRPr="005A7DE6" w:rsidR="005E6884">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基金管理人按照国家有关规定代表基金独立行使债权人权利，保护基金份额持有人的利益；</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w:t>
      </w:r>
      <w:r w:rsidRPr="005A7DE6" w:rsidR="001769C4">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不谋求对上市公司的控股，不参与所投资上市公司的经营管理；</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w:t>
      </w:r>
      <w:r w:rsidRPr="005A7DE6" w:rsidR="005E6884">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有利于基金财产的安全与增值；</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4</w:t>
      </w:r>
      <w:r w:rsidRPr="005A7DE6" w:rsidR="005E6884">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不通过关联交易为自身、雇员、授权代理人或任何存在利害关系的第三人牟取任何不当利益。</w:t>
      </w:r>
    </w:p>
    <w:p w:rsidR="00795E7D" w:rsidRPr="005A7DE6" w:rsidP="00795E7D">
      <w:pPr>
        <w:pStyle w:val="Heading2"/>
        <w:snapToGrid w:val="0"/>
        <w:spacing w:beforeLines="0" w:afterLines="0" w:line="360" w:lineRule="auto"/>
        <w:ind w:firstLine="0" w:firstLineChars="0"/>
        <w:rPr>
          <w:rFonts w:asciiTheme="minorEastAsia" w:eastAsiaTheme="minorEastAsia" w:hAnsiTheme="minorEastAsia"/>
          <w:bCs/>
          <w:color w:val="000000" w:themeColor="text1"/>
          <w:kern w:val="0"/>
          <w:szCs w:val="21"/>
        </w:rPr>
      </w:pPr>
      <w:bookmarkStart w:id="3660" w:name="_Toc59538095"/>
      <w:bookmarkStart w:id="3661" w:name="_Toc94172431"/>
      <w:r w:rsidRPr="005A7DE6">
        <w:rPr>
          <w:rFonts w:asciiTheme="minorEastAsia" w:eastAsiaTheme="minorEastAsia" w:hAnsiTheme="minorEastAsia" w:hint="eastAsia"/>
          <w:b w:val="0"/>
          <w:bCs/>
          <w:color w:val="000000" w:themeColor="text1"/>
          <w:kern w:val="0"/>
          <w:szCs w:val="21"/>
        </w:rPr>
        <w:t>（十一）侧袋机制的实施和投资运作安排</w:t>
      </w:r>
      <w:bookmarkEnd w:id="3660"/>
      <w:bookmarkEnd w:id="3661"/>
    </w:p>
    <w:p w:rsidR="00795E7D" w:rsidRPr="005A7DE6" w:rsidP="00795E7D">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795E7D" w:rsidRPr="005A7DE6" w:rsidP="00795E7D">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侧袋机制实施期间，本部分约定的投资组合比例、投资策略、组合限制、业绩比较基准、风险收益特征等约定仅适用于主袋账户。</w:t>
      </w:r>
    </w:p>
    <w:p w:rsidR="00795E7D"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侧袋账户的实施条件、实施程序、运作安排、投资安排、特定资产的处置变现和支付等对投资者权益有重大影响的事项详见本招募说明书“侧袋机制”部分的规定。</w:t>
      </w:r>
    </w:p>
    <w:p w:rsidR="00D12910"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kern w:val="0"/>
          <w:szCs w:val="21"/>
        </w:rPr>
      </w:pPr>
      <w:bookmarkStart w:id="3662" w:name="_Toc94172432"/>
      <w:r w:rsidRPr="005A7DE6">
        <w:rPr>
          <w:rFonts w:asciiTheme="minorEastAsia" w:eastAsiaTheme="minorEastAsia" w:hAnsiTheme="minorEastAsia"/>
          <w:b w:val="0"/>
          <w:bCs/>
          <w:color w:val="000000" w:themeColor="text1"/>
          <w:kern w:val="0"/>
          <w:szCs w:val="21"/>
        </w:rPr>
        <w:t>（</w:t>
      </w:r>
      <w:r w:rsidRPr="005A7DE6" w:rsidR="009E119B">
        <w:rPr>
          <w:rFonts w:asciiTheme="minorEastAsia" w:eastAsiaTheme="minorEastAsia" w:hAnsiTheme="minorEastAsia"/>
          <w:b w:val="0"/>
          <w:bCs/>
          <w:color w:val="000000" w:themeColor="text1"/>
          <w:kern w:val="0"/>
          <w:szCs w:val="21"/>
        </w:rPr>
        <w:t>十</w:t>
      </w:r>
      <w:r w:rsidRPr="005A7DE6" w:rsidR="00795E7D">
        <w:rPr>
          <w:rFonts w:asciiTheme="minorEastAsia" w:eastAsiaTheme="minorEastAsia" w:hAnsiTheme="minorEastAsia" w:hint="eastAsia"/>
          <w:b w:val="0"/>
          <w:bCs/>
          <w:color w:val="000000" w:themeColor="text1"/>
          <w:kern w:val="0"/>
          <w:szCs w:val="21"/>
        </w:rPr>
        <w:t>二</w:t>
      </w:r>
      <w:r w:rsidRPr="005A7DE6">
        <w:rPr>
          <w:rFonts w:asciiTheme="minorEastAsia" w:eastAsiaTheme="minorEastAsia" w:hAnsiTheme="minorEastAsia"/>
          <w:b w:val="0"/>
          <w:bCs/>
          <w:color w:val="000000" w:themeColor="text1"/>
          <w:kern w:val="0"/>
          <w:szCs w:val="21"/>
        </w:rPr>
        <w:t>）</w:t>
      </w:r>
      <w:r w:rsidRPr="005A7DE6" w:rsidR="00847B5C">
        <w:rPr>
          <w:rFonts w:asciiTheme="minorEastAsia" w:eastAsiaTheme="minorEastAsia" w:hAnsiTheme="minorEastAsia" w:hint="eastAsia"/>
          <w:b w:val="0"/>
          <w:bCs/>
          <w:color w:val="000000" w:themeColor="text1"/>
          <w:kern w:val="0"/>
          <w:szCs w:val="21"/>
        </w:rPr>
        <w:t>基金投资组合报告</w:t>
      </w:r>
      <w:r w:rsidRPr="005A7DE6" w:rsidR="00847B5C">
        <w:rPr>
          <w:rFonts w:asciiTheme="minorEastAsia" w:eastAsiaTheme="minorEastAsia" w:hAnsiTheme="minorEastAsia" w:hint="eastAsia"/>
          <w:b w:val="0"/>
          <w:color w:val="000000" w:themeColor="text1"/>
        </w:rPr>
        <w:t>（未经审计）</w:t>
      </w:r>
      <w:bookmarkEnd w:id="3662"/>
    </w:p>
    <w:p w:rsidR="00847B5C"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本基金管理人的董事会及董事保证本报告所载资料不存在虚假记载、误导性陈述或重大遗漏，并对其内容的真实性、准确性和完整性承担个别及连带责任。</w:t>
      </w:r>
    </w:p>
    <w:p w:rsidR="00847B5C"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本基金的托管人</w:t>
      </w:r>
      <w:r w:rsidRPr="005A7DE6" w:rsidR="002833A8">
        <w:rPr>
          <w:rFonts w:asciiTheme="minorEastAsia" w:eastAsiaTheme="minorEastAsia" w:hAnsiTheme="minorEastAsia"/>
          <w:color w:val="000000" w:themeColor="text1"/>
          <w:szCs w:val="21"/>
        </w:rPr>
        <w:t>招商银行股份有限公司</w:t>
      </w:r>
      <w:r w:rsidRPr="005A7DE6">
        <w:rPr>
          <w:rFonts w:asciiTheme="minorEastAsia" w:eastAsiaTheme="minorEastAsia" w:hAnsiTheme="minorEastAsia" w:hint="eastAsia"/>
          <w:color w:val="000000" w:themeColor="text1"/>
          <w:szCs w:val="21"/>
        </w:rPr>
        <w:t>根据本基金合同的规定，复核了本报告的内容，保证复核内容不存在虚假记载、误导性陈述或者重大遗漏。</w:t>
      </w:r>
    </w:p>
    <w:p w:rsidR="000F587B" w:rsidRPr="005A7DE6" w:rsidP="006B758F">
      <w:pPr>
        <w:snapToGrid w:val="0"/>
        <w:spacing w:line="360" w:lineRule="auto"/>
        <w:ind w:firstLine="420" w:firstLineChars="200"/>
        <w:rPr>
          <w:rFonts w:asciiTheme="minorEastAsia" w:eastAsiaTheme="minorEastAsia" w:hAnsiTheme="minorEastAsia"/>
          <w:color w:val="000000" w:themeColor="text1"/>
          <w:szCs w:val="21"/>
        </w:rPr>
      </w:pPr>
      <w:r>
        <w:t>本投资组合报告有关数据的期间为</w:t>
      </w:r>
      <w:r>
        <w:t>2022</w:t>
      </w:r>
      <w:r>
        <w:t>年</w:t>
      </w:r>
      <w:r>
        <w:t>7</w:t>
      </w:r>
      <w:r>
        <w:t>月</w:t>
      </w:r>
      <w:r>
        <w:t>1</w:t>
      </w:r>
      <w:r>
        <w:t>日至</w:t>
      </w:r>
      <w:r>
        <w:t>2022</w:t>
      </w:r>
      <w:r>
        <w:t>年</w:t>
      </w:r>
      <w:r>
        <w:t>9</w:t>
      </w:r>
      <w:r>
        <w:t>月</w:t>
      </w:r>
      <w:r>
        <w:t>30</w:t>
      </w:r>
      <w:r>
        <w:t>日。</w:t>
      </w:r>
    </w:p>
    <w:p w:rsidR="00336BCC">
      <w:pPr>
        <w:spacing w:line="360" w:lineRule="auto"/>
        <w:jc w:val="left"/>
      </w:pPr>
      <w:r>
        <w:t>1</w:t>
      </w:r>
      <w:r>
        <w:t>、</w:t>
      </w:r>
      <w:r>
        <w:t xml:space="preserve"> </w:t>
      </w:r>
      <w:r>
        <w:t>报告期末基金资产组合情况</w:t>
      </w:r>
    </w:p>
    <w:tbl>
      <w:tblPr>
        <w:tblStyle w:val="TableGrid"/>
        <w:tblW w:w="8897" w:type="dxa"/>
        <w:jc w:val="center"/>
        <w:tblLayout w:type="fixed"/>
        <w:tblLook w:val="04A0"/>
      </w:tblPr>
      <w:tblGrid>
        <w:gridCol w:w="720"/>
        <w:gridCol w:w="3357"/>
        <w:gridCol w:w="2977"/>
        <w:gridCol w:w="1843"/>
      </w:tblGrid>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D044C">
            <w:pPr>
              <w:ind w:left="17"/>
              <w:jc w:val="center"/>
              <w:rPr>
                <w:color w:val="000000"/>
                <w:sz w:val="24"/>
              </w:rPr>
            </w:pPr>
            <w:r>
              <w:rPr>
                <w:color w:val="000000"/>
              </w:rPr>
              <w:t>序号</w:t>
            </w:r>
          </w:p>
        </w:tc>
        <w:tc>
          <w:tcPr>
            <w:tcW w:w="3357" w:type="dxa"/>
            <w:tcBorders>
              <w:top w:val="single" w:sz="0" w:space="0" w:color="000000"/>
              <w:left w:val="single" w:sz="0" w:space="0" w:color="000000"/>
              <w:bottom w:val="single" w:sz="0" w:space="0" w:color="000000"/>
              <w:right w:val="single" w:sz="0" w:space="0" w:color="000000"/>
            </w:tcBorders>
            <w:vAlign w:val="center"/>
          </w:tcPr>
          <w:p w:rsidR="00ED044C">
            <w:pPr>
              <w:ind w:left="17"/>
              <w:jc w:val="center"/>
              <w:rPr>
                <w:color w:val="000000"/>
                <w:sz w:val="24"/>
              </w:rPr>
            </w:pPr>
            <w:r>
              <w:rPr>
                <w:color w:val="000000"/>
              </w:rPr>
              <w:t>项目</w:t>
            </w:r>
          </w:p>
        </w:tc>
        <w:tc>
          <w:tcPr>
            <w:tcW w:w="2977" w:type="dxa"/>
            <w:tcBorders>
              <w:top w:val="single" w:sz="0" w:space="0" w:color="000000"/>
              <w:left w:val="single" w:sz="0" w:space="0" w:color="000000"/>
              <w:bottom w:val="single" w:sz="0" w:space="0" w:color="000000"/>
              <w:right w:val="single" w:sz="0" w:space="0" w:color="000000"/>
            </w:tcBorders>
            <w:vAlign w:val="center"/>
          </w:tcPr>
          <w:p w:rsidR="00ED044C">
            <w:pPr>
              <w:ind w:left="17"/>
              <w:jc w:val="center"/>
              <w:rPr>
                <w:color w:val="000000"/>
                <w:sz w:val="24"/>
              </w:rPr>
            </w:pPr>
            <w:r>
              <w:rPr>
                <w:color w:val="000000"/>
              </w:rPr>
              <w:t>金额</w:t>
            </w:r>
            <w:r>
              <w:rPr>
                <w:color w:val="000000"/>
              </w:rPr>
              <w:t>(</w:t>
            </w:r>
            <w:r>
              <w:rPr>
                <w:color w:val="000000"/>
              </w:rPr>
              <w:t>元</w:t>
            </w:r>
            <w:r>
              <w:rPr>
                <w:color w:val="00000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ED044C">
            <w:pPr>
              <w:ind w:left="17"/>
              <w:jc w:val="center"/>
              <w:rPr>
                <w:color w:val="000000"/>
                <w:sz w:val="24"/>
              </w:rPr>
            </w:pPr>
            <w:r>
              <w:rPr>
                <w:color w:val="000000"/>
              </w:rPr>
              <w:t>占基金总资产的比例</w:t>
            </w:r>
            <w:r>
              <w:rPr>
                <w:color w:val="000000"/>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D044C">
            <w:pPr>
              <w:ind w:left="17"/>
              <w:jc w:val="center"/>
              <w:rPr>
                <w:color w:val="000000"/>
                <w:sz w:val="24"/>
              </w:rPr>
            </w:pPr>
            <w:r>
              <w:rPr>
                <w:color w:val="000000"/>
              </w:rPr>
              <w:t>1</w:t>
            </w:r>
          </w:p>
        </w:tc>
        <w:tc>
          <w:tcPr>
            <w:tcW w:w="3357" w:type="dxa"/>
            <w:tcBorders>
              <w:top w:val="single" w:sz="0" w:space="0" w:color="000000"/>
              <w:left w:val="single" w:sz="0" w:space="0" w:color="000000"/>
              <w:bottom w:val="single" w:sz="0" w:space="0" w:color="000000"/>
              <w:right w:val="single" w:sz="0" w:space="0" w:color="000000"/>
            </w:tcBorders>
            <w:vAlign w:val="center"/>
          </w:tcPr>
          <w:p w:rsidR="00ED044C">
            <w:pPr>
              <w:ind w:left="17"/>
              <w:jc w:val="left"/>
              <w:rPr>
                <w:sz w:val="24"/>
              </w:rPr>
            </w:pPr>
            <w:r>
              <w:rPr>
                <w:color w:val="000000"/>
              </w:rPr>
              <w:t>权益投资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ED044C">
            <w:pPr>
              <w:ind w:left="17"/>
              <w:jc w:val="right"/>
              <w:rPr>
                <w:color w:val="000000"/>
                <w:sz w:val="24"/>
              </w:rPr>
            </w:pPr>
            <w:r>
              <w:rPr>
                <w:color w:val="00000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ED044C">
            <w:pPr>
              <w:ind w:left="17"/>
              <w:jc w:val="right"/>
              <w:rPr>
                <w:color w:val="000000"/>
                <w:sz w:val="24"/>
              </w:rPr>
            </w:pPr>
            <w:r>
              <w:rPr>
                <w:color w:val="000000"/>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D044C">
            <w:pPr>
              <w:ind w:left="17"/>
              <w:jc w:val="center"/>
              <w:rPr>
                <w:color w:val="000000"/>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ED044C">
            <w:pPr>
              <w:ind w:left="17"/>
              <w:jc w:val="left"/>
              <w:rPr>
                <w:sz w:val="24"/>
              </w:rPr>
            </w:pPr>
            <w:r>
              <w:rPr>
                <w:color w:val="000000"/>
              </w:rPr>
              <w:t>其中：股票</w:t>
            </w:r>
          </w:p>
        </w:tc>
        <w:tc>
          <w:tcPr>
            <w:tcW w:w="2977" w:type="dxa"/>
            <w:tcBorders>
              <w:top w:val="single" w:sz="0" w:space="0" w:color="000000"/>
              <w:left w:val="single" w:sz="0" w:space="0" w:color="000000"/>
              <w:bottom w:val="single" w:sz="0" w:space="0" w:color="000000"/>
              <w:right w:val="single" w:sz="0" w:space="0" w:color="000000"/>
            </w:tcBorders>
            <w:vAlign w:val="center"/>
          </w:tcPr>
          <w:p w:rsidR="00ED044C">
            <w:pPr>
              <w:ind w:left="17"/>
              <w:jc w:val="right"/>
              <w:rPr>
                <w:color w:val="000000"/>
                <w:sz w:val="24"/>
              </w:rPr>
            </w:pPr>
            <w:r>
              <w:rPr>
                <w:color w:val="00000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ED044C">
            <w:pPr>
              <w:ind w:left="17"/>
              <w:jc w:val="right"/>
              <w:rPr>
                <w:color w:val="000000"/>
                <w:sz w:val="24"/>
              </w:rPr>
            </w:pPr>
            <w:r>
              <w:rPr>
                <w:color w:val="000000"/>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D044C">
            <w:pPr>
              <w:ind w:left="17"/>
              <w:jc w:val="center"/>
              <w:rPr>
                <w:color w:val="000000"/>
                <w:sz w:val="24"/>
              </w:rPr>
            </w:pPr>
            <w:r>
              <w:rPr>
                <w:color w:val="000000"/>
              </w:rPr>
              <w:t>2</w:t>
            </w:r>
          </w:p>
        </w:tc>
        <w:tc>
          <w:tcPr>
            <w:tcW w:w="3357" w:type="dxa"/>
            <w:tcBorders>
              <w:top w:val="single" w:sz="0" w:space="0" w:color="000000"/>
              <w:left w:val="single" w:sz="0" w:space="0" w:color="000000"/>
              <w:bottom w:val="single" w:sz="0" w:space="0" w:color="000000"/>
              <w:right w:val="single" w:sz="0" w:space="0" w:color="000000"/>
            </w:tcBorders>
            <w:vAlign w:val="center"/>
          </w:tcPr>
          <w:p w:rsidR="00ED044C">
            <w:pPr>
              <w:ind w:left="17"/>
              <w:jc w:val="left"/>
              <w:rPr>
                <w:sz w:val="24"/>
              </w:rPr>
            </w:pPr>
            <w:r>
              <w:rPr>
                <w:color w:val="000000"/>
              </w:rPr>
              <w:t>固定收益投资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ED044C">
            <w:pPr>
              <w:ind w:left="17"/>
              <w:jc w:val="right"/>
              <w:rPr>
                <w:color w:val="000000"/>
                <w:sz w:val="24"/>
              </w:rPr>
            </w:pPr>
            <w:r>
              <w:rPr>
                <w:color w:val="000000"/>
              </w:rPr>
              <w:t>5,279,422,541.90</w:t>
            </w:r>
          </w:p>
        </w:tc>
        <w:tc>
          <w:tcPr>
            <w:tcW w:w="1843" w:type="dxa"/>
            <w:tcBorders>
              <w:top w:val="single" w:sz="0" w:space="0" w:color="000000"/>
              <w:left w:val="single" w:sz="0" w:space="0" w:color="000000"/>
              <w:bottom w:val="single" w:sz="0" w:space="0" w:color="000000"/>
              <w:right w:val="single" w:sz="0" w:space="0" w:color="000000"/>
            </w:tcBorders>
            <w:vAlign w:val="center"/>
          </w:tcPr>
          <w:p w:rsidR="00ED044C">
            <w:pPr>
              <w:ind w:left="17"/>
              <w:jc w:val="right"/>
              <w:rPr>
                <w:color w:val="000000"/>
                <w:sz w:val="24"/>
              </w:rPr>
            </w:pPr>
            <w:r>
              <w:rPr>
                <w:color w:val="000000"/>
              </w:rPr>
              <w:t>98.41</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D044C">
            <w:pPr>
              <w:ind w:left="17"/>
              <w:jc w:val="center"/>
              <w:rPr>
                <w:color w:val="000000"/>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ED044C">
            <w:pPr>
              <w:ind w:left="17"/>
              <w:jc w:val="left"/>
              <w:rPr>
                <w:sz w:val="24"/>
              </w:rPr>
            </w:pPr>
            <w:r>
              <w:rPr>
                <w:color w:val="000000"/>
              </w:rPr>
              <w:t>其中：债券</w:t>
            </w:r>
          </w:p>
        </w:tc>
        <w:tc>
          <w:tcPr>
            <w:tcW w:w="2977" w:type="dxa"/>
            <w:tcBorders>
              <w:top w:val="single" w:sz="0" w:space="0" w:color="000000"/>
              <w:left w:val="single" w:sz="0" w:space="0" w:color="000000"/>
              <w:bottom w:val="single" w:sz="0" w:space="0" w:color="000000"/>
              <w:right w:val="single" w:sz="0" w:space="0" w:color="000000"/>
            </w:tcBorders>
            <w:vAlign w:val="center"/>
          </w:tcPr>
          <w:p w:rsidR="00ED044C">
            <w:pPr>
              <w:ind w:left="17"/>
              <w:jc w:val="right"/>
              <w:rPr>
                <w:color w:val="000000"/>
                <w:sz w:val="24"/>
              </w:rPr>
            </w:pPr>
            <w:r>
              <w:rPr>
                <w:color w:val="000000"/>
              </w:rPr>
              <w:t>5,126,178,930.29</w:t>
            </w:r>
          </w:p>
        </w:tc>
        <w:tc>
          <w:tcPr>
            <w:tcW w:w="1843" w:type="dxa"/>
            <w:tcBorders>
              <w:top w:val="single" w:sz="0" w:space="0" w:color="000000"/>
              <w:left w:val="single" w:sz="0" w:space="0" w:color="000000"/>
              <w:bottom w:val="single" w:sz="0" w:space="0" w:color="000000"/>
              <w:right w:val="single" w:sz="0" w:space="0" w:color="000000"/>
            </w:tcBorders>
            <w:vAlign w:val="center"/>
          </w:tcPr>
          <w:p w:rsidR="00ED044C">
            <w:pPr>
              <w:ind w:left="17"/>
              <w:jc w:val="right"/>
              <w:rPr>
                <w:color w:val="000000"/>
                <w:sz w:val="24"/>
              </w:rPr>
            </w:pPr>
            <w:r>
              <w:rPr>
                <w:color w:val="000000"/>
              </w:rPr>
              <w:t>95.55</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D044C">
            <w:pPr>
              <w:ind w:left="17"/>
              <w:jc w:val="center"/>
              <w:rPr>
                <w:color w:val="000000"/>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ED044C">
            <w:pPr>
              <w:autoSpaceDE w:val="0"/>
              <w:autoSpaceDN w:val="0"/>
              <w:adjustRightInd w:val="0"/>
              <w:ind w:left="17"/>
              <w:jc w:val="left"/>
              <w:rPr>
                <w:color w:val="000000"/>
                <w:sz w:val="24"/>
              </w:rPr>
            </w:pPr>
            <w:r>
              <w:rPr>
                <w:color w:val="000000"/>
              </w:rPr>
              <w:t>资产支持证券</w:t>
            </w:r>
          </w:p>
        </w:tc>
        <w:tc>
          <w:tcPr>
            <w:tcW w:w="2977" w:type="dxa"/>
            <w:tcBorders>
              <w:top w:val="single" w:sz="0" w:space="0" w:color="000000"/>
              <w:left w:val="single" w:sz="0" w:space="0" w:color="000000"/>
              <w:bottom w:val="single" w:sz="0" w:space="0" w:color="000000"/>
              <w:right w:val="single" w:sz="0" w:space="0" w:color="000000"/>
            </w:tcBorders>
            <w:vAlign w:val="center"/>
          </w:tcPr>
          <w:p w:rsidR="00ED044C">
            <w:pPr>
              <w:ind w:left="17"/>
              <w:jc w:val="right"/>
              <w:rPr>
                <w:color w:val="000000"/>
                <w:sz w:val="24"/>
              </w:rPr>
            </w:pPr>
            <w:r>
              <w:rPr>
                <w:color w:val="000000"/>
              </w:rPr>
              <w:t>153,243,611.61</w:t>
            </w:r>
          </w:p>
        </w:tc>
        <w:tc>
          <w:tcPr>
            <w:tcW w:w="1843" w:type="dxa"/>
            <w:tcBorders>
              <w:top w:val="single" w:sz="0" w:space="0" w:color="000000"/>
              <w:left w:val="single" w:sz="0" w:space="0" w:color="000000"/>
              <w:bottom w:val="single" w:sz="0" w:space="0" w:color="000000"/>
              <w:right w:val="single" w:sz="0" w:space="0" w:color="000000"/>
            </w:tcBorders>
            <w:vAlign w:val="center"/>
          </w:tcPr>
          <w:p w:rsidR="00ED044C">
            <w:pPr>
              <w:ind w:left="17"/>
              <w:jc w:val="right"/>
              <w:rPr>
                <w:color w:val="000000"/>
                <w:sz w:val="24"/>
              </w:rPr>
            </w:pPr>
            <w:r>
              <w:rPr>
                <w:color w:val="000000"/>
              </w:rPr>
              <w:t>2.86</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tcPr>
          <w:p w:rsidR="00ED044C">
            <w:pPr>
              <w:ind w:left="17"/>
              <w:jc w:val="center"/>
              <w:rPr>
                <w:color w:val="000000"/>
                <w:sz w:val="24"/>
              </w:rPr>
            </w:pPr>
            <w:r>
              <w:rPr>
                <w:color w:val="000000"/>
              </w:rPr>
              <w:t>3</w:t>
            </w:r>
          </w:p>
        </w:tc>
        <w:tc>
          <w:tcPr>
            <w:tcW w:w="3357" w:type="dxa"/>
            <w:tcBorders>
              <w:top w:val="single" w:sz="0" w:space="0" w:color="000000"/>
              <w:left w:val="single" w:sz="0" w:space="0" w:color="000000"/>
              <w:bottom w:val="single" w:sz="0" w:space="0" w:color="000000"/>
              <w:right w:val="single" w:sz="0" w:space="0" w:color="000000"/>
            </w:tcBorders>
          </w:tcPr>
          <w:p w:rsidR="00ED044C">
            <w:pPr>
              <w:ind w:left="105" w:leftChars="50"/>
              <w:rPr>
                <w:color w:val="000000"/>
                <w:sz w:val="24"/>
              </w:rPr>
            </w:pPr>
            <w:r>
              <w:rPr>
                <w:color w:val="000000"/>
              </w:rPr>
              <w:t>贵金属投资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ED044C">
            <w:pPr>
              <w:ind w:left="17"/>
              <w:jc w:val="right"/>
              <w:rPr>
                <w:color w:val="000000"/>
                <w:sz w:val="24"/>
              </w:rPr>
            </w:pPr>
            <w:r>
              <w:rPr>
                <w:color w:val="00000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ED044C">
            <w:pPr>
              <w:ind w:left="17"/>
              <w:jc w:val="right"/>
              <w:rPr>
                <w:color w:val="000000"/>
                <w:sz w:val="24"/>
              </w:rPr>
            </w:pPr>
            <w:r>
              <w:rPr>
                <w:color w:val="000000"/>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D044C">
            <w:pPr>
              <w:ind w:left="17"/>
              <w:jc w:val="center"/>
              <w:rPr>
                <w:color w:val="000000"/>
                <w:sz w:val="24"/>
              </w:rPr>
            </w:pPr>
            <w:r>
              <w:rPr>
                <w:color w:val="000000"/>
              </w:rPr>
              <w:t>4</w:t>
            </w:r>
          </w:p>
        </w:tc>
        <w:tc>
          <w:tcPr>
            <w:tcW w:w="3357" w:type="dxa"/>
            <w:tcBorders>
              <w:top w:val="single" w:sz="0" w:space="0" w:color="000000"/>
              <w:left w:val="single" w:sz="0" w:space="0" w:color="000000"/>
              <w:bottom w:val="single" w:sz="0" w:space="0" w:color="000000"/>
              <w:right w:val="single" w:sz="0" w:space="0" w:color="000000"/>
            </w:tcBorders>
            <w:vAlign w:val="center"/>
          </w:tcPr>
          <w:p w:rsidR="00ED044C">
            <w:pPr>
              <w:ind w:left="17"/>
              <w:jc w:val="left"/>
              <w:rPr>
                <w:color w:val="000000"/>
                <w:sz w:val="24"/>
              </w:rPr>
            </w:pPr>
            <w:r>
              <w:rPr>
                <w:color w:val="000000"/>
              </w:rPr>
              <w:t>金融衍生品投资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ED044C">
            <w:pPr>
              <w:ind w:left="17"/>
              <w:jc w:val="right"/>
              <w:rPr>
                <w:color w:val="000000"/>
                <w:sz w:val="24"/>
              </w:rPr>
            </w:pPr>
            <w:r>
              <w:rPr>
                <w:color w:val="00000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ED044C">
            <w:pPr>
              <w:ind w:left="17"/>
              <w:jc w:val="right"/>
              <w:rPr>
                <w:color w:val="000000"/>
                <w:sz w:val="24"/>
              </w:rPr>
            </w:pPr>
            <w:r>
              <w:rPr>
                <w:color w:val="000000"/>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D044C">
            <w:pPr>
              <w:ind w:left="17"/>
              <w:jc w:val="center"/>
              <w:rPr>
                <w:color w:val="000000"/>
                <w:sz w:val="24"/>
              </w:rPr>
            </w:pPr>
            <w:r>
              <w:rPr>
                <w:color w:val="000000"/>
              </w:rPr>
              <w:t>5</w:t>
            </w:r>
          </w:p>
        </w:tc>
        <w:tc>
          <w:tcPr>
            <w:tcW w:w="3357" w:type="dxa"/>
            <w:tcBorders>
              <w:top w:val="single" w:sz="0" w:space="0" w:color="000000"/>
              <w:left w:val="single" w:sz="0" w:space="0" w:color="000000"/>
              <w:bottom w:val="single" w:sz="0" w:space="0" w:color="000000"/>
              <w:right w:val="single" w:sz="0" w:space="0" w:color="000000"/>
            </w:tcBorders>
            <w:vAlign w:val="center"/>
          </w:tcPr>
          <w:p w:rsidR="00ED044C">
            <w:pPr>
              <w:ind w:left="17"/>
              <w:jc w:val="left"/>
              <w:rPr>
                <w:sz w:val="24"/>
              </w:rPr>
            </w:pPr>
            <w:r>
              <w:rPr>
                <w:color w:val="000000"/>
              </w:rPr>
              <w:t>买入返售金融资产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ED044C">
            <w:pPr>
              <w:ind w:left="17"/>
              <w:jc w:val="right"/>
              <w:rPr>
                <w:color w:val="000000"/>
                <w:sz w:val="24"/>
              </w:rPr>
            </w:pPr>
            <w:r>
              <w:rPr>
                <w:color w:val="00000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ED044C">
            <w:pPr>
              <w:ind w:left="17"/>
              <w:jc w:val="right"/>
              <w:rPr>
                <w:color w:val="000000"/>
                <w:sz w:val="24"/>
              </w:rPr>
            </w:pPr>
            <w:r>
              <w:rPr>
                <w:color w:val="000000"/>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D044C">
            <w:pPr>
              <w:ind w:left="17"/>
              <w:jc w:val="center"/>
              <w:rPr>
                <w:color w:val="000000"/>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ED044C">
            <w:pPr>
              <w:ind w:left="17"/>
              <w:jc w:val="left"/>
              <w:rPr>
                <w:sz w:val="24"/>
              </w:rPr>
            </w:pPr>
            <w:r>
              <w:rPr>
                <w:color w:val="000000"/>
              </w:rPr>
              <w:t>其中：买断式回购的买入返售金融资产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ED044C">
            <w:pPr>
              <w:ind w:left="17"/>
              <w:jc w:val="right"/>
              <w:rPr>
                <w:color w:val="000000"/>
                <w:sz w:val="24"/>
              </w:rPr>
            </w:pPr>
            <w:r>
              <w:rPr>
                <w:color w:val="00000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ED044C">
            <w:pPr>
              <w:ind w:left="17"/>
              <w:jc w:val="right"/>
              <w:rPr>
                <w:color w:val="000000"/>
                <w:sz w:val="24"/>
              </w:rPr>
            </w:pPr>
            <w:r>
              <w:rPr>
                <w:color w:val="000000"/>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D044C">
            <w:pPr>
              <w:ind w:left="17"/>
              <w:jc w:val="center"/>
              <w:rPr>
                <w:color w:val="000000"/>
                <w:sz w:val="24"/>
              </w:rPr>
            </w:pPr>
            <w:r>
              <w:rPr>
                <w:color w:val="000000"/>
              </w:rPr>
              <w:t>6</w:t>
            </w:r>
          </w:p>
        </w:tc>
        <w:tc>
          <w:tcPr>
            <w:tcW w:w="3357" w:type="dxa"/>
            <w:tcBorders>
              <w:top w:val="single" w:sz="0" w:space="0" w:color="000000"/>
              <w:left w:val="single" w:sz="0" w:space="0" w:color="000000"/>
              <w:bottom w:val="single" w:sz="0" w:space="0" w:color="000000"/>
              <w:right w:val="single" w:sz="0" w:space="0" w:color="000000"/>
            </w:tcBorders>
            <w:vAlign w:val="center"/>
          </w:tcPr>
          <w:p w:rsidR="00ED044C">
            <w:pPr>
              <w:ind w:left="17"/>
              <w:jc w:val="left"/>
              <w:rPr>
                <w:sz w:val="24"/>
              </w:rPr>
            </w:pPr>
            <w:r>
              <w:rPr>
                <w:color w:val="000000"/>
              </w:rPr>
              <w:t>银行存款和结算备付金合计</w:t>
            </w:r>
          </w:p>
        </w:tc>
        <w:tc>
          <w:tcPr>
            <w:tcW w:w="2977" w:type="dxa"/>
            <w:tcBorders>
              <w:top w:val="single" w:sz="0" w:space="0" w:color="000000"/>
              <w:left w:val="single" w:sz="0" w:space="0" w:color="000000"/>
              <w:bottom w:val="single" w:sz="0" w:space="0" w:color="000000"/>
              <w:right w:val="single" w:sz="0" w:space="0" w:color="000000"/>
            </w:tcBorders>
            <w:vAlign w:val="center"/>
          </w:tcPr>
          <w:p w:rsidR="00ED044C">
            <w:pPr>
              <w:ind w:left="17"/>
              <w:jc w:val="right"/>
              <w:rPr>
                <w:color w:val="000000"/>
                <w:sz w:val="24"/>
              </w:rPr>
            </w:pPr>
            <w:r>
              <w:rPr>
                <w:color w:val="000000"/>
              </w:rPr>
              <w:t>36,349,940.93</w:t>
            </w:r>
          </w:p>
        </w:tc>
        <w:tc>
          <w:tcPr>
            <w:tcW w:w="1843" w:type="dxa"/>
            <w:tcBorders>
              <w:top w:val="single" w:sz="0" w:space="0" w:color="000000"/>
              <w:left w:val="single" w:sz="0" w:space="0" w:color="000000"/>
              <w:bottom w:val="single" w:sz="0" w:space="0" w:color="000000"/>
              <w:right w:val="single" w:sz="0" w:space="0" w:color="000000"/>
            </w:tcBorders>
            <w:vAlign w:val="center"/>
          </w:tcPr>
          <w:p w:rsidR="00ED044C">
            <w:pPr>
              <w:ind w:left="17"/>
              <w:jc w:val="right"/>
              <w:rPr>
                <w:color w:val="000000"/>
                <w:sz w:val="24"/>
              </w:rPr>
            </w:pPr>
            <w:r>
              <w:rPr>
                <w:color w:val="000000"/>
              </w:rPr>
              <w:t>0.68</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D044C">
            <w:pPr>
              <w:ind w:left="17"/>
              <w:jc w:val="center"/>
              <w:rPr>
                <w:color w:val="000000"/>
                <w:sz w:val="24"/>
              </w:rPr>
            </w:pPr>
            <w:r>
              <w:rPr>
                <w:color w:val="000000"/>
              </w:rPr>
              <w:t>7</w:t>
            </w:r>
          </w:p>
        </w:tc>
        <w:tc>
          <w:tcPr>
            <w:tcW w:w="3357" w:type="dxa"/>
            <w:tcBorders>
              <w:top w:val="single" w:sz="0" w:space="0" w:color="000000"/>
              <w:left w:val="single" w:sz="0" w:space="0" w:color="000000"/>
              <w:bottom w:val="single" w:sz="0" w:space="0" w:color="000000"/>
              <w:right w:val="single" w:sz="0" w:space="0" w:color="000000"/>
            </w:tcBorders>
            <w:vAlign w:val="center"/>
          </w:tcPr>
          <w:p w:rsidR="00ED044C">
            <w:pPr>
              <w:jc w:val="left"/>
              <w:rPr>
                <w:sz w:val="24"/>
              </w:rPr>
            </w:pPr>
            <w:r>
              <w:rPr>
                <w:color w:val="000000"/>
              </w:rPr>
              <w:t>其他资产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ED044C">
            <w:pPr>
              <w:jc w:val="right"/>
              <w:rPr>
                <w:color w:val="000000"/>
                <w:sz w:val="24"/>
              </w:rPr>
            </w:pPr>
            <w:r>
              <w:rPr>
                <w:color w:val="000000"/>
              </w:rPr>
              <w:t>49,048,219.23</w:t>
            </w:r>
          </w:p>
        </w:tc>
        <w:tc>
          <w:tcPr>
            <w:tcW w:w="1843" w:type="dxa"/>
            <w:tcBorders>
              <w:top w:val="single" w:sz="0" w:space="0" w:color="000000"/>
              <w:left w:val="single" w:sz="0" w:space="0" w:color="000000"/>
              <w:bottom w:val="single" w:sz="0" w:space="0" w:color="000000"/>
              <w:right w:val="single" w:sz="0" w:space="0" w:color="000000"/>
            </w:tcBorders>
            <w:vAlign w:val="center"/>
          </w:tcPr>
          <w:p w:rsidR="00ED044C">
            <w:pPr>
              <w:jc w:val="right"/>
              <w:rPr>
                <w:color w:val="000000"/>
                <w:sz w:val="24"/>
              </w:rPr>
            </w:pPr>
            <w:r>
              <w:rPr>
                <w:color w:val="000000"/>
              </w:rPr>
              <w:t>0.91</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ED044C">
            <w:pPr>
              <w:ind w:left="17"/>
              <w:jc w:val="center"/>
              <w:rPr>
                <w:color w:val="000000"/>
                <w:sz w:val="24"/>
              </w:rPr>
            </w:pPr>
            <w:r>
              <w:rPr>
                <w:color w:val="000000"/>
              </w:rPr>
              <w:t>8</w:t>
            </w:r>
          </w:p>
        </w:tc>
        <w:tc>
          <w:tcPr>
            <w:tcW w:w="3357" w:type="dxa"/>
            <w:tcBorders>
              <w:top w:val="single" w:sz="0" w:space="0" w:color="000000"/>
              <w:left w:val="single" w:sz="0" w:space="0" w:color="000000"/>
              <w:bottom w:val="single" w:sz="0" w:space="0" w:color="000000"/>
              <w:right w:val="single" w:sz="0" w:space="0" w:color="000000"/>
            </w:tcBorders>
            <w:vAlign w:val="center"/>
          </w:tcPr>
          <w:p w:rsidR="00ED044C">
            <w:pPr>
              <w:jc w:val="left"/>
              <w:rPr>
                <w:sz w:val="24"/>
              </w:rPr>
            </w:pPr>
            <w:r>
              <w:rPr>
                <w:color w:val="000000"/>
              </w:rPr>
              <w:t>合计</w:t>
            </w:r>
          </w:p>
        </w:tc>
        <w:tc>
          <w:tcPr>
            <w:tcW w:w="2977" w:type="dxa"/>
            <w:tcBorders>
              <w:top w:val="single" w:sz="0" w:space="0" w:color="000000"/>
              <w:left w:val="single" w:sz="0" w:space="0" w:color="000000"/>
              <w:bottom w:val="single" w:sz="0" w:space="0" w:color="000000"/>
              <w:right w:val="single" w:sz="0" w:space="0" w:color="000000"/>
            </w:tcBorders>
            <w:vAlign w:val="center"/>
          </w:tcPr>
          <w:p w:rsidR="00ED044C">
            <w:pPr>
              <w:jc w:val="right"/>
              <w:rPr>
                <w:color w:val="000000"/>
                <w:sz w:val="24"/>
              </w:rPr>
            </w:pPr>
            <w:r>
              <w:rPr>
                <w:color w:val="000000"/>
              </w:rPr>
              <w:t>5,364,820,702.06</w:t>
            </w:r>
          </w:p>
        </w:tc>
        <w:tc>
          <w:tcPr>
            <w:tcW w:w="1843" w:type="dxa"/>
            <w:tcBorders>
              <w:top w:val="single" w:sz="0" w:space="0" w:color="000000"/>
              <w:left w:val="single" w:sz="0" w:space="0" w:color="000000"/>
              <w:bottom w:val="single" w:sz="0" w:space="0" w:color="000000"/>
              <w:right w:val="single" w:sz="0" w:space="0" w:color="000000"/>
            </w:tcBorders>
            <w:vAlign w:val="center"/>
          </w:tcPr>
          <w:p w:rsidR="00ED044C">
            <w:pPr>
              <w:jc w:val="right"/>
              <w:rPr>
                <w:color w:val="000000"/>
                <w:sz w:val="24"/>
              </w:rPr>
            </w:pPr>
            <w:r>
              <w:rPr>
                <w:color w:val="000000"/>
              </w:rPr>
              <w:t>100.00</w:t>
            </w:r>
          </w:p>
        </w:tc>
      </w:tr>
    </w:tbl>
    <w:p w:rsidR="00336BCC">
      <w:pPr>
        <w:spacing w:line="360" w:lineRule="auto"/>
        <w:jc w:val="left"/>
      </w:pPr>
      <w:r>
        <w:t>2</w:t>
      </w:r>
      <w:r>
        <w:t>、</w:t>
      </w:r>
      <w:r>
        <w:t xml:space="preserve"> </w:t>
      </w:r>
      <w:r>
        <w:t>报告期末按行业分类的股票投资组合</w:t>
      </w:r>
    </w:p>
    <w:p w:rsidR="00336BCC">
      <w:pPr>
        <w:spacing w:line="360" w:lineRule="auto"/>
        <w:jc w:val="left"/>
      </w:pPr>
      <w:r>
        <w:t>（</w:t>
      </w:r>
      <w:r>
        <w:t>1</w:t>
      </w:r>
      <w:r>
        <w:t>）报告期末按行业分类的境内股票投资组合</w:t>
      </w:r>
    </w:p>
    <w:p w:rsidR="00336BCC">
      <w:pPr>
        <w:spacing w:line="360" w:lineRule="auto"/>
        <w:ind w:firstLine="420"/>
        <w:jc w:val="left"/>
      </w:pPr>
      <w:r>
        <w:t>本基金本报告期末未持有境内股票。</w:t>
      </w:r>
    </w:p>
    <w:p w:rsidR="00336BCC">
      <w:pPr>
        <w:spacing w:line="360" w:lineRule="auto"/>
        <w:jc w:val="left"/>
      </w:pPr>
      <w:r>
        <w:t>3</w:t>
      </w:r>
      <w:r>
        <w:t>、</w:t>
      </w:r>
      <w:r>
        <w:t xml:space="preserve"> </w:t>
      </w:r>
      <w:r>
        <w:t>期末按公允价值占基金资产净值比例大小排序的股票投资明细</w:t>
      </w:r>
    </w:p>
    <w:p w:rsidR="00336BCC">
      <w:pPr>
        <w:spacing w:line="360" w:lineRule="auto"/>
        <w:jc w:val="left"/>
      </w:pPr>
      <w:r>
        <w:t>（</w:t>
      </w:r>
      <w:r>
        <w:t>1</w:t>
      </w:r>
      <w:r>
        <w:t>）</w:t>
      </w:r>
      <w:r>
        <w:t xml:space="preserve"> </w:t>
      </w:r>
      <w:r>
        <w:t>报告期末按公允价值占基金资产净值比例大小排序的前十名股票投资明细</w:t>
      </w:r>
    </w:p>
    <w:p w:rsidR="00336BCC">
      <w:pPr>
        <w:spacing w:line="360" w:lineRule="auto"/>
        <w:ind w:firstLine="420"/>
        <w:jc w:val="left"/>
      </w:pPr>
      <w:r>
        <w:t>本基金本报告期末未持有股票。</w:t>
      </w:r>
    </w:p>
    <w:p w:rsidR="00336BCC">
      <w:pPr>
        <w:spacing w:line="360" w:lineRule="auto"/>
        <w:jc w:val="left"/>
      </w:pPr>
      <w:r>
        <w:t>4</w:t>
      </w:r>
      <w:r>
        <w:t>、</w:t>
      </w:r>
      <w:r>
        <w:t xml:space="preserve"> </w:t>
      </w:r>
      <w:r>
        <w:t>报告期末按债券品种分类的债券投资组合</w:t>
      </w:r>
    </w:p>
    <w:tbl>
      <w:tblPr>
        <w:tblStyle w:val="TableGrid"/>
        <w:tblW w:w="0" w:type="auto"/>
        <w:tblInd w:w="108" w:type="dxa"/>
        <w:tblLayout w:type="fixed"/>
        <w:tblLook w:val="04A0"/>
      </w:tblPr>
      <w:tblGrid>
        <w:gridCol w:w="817"/>
        <w:gridCol w:w="3260"/>
        <w:gridCol w:w="2835"/>
        <w:gridCol w:w="1616"/>
      </w:tblGrid>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ED044C">
            <w:pPr>
              <w:ind w:left="17"/>
              <w:jc w:val="center"/>
              <w:rPr>
                <w:rFonts w:eastAsiaTheme="minorEastAsia"/>
                <w:color w:val="000000" w:themeColor="text1"/>
                <w:sz w:val="24"/>
              </w:rPr>
            </w:pPr>
            <w:r>
              <w:rPr>
                <w:rFonts w:eastAsiaTheme="minorEastAsia"/>
                <w:color w:val="000000" w:themeColor="text1"/>
              </w:rPr>
              <w:t>序号</w:t>
            </w:r>
          </w:p>
        </w:tc>
        <w:tc>
          <w:tcPr>
            <w:tcW w:w="3260" w:type="dxa"/>
            <w:tcBorders>
              <w:top w:val="single" w:sz="0" w:space="0" w:color="000000"/>
              <w:left w:val="single" w:sz="0" w:space="0" w:color="000000"/>
              <w:bottom w:val="single" w:sz="0" w:space="0" w:color="000000"/>
              <w:right w:val="single" w:sz="0" w:space="0" w:color="000000"/>
            </w:tcBorders>
            <w:vAlign w:val="center"/>
          </w:tcPr>
          <w:p w:rsidR="00ED044C">
            <w:pPr>
              <w:ind w:left="17"/>
              <w:jc w:val="center"/>
              <w:rPr>
                <w:rFonts w:eastAsiaTheme="minorEastAsia"/>
                <w:color w:val="000000" w:themeColor="text1"/>
                <w:sz w:val="24"/>
              </w:rPr>
            </w:pPr>
            <w:r>
              <w:rPr>
                <w:rFonts w:eastAsiaTheme="minorEastAsia"/>
                <w:color w:val="000000" w:themeColor="text1"/>
              </w:rPr>
              <w:t>债券品种</w:t>
            </w:r>
          </w:p>
        </w:tc>
        <w:tc>
          <w:tcPr>
            <w:tcW w:w="2835" w:type="dxa"/>
            <w:tcBorders>
              <w:top w:val="single" w:sz="0" w:space="0" w:color="000000"/>
              <w:left w:val="single" w:sz="0" w:space="0" w:color="000000"/>
              <w:bottom w:val="single" w:sz="0" w:space="0" w:color="000000"/>
              <w:right w:val="single" w:sz="0" w:space="0" w:color="000000"/>
            </w:tcBorders>
            <w:vAlign w:val="center"/>
          </w:tcPr>
          <w:p w:rsidR="00ED044C">
            <w:pPr>
              <w:ind w:left="17"/>
              <w:jc w:val="center"/>
              <w:rPr>
                <w:rFonts w:eastAsiaTheme="minorEastAsia"/>
                <w:color w:val="000000" w:themeColor="text1"/>
                <w:sz w:val="24"/>
              </w:rPr>
            </w:pPr>
            <w:r>
              <w:rPr>
                <w:rFonts w:eastAsiaTheme="minorEastAsia"/>
                <w:color w:val="000000" w:themeColor="text1"/>
              </w:rPr>
              <w:t>公允价值</w:t>
            </w:r>
            <w:r>
              <w:rPr>
                <w:rFonts w:eastAsiaTheme="minorEastAsia"/>
                <w:color w:val="000000" w:themeColor="text1"/>
              </w:rPr>
              <w:t>(</w:t>
            </w:r>
            <w:r>
              <w:rPr>
                <w:rFonts w:eastAsiaTheme="minorEastAsia"/>
                <w:color w:val="000000" w:themeColor="text1"/>
              </w:rPr>
              <w:t>元</w:t>
            </w:r>
            <w:r>
              <w:rPr>
                <w:rFonts w:eastAsiaTheme="minorEastAsia"/>
                <w:color w:val="000000" w:themeColor="text1"/>
              </w:rPr>
              <w:t>)</w:t>
            </w:r>
          </w:p>
        </w:tc>
        <w:tc>
          <w:tcPr>
            <w:tcW w:w="1616" w:type="dxa"/>
            <w:tcBorders>
              <w:top w:val="single" w:sz="0" w:space="0" w:color="000000"/>
              <w:left w:val="single" w:sz="0" w:space="0" w:color="000000"/>
              <w:bottom w:val="single" w:sz="0" w:space="0" w:color="000000"/>
              <w:right w:val="single" w:sz="0" w:space="0" w:color="000000"/>
            </w:tcBorders>
            <w:vAlign w:val="center"/>
          </w:tcPr>
          <w:p w:rsidR="00ED044C">
            <w:pPr>
              <w:ind w:left="17"/>
              <w:jc w:val="center"/>
              <w:rPr>
                <w:rFonts w:eastAsiaTheme="minorEastAsia"/>
                <w:color w:val="000000" w:themeColor="text1"/>
                <w:sz w:val="24"/>
              </w:rPr>
            </w:pPr>
            <w:r>
              <w:rPr>
                <w:rFonts w:eastAsiaTheme="minorEastAsia"/>
                <w:color w:val="000000" w:themeColor="text1"/>
              </w:rPr>
              <w:t>占基金资产净值比例</w:t>
            </w:r>
            <w:r>
              <w:rPr>
                <w:rFonts w:eastAsiaTheme="minorEastAsia"/>
                <w:color w:val="000000" w:themeColor="text1"/>
              </w:rPr>
              <w:t>(</w:t>
            </w:r>
            <w:r>
              <w:rPr>
                <w:rFonts w:eastAsiaTheme="minorEastAsia"/>
                <w:color w:val="000000" w:themeColor="text1"/>
              </w:rPr>
              <w:t>％</w:t>
            </w:r>
            <w:r>
              <w:rPr>
                <w:rFonts w:eastAsiaTheme="minorEastAsia"/>
                <w:color w:val="000000" w:themeColor="text1"/>
              </w:rPr>
              <w:t>)</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ED044C">
            <w:pPr>
              <w:ind w:left="17"/>
              <w:jc w:val="center"/>
              <w:rPr>
                <w:rFonts w:eastAsiaTheme="minorEastAsia"/>
                <w:color w:val="000000" w:themeColor="text1"/>
                <w:sz w:val="24"/>
              </w:rPr>
            </w:pPr>
            <w:r>
              <w:rPr>
                <w:rFonts w:eastAsiaTheme="minorEastAsia"/>
                <w:color w:val="000000" w:themeColor="text1"/>
              </w:rPr>
              <w:t>1</w:t>
            </w:r>
          </w:p>
        </w:tc>
        <w:tc>
          <w:tcPr>
            <w:tcW w:w="3260" w:type="dxa"/>
            <w:tcBorders>
              <w:top w:val="single" w:sz="0" w:space="0" w:color="000000"/>
              <w:left w:val="single" w:sz="0" w:space="0" w:color="000000"/>
              <w:bottom w:val="single" w:sz="0" w:space="0" w:color="000000"/>
              <w:right w:val="single" w:sz="0" w:space="0" w:color="000000"/>
            </w:tcBorders>
            <w:vAlign w:val="center"/>
          </w:tcPr>
          <w:p w:rsidR="00ED044C">
            <w:pPr>
              <w:ind w:left="17"/>
              <w:jc w:val="left"/>
              <w:rPr>
                <w:rFonts w:eastAsiaTheme="minorEastAsia"/>
                <w:color w:val="000000" w:themeColor="text1"/>
                <w:sz w:val="24"/>
              </w:rPr>
            </w:pPr>
            <w:r>
              <w:rPr>
                <w:rFonts w:eastAsiaTheme="minorEastAsia"/>
                <w:color w:val="000000" w:themeColor="text1"/>
              </w:rPr>
              <w:t>国家债券</w:t>
            </w:r>
          </w:p>
        </w:tc>
        <w:tc>
          <w:tcPr>
            <w:tcW w:w="2835" w:type="dxa"/>
            <w:tcBorders>
              <w:top w:val="single" w:sz="0" w:space="0" w:color="000000"/>
              <w:left w:val="single" w:sz="0" w:space="0" w:color="000000"/>
              <w:bottom w:val="single" w:sz="0" w:space="0" w:color="000000"/>
              <w:right w:val="single" w:sz="0" w:space="0" w:color="000000"/>
            </w:tcBorders>
            <w:vAlign w:val="center"/>
          </w:tcPr>
          <w:p w:rsidR="00ED044C">
            <w:pPr>
              <w:ind w:left="17"/>
              <w:jc w:val="right"/>
              <w:rPr>
                <w:rFonts w:eastAsiaTheme="minorEastAsia"/>
                <w:color w:val="000000" w:themeColor="text1"/>
                <w:sz w:val="24"/>
              </w:rPr>
            </w:pPr>
            <w:r>
              <w:rPr>
                <w:rFonts w:eastAsiaTheme="minorEastAsia"/>
                <w:color w:val="000000" w:themeColor="text1"/>
              </w:rPr>
              <w:t>-</w:t>
            </w:r>
          </w:p>
        </w:tc>
        <w:tc>
          <w:tcPr>
            <w:tcW w:w="1616" w:type="dxa"/>
            <w:tcBorders>
              <w:top w:val="single" w:sz="0" w:space="0" w:color="000000"/>
              <w:left w:val="single" w:sz="0" w:space="0" w:color="000000"/>
              <w:bottom w:val="single" w:sz="0" w:space="0" w:color="000000"/>
              <w:right w:val="single" w:sz="0" w:space="0" w:color="000000"/>
            </w:tcBorders>
            <w:vAlign w:val="center"/>
          </w:tcPr>
          <w:p w:rsidR="00ED044C">
            <w:pPr>
              <w:ind w:left="17"/>
              <w:jc w:val="right"/>
              <w:rPr>
                <w:rFonts w:eastAsiaTheme="minorEastAsia"/>
                <w:color w:val="000000" w:themeColor="text1"/>
                <w:sz w:val="24"/>
              </w:rPr>
            </w:pPr>
            <w:r>
              <w:rPr>
                <w:rFonts w:eastAsiaTheme="minorEastAsia"/>
                <w:color w:val="000000" w:themeColor="text1"/>
              </w:rPr>
              <w:t>-</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ED044C">
            <w:pPr>
              <w:ind w:left="17"/>
              <w:jc w:val="center"/>
              <w:rPr>
                <w:rFonts w:eastAsiaTheme="minorEastAsia"/>
                <w:color w:val="000000" w:themeColor="text1"/>
                <w:sz w:val="24"/>
              </w:rPr>
            </w:pPr>
            <w:r>
              <w:rPr>
                <w:rFonts w:eastAsiaTheme="minorEastAsia"/>
                <w:color w:val="000000" w:themeColor="text1"/>
              </w:rPr>
              <w:t>2</w:t>
            </w:r>
          </w:p>
        </w:tc>
        <w:tc>
          <w:tcPr>
            <w:tcW w:w="3260" w:type="dxa"/>
            <w:tcBorders>
              <w:top w:val="single" w:sz="0" w:space="0" w:color="000000"/>
              <w:left w:val="single" w:sz="0" w:space="0" w:color="000000"/>
              <w:bottom w:val="single" w:sz="0" w:space="0" w:color="000000"/>
              <w:right w:val="single" w:sz="0" w:space="0" w:color="000000"/>
            </w:tcBorders>
            <w:vAlign w:val="center"/>
          </w:tcPr>
          <w:p w:rsidR="00ED044C">
            <w:pPr>
              <w:ind w:left="17"/>
              <w:jc w:val="left"/>
              <w:rPr>
                <w:rFonts w:eastAsiaTheme="minorEastAsia"/>
                <w:color w:val="000000" w:themeColor="text1"/>
                <w:sz w:val="24"/>
              </w:rPr>
            </w:pPr>
            <w:r>
              <w:rPr>
                <w:rFonts w:eastAsiaTheme="minorEastAsia"/>
                <w:color w:val="000000" w:themeColor="text1"/>
              </w:rPr>
              <w:t>央行票据</w:t>
            </w:r>
          </w:p>
        </w:tc>
        <w:tc>
          <w:tcPr>
            <w:tcW w:w="2835" w:type="dxa"/>
            <w:tcBorders>
              <w:top w:val="single" w:sz="0" w:space="0" w:color="000000"/>
              <w:left w:val="single" w:sz="0" w:space="0" w:color="000000"/>
              <w:bottom w:val="single" w:sz="0" w:space="0" w:color="000000"/>
              <w:right w:val="single" w:sz="0" w:space="0" w:color="000000"/>
            </w:tcBorders>
            <w:vAlign w:val="center"/>
          </w:tcPr>
          <w:p w:rsidR="00ED044C">
            <w:pPr>
              <w:ind w:left="17"/>
              <w:jc w:val="right"/>
              <w:rPr>
                <w:rFonts w:eastAsiaTheme="minorEastAsia"/>
                <w:color w:val="000000" w:themeColor="text1"/>
                <w:sz w:val="24"/>
              </w:rPr>
            </w:pPr>
            <w:r>
              <w:rPr>
                <w:rFonts w:eastAsiaTheme="minorEastAsia"/>
                <w:color w:val="000000" w:themeColor="text1"/>
              </w:rPr>
              <w:t>-</w:t>
            </w:r>
          </w:p>
        </w:tc>
        <w:tc>
          <w:tcPr>
            <w:tcW w:w="1616" w:type="dxa"/>
            <w:tcBorders>
              <w:top w:val="single" w:sz="0" w:space="0" w:color="000000"/>
              <w:left w:val="single" w:sz="0" w:space="0" w:color="000000"/>
              <w:bottom w:val="single" w:sz="0" w:space="0" w:color="000000"/>
              <w:right w:val="single" w:sz="0" w:space="0" w:color="000000"/>
            </w:tcBorders>
            <w:vAlign w:val="center"/>
          </w:tcPr>
          <w:p w:rsidR="00ED044C">
            <w:pPr>
              <w:ind w:left="17"/>
              <w:jc w:val="right"/>
              <w:rPr>
                <w:rFonts w:eastAsiaTheme="minorEastAsia"/>
                <w:color w:val="000000" w:themeColor="text1"/>
                <w:sz w:val="24"/>
              </w:rPr>
            </w:pPr>
            <w:r>
              <w:rPr>
                <w:rFonts w:eastAsiaTheme="minorEastAsia"/>
                <w:color w:val="000000" w:themeColor="text1"/>
              </w:rPr>
              <w:t>-</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ED044C">
            <w:pPr>
              <w:ind w:left="17"/>
              <w:jc w:val="center"/>
              <w:rPr>
                <w:rFonts w:eastAsiaTheme="minorEastAsia"/>
                <w:color w:val="000000" w:themeColor="text1"/>
                <w:sz w:val="24"/>
              </w:rPr>
            </w:pPr>
            <w:r>
              <w:rPr>
                <w:rFonts w:eastAsiaTheme="minorEastAsia"/>
                <w:color w:val="000000" w:themeColor="text1"/>
              </w:rPr>
              <w:t>3</w:t>
            </w:r>
          </w:p>
        </w:tc>
        <w:tc>
          <w:tcPr>
            <w:tcW w:w="3260" w:type="dxa"/>
            <w:tcBorders>
              <w:top w:val="single" w:sz="0" w:space="0" w:color="000000"/>
              <w:left w:val="single" w:sz="0" w:space="0" w:color="000000"/>
              <w:bottom w:val="single" w:sz="0" w:space="0" w:color="000000"/>
              <w:right w:val="single" w:sz="0" w:space="0" w:color="000000"/>
            </w:tcBorders>
            <w:vAlign w:val="center"/>
          </w:tcPr>
          <w:p w:rsidR="00ED044C">
            <w:pPr>
              <w:ind w:left="17"/>
              <w:jc w:val="left"/>
              <w:rPr>
                <w:rFonts w:eastAsiaTheme="minorEastAsia"/>
                <w:color w:val="000000" w:themeColor="text1"/>
                <w:sz w:val="24"/>
              </w:rPr>
            </w:pPr>
            <w:r>
              <w:rPr>
                <w:rFonts w:eastAsiaTheme="minorEastAsia"/>
                <w:color w:val="000000" w:themeColor="text1"/>
              </w:rPr>
              <w:t>金融债券</w:t>
            </w:r>
          </w:p>
        </w:tc>
        <w:tc>
          <w:tcPr>
            <w:tcW w:w="2835" w:type="dxa"/>
            <w:tcBorders>
              <w:top w:val="single" w:sz="0" w:space="0" w:color="000000"/>
              <w:left w:val="single" w:sz="0" w:space="0" w:color="000000"/>
              <w:bottom w:val="single" w:sz="0" w:space="0" w:color="000000"/>
              <w:right w:val="single" w:sz="0" w:space="0" w:color="000000"/>
            </w:tcBorders>
            <w:vAlign w:val="center"/>
          </w:tcPr>
          <w:p w:rsidR="00ED044C">
            <w:pPr>
              <w:ind w:left="17"/>
              <w:jc w:val="right"/>
              <w:rPr>
                <w:rFonts w:eastAsiaTheme="minorEastAsia"/>
                <w:color w:val="000000" w:themeColor="text1"/>
                <w:sz w:val="24"/>
              </w:rPr>
            </w:pPr>
            <w:r>
              <w:rPr>
                <w:rFonts w:eastAsiaTheme="minorEastAsia"/>
                <w:color w:val="000000" w:themeColor="text1"/>
              </w:rPr>
              <w:t>1,108,905,807.95</w:t>
            </w:r>
          </w:p>
        </w:tc>
        <w:tc>
          <w:tcPr>
            <w:tcW w:w="1616" w:type="dxa"/>
            <w:tcBorders>
              <w:top w:val="single" w:sz="0" w:space="0" w:color="000000"/>
              <w:left w:val="single" w:sz="0" w:space="0" w:color="000000"/>
              <w:bottom w:val="single" w:sz="0" w:space="0" w:color="000000"/>
              <w:right w:val="single" w:sz="0" w:space="0" w:color="000000"/>
            </w:tcBorders>
            <w:vAlign w:val="center"/>
          </w:tcPr>
          <w:p w:rsidR="00ED044C">
            <w:pPr>
              <w:ind w:left="17"/>
              <w:jc w:val="right"/>
              <w:rPr>
                <w:rFonts w:eastAsiaTheme="minorEastAsia"/>
                <w:color w:val="000000" w:themeColor="text1"/>
                <w:sz w:val="24"/>
              </w:rPr>
            </w:pPr>
            <w:r>
              <w:rPr>
                <w:rFonts w:eastAsiaTheme="minorEastAsia"/>
                <w:color w:val="000000" w:themeColor="text1"/>
              </w:rPr>
              <w:t>27.11</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ED044C">
            <w:pPr>
              <w:ind w:left="17"/>
              <w:jc w:val="center"/>
              <w:rPr>
                <w:rFonts w:eastAsiaTheme="minorEastAsia"/>
                <w:color w:val="000000" w:themeColor="text1"/>
                <w:sz w:val="24"/>
              </w:rPr>
            </w:pPr>
          </w:p>
        </w:tc>
        <w:tc>
          <w:tcPr>
            <w:tcW w:w="3260" w:type="dxa"/>
            <w:tcBorders>
              <w:top w:val="single" w:sz="0" w:space="0" w:color="000000"/>
              <w:left w:val="single" w:sz="0" w:space="0" w:color="000000"/>
              <w:bottom w:val="single" w:sz="0" w:space="0" w:color="000000"/>
              <w:right w:val="single" w:sz="0" w:space="0" w:color="000000"/>
            </w:tcBorders>
            <w:vAlign w:val="center"/>
          </w:tcPr>
          <w:p w:rsidR="00ED044C">
            <w:pPr>
              <w:ind w:left="17"/>
              <w:jc w:val="left"/>
              <w:rPr>
                <w:rFonts w:eastAsiaTheme="minorEastAsia"/>
                <w:color w:val="000000" w:themeColor="text1"/>
                <w:sz w:val="24"/>
              </w:rPr>
            </w:pPr>
            <w:r>
              <w:rPr>
                <w:rFonts w:eastAsiaTheme="minorEastAsia"/>
                <w:color w:val="000000" w:themeColor="text1"/>
              </w:rPr>
              <w:t>其中：政策性金融债</w:t>
            </w:r>
          </w:p>
        </w:tc>
        <w:tc>
          <w:tcPr>
            <w:tcW w:w="2835" w:type="dxa"/>
            <w:tcBorders>
              <w:top w:val="single" w:sz="0" w:space="0" w:color="000000"/>
              <w:left w:val="single" w:sz="0" w:space="0" w:color="000000"/>
              <w:bottom w:val="single" w:sz="0" w:space="0" w:color="000000"/>
              <w:right w:val="single" w:sz="0" w:space="0" w:color="000000"/>
            </w:tcBorders>
            <w:vAlign w:val="center"/>
          </w:tcPr>
          <w:p w:rsidR="00ED044C">
            <w:pPr>
              <w:ind w:left="17"/>
              <w:jc w:val="right"/>
              <w:rPr>
                <w:rFonts w:eastAsiaTheme="minorEastAsia"/>
                <w:color w:val="000000" w:themeColor="text1"/>
                <w:sz w:val="24"/>
              </w:rPr>
            </w:pPr>
            <w:r>
              <w:rPr>
                <w:rFonts w:eastAsiaTheme="minorEastAsia"/>
                <w:color w:val="000000" w:themeColor="text1"/>
              </w:rPr>
              <w:t>515,505,631.50</w:t>
            </w:r>
          </w:p>
        </w:tc>
        <w:tc>
          <w:tcPr>
            <w:tcW w:w="1616" w:type="dxa"/>
            <w:tcBorders>
              <w:top w:val="single" w:sz="0" w:space="0" w:color="000000"/>
              <w:left w:val="single" w:sz="0" w:space="0" w:color="000000"/>
              <w:bottom w:val="single" w:sz="0" w:space="0" w:color="000000"/>
              <w:right w:val="single" w:sz="0" w:space="0" w:color="000000"/>
            </w:tcBorders>
            <w:vAlign w:val="center"/>
          </w:tcPr>
          <w:p w:rsidR="00ED044C">
            <w:pPr>
              <w:ind w:left="17"/>
              <w:jc w:val="right"/>
              <w:rPr>
                <w:rFonts w:eastAsiaTheme="minorEastAsia"/>
                <w:color w:val="000000" w:themeColor="text1"/>
                <w:sz w:val="24"/>
              </w:rPr>
            </w:pPr>
            <w:r>
              <w:rPr>
                <w:rFonts w:eastAsiaTheme="minorEastAsia"/>
                <w:color w:val="000000" w:themeColor="text1"/>
              </w:rPr>
              <w:t>12.60</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ED044C">
            <w:pPr>
              <w:ind w:left="17"/>
              <w:jc w:val="center"/>
              <w:rPr>
                <w:rFonts w:eastAsiaTheme="minorEastAsia"/>
                <w:color w:val="000000" w:themeColor="text1"/>
                <w:sz w:val="24"/>
              </w:rPr>
            </w:pPr>
            <w:r>
              <w:rPr>
                <w:rFonts w:eastAsiaTheme="minorEastAsia"/>
                <w:color w:val="000000" w:themeColor="text1"/>
              </w:rPr>
              <w:t>4</w:t>
            </w:r>
          </w:p>
        </w:tc>
        <w:tc>
          <w:tcPr>
            <w:tcW w:w="3260" w:type="dxa"/>
            <w:tcBorders>
              <w:top w:val="single" w:sz="0" w:space="0" w:color="000000"/>
              <w:left w:val="single" w:sz="0" w:space="0" w:color="000000"/>
              <w:bottom w:val="single" w:sz="0" w:space="0" w:color="000000"/>
              <w:right w:val="single" w:sz="0" w:space="0" w:color="000000"/>
            </w:tcBorders>
            <w:vAlign w:val="center"/>
          </w:tcPr>
          <w:p w:rsidR="00ED044C">
            <w:pPr>
              <w:ind w:left="17"/>
              <w:jc w:val="left"/>
              <w:rPr>
                <w:rFonts w:eastAsiaTheme="minorEastAsia"/>
                <w:color w:val="000000" w:themeColor="text1"/>
                <w:sz w:val="24"/>
              </w:rPr>
            </w:pPr>
            <w:r>
              <w:rPr>
                <w:rFonts w:eastAsiaTheme="minorEastAsia"/>
                <w:color w:val="000000" w:themeColor="text1"/>
              </w:rPr>
              <w:t>企业债券</w:t>
            </w:r>
          </w:p>
        </w:tc>
        <w:tc>
          <w:tcPr>
            <w:tcW w:w="2835" w:type="dxa"/>
            <w:tcBorders>
              <w:top w:val="single" w:sz="0" w:space="0" w:color="000000"/>
              <w:left w:val="single" w:sz="0" w:space="0" w:color="000000"/>
              <w:bottom w:val="single" w:sz="0" w:space="0" w:color="000000"/>
              <w:right w:val="single" w:sz="0" w:space="0" w:color="000000"/>
            </w:tcBorders>
            <w:vAlign w:val="center"/>
          </w:tcPr>
          <w:p w:rsidR="00ED044C">
            <w:pPr>
              <w:ind w:left="17"/>
              <w:jc w:val="right"/>
              <w:rPr>
                <w:rFonts w:eastAsiaTheme="minorEastAsia"/>
                <w:color w:val="000000" w:themeColor="text1"/>
                <w:sz w:val="24"/>
              </w:rPr>
            </w:pPr>
            <w:r>
              <w:rPr>
                <w:rFonts w:eastAsiaTheme="minorEastAsia"/>
                <w:color w:val="000000" w:themeColor="text1"/>
              </w:rPr>
              <w:t>1,061,945,058.79</w:t>
            </w:r>
          </w:p>
        </w:tc>
        <w:tc>
          <w:tcPr>
            <w:tcW w:w="1616" w:type="dxa"/>
            <w:tcBorders>
              <w:top w:val="single" w:sz="0" w:space="0" w:color="000000"/>
              <w:left w:val="single" w:sz="0" w:space="0" w:color="000000"/>
              <w:bottom w:val="single" w:sz="0" w:space="0" w:color="000000"/>
              <w:right w:val="single" w:sz="0" w:space="0" w:color="000000"/>
            </w:tcBorders>
            <w:vAlign w:val="center"/>
          </w:tcPr>
          <w:p w:rsidR="00ED044C">
            <w:pPr>
              <w:ind w:left="17"/>
              <w:jc w:val="right"/>
              <w:rPr>
                <w:rFonts w:eastAsiaTheme="minorEastAsia"/>
                <w:color w:val="000000" w:themeColor="text1"/>
                <w:sz w:val="24"/>
              </w:rPr>
            </w:pPr>
            <w:r>
              <w:rPr>
                <w:rFonts w:eastAsiaTheme="minorEastAsia"/>
                <w:color w:val="000000" w:themeColor="text1"/>
              </w:rPr>
              <w:t>25.96</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ED044C">
            <w:pPr>
              <w:ind w:left="17"/>
              <w:jc w:val="center"/>
              <w:rPr>
                <w:rFonts w:eastAsiaTheme="minorEastAsia"/>
                <w:color w:val="000000" w:themeColor="text1"/>
                <w:sz w:val="24"/>
              </w:rPr>
            </w:pPr>
            <w:r>
              <w:rPr>
                <w:rFonts w:eastAsiaTheme="minorEastAsia"/>
                <w:color w:val="000000" w:themeColor="text1"/>
              </w:rPr>
              <w:t>5</w:t>
            </w:r>
          </w:p>
        </w:tc>
        <w:tc>
          <w:tcPr>
            <w:tcW w:w="3260" w:type="dxa"/>
            <w:tcBorders>
              <w:top w:val="single" w:sz="0" w:space="0" w:color="000000"/>
              <w:left w:val="single" w:sz="0" w:space="0" w:color="000000"/>
              <w:bottom w:val="single" w:sz="0" w:space="0" w:color="000000"/>
              <w:right w:val="single" w:sz="0" w:space="0" w:color="000000"/>
            </w:tcBorders>
            <w:vAlign w:val="center"/>
          </w:tcPr>
          <w:p w:rsidR="00ED044C">
            <w:pPr>
              <w:ind w:left="17"/>
              <w:jc w:val="left"/>
              <w:rPr>
                <w:rFonts w:eastAsiaTheme="minorEastAsia"/>
                <w:color w:val="000000" w:themeColor="text1"/>
                <w:sz w:val="24"/>
              </w:rPr>
            </w:pPr>
            <w:r>
              <w:rPr>
                <w:rFonts w:eastAsiaTheme="minorEastAsia"/>
                <w:color w:val="000000" w:themeColor="text1"/>
              </w:rPr>
              <w:t>企业短期融资券</w:t>
            </w:r>
          </w:p>
        </w:tc>
        <w:tc>
          <w:tcPr>
            <w:tcW w:w="2835" w:type="dxa"/>
            <w:tcBorders>
              <w:top w:val="single" w:sz="0" w:space="0" w:color="000000"/>
              <w:left w:val="single" w:sz="0" w:space="0" w:color="000000"/>
              <w:bottom w:val="single" w:sz="0" w:space="0" w:color="000000"/>
              <w:right w:val="single" w:sz="0" w:space="0" w:color="000000"/>
            </w:tcBorders>
            <w:vAlign w:val="center"/>
          </w:tcPr>
          <w:p w:rsidR="00ED044C">
            <w:pPr>
              <w:ind w:left="17"/>
              <w:jc w:val="right"/>
              <w:rPr>
                <w:rFonts w:eastAsiaTheme="minorEastAsia"/>
                <w:color w:val="000000" w:themeColor="text1"/>
                <w:sz w:val="24"/>
              </w:rPr>
            </w:pPr>
            <w:r>
              <w:rPr>
                <w:rFonts w:eastAsiaTheme="minorEastAsia"/>
                <w:color w:val="000000" w:themeColor="text1"/>
              </w:rPr>
              <w:t>-</w:t>
            </w:r>
          </w:p>
        </w:tc>
        <w:tc>
          <w:tcPr>
            <w:tcW w:w="1616" w:type="dxa"/>
            <w:tcBorders>
              <w:top w:val="single" w:sz="0" w:space="0" w:color="000000"/>
              <w:left w:val="single" w:sz="0" w:space="0" w:color="000000"/>
              <w:bottom w:val="single" w:sz="0" w:space="0" w:color="000000"/>
              <w:right w:val="single" w:sz="0" w:space="0" w:color="000000"/>
            </w:tcBorders>
            <w:vAlign w:val="center"/>
          </w:tcPr>
          <w:p w:rsidR="00ED044C">
            <w:pPr>
              <w:ind w:left="17"/>
              <w:jc w:val="right"/>
              <w:rPr>
                <w:rFonts w:eastAsiaTheme="minorEastAsia"/>
                <w:color w:val="000000" w:themeColor="text1"/>
                <w:sz w:val="24"/>
              </w:rPr>
            </w:pPr>
            <w:r>
              <w:rPr>
                <w:rFonts w:eastAsiaTheme="minorEastAsia"/>
                <w:color w:val="000000" w:themeColor="text1"/>
              </w:rPr>
              <w:t>-</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ED044C">
            <w:pPr>
              <w:ind w:left="17"/>
              <w:jc w:val="center"/>
              <w:rPr>
                <w:rFonts w:eastAsiaTheme="minorEastAsia"/>
                <w:color w:val="000000" w:themeColor="text1"/>
                <w:sz w:val="24"/>
              </w:rPr>
            </w:pPr>
            <w:r>
              <w:rPr>
                <w:rFonts w:eastAsiaTheme="minorEastAsia"/>
                <w:color w:val="000000" w:themeColor="text1"/>
              </w:rPr>
              <w:t>6</w:t>
            </w:r>
          </w:p>
        </w:tc>
        <w:tc>
          <w:tcPr>
            <w:tcW w:w="3260" w:type="dxa"/>
            <w:tcBorders>
              <w:top w:val="single" w:sz="0" w:space="0" w:color="000000"/>
              <w:left w:val="single" w:sz="0" w:space="0" w:color="000000"/>
              <w:bottom w:val="single" w:sz="0" w:space="0" w:color="000000"/>
              <w:right w:val="single" w:sz="0" w:space="0" w:color="000000"/>
            </w:tcBorders>
            <w:vAlign w:val="center"/>
          </w:tcPr>
          <w:p w:rsidR="00ED044C">
            <w:pPr>
              <w:ind w:left="17"/>
              <w:jc w:val="left"/>
              <w:rPr>
                <w:rFonts w:eastAsiaTheme="minorEastAsia"/>
                <w:color w:val="000000" w:themeColor="text1"/>
                <w:sz w:val="24"/>
              </w:rPr>
            </w:pPr>
            <w:r>
              <w:rPr>
                <w:rFonts w:eastAsiaTheme="minorEastAsia"/>
                <w:color w:val="000000" w:themeColor="text1"/>
              </w:rPr>
              <w:t>中期票据</w:t>
            </w:r>
          </w:p>
        </w:tc>
        <w:tc>
          <w:tcPr>
            <w:tcW w:w="2835" w:type="dxa"/>
            <w:tcBorders>
              <w:top w:val="single" w:sz="0" w:space="0" w:color="000000"/>
              <w:left w:val="single" w:sz="0" w:space="0" w:color="000000"/>
              <w:bottom w:val="single" w:sz="0" w:space="0" w:color="000000"/>
              <w:right w:val="single" w:sz="0" w:space="0" w:color="000000"/>
            </w:tcBorders>
            <w:vAlign w:val="center"/>
          </w:tcPr>
          <w:p w:rsidR="00ED044C">
            <w:pPr>
              <w:ind w:left="17"/>
              <w:jc w:val="right"/>
              <w:rPr>
                <w:rFonts w:eastAsiaTheme="minorEastAsia"/>
                <w:color w:val="000000" w:themeColor="text1"/>
                <w:sz w:val="24"/>
              </w:rPr>
            </w:pPr>
            <w:r>
              <w:rPr>
                <w:rFonts w:eastAsiaTheme="minorEastAsia"/>
                <w:color w:val="000000" w:themeColor="text1"/>
              </w:rPr>
              <w:t>2,955,328,063.55</w:t>
            </w:r>
          </w:p>
        </w:tc>
        <w:tc>
          <w:tcPr>
            <w:tcW w:w="1616" w:type="dxa"/>
            <w:tcBorders>
              <w:top w:val="single" w:sz="0" w:space="0" w:color="000000"/>
              <w:left w:val="single" w:sz="0" w:space="0" w:color="000000"/>
              <w:bottom w:val="single" w:sz="0" w:space="0" w:color="000000"/>
              <w:right w:val="single" w:sz="0" w:space="0" w:color="000000"/>
            </w:tcBorders>
            <w:vAlign w:val="center"/>
          </w:tcPr>
          <w:p w:rsidR="00ED044C">
            <w:pPr>
              <w:ind w:left="17"/>
              <w:jc w:val="right"/>
              <w:rPr>
                <w:rFonts w:eastAsiaTheme="minorEastAsia"/>
                <w:color w:val="000000" w:themeColor="text1"/>
                <w:sz w:val="24"/>
              </w:rPr>
            </w:pPr>
            <w:r>
              <w:rPr>
                <w:rFonts w:eastAsiaTheme="minorEastAsia"/>
                <w:color w:val="000000" w:themeColor="text1"/>
              </w:rPr>
              <w:t>72.24</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ED044C">
            <w:pPr>
              <w:ind w:left="17"/>
              <w:jc w:val="center"/>
              <w:rPr>
                <w:rFonts w:eastAsiaTheme="minorEastAsia"/>
                <w:color w:val="000000" w:themeColor="text1"/>
                <w:sz w:val="24"/>
              </w:rPr>
            </w:pPr>
            <w:r>
              <w:rPr>
                <w:rFonts w:eastAsiaTheme="minorEastAsia"/>
                <w:color w:val="000000" w:themeColor="text1"/>
              </w:rPr>
              <w:t>7</w:t>
            </w:r>
          </w:p>
        </w:tc>
        <w:tc>
          <w:tcPr>
            <w:tcW w:w="3260" w:type="dxa"/>
            <w:tcBorders>
              <w:top w:val="single" w:sz="0" w:space="0" w:color="000000"/>
              <w:left w:val="single" w:sz="0" w:space="0" w:color="000000"/>
              <w:bottom w:val="single" w:sz="0" w:space="0" w:color="000000"/>
              <w:right w:val="single" w:sz="0" w:space="0" w:color="000000"/>
            </w:tcBorders>
            <w:vAlign w:val="center"/>
          </w:tcPr>
          <w:p w:rsidR="00ED044C">
            <w:pPr>
              <w:ind w:left="17"/>
              <w:jc w:val="left"/>
              <w:rPr>
                <w:rFonts w:eastAsiaTheme="minorEastAsia"/>
                <w:color w:val="000000" w:themeColor="text1"/>
                <w:sz w:val="24"/>
              </w:rPr>
            </w:pPr>
            <w:r>
              <w:rPr>
                <w:rFonts w:eastAsiaTheme="minorEastAsia"/>
                <w:color w:val="000000" w:themeColor="text1"/>
              </w:rPr>
              <w:t>可转债</w:t>
            </w:r>
            <w:r>
              <w:rPr>
                <w:rFonts w:eastAsiaTheme="minorEastAsia" w:hint="eastAsia"/>
                <w:color w:val="000000" w:themeColor="text1"/>
              </w:rPr>
              <w:t>（可交换债）</w:t>
            </w:r>
          </w:p>
        </w:tc>
        <w:tc>
          <w:tcPr>
            <w:tcW w:w="2835" w:type="dxa"/>
            <w:tcBorders>
              <w:top w:val="single" w:sz="0" w:space="0" w:color="000000"/>
              <w:left w:val="single" w:sz="0" w:space="0" w:color="000000"/>
              <w:bottom w:val="single" w:sz="0" w:space="0" w:color="000000"/>
              <w:right w:val="single" w:sz="0" w:space="0" w:color="000000"/>
            </w:tcBorders>
            <w:vAlign w:val="center"/>
          </w:tcPr>
          <w:p w:rsidR="00ED044C">
            <w:pPr>
              <w:ind w:left="17"/>
              <w:jc w:val="right"/>
              <w:rPr>
                <w:rFonts w:eastAsiaTheme="minorEastAsia"/>
                <w:color w:val="000000" w:themeColor="text1"/>
                <w:sz w:val="24"/>
              </w:rPr>
            </w:pPr>
            <w:r>
              <w:rPr>
                <w:rFonts w:eastAsiaTheme="minorEastAsia"/>
                <w:color w:val="000000" w:themeColor="text1"/>
              </w:rPr>
              <w:t>-</w:t>
            </w:r>
          </w:p>
        </w:tc>
        <w:tc>
          <w:tcPr>
            <w:tcW w:w="1616" w:type="dxa"/>
            <w:tcBorders>
              <w:top w:val="single" w:sz="0" w:space="0" w:color="000000"/>
              <w:left w:val="single" w:sz="0" w:space="0" w:color="000000"/>
              <w:bottom w:val="single" w:sz="0" w:space="0" w:color="000000"/>
              <w:right w:val="single" w:sz="0" w:space="0" w:color="000000"/>
            </w:tcBorders>
            <w:vAlign w:val="center"/>
          </w:tcPr>
          <w:p w:rsidR="00ED044C">
            <w:pPr>
              <w:ind w:left="17"/>
              <w:jc w:val="right"/>
              <w:rPr>
                <w:rFonts w:eastAsiaTheme="minorEastAsia"/>
                <w:color w:val="000000" w:themeColor="text1"/>
                <w:sz w:val="24"/>
              </w:rPr>
            </w:pPr>
            <w:r>
              <w:rPr>
                <w:rFonts w:eastAsiaTheme="minorEastAsia"/>
                <w:color w:val="000000" w:themeColor="text1"/>
              </w:rPr>
              <w:t>-</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ED044C">
            <w:pPr>
              <w:ind w:left="17"/>
              <w:jc w:val="center"/>
              <w:rPr>
                <w:rFonts w:eastAsiaTheme="minorEastAsia"/>
                <w:color w:val="000000" w:themeColor="text1"/>
                <w:sz w:val="24"/>
              </w:rPr>
            </w:pPr>
            <w:r>
              <w:rPr>
                <w:rFonts w:eastAsiaTheme="minorEastAsia"/>
                <w:color w:val="000000" w:themeColor="text1"/>
              </w:rPr>
              <w:t>8</w:t>
            </w:r>
          </w:p>
        </w:tc>
        <w:tc>
          <w:tcPr>
            <w:tcW w:w="3260" w:type="dxa"/>
            <w:tcBorders>
              <w:top w:val="single" w:sz="0" w:space="0" w:color="000000"/>
              <w:left w:val="single" w:sz="0" w:space="0" w:color="000000"/>
              <w:bottom w:val="single" w:sz="0" w:space="0" w:color="000000"/>
              <w:right w:val="single" w:sz="0" w:space="0" w:color="000000"/>
            </w:tcBorders>
            <w:vAlign w:val="center"/>
          </w:tcPr>
          <w:p w:rsidR="00ED044C">
            <w:pPr>
              <w:ind w:left="17"/>
              <w:jc w:val="left"/>
              <w:rPr>
                <w:rFonts w:eastAsiaTheme="minorEastAsia"/>
                <w:color w:val="000000" w:themeColor="text1"/>
                <w:sz w:val="24"/>
              </w:rPr>
            </w:pPr>
            <w:r>
              <w:rPr>
                <w:rFonts w:eastAsiaTheme="minorEastAsia"/>
                <w:color w:val="000000" w:themeColor="text1"/>
              </w:rPr>
              <w:t>同业存单</w:t>
            </w:r>
          </w:p>
        </w:tc>
        <w:tc>
          <w:tcPr>
            <w:tcW w:w="2835" w:type="dxa"/>
            <w:tcBorders>
              <w:top w:val="single" w:sz="0" w:space="0" w:color="000000"/>
              <w:left w:val="single" w:sz="0" w:space="0" w:color="000000"/>
              <w:bottom w:val="single" w:sz="0" w:space="0" w:color="000000"/>
              <w:right w:val="single" w:sz="0" w:space="0" w:color="000000"/>
            </w:tcBorders>
            <w:vAlign w:val="center"/>
          </w:tcPr>
          <w:p w:rsidR="00ED044C">
            <w:pPr>
              <w:ind w:left="17"/>
              <w:jc w:val="right"/>
              <w:rPr>
                <w:rFonts w:eastAsiaTheme="minorEastAsia"/>
                <w:color w:val="000000" w:themeColor="text1"/>
                <w:sz w:val="24"/>
              </w:rPr>
            </w:pPr>
            <w:r>
              <w:rPr>
                <w:rFonts w:eastAsiaTheme="minorEastAsia"/>
                <w:color w:val="000000" w:themeColor="text1"/>
              </w:rPr>
              <w:t>-</w:t>
            </w:r>
          </w:p>
        </w:tc>
        <w:tc>
          <w:tcPr>
            <w:tcW w:w="1616" w:type="dxa"/>
            <w:tcBorders>
              <w:top w:val="single" w:sz="0" w:space="0" w:color="000000"/>
              <w:left w:val="single" w:sz="0" w:space="0" w:color="000000"/>
              <w:bottom w:val="single" w:sz="0" w:space="0" w:color="000000"/>
              <w:right w:val="single" w:sz="0" w:space="0" w:color="000000"/>
            </w:tcBorders>
            <w:vAlign w:val="center"/>
          </w:tcPr>
          <w:p w:rsidR="00ED044C">
            <w:pPr>
              <w:ind w:left="17"/>
              <w:jc w:val="right"/>
              <w:rPr>
                <w:rFonts w:eastAsiaTheme="minorEastAsia"/>
                <w:color w:val="000000" w:themeColor="text1"/>
                <w:sz w:val="24"/>
              </w:rPr>
            </w:pPr>
            <w:r>
              <w:rPr>
                <w:rFonts w:eastAsiaTheme="minorEastAsia"/>
                <w:color w:val="000000" w:themeColor="text1"/>
              </w:rPr>
              <w:t>-</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ED044C">
            <w:pPr>
              <w:ind w:left="17"/>
              <w:jc w:val="center"/>
              <w:rPr>
                <w:rFonts w:eastAsiaTheme="minorEastAsia"/>
                <w:color w:val="000000" w:themeColor="text1"/>
                <w:sz w:val="24"/>
              </w:rPr>
            </w:pPr>
            <w:r>
              <w:rPr>
                <w:rFonts w:eastAsiaTheme="minorEastAsia"/>
                <w:color w:val="000000" w:themeColor="text1"/>
              </w:rPr>
              <w:t>9</w:t>
            </w:r>
          </w:p>
        </w:tc>
        <w:tc>
          <w:tcPr>
            <w:tcW w:w="3260" w:type="dxa"/>
            <w:tcBorders>
              <w:top w:val="single" w:sz="0" w:space="0" w:color="000000"/>
              <w:left w:val="single" w:sz="0" w:space="0" w:color="000000"/>
              <w:bottom w:val="single" w:sz="0" w:space="0" w:color="000000"/>
              <w:right w:val="single" w:sz="0" w:space="0" w:color="000000"/>
            </w:tcBorders>
            <w:vAlign w:val="center"/>
          </w:tcPr>
          <w:p w:rsidR="00ED044C">
            <w:pPr>
              <w:ind w:left="17"/>
              <w:jc w:val="left"/>
              <w:rPr>
                <w:rFonts w:eastAsiaTheme="minorEastAsia"/>
                <w:color w:val="000000" w:themeColor="text1"/>
                <w:sz w:val="24"/>
              </w:rPr>
            </w:pPr>
            <w:r>
              <w:rPr>
                <w:rFonts w:eastAsiaTheme="minorEastAsia"/>
                <w:color w:val="000000" w:themeColor="text1"/>
              </w:rPr>
              <w:t>其他</w:t>
            </w:r>
          </w:p>
        </w:tc>
        <w:tc>
          <w:tcPr>
            <w:tcW w:w="2835" w:type="dxa"/>
            <w:tcBorders>
              <w:top w:val="single" w:sz="0" w:space="0" w:color="000000"/>
              <w:left w:val="single" w:sz="0" w:space="0" w:color="000000"/>
              <w:bottom w:val="single" w:sz="0" w:space="0" w:color="000000"/>
              <w:right w:val="single" w:sz="0" w:space="0" w:color="000000"/>
            </w:tcBorders>
            <w:vAlign w:val="center"/>
          </w:tcPr>
          <w:p w:rsidR="00ED044C">
            <w:pPr>
              <w:ind w:left="17"/>
              <w:jc w:val="right"/>
              <w:rPr>
                <w:rFonts w:eastAsiaTheme="minorEastAsia"/>
                <w:color w:val="000000" w:themeColor="text1"/>
                <w:sz w:val="24"/>
              </w:rPr>
            </w:pPr>
            <w:r>
              <w:rPr>
                <w:rFonts w:eastAsiaTheme="minorEastAsia"/>
                <w:color w:val="000000" w:themeColor="text1"/>
              </w:rPr>
              <w:t>-</w:t>
            </w:r>
          </w:p>
        </w:tc>
        <w:tc>
          <w:tcPr>
            <w:tcW w:w="1616" w:type="dxa"/>
            <w:tcBorders>
              <w:top w:val="single" w:sz="0" w:space="0" w:color="000000"/>
              <w:left w:val="single" w:sz="0" w:space="0" w:color="000000"/>
              <w:bottom w:val="single" w:sz="0" w:space="0" w:color="000000"/>
              <w:right w:val="single" w:sz="0" w:space="0" w:color="000000"/>
            </w:tcBorders>
            <w:vAlign w:val="center"/>
          </w:tcPr>
          <w:p w:rsidR="00ED044C">
            <w:pPr>
              <w:ind w:left="17"/>
              <w:jc w:val="right"/>
              <w:rPr>
                <w:rFonts w:eastAsiaTheme="minorEastAsia"/>
                <w:color w:val="000000" w:themeColor="text1"/>
                <w:sz w:val="24"/>
              </w:rPr>
            </w:pPr>
            <w:r>
              <w:rPr>
                <w:rFonts w:eastAsiaTheme="minorEastAsia"/>
                <w:color w:val="000000" w:themeColor="text1"/>
              </w:rPr>
              <w:t>-</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ED044C">
            <w:pPr>
              <w:ind w:left="17"/>
              <w:jc w:val="center"/>
              <w:rPr>
                <w:rFonts w:eastAsiaTheme="minorEastAsia"/>
                <w:color w:val="000000" w:themeColor="text1"/>
                <w:sz w:val="24"/>
              </w:rPr>
            </w:pPr>
            <w:r>
              <w:rPr>
                <w:rFonts w:eastAsiaTheme="minorEastAsia"/>
                <w:color w:val="000000" w:themeColor="text1"/>
              </w:rPr>
              <w:t>10</w:t>
            </w:r>
          </w:p>
        </w:tc>
        <w:tc>
          <w:tcPr>
            <w:tcW w:w="3260" w:type="dxa"/>
            <w:tcBorders>
              <w:top w:val="single" w:sz="0" w:space="0" w:color="000000"/>
              <w:left w:val="single" w:sz="0" w:space="0" w:color="000000"/>
              <w:bottom w:val="single" w:sz="0" w:space="0" w:color="000000"/>
              <w:right w:val="single" w:sz="0" w:space="0" w:color="000000"/>
            </w:tcBorders>
            <w:vAlign w:val="center"/>
          </w:tcPr>
          <w:p w:rsidR="00ED044C">
            <w:pPr>
              <w:ind w:left="17"/>
              <w:jc w:val="left"/>
              <w:rPr>
                <w:rFonts w:eastAsiaTheme="minorEastAsia"/>
                <w:color w:val="000000" w:themeColor="text1"/>
                <w:sz w:val="24"/>
              </w:rPr>
            </w:pPr>
            <w:r>
              <w:rPr>
                <w:rFonts w:eastAsiaTheme="minorEastAsia"/>
                <w:color w:val="000000" w:themeColor="text1"/>
              </w:rPr>
              <w:t>合计</w:t>
            </w:r>
          </w:p>
        </w:tc>
        <w:tc>
          <w:tcPr>
            <w:tcW w:w="2835" w:type="dxa"/>
            <w:tcBorders>
              <w:top w:val="single" w:sz="0" w:space="0" w:color="000000"/>
              <w:left w:val="single" w:sz="0" w:space="0" w:color="000000"/>
              <w:bottom w:val="single" w:sz="0" w:space="0" w:color="000000"/>
              <w:right w:val="single" w:sz="0" w:space="0" w:color="000000"/>
            </w:tcBorders>
            <w:vAlign w:val="center"/>
          </w:tcPr>
          <w:p w:rsidR="00ED044C">
            <w:pPr>
              <w:ind w:left="17"/>
              <w:jc w:val="right"/>
              <w:rPr>
                <w:rFonts w:eastAsiaTheme="minorEastAsia"/>
                <w:color w:val="000000" w:themeColor="text1"/>
                <w:sz w:val="24"/>
              </w:rPr>
            </w:pPr>
            <w:r>
              <w:rPr>
                <w:rFonts w:eastAsiaTheme="minorEastAsia"/>
                <w:color w:val="000000" w:themeColor="text1"/>
              </w:rPr>
              <w:t>5,126,178,930.29</w:t>
            </w:r>
          </w:p>
        </w:tc>
        <w:tc>
          <w:tcPr>
            <w:tcW w:w="1616" w:type="dxa"/>
            <w:tcBorders>
              <w:top w:val="single" w:sz="0" w:space="0" w:color="000000"/>
              <w:left w:val="single" w:sz="0" w:space="0" w:color="000000"/>
              <w:bottom w:val="single" w:sz="0" w:space="0" w:color="000000"/>
              <w:right w:val="single" w:sz="0" w:space="0" w:color="000000"/>
            </w:tcBorders>
            <w:vAlign w:val="center"/>
          </w:tcPr>
          <w:p w:rsidR="00ED044C">
            <w:pPr>
              <w:ind w:left="17"/>
              <w:jc w:val="right"/>
              <w:rPr>
                <w:rFonts w:eastAsiaTheme="minorEastAsia"/>
                <w:color w:val="000000" w:themeColor="text1"/>
                <w:sz w:val="24"/>
              </w:rPr>
            </w:pPr>
            <w:r>
              <w:rPr>
                <w:rFonts w:eastAsiaTheme="minorEastAsia"/>
                <w:color w:val="000000" w:themeColor="text1"/>
              </w:rPr>
              <w:t>125.31</w:t>
            </w:r>
          </w:p>
        </w:tc>
      </w:tr>
    </w:tbl>
    <w:p w:rsidR="00336BCC">
      <w:pPr>
        <w:spacing w:line="360" w:lineRule="auto"/>
        <w:jc w:val="left"/>
      </w:pPr>
      <w:r>
        <w:t>5</w:t>
      </w:r>
      <w:r>
        <w:t>、</w:t>
      </w:r>
      <w:r>
        <w:t xml:space="preserve"> </w:t>
      </w:r>
      <w:r>
        <w:t>报告期末按公允价值占基金资产净值比例大小排序的前五名债券投资明细</w:t>
      </w:r>
    </w:p>
    <w:tbl>
      <w:tblPr>
        <w:tblStyle w:val="TableGrid"/>
        <w:tblW w:w="0" w:type="auto"/>
        <w:tblInd w:w="15" w:type="dxa"/>
        <w:tblLayout w:type="fixed"/>
        <w:tblLook w:val="04A0"/>
      </w:tblPr>
      <w:tblGrid>
        <w:gridCol w:w="802"/>
        <w:gridCol w:w="1559"/>
        <w:gridCol w:w="1985"/>
        <w:gridCol w:w="1559"/>
        <w:gridCol w:w="2126"/>
        <w:gridCol w:w="990"/>
      </w:tblGrid>
      <w:tr>
        <w:tblPrEx>
          <w:tblW w:w="0" w:type="auto"/>
          <w:tblInd w:w="15" w:type="dxa"/>
          <w:tblLayout w:type="fixed"/>
          <w:tblLook w:val="04A0"/>
        </w:tblPrEx>
        <w:tc>
          <w:tcPr>
            <w:tcW w:w="802" w:type="dxa"/>
            <w:tcBorders>
              <w:top w:val="single" w:sz="0" w:space="0" w:color="000000"/>
              <w:left w:val="single" w:sz="0" w:space="0" w:color="000000"/>
              <w:bottom w:val="single" w:sz="0" w:space="0" w:color="000000"/>
              <w:right w:val="single" w:sz="0" w:space="0" w:color="000000"/>
            </w:tcBorders>
            <w:vAlign w:val="center"/>
          </w:tcPr>
          <w:p w:rsidR="00ED044C">
            <w:pPr>
              <w:autoSpaceDE w:val="0"/>
              <w:autoSpaceDN w:val="0"/>
              <w:adjustRightInd w:val="0"/>
              <w:ind w:left="15"/>
              <w:jc w:val="center"/>
              <w:rPr>
                <w:color w:val="000000"/>
                <w:kern w:val="0"/>
                <w:sz w:val="24"/>
              </w:rPr>
            </w:pPr>
            <w:r>
              <w:rPr>
                <w:color w:val="000000"/>
                <w:kern w:val="0"/>
              </w:rPr>
              <w:t>序号</w:t>
            </w:r>
          </w:p>
        </w:tc>
        <w:tc>
          <w:tcPr>
            <w:tcW w:w="1559" w:type="dxa"/>
            <w:tcBorders>
              <w:top w:val="single" w:sz="0" w:space="0" w:color="000000"/>
              <w:left w:val="single" w:sz="0" w:space="0" w:color="000000"/>
              <w:bottom w:val="single" w:sz="0" w:space="0" w:color="000000"/>
              <w:right w:val="single" w:sz="0" w:space="0" w:color="000000"/>
            </w:tcBorders>
            <w:vAlign w:val="center"/>
          </w:tcPr>
          <w:p w:rsidR="00ED044C">
            <w:pPr>
              <w:autoSpaceDE w:val="0"/>
              <w:autoSpaceDN w:val="0"/>
              <w:adjustRightInd w:val="0"/>
              <w:ind w:left="15"/>
              <w:jc w:val="center"/>
              <w:rPr>
                <w:color w:val="000000"/>
                <w:kern w:val="0"/>
                <w:sz w:val="24"/>
              </w:rPr>
            </w:pPr>
            <w:r>
              <w:rPr>
                <w:color w:val="000000"/>
                <w:kern w:val="0"/>
              </w:rPr>
              <w:t>债券代码</w:t>
            </w:r>
          </w:p>
        </w:tc>
        <w:tc>
          <w:tcPr>
            <w:tcW w:w="1985" w:type="dxa"/>
            <w:tcBorders>
              <w:top w:val="single" w:sz="0" w:space="0" w:color="000000"/>
              <w:left w:val="single" w:sz="0" w:space="0" w:color="000000"/>
              <w:bottom w:val="single" w:sz="0" w:space="0" w:color="000000"/>
              <w:right w:val="single" w:sz="0" w:space="0" w:color="000000"/>
            </w:tcBorders>
            <w:vAlign w:val="center"/>
          </w:tcPr>
          <w:p w:rsidR="00ED044C">
            <w:pPr>
              <w:autoSpaceDE w:val="0"/>
              <w:autoSpaceDN w:val="0"/>
              <w:adjustRightInd w:val="0"/>
              <w:ind w:left="15"/>
              <w:jc w:val="center"/>
              <w:rPr>
                <w:color w:val="000000"/>
                <w:kern w:val="0"/>
                <w:sz w:val="24"/>
              </w:rPr>
            </w:pPr>
            <w:r>
              <w:rPr>
                <w:color w:val="000000"/>
                <w:kern w:val="0"/>
              </w:rPr>
              <w:t>债券名称</w:t>
            </w:r>
          </w:p>
        </w:tc>
        <w:tc>
          <w:tcPr>
            <w:tcW w:w="1559" w:type="dxa"/>
            <w:tcBorders>
              <w:top w:val="single" w:sz="0" w:space="0" w:color="000000"/>
              <w:left w:val="single" w:sz="0" w:space="0" w:color="000000"/>
              <w:bottom w:val="single" w:sz="0" w:space="0" w:color="000000"/>
              <w:right w:val="single" w:sz="0" w:space="0" w:color="000000"/>
            </w:tcBorders>
            <w:vAlign w:val="center"/>
          </w:tcPr>
          <w:p w:rsidR="00ED044C">
            <w:pPr>
              <w:autoSpaceDE w:val="0"/>
              <w:autoSpaceDN w:val="0"/>
              <w:adjustRightInd w:val="0"/>
              <w:ind w:left="15"/>
              <w:jc w:val="center"/>
              <w:rPr>
                <w:color w:val="000000"/>
                <w:kern w:val="0"/>
                <w:sz w:val="24"/>
              </w:rPr>
            </w:pPr>
            <w:r>
              <w:rPr>
                <w:color w:val="000000"/>
                <w:kern w:val="0"/>
              </w:rPr>
              <w:t>数量（张）</w:t>
            </w:r>
          </w:p>
        </w:tc>
        <w:tc>
          <w:tcPr>
            <w:tcW w:w="2126" w:type="dxa"/>
            <w:tcBorders>
              <w:top w:val="single" w:sz="0" w:space="0" w:color="000000"/>
              <w:left w:val="single" w:sz="0" w:space="0" w:color="000000"/>
              <w:bottom w:val="single" w:sz="0" w:space="0" w:color="000000"/>
              <w:right w:val="single" w:sz="0" w:space="0" w:color="000000"/>
            </w:tcBorders>
            <w:vAlign w:val="center"/>
          </w:tcPr>
          <w:p w:rsidR="00ED044C">
            <w:pPr>
              <w:autoSpaceDE w:val="0"/>
              <w:autoSpaceDN w:val="0"/>
              <w:adjustRightInd w:val="0"/>
              <w:ind w:left="15"/>
              <w:jc w:val="center"/>
              <w:rPr>
                <w:color w:val="000000"/>
                <w:kern w:val="0"/>
                <w:sz w:val="24"/>
              </w:rPr>
            </w:pPr>
            <w:r>
              <w:rPr>
                <w:color w:val="000000"/>
                <w:kern w:val="0"/>
              </w:rPr>
              <w:t>公允价值</w:t>
            </w:r>
            <w:r>
              <w:rPr>
                <w:color w:val="000000"/>
                <w:kern w:val="0"/>
              </w:rPr>
              <w:t>(</w:t>
            </w:r>
            <w:r>
              <w:rPr>
                <w:color w:val="000000"/>
                <w:kern w:val="0"/>
              </w:rPr>
              <w:t>元</w:t>
            </w:r>
            <w:r>
              <w:rPr>
                <w:color w:val="000000"/>
                <w:kern w:val="0"/>
              </w:rPr>
              <w:t>)</w:t>
            </w:r>
          </w:p>
        </w:tc>
        <w:tc>
          <w:tcPr>
            <w:tcW w:w="990" w:type="dxa"/>
            <w:tcBorders>
              <w:top w:val="single" w:sz="0" w:space="0" w:color="000000"/>
              <w:left w:val="single" w:sz="0" w:space="0" w:color="000000"/>
              <w:bottom w:val="single" w:sz="0" w:space="0" w:color="000000"/>
              <w:right w:val="single" w:sz="0" w:space="0" w:color="000000"/>
            </w:tcBorders>
            <w:vAlign w:val="center"/>
          </w:tcPr>
          <w:p w:rsidR="00ED044C">
            <w:pPr>
              <w:autoSpaceDE w:val="0"/>
              <w:autoSpaceDN w:val="0"/>
              <w:adjustRightInd w:val="0"/>
              <w:ind w:left="15"/>
              <w:jc w:val="center"/>
              <w:rPr>
                <w:color w:val="000000"/>
                <w:kern w:val="0"/>
                <w:sz w:val="24"/>
              </w:rPr>
            </w:pPr>
            <w:r>
              <w:rPr>
                <w:color w:val="000000"/>
                <w:kern w:val="0"/>
              </w:rPr>
              <w:t>占基金资产净值比例（％）</w:t>
            </w:r>
          </w:p>
        </w:tc>
      </w:tr>
      <w:tr>
        <w:tblPrEx>
          <w:tblW w:w="0" w:type="auto"/>
          <w:tblInd w:w="15" w:type="dxa"/>
          <w:tblLayout w:type="fixed"/>
          <w:tblLook w:val="04A0"/>
        </w:tblPrEx>
        <w:tc>
          <w:tcPr>
            <w:tcW w:w="802" w:type="dxa"/>
            <w:tcBorders>
              <w:top w:val="single" w:sz="0" w:space="0" w:color="000000"/>
              <w:left w:val="single" w:sz="0" w:space="0" w:color="000000"/>
              <w:bottom w:val="single" w:sz="0" w:space="0" w:color="000000"/>
              <w:right w:val="single" w:sz="0" w:space="0" w:color="000000"/>
            </w:tcBorders>
            <w:vAlign w:val="center"/>
          </w:tcPr>
          <w:p w:rsidR="00F6599F">
            <w:pPr>
              <w:jc w:val="center"/>
            </w:pPr>
            <w:r>
              <w:rPr>
                <w:color w:val="000000"/>
              </w:rPr>
              <w:t>1</w:t>
            </w:r>
          </w:p>
        </w:tc>
        <w:tc>
          <w:tcPr>
            <w:tcW w:w="1559" w:type="dxa"/>
            <w:tcBorders>
              <w:top w:val="single" w:sz="0" w:space="0" w:color="000000"/>
              <w:left w:val="single" w:sz="0" w:space="0" w:color="000000"/>
              <w:bottom w:val="single" w:sz="0" w:space="0" w:color="000000"/>
              <w:right w:val="single" w:sz="0" w:space="0" w:color="000000"/>
            </w:tcBorders>
            <w:vAlign w:val="center"/>
          </w:tcPr>
          <w:p w:rsidR="00F6599F">
            <w:pPr>
              <w:jc w:val="center"/>
            </w:pPr>
            <w:r>
              <w:rPr>
                <w:color w:val="000000"/>
              </w:rPr>
              <w:t>102281954</w:t>
            </w:r>
          </w:p>
        </w:tc>
        <w:tc>
          <w:tcPr>
            <w:tcW w:w="1985" w:type="dxa"/>
            <w:tcBorders>
              <w:top w:val="single" w:sz="0" w:space="0" w:color="000000"/>
              <w:left w:val="single" w:sz="0" w:space="0" w:color="000000"/>
              <w:bottom w:val="single" w:sz="0" w:space="0" w:color="000000"/>
              <w:right w:val="single" w:sz="0" w:space="0" w:color="000000"/>
            </w:tcBorders>
            <w:vAlign w:val="center"/>
          </w:tcPr>
          <w:p w:rsidR="00F6599F">
            <w:pPr>
              <w:jc w:val="center"/>
            </w:pPr>
            <w:r>
              <w:rPr>
                <w:color w:val="000000"/>
              </w:rPr>
              <w:t>22</w:t>
            </w:r>
            <w:r>
              <w:rPr>
                <w:color w:val="000000"/>
              </w:rPr>
              <w:t>中电投</w:t>
            </w:r>
            <w:r>
              <w:rPr>
                <w:color w:val="000000"/>
              </w:rPr>
              <w:t>MTN026</w:t>
            </w:r>
          </w:p>
        </w:tc>
        <w:tc>
          <w:tcPr>
            <w:tcW w:w="1559" w:type="dxa"/>
            <w:tcBorders>
              <w:top w:val="single" w:sz="0" w:space="0" w:color="000000"/>
              <w:left w:val="single" w:sz="0" w:space="0" w:color="000000"/>
              <w:bottom w:val="single" w:sz="0" w:space="0" w:color="000000"/>
              <w:right w:val="single" w:sz="0" w:space="0" w:color="000000"/>
            </w:tcBorders>
            <w:vAlign w:val="center"/>
          </w:tcPr>
          <w:p w:rsidR="00F6599F">
            <w:pPr>
              <w:jc w:val="right"/>
            </w:pPr>
            <w:r>
              <w:rPr>
                <w:color w:val="000000"/>
              </w:rPr>
              <w:t>2,000,000</w:t>
            </w:r>
          </w:p>
        </w:tc>
        <w:tc>
          <w:tcPr>
            <w:tcW w:w="2126" w:type="dxa"/>
            <w:tcBorders>
              <w:top w:val="single" w:sz="0" w:space="0" w:color="000000"/>
              <w:left w:val="single" w:sz="0" w:space="0" w:color="000000"/>
              <w:bottom w:val="single" w:sz="0" w:space="0" w:color="000000"/>
              <w:right w:val="single" w:sz="0" w:space="0" w:color="000000"/>
            </w:tcBorders>
            <w:vAlign w:val="center"/>
          </w:tcPr>
          <w:p w:rsidR="00F6599F">
            <w:pPr>
              <w:jc w:val="right"/>
            </w:pPr>
            <w:r>
              <w:rPr>
                <w:color w:val="000000"/>
              </w:rPr>
              <w:t>200,485,041.10</w:t>
            </w:r>
          </w:p>
        </w:tc>
        <w:tc>
          <w:tcPr>
            <w:tcW w:w="990" w:type="dxa"/>
            <w:tcBorders>
              <w:top w:val="single" w:sz="0" w:space="0" w:color="000000"/>
              <w:left w:val="single" w:sz="0" w:space="0" w:color="000000"/>
              <w:bottom w:val="single" w:sz="0" w:space="0" w:color="000000"/>
              <w:right w:val="single" w:sz="0" w:space="0" w:color="000000"/>
            </w:tcBorders>
            <w:vAlign w:val="center"/>
          </w:tcPr>
          <w:p w:rsidR="00F6599F">
            <w:pPr>
              <w:jc w:val="right"/>
            </w:pPr>
            <w:r>
              <w:rPr>
                <w:color w:val="000000"/>
              </w:rPr>
              <w:t>4.90</w:t>
            </w:r>
          </w:p>
        </w:tc>
      </w:tr>
      <w:tr>
        <w:tblPrEx>
          <w:tblW w:w="0" w:type="auto"/>
          <w:tblInd w:w="15" w:type="dxa"/>
          <w:tblLayout w:type="fixed"/>
          <w:tblLook w:val="04A0"/>
        </w:tblPrEx>
        <w:tc>
          <w:tcPr>
            <w:tcW w:w="802" w:type="dxa"/>
            <w:tcBorders>
              <w:top w:val="single" w:sz="0" w:space="0" w:color="000000"/>
              <w:left w:val="single" w:sz="0" w:space="0" w:color="000000"/>
              <w:bottom w:val="single" w:sz="0" w:space="0" w:color="000000"/>
              <w:right w:val="single" w:sz="0" w:space="0" w:color="000000"/>
            </w:tcBorders>
            <w:vAlign w:val="center"/>
          </w:tcPr>
          <w:p w:rsidR="00F6599F">
            <w:pPr>
              <w:jc w:val="center"/>
            </w:pPr>
            <w:r>
              <w:rPr>
                <w:color w:val="000000"/>
              </w:rPr>
              <w:t>2</w:t>
            </w:r>
          </w:p>
        </w:tc>
        <w:tc>
          <w:tcPr>
            <w:tcW w:w="1559" w:type="dxa"/>
            <w:tcBorders>
              <w:top w:val="single" w:sz="0" w:space="0" w:color="000000"/>
              <w:left w:val="single" w:sz="0" w:space="0" w:color="000000"/>
              <w:bottom w:val="single" w:sz="0" w:space="0" w:color="000000"/>
              <w:right w:val="single" w:sz="0" w:space="0" w:color="000000"/>
            </w:tcBorders>
            <w:vAlign w:val="center"/>
          </w:tcPr>
          <w:p w:rsidR="00F6599F">
            <w:pPr>
              <w:jc w:val="center"/>
            </w:pPr>
            <w:r>
              <w:rPr>
                <w:color w:val="000000"/>
              </w:rPr>
              <w:t>220311</w:t>
            </w:r>
          </w:p>
        </w:tc>
        <w:tc>
          <w:tcPr>
            <w:tcW w:w="1985" w:type="dxa"/>
            <w:tcBorders>
              <w:top w:val="single" w:sz="0" w:space="0" w:color="000000"/>
              <w:left w:val="single" w:sz="0" w:space="0" w:color="000000"/>
              <w:bottom w:val="single" w:sz="0" w:space="0" w:color="000000"/>
              <w:right w:val="single" w:sz="0" w:space="0" w:color="000000"/>
            </w:tcBorders>
            <w:vAlign w:val="center"/>
          </w:tcPr>
          <w:p w:rsidR="00F6599F">
            <w:pPr>
              <w:jc w:val="center"/>
            </w:pPr>
            <w:r>
              <w:rPr>
                <w:color w:val="000000"/>
              </w:rPr>
              <w:t>22</w:t>
            </w:r>
            <w:r>
              <w:rPr>
                <w:color w:val="000000"/>
              </w:rPr>
              <w:t>进出</w:t>
            </w:r>
            <w:r>
              <w:rPr>
                <w:color w:val="000000"/>
              </w:rPr>
              <w:t>11</w:t>
            </w:r>
          </w:p>
        </w:tc>
        <w:tc>
          <w:tcPr>
            <w:tcW w:w="1559" w:type="dxa"/>
            <w:tcBorders>
              <w:top w:val="single" w:sz="0" w:space="0" w:color="000000"/>
              <w:left w:val="single" w:sz="0" w:space="0" w:color="000000"/>
              <w:bottom w:val="single" w:sz="0" w:space="0" w:color="000000"/>
              <w:right w:val="single" w:sz="0" w:space="0" w:color="000000"/>
            </w:tcBorders>
            <w:vAlign w:val="center"/>
          </w:tcPr>
          <w:p w:rsidR="00F6599F">
            <w:pPr>
              <w:jc w:val="right"/>
            </w:pPr>
            <w:r>
              <w:rPr>
                <w:color w:val="000000"/>
              </w:rPr>
              <w:t>2,000,000</w:t>
            </w:r>
          </w:p>
        </w:tc>
        <w:tc>
          <w:tcPr>
            <w:tcW w:w="2126" w:type="dxa"/>
            <w:tcBorders>
              <w:top w:val="single" w:sz="0" w:space="0" w:color="000000"/>
              <w:left w:val="single" w:sz="0" w:space="0" w:color="000000"/>
              <w:bottom w:val="single" w:sz="0" w:space="0" w:color="000000"/>
              <w:right w:val="single" w:sz="0" w:space="0" w:color="000000"/>
            </w:tcBorders>
            <w:vAlign w:val="center"/>
          </w:tcPr>
          <w:p w:rsidR="00F6599F">
            <w:pPr>
              <w:jc w:val="right"/>
            </w:pPr>
            <w:r>
              <w:rPr>
                <w:color w:val="000000"/>
              </w:rPr>
              <w:t>198,143,287.67</w:t>
            </w:r>
          </w:p>
        </w:tc>
        <w:tc>
          <w:tcPr>
            <w:tcW w:w="990" w:type="dxa"/>
            <w:tcBorders>
              <w:top w:val="single" w:sz="0" w:space="0" w:color="000000"/>
              <w:left w:val="single" w:sz="0" w:space="0" w:color="000000"/>
              <w:bottom w:val="single" w:sz="0" w:space="0" w:color="000000"/>
              <w:right w:val="single" w:sz="0" w:space="0" w:color="000000"/>
            </w:tcBorders>
            <w:vAlign w:val="center"/>
          </w:tcPr>
          <w:p w:rsidR="00F6599F">
            <w:pPr>
              <w:jc w:val="right"/>
            </w:pPr>
            <w:r>
              <w:rPr>
                <w:color w:val="000000"/>
              </w:rPr>
              <w:t>4.84</w:t>
            </w:r>
          </w:p>
        </w:tc>
      </w:tr>
      <w:tr>
        <w:tblPrEx>
          <w:tblW w:w="0" w:type="auto"/>
          <w:tblInd w:w="15" w:type="dxa"/>
          <w:tblLayout w:type="fixed"/>
          <w:tblLook w:val="04A0"/>
        </w:tblPrEx>
        <w:tc>
          <w:tcPr>
            <w:tcW w:w="802" w:type="dxa"/>
            <w:tcBorders>
              <w:top w:val="single" w:sz="0" w:space="0" w:color="000000"/>
              <w:left w:val="single" w:sz="0" w:space="0" w:color="000000"/>
              <w:bottom w:val="single" w:sz="0" w:space="0" w:color="000000"/>
              <w:right w:val="single" w:sz="0" w:space="0" w:color="000000"/>
            </w:tcBorders>
            <w:vAlign w:val="center"/>
          </w:tcPr>
          <w:p w:rsidR="00F6599F">
            <w:pPr>
              <w:jc w:val="center"/>
            </w:pPr>
            <w:r>
              <w:rPr>
                <w:color w:val="000000"/>
              </w:rPr>
              <w:t>3</w:t>
            </w:r>
          </w:p>
        </w:tc>
        <w:tc>
          <w:tcPr>
            <w:tcW w:w="1559" w:type="dxa"/>
            <w:tcBorders>
              <w:top w:val="single" w:sz="0" w:space="0" w:color="000000"/>
              <w:left w:val="single" w:sz="0" w:space="0" w:color="000000"/>
              <w:bottom w:val="single" w:sz="0" w:space="0" w:color="000000"/>
              <w:right w:val="single" w:sz="0" w:space="0" w:color="000000"/>
            </w:tcBorders>
            <w:vAlign w:val="center"/>
          </w:tcPr>
          <w:p w:rsidR="00F6599F">
            <w:pPr>
              <w:jc w:val="center"/>
            </w:pPr>
            <w:r>
              <w:rPr>
                <w:color w:val="000000"/>
              </w:rPr>
              <w:t>2220019</w:t>
            </w:r>
          </w:p>
        </w:tc>
        <w:tc>
          <w:tcPr>
            <w:tcW w:w="1985" w:type="dxa"/>
            <w:tcBorders>
              <w:top w:val="single" w:sz="0" w:space="0" w:color="000000"/>
              <w:left w:val="single" w:sz="0" w:space="0" w:color="000000"/>
              <w:bottom w:val="single" w:sz="0" w:space="0" w:color="000000"/>
              <w:right w:val="single" w:sz="0" w:space="0" w:color="000000"/>
            </w:tcBorders>
            <w:vAlign w:val="center"/>
          </w:tcPr>
          <w:p w:rsidR="00F6599F">
            <w:pPr>
              <w:jc w:val="center"/>
            </w:pPr>
            <w:r>
              <w:rPr>
                <w:color w:val="000000"/>
              </w:rPr>
              <w:t>22</w:t>
            </w:r>
            <w:r>
              <w:rPr>
                <w:color w:val="000000"/>
              </w:rPr>
              <w:t>南京银行</w:t>
            </w:r>
            <w:r>
              <w:rPr>
                <w:color w:val="000000"/>
              </w:rPr>
              <w:t>01</w:t>
            </w:r>
          </w:p>
        </w:tc>
        <w:tc>
          <w:tcPr>
            <w:tcW w:w="1559" w:type="dxa"/>
            <w:tcBorders>
              <w:top w:val="single" w:sz="0" w:space="0" w:color="000000"/>
              <w:left w:val="single" w:sz="0" w:space="0" w:color="000000"/>
              <w:bottom w:val="single" w:sz="0" w:space="0" w:color="000000"/>
              <w:right w:val="single" w:sz="0" w:space="0" w:color="000000"/>
            </w:tcBorders>
            <w:vAlign w:val="center"/>
          </w:tcPr>
          <w:p w:rsidR="00F6599F">
            <w:pPr>
              <w:jc w:val="right"/>
            </w:pPr>
            <w:r>
              <w:rPr>
                <w:color w:val="000000"/>
              </w:rPr>
              <w:t>1,500,000</w:t>
            </w:r>
          </w:p>
        </w:tc>
        <w:tc>
          <w:tcPr>
            <w:tcW w:w="2126" w:type="dxa"/>
            <w:tcBorders>
              <w:top w:val="single" w:sz="0" w:space="0" w:color="000000"/>
              <w:left w:val="single" w:sz="0" w:space="0" w:color="000000"/>
              <w:bottom w:val="single" w:sz="0" w:space="0" w:color="000000"/>
              <w:right w:val="single" w:sz="0" w:space="0" w:color="000000"/>
            </w:tcBorders>
            <w:vAlign w:val="center"/>
          </w:tcPr>
          <w:p w:rsidR="00F6599F">
            <w:pPr>
              <w:jc w:val="right"/>
            </w:pPr>
            <w:r>
              <w:rPr>
                <w:color w:val="000000"/>
              </w:rPr>
              <w:t>154,162,405.48</w:t>
            </w:r>
          </w:p>
        </w:tc>
        <w:tc>
          <w:tcPr>
            <w:tcW w:w="990" w:type="dxa"/>
            <w:tcBorders>
              <w:top w:val="single" w:sz="0" w:space="0" w:color="000000"/>
              <w:left w:val="single" w:sz="0" w:space="0" w:color="000000"/>
              <w:bottom w:val="single" w:sz="0" w:space="0" w:color="000000"/>
              <w:right w:val="single" w:sz="0" w:space="0" w:color="000000"/>
            </w:tcBorders>
            <w:vAlign w:val="center"/>
          </w:tcPr>
          <w:p w:rsidR="00F6599F">
            <w:pPr>
              <w:jc w:val="right"/>
            </w:pPr>
            <w:r>
              <w:rPr>
                <w:color w:val="000000"/>
              </w:rPr>
              <w:t>3.77</w:t>
            </w:r>
          </w:p>
        </w:tc>
      </w:tr>
      <w:tr>
        <w:tblPrEx>
          <w:tblW w:w="0" w:type="auto"/>
          <w:tblInd w:w="15" w:type="dxa"/>
          <w:tblLayout w:type="fixed"/>
          <w:tblLook w:val="04A0"/>
        </w:tblPrEx>
        <w:tc>
          <w:tcPr>
            <w:tcW w:w="802" w:type="dxa"/>
            <w:tcBorders>
              <w:top w:val="single" w:sz="0" w:space="0" w:color="000000"/>
              <w:left w:val="single" w:sz="0" w:space="0" w:color="000000"/>
              <w:bottom w:val="single" w:sz="0" w:space="0" w:color="000000"/>
              <w:right w:val="single" w:sz="0" w:space="0" w:color="000000"/>
            </w:tcBorders>
            <w:vAlign w:val="center"/>
          </w:tcPr>
          <w:p w:rsidR="00F6599F">
            <w:pPr>
              <w:jc w:val="center"/>
            </w:pPr>
            <w:r>
              <w:rPr>
                <w:color w:val="000000"/>
              </w:rPr>
              <w:t>4</w:t>
            </w:r>
          </w:p>
        </w:tc>
        <w:tc>
          <w:tcPr>
            <w:tcW w:w="1559" w:type="dxa"/>
            <w:tcBorders>
              <w:top w:val="single" w:sz="0" w:space="0" w:color="000000"/>
              <w:left w:val="single" w:sz="0" w:space="0" w:color="000000"/>
              <w:bottom w:val="single" w:sz="0" w:space="0" w:color="000000"/>
              <w:right w:val="single" w:sz="0" w:space="0" w:color="000000"/>
            </w:tcBorders>
            <w:vAlign w:val="center"/>
          </w:tcPr>
          <w:p w:rsidR="00F6599F">
            <w:pPr>
              <w:jc w:val="center"/>
            </w:pPr>
            <w:r>
              <w:rPr>
                <w:color w:val="000000"/>
              </w:rPr>
              <w:t>2228020</w:t>
            </w:r>
          </w:p>
        </w:tc>
        <w:tc>
          <w:tcPr>
            <w:tcW w:w="1985" w:type="dxa"/>
            <w:tcBorders>
              <w:top w:val="single" w:sz="0" w:space="0" w:color="000000"/>
              <w:left w:val="single" w:sz="0" w:space="0" w:color="000000"/>
              <w:bottom w:val="single" w:sz="0" w:space="0" w:color="000000"/>
              <w:right w:val="single" w:sz="0" w:space="0" w:color="000000"/>
            </w:tcBorders>
            <w:vAlign w:val="center"/>
          </w:tcPr>
          <w:p w:rsidR="00F6599F">
            <w:pPr>
              <w:jc w:val="center"/>
            </w:pPr>
            <w:r>
              <w:rPr>
                <w:color w:val="000000"/>
              </w:rPr>
              <w:t>22</w:t>
            </w:r>
            <w:r>
              <w:rPr>
                <w:color w:val="000000"/>
              </w:rPr>
              <w:t>兴业银行</w:t>
            </w:r>
            <w:r>
              <w:rPr>
                <w:color w:val="000000"/>
              </w:rPr>
              <w:t>02</w:t>
            </w:r>
          </w:p>
        </w:tc>
        <w:tc>
          <w:tcPr>
            <w:tcW w:w="1559" w:type="dxa"/>
            <w:tcBorders>
              <w:top w:val="single" w:sz="0" w:space="0" w:color="000000"/>
              <w:left w:val="single" w:sz="0" w:space="0" w:color="000000"/>
              <w:bottom w:val="single" w:sz="0" w:space="0" w:color="000000"/>
              <w:right w:val="single" w:sz="0" w:space="0" w:color="000000"/>
            </w:tcBorders>
            <w:vAlign w:val="center"/>
          </w:tcPr>
          <w:p w:rsidR="00F6599F">
            <w:pPr>
              <w:jc w:val="right"/>
            </w:pPr>
            <w:r>
              <w:rPr>
                <w:color w:val="000000"/>
              </w:rPr>
              <w:t>1,200,000</w:t>
            </w:r>
          </w:p>
        </w:tc>
        <w:tc>
          <w:tcPr>
            <w:tcW w:w="2126" w:type="dxa"/>
            <w:tcBorders>
              <w:top w:val="single" w:sz="0" w:space="0" w:color="000000"/>
              <w:left w:val="single" w:sz="0" w:space="0" w:color="000000"/>
              <w:bottom w:val="single" w:sz="0" w:space="0" w:color="000000"/>
              <w:right w:val="single" w:sz="0" w:space="0" w:color="000000"/>
            </w:tcBorders>
            <w:vAlign w:val="center"/>
          </w:tcPr>
          <w:p w:rsidR="00F6599F">
            <w:pPr>
              <w:jc w:val="right"/>
            </w:pPr>
            <w:r>
              <w:rPr>
                <w:color w:val="000000"/>
              </w:rPr>
              <w:t>123,256,826.30</w:t>
            </w:r>
          </w:p>
        </w:tc>
        <w:tc>
          <w:tcPr>
            <w:tcW w:w="990" w:type="dxa"/>
            <w:tcBorders>
              <w:top w:val="single" w:sz="0" w:space="0" w:color="000000"/>
              <w:left w:val="single" w:sz="0" w:space="0" w:color="000000"/>
              <w:bottom w:val="single" w:sz="0" w:space="0" w:color="000000"/>
              <w:right w:val="single" w:sz="0" w:space="0" w:color="000000"/>
            </w:tcBorders>
            <w:vAlign w:val="center"/>
          </w:tcPr>
          <w:p w:rsidR="00F6599F">
            <w:pPr>
              <w:jc w:val="right"/>
            </w:pPr>
            <w:r>
              <w:rPr>
                <w:color w:val="000000"/>
              </w:rPr>
              <w:t>3.01</w:t>
            </w:r>
          </w:p>
        </w:tc>
      </w:tr>
      <w:tr>
        <w:tblPrEx>
          <w:tblW w:w="0" w:type="auto"/>
          <w:tblInd w:w="15" w:type="dxa"/>
          <w:tblLayout w:type="fixed"/>
          <w:tblLook w:val="04A0"/>
        </w:tblPrEx>
        <w:tc>
          <w:tcPr>
            <w:tcW w:w="802" w:type="dxa"/>
            <w:tcBorders>
              <w:top w:val="single" w:sz="0" w:space="0" w:color="000000"/>
              <w:left w:val="single" w:sz="0" w:space="0" w:color="000000"/>
              <w:bottom w:val="single" w:sz="0" w:space="0" w:color="000000"/>
              <w:right w:val="single" w:sz="0" w:space="0" w:color="000000"/>
            </w:tcBorders>
            <w:vAlign w:val="center"/>
          </w:tcPr>
          <w:p w:rsidR="00F6599F">
            <w:pPr>
              <w:jc w:val="center"/>
            </w:pPr>
            <w:r>
              <w:rPr>
                <w:color w:val="000000"/>
              </w:rPr>
              <w:t>5</w:t>
            </w:r>
          </w:p>
        </w:tc>
        <w:tc>
          <w:tcPr>
            <w:tcW w:w="1559" w:type="dxa"/>
            <w:tcBorders>
              <w:top w:val="single" w:sz="0" w:space="0" w:color="000000"/>
              <w:left w:val="single" w:sz="0" w:space="0" w:color="000000"/>
              <w:bottom w:val="single" w:sz="0" w:space="0" w:color="000000"/>
              <w:right w:val="single" w:sz="0" w:space="0" w:color="000000"/>
            </w:tcBorders>
            <w:vAlign w:val="center"/>
          </w:tcPr>
          <w:p w:rsidR="00F6599F">
            <w:pPr>
              <w:jc w:val="center"/>
            </w:pPr>
            <w:r>
              <w:rPr>
                <w:color w:val="000000"/>
              </w:rPr>
              <w:t>102281662</w:t>
            </w:r>
          </w:p>
        </w:tc>
        <w:tc>
          <w:tcPr>
            <w:tcW w:w="1985" w:type="dxa"/>
            <w:tcBorders>
              <w:top w:val="single" w:sz="0" w:space="0" w:color="000000"/>
              <w:left w:val="single" w:sz="0" w:space="0" w:color="000000"/>
              <w:bottom w:val="single" w:sz="0" w:space="0" w:color="000000"/>
              <w:right w:val="single" w:sz="0" w:space="0" w:color="000000"/>
            </w:tcBorders>
            <w:vAlign w:val="center"/>
          </w:tcPr>
          <w:p w:rsidR="00F6599F">
            <w:pPr>
              <w:jc w:val="center"/>
            </w:pPr>
            <w:r>
              <w:rPr>
                <w:color w:val="000000"/>
              </w:rPr>
              <w:t>22</w:t>
            </w:r>
            <w:r>
              <w:rPr>
                <w:color w:val="000000"/>
              </w:rPr>
              <w:t>电网</w:t>
            </w:r>
            <w:r>
              <w:rPr>
                <w:color w:val="000000"/>
              </w:rPr>
              <w:t>MTN005</w:t>
            </w:r>
          </w:p>
        </w:tc>
        <w:tc>
          <w:tcPr>
            <w:tcW w:w="1559" w:type="dxa"/>
            <w:tcBorders>
              <w:top w:val="single" w:sz="0" w:space="0" w:color="000000"/>
              <w:left w:val="single" w:sz="0" w:space="0" w:color="000000"/>
              <w:bottom w:val="single" w:sz="0" w:space="0" w:color="000000"/>
              <w:right w:val="single" w:sz="0" w:space="0" w:color="000000"/>
            </w:tcBorders>
            <w:vAlign w:val="center"/>
          </w:tcPr>
          <w:p w:rsidR="00F6599F">
            <w:pPr>
              <w:jc w:val="right"/>
            </w:pPr>
            <w:r>
              <w:rPr>
                <w:color w:val="000000"/>
              </w:rPr>
              <w:t>1,200,000</w:t>
            </w:r>
          </w:p>
        </w:tc>
        <w:tc>
          <w:tcPr>
            <w:tcW w:w="2126" w:type="dxa"/>
            <w:tcBorders>
              <w:top w:val="single" w:sz="0" w:space="0" w:color="000000"/>
              <w:left w:val="single" w:sz="0" w:space="0" w:color="000000"/>
              <w:bottom w:val="single" w:sz="0" w:space="0" w:color="000000"/>
              <w:right w:val="single" w:sz="0" w:space="0" w:color="000000"/>
            </w:tcBorders>
            <w:vAlign w:val="center"/>
          </w:tcPr>
          <w:p w:rsidR="00F6599F">
            <w:pPr>
              <w:jc w:val="right"/>
            </w:pPr>
            <w:r>
              <w:rPr>
                <w:color w:val="000000"/>
              </w:rPr>
              <w:t>121,167,715.07</w:t>
            </w:r>
          </w:p>
        </w:tc>
        <w:tc>
          <w:tcPr>
            <w:tcW w:w="990" w:type="dxa"/>
            <w:tcBorders>
              <w:top w:val="single" w:sz="0" w:space="0" w:color="000000"/>
              <w:left w:val="single" w:sz="0" w:space="0" w:color="000000"/>
              <w:bottom w:val="single" w:sz="0" w:space="0" w:color="000000"/>
              <w:right w:val="single" w:sz="0" w:space="0" w:color="000000"/>
            </w:tcBorders>
            <w:vAlign w:val="center"/>
          </w:tcPr>
          <w:p w:rsidR="00F6599F">
            <w:pPr>
              <w:jc w:val="right"/>
            </w:pPr>
            <w:r>
              <w:rPr>
                <w:color w:val="000000"/>
              </w:rPr>
              <w:t>2.96</w:t>
            </w:r>
          </w:p>
        </w:tc>
      </w:tr>
    </w:tbl>
    <w:p w:rsidR="00336BCC">
      <w:pPr>
        <w:spacing w:line="360" w:lineRule="auto"/>
        <w:jc w:val="left"/>
      </w:pPr>
      <w:r>
        <w:t>6</w:t>
      </w:r>
      <w:r>
        <w:t>、　报告期末按公允价值占基金资产净值比例大小排序的前十名资产支持证券投资明细</w:t>
      </w:r>
    </w:p>
    <w:tbl>
      <w:tblPr>
        <w:tblStyle w:val="TableGrid"/>
        <w:tblW w:w="0" w:type="auto"/>
        <w:tblInd w:w="15" w:type="dxa"/>
        <w:tblLook w:val="04A0"/>
      </w:tblPr>
      <w:tblGrid>
        <w:gridCol w:w="1087"/>
        <w:gridCol w:w="1264"/>
        <w:gridCol w:w="1196"/>
        <w:gridCol w:w="1692"/>
        <w:gridCol w:w="1661"/>
        <w:gridCol w:w="1607"/>
      </w:tblGrid>
      <w:tr>
        <w:tblPrEx>
          <w:tblW w:w="0" w:type="auto"/>
          <w:tblInd w:w="15" w:type="dxa"/>
          <w:tblLook w:val="04A0"/>
        </w:tblPrEx>
        <w:tc>
          <w:tcPr>
            <w:tcW w:w="1187" w:type="dxa"/>
            <w:tcBorders>
              <w:top w:val="single" w:sz="0" w:space="0" w:color="000000"/>
              <w:left w:val="single" w:sz="0" w:space="0" w:color="000000"/>
              <w:bottom w:val="single" w:sz="0" w:space="0" w:color="000000"/>
              <w:right w:val="single" w:sz="0" w:space="0" w:color="000000"/>
            </w:tcBorders>
            <w:vAlign w:val="center"/>
          </w:tcPr>
          <w:p w:rsidR="00ED044C">
            <w:pPr>
              <w:autoSpaceDE w:val="0"/>
              <w:autoSpaceDN w:val="0"/>
              <w:adjustRightInd w:val="0"/>
              <w:ind w:left="15"/>
              <w:jc w:val="center"/>
              <w:rPr>
                <w:color w:val="000000"/>
                <w:kern w:val="0"/>
                <w:sz w:val="24"/>
              </w:rPr>
            </w:pPr>
            <w:r>
              <w:rPr>
                <w:color w:val="000000"/>
                <w:kern w:val="0"/>
              </w:rPr>
              <w:t>序号</w:t>
            </w:r>
          </w:p>
        </w:tc>
        <w:tc>
          <w:tcPr>
            <w:tcW w:w="1329" w:type="dxa"/>
            <w:tcBorders>
              <w:top w:val="single" w:sz="0" w:space="0" w:color="000000"/>
              <w:left w:val="single" w:sz="0" w:space="0" w:color="000000"/>
              <w:bottom w:val="single" w:sz="0" w:space="0" w:color="000000"/>
              <w:right w:val="single" w:sz="0" w:space="0" w:color="000000"/>
            </w:tcBorders>
            <w:vAlign w:val="center"/>
          </w:tcPr>
          <w:p w:rsidR="00ED044C">
            <w:pPr>
              <w:autoSpaceDE w:val="0"/>
              <w:autoSpaceDN w:val="0"/>
              <w:adjustRightInd w:val="0"/>
              <w:ind w:left="15"/>
              <w:jc w:val="center"/>
              <w:rPr>
                <w:color w:val="000000"/>
                <w:kern w:val="0"/>
                <w:sz w:val="24"/>
              </w:rPr>
            </w:pPr>
            <w:r>
              <w:rPr>
                <w:color w:val="000000"/>
                <w:kern w:val="0"/>
              </w:rPr>
              <w:t>证券代码</w:t>
            </w:r>
          </w:p>
        </w:tc>
        <w:tc>
          <w:tcPr>
            <w:tcW w:w="1263" w:type="dxa"/>
            <w:tcBorders>
              <w:top w:val="single" w:sz="0" w:space="0" w:color="000000"/>
              <w:left w:val="single" w:sz="0" w:space="0" w:color="000000"/>
              <w:bottom w:val="single" w:sz="0" w:space="0" w:color="000000"/>
              <w:right w:val="single" w:sz="0" w:space="0" w:color="000000"/>
            </w:tcBorders>
            <w:vAlign w:val="center"/>
          </w:tcPr>
          <w:p w:rsidR="00ED044C">
            <w:pPr>
              <w:autoSpaceDE w:val="0"/>
              <w:autoSpaceDN w:val="0"/>
              <w:adjustRightInd w:val="0"/>
              <w:ind w:left="15"/>
              <w:jc w:val="center"/>
              <w:rPr>
                <w:color w:val="000000"/>
                <w:kern w:val="0"/>
                <w:sz w:val="24"/>
              </w:rPr>
            </w:pPr>
            <w:r>
              <w:rPr>
                <w:color w:val="000000"/>
                <w:kern w:val="0"/>
              </w:rPr>
              <w:t>证券名称</w:t>
            </w:r>
          </w:p>
        </w:tc>
        <w:tc>
          <w:tcPr>
            <w:tcW w:w="1815" w:type="dxa"/>
            <w:tcBorders>
              <w:top w:val="single" w:sz="0" w:space="0" w:color="000000"/>
              <w:left w:val="single" w:sz="0" w:space="0" w:color="000000"/>
              <w:bottom w:val="single" w:sz="0" w:space="0" w:color="000000"/>
              <w:right w:val="single" w:sz="0" w:space="0" w:color="000000"/>
            </w:tcBorders>
            <w:vAlign w:val="center"/>
          </w:tcPr>
          <w:p w:rsidR="00ED044C">
            <w:pPr>
              <w:autoSpaceDE w:val="0"/>
              <w:autoSpaceDN w:val="0"/>
              <w:adjustRightInd w:val="0"/>
              <w:ind w:left="15"/>
              <w:jc w:val="center"/>
              <w:rPr>
                <w:color w:val="000000"/>
                <w:kern w:val="0"/>
                <w:sz w:val="24"/>
              </w:rPr>
            </w:pPr>
            <w:r>
              <w:rPr>
                <w:color w:val="000000"/>
                <w:kern w:val="0"/>
              </w:rPr>
              <w:t>数量</w:t>
            </w:r>
            <w:r>
              <w:rPr>
                <w:color w:val="000000"/>
                <w:kern w:val="0"/>
              </w:rPr>
              <w:t>(</w:t>
            </w:r>
            <w:r>
              <w:rPr>
                <w:color w:val="000000"/>
                <w:kern w:val="0"/>
              </w:rPr>
              <w:t>份</w:t>
            </w:r>
            <w:r>
              <w:rPr>
                <w:color w:val="000000"/>
                <w:kern w:val="0"/>
              </w:rPr>
              <w:t>)</w:t>
            </w:r>
          </w:p>
        </w:tc>
        <w:tc>
          <w:tcPr>
            <w:tcW w:w="1698" w:type="dxa"/>
            <w:tcBorders>
              <w:top w:val="single" w:sz="0" w:space="0" w:color="000000"/>
              <w:left w:val="single" w:sz="0" w:space="0" w:color="000000"/>
              <w:bottom w:val="single" w:sz="0" w:space="0" w:color="000000"/>
              <w:right w:val="single" w:sz="0" w:space="0" w:color="000000"/>
            </w:tcBorders>
            <w:vAlign w:val="center"/>
          </w:tcPr>
          <w:p w:rsidR="00ED044C">
            <w:pPr>
              <w:autoSpaceDE w:val="0"/>
              <w:autoSpaceDN w:val="0"/>
              <w:adjustRightInd w:val="0"/>
              <w:ind w:left="15"/>
              <w:jc w:val="center"/>
              <w:rPr>
                <w:color w:val="000000"/>
                <w:kern w:val="0"/>
                <w:sz w:val="24"/>
              </w:rPr>
            </w:pPr>
            <w:r>
              <w:rPr>
                <w:color w:val="000000"/>
                <w:kern w:val="0"/>
              </w:rPr>
              <w:t>公允价值</w:t>
            </w:r>
            <w:r>
              <w:rPr>
                <w:color w:val="000000"/>
                <w:kern w:val="0"/>
              </w:rPr>
              <w:t>(</w:t>
            </w:r>
            <w:r>
              <w:rPr>
                <w:color w:val="000000"/>
                <w:kern w:val="0"/>
              </w:rPr>
              <w:t>元</w:t>
            </w:r>
            <w:r>
              <w:rPr>
                <w:color w:val="000000"/>
                <w:kern w:val="0"/>
              </w:rPr>
              <w:t>)</w:t>
            </w:r>
          </w:p>
        </w:tc>
        <w:tc>
          <w:tcPr>
            <w:tcW w:w="1729" w:type="dxa"/>
            <w:tcBorders>
              <w:top w:val="single" w:sz="0" w:space="0" w:color="000000"/>
              <w:left w:val="single" w:sz="0" w:space="0" w:color="000000"/>
              <w:bottom w:val="single" w:sz="0" w:space="0" w:color="000000"/>
              <w:right w:val="single" w:sz="0" w:space="0" w:color="000000"/>
            </w:tcBorders>
            <w:vAlign w:val="center"/>
          </w:tcPr>
          <w:p w:rsidR="00ED044C">
            <w:pPr>
              <w:autoSpaceDE w:val="0"/>
              <w:autoSpaceDN w:val="0"/>
              <w:adjustRightInd w:val="0"/>
              <w:ind w:left="15"/>
              <w:jc w:val="center"/>
              <w:rPr>
                <w:color w:val="000000"/>
                <w:kern w:val="0"/>
                <w:sz w:val="24"/>
              </w:rPr>
            </w:pPr>
            <w:r>
              <w:rPr>
                <w:color w:val="000000"/>
                <w:kern w:val="0"/>
              </w:rPr>
              <w:t>占基金资产净值比例（</w:t>
            </w:r>
            <w:r>
              <w:rPr>
                <w:color w:val="000000"/>
                <w:kern w:val="0"/>
              </w:rPr>
              <w:t>%</w:t>
            </w:r>
            <w:r>
              <w:rPr>
                <w:color w:val="000000"/>
                <w:kern w:val="0"/>
              </w:rPr>
              <w:t>）</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F6599F">
            <w:pPr>
              <w:jc w:val="center"/>
            </w:pPr>
            <w:r>
              <w:rPr>
                <w:color w:val="000000"/>
              </w:rPr>
              <w:t>1</w:t>
            </w:r>
          </w:p>
        </w:tc>
        <w:tc>
          <w:tcPr>
            <w:tcW w:w="0" w:type="auto"/>
            <w:tcBorders>
              <w:top w:val="single" w:sz="0" w:space="0" w:color="000000"/>
              <w:left w:val="single" w:sz="0" w:space="0" w:color="000000"/>
              <w:bottom w:val="single" w:sz="0" w:space="0" w:color="000000"/>
              <w:right w:val="single" w:sz="0" w:space="0" w:color="000000"/>
            </w:tcBorders>
            <w:vAlign w:val="center"/>
          </w:tcPr>
          <w:p w:rsidR="00F6599F">
            <w:pPr>
              <w:jc w:val="center"/>
            </w:pPr>
            <w:r>
              <w:rPr>
                <w:color w:val="000000"/>
              </w:rPr>
              <w:t>189847</w:t>
            </w:r>
          </w:p>
        </w:tc>
        <w:tc>
          <w:tcPr>
            <w:tcW w:w="0" w:type="auto"/>
            <w:tcBorders>
              <w:top w:val="single" w:sz="0" w:space="0" w:color="000000"/>
              <w:left w:val="single" w:sz="0" w:space="0" w:color="000000"/>
              <w:bottom w:val="single" w:sz="0" w:space="0" w:color="000000"/>
              <w:right w:val="single" w:sz="0" w:space="0" w:color="000000"/>
            </w:tcBorders>
            <w:vAlign w:val="center"/>
          </w:tcPr>
          <w:p w:rsidR="00F6599F">
            <w:pPr>
              <w:jc w:val="center"/>
            </w:pPr>
            <w:r>
              <w:rPr>
                <w:color w:val="000000"/>
              </w:rPr>
              <w:t>21LJZ</w:t>
            </w:r>
            <w:r>
              <w:rPr>
                <w:color w:val="000000"/>
              </w:rPr>
              <w:t>优</w:t>
            </w:r>
          </w:p>
        </w:tc>
        <w:tc>
          <w:tcPr>
            <w:tcW w:w="0" w:type="auto"/>
            <w:tcBorders>
              <w:top w:val="single" w:sz="0" w:space="0" w:color="000000"/>
              <w:left w:val="single" w:sz="0" w:space="0" w:color="000000"/>
              <w:bottom w:val="single" w:sz="0" w:space="0" w:color="000000"/>
              <w:right w:val="single" w:sz="0" w:space="0" w:color="000000"/>
            </w:tcBorders>
            <w:vAlign w:val="center"/>
          </w:tcPr>
          <w:p w:rsidR="00F6599F">
            <w:pPr>
              <w:jc w:val="right"/>
            </w:pPr>
            <w:r>
              <w:rPr>
                <w:color w:val="000000"/>
              </w:rPr>
              <w:t>400,000</w:t>
            </w:r>
          </w:p>
        </w:tc>
        <w:tc>
          <w:tcPr>
            <w:tcW w:w="0" w:type="auto"/>
            <w:tcBorders>
              <w:top w:val="single" w:sz="0" w:space="0" w:color="000000"/>
              <w:left w:val="single" w:sz="0" w:space="0" w:color="000000"/>
              <w:bottom w:val="single" w:sz="0" w:space="0" w:color="000000"/>
              <w:right w:val="single" w:sz="0" w:space="0" w:color="000000"/>
            </w:tcBorders>
            <w:vAlign w:val="center"/>
          </w:tcPr>
          <w:p w:rsidR="00F6599F">
            <w:pPr>
              <w:jc w:val="right"/>
            </w:pPr>
            <w:r>
              <w:rPr>
                <w:color w:val="000000"/>
              </w:rPr>
              <w:t>40,749,237.92</w:t>
            </w:r>
          </w:p>
        </w:tc>
        <w:tc>
          <w:tcPr>
            <w:tcW w:w="0" w:type="auto"/>
            <w:tcBorders>
              <w:top w:val="single" w:sz="0" w:space="0" w:color="000000"/>
              <w:left w:val="single" w:sz="0" w:space="0" w:color="000000"/>
              <w:bottom w:val="single" w:sz="0" w:space="0" w:color="000000"/>
              <w:right w:val="single" w:sz="0" w:space="0" w:color="000000"/>
            </w:tcBorders>
            <w:vAlign w:val="center"/>
          </w:tcPr>
          <w:p w:rsidR="00F6599F">
            <w:pPr>
              <w:jc w:val="right"/>
            </w:pPr>
            <w:r>
              <w:rPr>
                <w:color w:val="000000"/>
              </w:rPr>
              <w:t>1.00</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F6599F">
            <w:pPr>
              <w:jc w:val="center"/>
            </w:pPr>
            <w:r>
              <w:rPr>
                <w:color w:val="000000"/>
              </w:rPr>
              <w:t>2</w:t>
            </w:r>
          </w:p>
        </w:tc>
        <w:tc>
          <w:tcPr>
            <w:tcW w:w="0" w:type="auto"/>
            <w:tcBorders>
              <w:top w:val="single" w:sz="0" w:space="0" w:color="000000"/>
              <w:left w:val="single" w:sz="0" w:space="0" w:color="000000"/>
              <w:bottom w:val="single" w:sz="0" w:space="0" w:color="000000"/>
              <w:right w:val="single" w:sz="0" w:space="0" w:color="000000"/>
            </w:tcBorders>
            <w:vAlign w:val="center"/>
          </w:tcPr>
          <w:p w:rsidR="00F6599F">
            <w:pPr>
              <w:jc w:val="center"/>
            </w:pPr>
            <w:r>
              <w:rPr>
                <w:color w:val="000000"/>
              </w:rPr>
              <w:t>193797</w:t>
            </w:r>
          </w:p>
        </w:tc>
        <w:tc>
          <w:tcPr>
            <w:tcW w:w="0" w:type="auto"/>
            <w:tcBorders>
              <w:top w:val="single" w:sz="0" w:space="0" w:color="000000"/>
              <w:left w:val="single" w:sz="0" w:space="0" w:color="000000"/>
              <w:bottom w:val="single" w:sz="0" w:space="0" w:color="000000"/>
              <w:right w:val="single" w:sz="0" w:space="0" w:color="000000"/>
            </w:tcBorders>
            <w:vAlign w:val="center"/>
          </w:tcPr>
          <w:p w:rsidR="00F6599F">
            <w:pPr>
              <w:jc w:val="center"/>
            </w:pPr>
            <w:r>
              <w:rPr>
                <w:color w:val="000000"/>
              </w:rPr>
              <w:t>21</w:t>
            </w:r>
            <w:r>
              <w:rPr>
                <w:color w:val="000000"/>
              </w:rPr>
              <w:t>工鑫</w:t>
            </w:r>
            <w:r>
              <w:rPr>
                <w:color w:val="000000"/>
              </w:rPr>
              <w:t>8A</w:t>
            </w:r>
          </w:p>
        </w:tc>
        <w:tc>
          <w:tcPr>
            <w:tcW w:w="0" w:type="auto"/>
            <w:tcBorders>
              <w:top w:val="single" w:sz="0" w:space="0" w:color="000000"/>
              <w:left w:val="single" w:sz="0" w:space="0" w:color="000000"/>
              <w:bottom w:val="single" w:sz="0" w:space="0" w:color="000000"/>
              <w:right w:val="single" w:sz="0" w:space="0" w:color="000000"/>
            </w:tcBorders>
            <w:vAlign w:val="center"/>
          </w:tcPr>
          <w:p w:rsidR="00F6599F">
            <w:pPr>
              <w:jc w:val="right"/>
            </w:pPr>
            <w:r>
              <w:rPr>
                <w:color w:val="000000"/>
              </w:rPr>
              <w:t>300,000</w:t>
            </w:r>
          </w:p>
        </w:tc>
        <w:tc>
          <w:tcPr>
            <w:tcW w:w="0" w:type="auto"/>
            <w:tcBorders>
              <w:top w:val="single" w:sz="0" w:space="0" w:color="000000"/>
              <w:left w:val="single" w:sz="0" w:space="0" w:color="000000"/>
              <w:bottom w:val="single" w:sz="0" w:space="0" w:color="000000"/>
              <w:right w:val="single" w:sz="0" w:space="0" w:color="000000"/>
            </w:tcBorders>
            <w:vAlign w:val="center"/>
          </w:tcPr>
          <w:p w:rsidR="00F6599F">
            <w:pPr>
              <w:jc w:val="right"/>
            </w:pPr>
            <w:r>
              <w:rPr>
                <w:color w:val="000000"/>
              </w:rPr>
              <w:t>31,297,791.78</w:t>
            </w:r>
          </w:p>
        </w:tc>
        <w:tc>
          <w:tcPr>
            <w:tcW w:w="0" w:type="auto"/>
            <w:tcBorders>
              <w:top w:val="single" w:sz="0" w:space="0" w:color="000000"/>
              <w:left w:val="single" w:sz="0" w:space="0" w:color="000000"/>
              <w:bottom w:val="single" w:sz="0" w:space="0" w:color="000000"/>
              <w:right w:val="single" w:sz="0" w:space="0" w:color="000000"/>
            </w:tcBorders>
            <w:vAlign w:val="center"/>
          </w:tcPr>
          <w:p w:rsidR="00F6599F">
            <w:pPr>
              <w:jc w:val="right"/>
            </w:pPr>
            <w:r>
              <w:rPr>
                <w:color w:val="000000"/>
              </w:rPr>
              <w:t>0.77</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F6599F">
            <w:pPr>
              <w:jc w:val="center"/>
            </w:pPr>
            <w:r>
              <w:rPr>
                <w:color w:val="000000"/>
              </w:rPr>
              <w:t>3</w:t>
            </w:r>
          </w:p>
        </w:tc>
        <w:tc>
          <w:tcPr>
            <w:tcW w:w="0" w:type="auto"/>
            <w:tcBorders>
              <w:top w:val="single" w:sz="0" w:space="0" w:color="000000"/>
              <w:left w:val="single" w:sz="0" w:space="0" w:color="000000"/>
              <w:bottom w:val="single" w:sz="0" w:space="0" w:color="000000"/>
              <w:right w:val="single" w:sz="0" w:space="0" w:color="000000"/>
            </w:tcBorders>
            <w:vAlign w:val="center"/>
          </w:tcPr>
          <w:p w:rsidR="00F6599F">
            <w:pPr>
              <w:jc w:val="center"/>
            </w:pPr>
            <w:r>
              <w:rPr>
                <w:color w:val="000000"/>
              </w:rPr>
              <w:t>183194</w:t>
            </w:r>
          </w:p>
        </w:tc>
        <w:tc>
          <w:tcPr>
            <w:tcW w:w="0" w:type="auto"/>
            <w:tcBorders>
              <w:top w:val="single" w:sz="0" w:space="0" w:color="000000"/>
              <w:left w:val="single" w:sz="0" w:space="0" w:color="000000"/>
              <w:bottom w:val="single" w:sz="0" w:space="0" w:color="000000"/>
              <w:right w:val="single" w:sz="0" w:space="0" w:color="000000"/>
            </w:tcBorders>
            <w:vAlign w:val="center"/>
          </w:tcPr>
          <w:p w:rsidR="00F6599F">
            <w:pPr>
              <w:jc w:val="center"/>
            </w:pPr>
            <w:r>
              <w:rPr>
                <w:color w:val="000000"/>
              </w:rPr>
              <w:t>铁建</w:t>
            </w:r>
            <w:r>
              <w:rPr>
                <w:color w:val="000000"/>
              </w:rPr>
              <w:t>032A</w:t>
            </w:r>
          </w:p>
        </w:tc>
        <w:tc>
          <w:tcPr>
            <w:tcW w:w="0" w:type="auto"/>
            <w:tcBorders>
              <w:top w:val="single" w:sz="0" w:space="0" w:color="000000"/>
              <w:left w:val="single" w:sz="0" w:space="0" w:color="000000"/>
              <w:bottom w:val="single" w:sz="0" w:space="0" w:color="000000"/>
              <w:right w:val="single" w:sz="0" w:space="0" w:color="000000"/>
            </w:tcBorders>
            <w:vAlign w:val="center"/>
          </w:tcPr>
          <w:p w:rsidR="00F6599F">
            <w:pPr>
              <w:jc w:val="right"/>
            </w:pPr>
            <w:r>
              <w:rPr>
                <w:color w:val="000000"/>
              </w:rPr>
              <w:t>200,000</w:t>
            </w:r>
          </w:p>
        </w:tc>
        <w:tc>
          <w:tcPr>
            <w:tcW w:w="0" w:type="auto"/>
            <w:tcBorders>
              <w:top w:val="single" w:sz="0" w:space="0" w:color="000000"/>
              <w:left w:val="single" w:sz="0" w:space="0" w:color="000000"/>
              <w:bottom w:val="single" w:sz="0" w:space="0" w:color="000000"/>
              <w:right w:val="single" w:sz="0" w:space="0" w:color="000000"/>
            </w:tcBorders>
            <w:vAlign w:val="center"/>
          </w:tcPr>
          <w:p w:rsidR="00F6599F">
            <w:pPr>
              <w:jc w:val="right"/>
            </w:pPr>
            <w:r>
              <w:rPr>
                <w:color w:val="000000"/>
              </w:rPr>
              <w:t>20,280,527.12</w:t>
            </w:r>
          </w:p>
        </w:tc>
        <w:tc>
          <w:tcPr>
            <w:tcW w:w="0" w:type="auto"/>
            <w:tcBorders>
              <w:top w:val="single" w:sz="0" w:space="0" w:color="000000"/>
              <w:left w:val="single" w:sz="0" w:space="0" w:color="000000"/>
              <w:bottom w:val="single" w:sz="0" w:space="0" w:color="000000"/>
              <w:right w:val="single" w:sz="0" w:space="0" w:color="000000"/>
            </w:tcBorders>
            <w:vAlign w:val="center"/>
          </w:tcPr>
          <w:p w:rsidR="00F6599F">
            <w:pPr>
              <w:jc w:val="right"/>
            </w:pPr>
            <w:r>
              <w:rPr>
                <w:color w:val="000000"/>
              </w:rPr>
              <w:t>0.50</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F6599F">
            <w:pPr>
              <w:jc w:val="center"/>
            </w:pPr>
            <w:r>
              <w:rPr>
                <w:color w:val="000000"/>
              </w:rPr>
              <w:t>4</w:t>
            </w:r>
          </w:p>
        </w:tc>
        <w:tc>
          <w:tcPr>
            <w:tcW w:w="0" w:type="auto"/>
            <w:tcBorders>
              <w:top w:val="single" w:sz="0" w:space="0" w:color="000000"/>
              <w:left w:val="single" w:sz="0" w:space="0" w:color="000000"/>
              <w:bottom w:val="single" w:sz="0" w:space="0" w:color="000000"/>
              <w:right w:val="single" w:sz="0" w:space="0" w:color="000000"/>
            </w:tcBorders>
            <w:vAlign w:val="center"/>
          </w:tcPr>
          <w:p w:rsidR="00F6599F">
            <w:pPr>
              <w:jc w:val="center"/>
            </w:pPr>
            <w:r>
              <w:rPr>
                <w:color w:val="000000"/>
              </w:rPr>
              <w:t>136815</w:t>
            </w:r>
          </w:p>
        </w:tc>
        <w:tc>
          <w:tcPr>
            <w:tcW w:w="0" w:type="auto"/>
            <w:tcBorders>
              <w:top w:val="single" w:sz="0" w:space="0" w:color="000000"/>
              <w:left w:val="single" w:sz="0" w:space="0" w:color="000000"/>
              <w:bottom w:val="single" w:sz="0" w:space="0" w:color="000000"/>
              <w:right w:val="single" w:sz="0" w:space="0" w:color="000000"/>
            </w:tcBorders>
            <w:vAlign w:val="center"/>
          </w:tcPr>
          <w:p w:rsidR="00F6599F">
            <w:pPr>
              <w:jc w:val="center"/>
            </w:pPr>
            <w:r>
              <w:rPr>
                <w:color w:val="000000"/>
              </w:rPr>
              <w:t>光汇</w:t>
            </w:r>
            <w:r>
              <w:rPr>
                <w:color w:val="000000"/>
              </w:rPr>
              <w:t>01</w:t>
            </w:r>
            <w:r>
              <w:rPr>
                <w:color w:val="000000"/>
              </w:rPr>
              <w:t>优</w:t>
            </w:r>
          </w:p>
        </w:tc>
        <w:tc>
          <w:tcPr>
            <w:tcW w:w="0" w:type="auto"/>
            <w:tcBorders>
              <w:top w:val="single" w:sz="0" w:space="0" w:color="000000"/>
              <w:left w:val="single" w:sz="0" w:space="0" w:color="000000"/>
              <w:bottom w:val="single" w:sz="0" w:space="0" w:color="000000"/>
              <w:right w:val="single" w:sz="0" w:space="0" w:color="000000"/>
            </w:tcBorders>
            <w:vAlign w:val="center"/>
          </w:tcPr>
          <w:p w:rsidR="00F6599F">
            <w:pPr>
              <w:jc w:val="right"/>
            </w:pPr>
            <w:r>
              <w:rPr>
                <w:color w:val="000000"/>
              </w:rPr>
              <w:t>200,000</w:t>
            </w:r>
          </w:p>
        </w:tc>
        <w:tc>
          <w:tcPr>
            <w:tcW w:w="0" w:type="auto"/>
            <w:tcBorders>
              <w:top w:val="single" w:sz="0" w:space="0" w:color="000000"/>
              <w:left w:val="single" w:sz="0" w:space="0" w:color="000000"/>
              <w:bottom w:val="single" w:sz="0" w:space="0" w:color="000000"/>
              <w:right w:val="single" w:sz="0" w:space="0" w:color="000000"/>
            </w:tcBorders>
            <w:vAlign w:val="center"/>
          </w:tcPr>
          <w:p w:rsidR="00F6599F">
            <w:pPr>
              <w:jc w:val="right"/>
            </w:pPr>
            <w:r>
              <w:rPr>
                <w:color w:val="000000"/>
              </w:rPr>
              <w:t>20,147,109.04</w:t>
            </w:r>
          </w:p>
        </w:tc>
        <w:tc>
          <w:tcPr>
            <w:tcW w:w="0" w:type="auto"/>
            <w:tcBorders>
              <w:top w:val="single" w:sz="0" w:space="0" w:color="000000"/>
              <w:left w:val="single" w:sz="0" w:space="0" w:color="000000"/>
              <w:bottom w:val="single" w:sz="0" w:space="0" w:color="000000"/>
              <w:right w:val="single" w:sz="0" w:space="0" w:color="000000"/>
            </w:tcBorders>
            <w:vAlign w:val="center"/>
          </w:tcPr>
          <w:p w:rsidR="00F6599F">
            <w:pPr>
              <w:jc w:val="right"/>
            </w:pPr>
            <w:r>
              <w:rPr>
                <w:color w:val="000000"/>
              </w:rPr>
              <w:t>0.49</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F6599F">
            <w:pPr>
              <w:jc w:val="center"/>
            </w:pPr>
            <w:r>
              <w:rPr>
                <w:color w:val="000000"/>
              </w:rPr>
              <w:t>5</w:t>
            </w:r>
          </w:p>
        </w:tc>
        <w:tc>
          <w:tcPr>
            <w:tcW w:w="0" w:type="auto"/>
            <w:tcBorders>
              <w:top w:val="single" w:sz="0" w:space="0" w:color="000000"/>
              <w:left w:val="single" w:sz="0" w:space="0" w:color="000000"/>
              <w:bottom w:val="single" w:sz="0" w:space="0" w:color="000000"/>
              <w:right w:val="single" w:sz="0" w:space="0" w:color="000000"/>
            </w:tcBorders>
            <w:vAlign w:val="center"/>
          </w:tcPr>
          <w:p w:rsidR="00F6599F">
            <w:pPr>
              <w:jc w:val="center"/>
            </w:pPr>
            <w:r>
              <w:rPr>
                <w:color w:val="000000"/>
              </w:rPr>
              <w:t>183086</w:t>
            </w:r>
          </w:p>
        </w:tc>
        <w:tc>
          <w:tcPr>
            <w:tcW w:w="0" w:type="auto"/>
            <w:tcBorders>
              <w:top w:val="single" w:sz="0" w:space="0" w:color="000000"/>
              <w:left w:val="single" w:sz="0" w:space="0" w:color="000000"/>
              <w:bottom w:val="single" w:sz="0" w:space="0" w:color="000000"/>
              <w:right w:val="single" w:sz="0" w:space="0" w:color="000000"/>
            </w:tcBorders>
            <w:vAlign w:val="center"/>
          </w:tcPr>
          <w:p w:rsidR="00F6599F">
            <w:pPr>
              <w:jc w:val="center"/>
            </w:pPr>
            <w:r>
              <w:rPr>
                <w:color w:val="000000"/>
              </w:rPr>
              <w:t>诚通</w:t>
            </w:r>
            <w:r>
              <w:rPr>
                <w:color w:val="000000"/>
              </w:rPr>
              <w:t>01</w:t>
            </w:r>
            <w:r>
              <w:rPr>
                <w:color w:val="000000"/>
              </w:rPr>
              <w:t>优</w:t>
            </w:r>
          </w:p>
        </w:tc>
        <w:tc>
          <w:tcPr>
            <w:tcW w:w="0" w:type="auto"/>
            <w:tcBorders>
              <w:top w:val="single" w:sz="0" w:space="0" w:color="000000"/>
              <w:left w:val="single" w:sz="0" w:space="0" w:color="000000"/>
              <w:bottom w:val="single" w:sz="0" w:space="0" w:color="000000"/>
              <w:right w:val="single" w:sz="0" w:space="0" w:color="000000"/>
            </w:tcBorders>
            <w:vAlign w:val="center"/>
          </w:tcPr>
          <w:p w:rsidR="00F6599F">
            <w:pPr>
              <w:jc w:val="right"/>
            </w:pPr>
            <w:r>
              <w:rPr>
                <w:color w:val="000000"/>
              </w:rPr>
              <w:t>100,000</w:t>
            </w:r>
          </w:p>
        </w:tc>
        <w:tc>
          <w:tcPr>
            <w:tcW w:w="0" w:type="auto"/>
            <w:tcBorders>
              <w:top w:val="single" w:sz="0" w:space="0" w:color="000000"/>
              <w:left w:val="single" w:sz="0" w:space="0" w:color="000000"/>
              <w:bottom w:val="single" w:sz="0" w:space="0" w:color="000000"/>
              <w:right w:val="single" w:sz="0" w:space="0" w:color="000000"/>
            </w:tcBorders>
            <w:vAlign w:val="center"/>
          </w:tcPr>
          <w:p w:rsidR="00F6599F">
            <w:pPr>
              <w:jc w:val="right"/>
            </w:pPr>
            <w:r>
              <w:rPr>
                <w:color w:val="000000"/>
              </w:rPr>
              <w:t>10,348,178.08</w:t>
            </w:r>
          </w:p>
        </w:tc>
        <w:tc>
          <w:tcPr>
            <w:tcW w:w="0" w:type="auto"/>
            <w:tcBorders>
              <w:top w:val="single" w:sz="0" w:space="0" w:color="000000"/>
              <w:left w:val="single" w:sz="0" w:space="0" w:color="000000"/>
              <w:bottom w:val="single" w:sz="0" w:space="0" w:color="000000"/>
              <w:right w:val="single" w:sz="0" w:space="0" w:color="000000"/>
            </w:tcBorders>
            <w:vAlign w:val="center"/>
          </w:tcPr>
          <w:p w:rsidR="00F6599F">
            <w:pPr>
              <w:jc w:val="right"/>
            </w:pPr>
            <w:r>
              <w:rPr>
                <w:color w:val="000000"/>
              </w:rPr>
              <w:t>0.25</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F6599F">
            <w:pPr>
              <w:jc w:val="center"/>
            </w:pPr>
            <w:r>
              <w:rPr>
                <w:color w:val="000000"/>
              </w:rPr>
              <w:t>6</w:t>
            </w:r>
          </w:p>
        </w:tc>
        <w:tc>
          <w:tcPr>
            <w:tcW w:w="0" w:type="auto"/>
            <w:tcBorders>
              <w:top w:val="single" w:sz="0" w:space="0" w:color="000000"/>
              <w:left w:val="single" w:sz="0" w:space="0" w:color="000000"/>
              <w:bottom w:val="single" w:sz="0" w:space="0" w:color="000000"/>
              <w:right w:val="single" w:sz="0" w:space="0" w:color="000000"/>
            </w:tcBorders>
            <w:vAlign w:val="center"/>
          </w:tcPr>
          <w:p w:rsidR="00F6599F">
            <w:pPr>
              <w:jc w:val="center"/>
            </w:pPr>
            <w:r>
              <w:rPr>
                <w:color w:val="000000"/>
              </w:rPr>
              <w:t>183105</w:t>
            </w:r>
          </w:p>
        </w:tc>
        <w:tc>
          <w:tcPr>
            <w:tcW w:w="0" w:type="auto"/>
            <w:tcBorders>
              <w:top w:val="single" w:sz="0" w:space="0" w:color="000000"/>
              <w:left w:val="single" w:sz="0" w:space="0" w:color="000000"/>
              <w:bottom w:val="single" w:sz="0" w:space="0" w:color="000000"/>
              <w:right w:val="single" w:sz="0" w:space="0" w:color="000000"/>
            </w:tcBorders>
            <w:vAlign w:val="center"/>
          </w:tcPr>
          <w:p w:rsidR="00F6599F">
            <w:pPr>
              <w:jc w:val="center"/>
            </w:pPr>
            <w:r>
              <w:rPr>
                <w:color w:val="000000"/>
              </w:rPr>
              <w:t>21</w:t>
            </w:r>
            <w:r>
              <w:rPr>
                <w:color w:val="000000"/>
              </w:rPr>
              <w:t>电</w:t>
            </w:r>
            <w:r>
              <w:rPr>
                <w:color w:val="000000"/>
              </w:rPr>
              <w:t>4A2</w:t>
            </w:r>
          </w:p>
        </w:tc>
        <w:tc>
          <w:tcPr>
            <w:tcW w:w="0" w:type="auto"/>
            <w:tcBorders>
              <w:top w:val="single" w:sz="0" w:space="0" w:color="000000"/>
              <w:left w:val="single" w:sz="0" w:space="0" w:color="000000"/>
              <w:bottom w:val="single" w:sz="0" w:space="0" w:color="000000"/>
              <w:right w:val="single" w:sz="0" w:space="0" w:color="000000"/>
            </w:tcBorders>
            <w:vAlign w:val="center"/>
          </w:tcPr>
          <w:p w:rsidR="00F6599F">
            <w:pPr>
              <w:jc w:val="right"/>
            </w:pPr>
            <w:r>
              <w:rPr>
                <w:color w:val="000000"/>
              </w:rPr>
              <w:t>100,000</w:t>
            </w:r>
          </w:p>
        </w:tc>
        <w:tc>
          <w:tcPr>
            <w:tcW w:w="0" w:type="auto"/>
            <w:tcBorders>
              <w:top w:val="single" w:sz="0" w:space="0" w:color="000000"/>
              <w:left w:val="single" w:sz="0" w:space="0" w:color="000000"/>
              <w:bottom w:val="single" w:sz="0" w:space="0" w:color="000000"/>
              <w:right w:val="single" w:sz="0" w:space="0" w:color="000000"/>
            </w:tcBorders>
            <w:vAlign w:val="center"/>
          </w:tcPr>
          <w:p w:rsidR="00F6599F">
            <w:pPr>
              <w:jc w:val="right"/>
            </w:pPr>
            <w:r>
              <w:rPr>
                <w:color w:val="000000"/>
              </w:rPr>
              <w:t>10,299,665.75</w:t>
            </w:r>
          </w:p>
        </w:tc>
        <w:tc>
          <w:tcPr>
            <w:tcW w:w="0" w:type="auto"/>
            <w:tcBorders>
              <w:top w:val="single" w:sz="0" w:space="0" w:color="000000"/>
              <w:left w:val="single" w:sz="0" w:space="0" w:color="000000"/>
              <w:bottom w:val="single" w:sz="0" w:space="0" w:color="000000"/>
              <w:right w:val="single" w:sz="0" w:space="0" w:color="000000"/>
            </w:tcBorders>
            <w:vAlign w:val="center"/>
          </w:tcPr>
          <w:p w:rsidR="00F6599F">
            <w:pPr>
              <w:jc w:val="right"/>
            </w:pPr>
            <w:r>
              <w:rPr>
                <w:color w:val="000000"/>
              </w:rPr>
              <w:t>0.25</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F6599F">
            <w:pPr>
              <w:jc w:val="center"/>
            </w:pPr>
            <w:r>
              <w:rPr>
                <w:color w:val="000000"/>
              </w:rPr>
              <w:t>7</w:t>
            </w:r>
          </w:p>
        </w:tc>
        <w:tc>
          <w:tcPr>
            <w:tcW w:w="0" w:type="auto"/>
            <w:tcBorders>
              <w:top w:val="single" w:sz="0" w:space="0" w:color="000000"/>
              <w:left w:val="single" w:sz="0" w:space="0" w:color="000000"/>
              <w:bottom w:val="single" w:sz="0" w:space="0" w:color="000000"/>
              <w:right w:val="single" w:sz="0" w:space="0" w:color="000000"/>
            </w:tcBorders>
            <w:vAlign w:val="center"/>
          </w:tcPr>
          <w:p w:rsidR="00F6599F">
            <w:pPr>
              <w:jc w:val="center"/>
            </w:pPr>
            <w:r>
              <w:rPr>
                <w:color w:val="000000"/>
              </w:rPr>
              <w:t>136685</w:t>
            </w:r>
          </w:p>
        </w:tc>
        <w:tc>
          <w:tcPr>
            <w:tcW w:w="0" w:type="auto"/>
            <w:tcBorders>
              <w:top w:val="single" w:sz="0" w:space="0" w:color="000000"/>
              <w:left w:val="single" w:sz="0" w:space="0" w:color="000000"/>
              <w:bottom w:val="single" w:sz="0" w:space="0" w:color="000000"/>
              <w:right w:val="single" w:sz="0" w:space="0" w:color="000000"/>
            </w:tcBorders>
            <w:vAlign w:val="center"/>
          </w:tcPr>
          <w:p w:rsidR="00F6599F">
            <w:pPr>
              <w:jc w:val="center"/>
            </w:pPr>
            <w:r>
              <w:rPr>
                <w:color w:val="000000"/>
              </w:rPr>
              <w:t>荟享</w:t>
            </w:r>
            <w:r>
              <w:rPr>
                <w:color w:val="000000"/>
              </w:rPr>
              <w:t>083A</w:t>
            </w:r>
          </w:p>
        </w:tc>
        <w:tc>
          <w:tcPr>
            <w:tcW w:w="0" w:type="auto"/>
            <w:tcBorders>
              <w:top w:val="single" w:sz="0" w:space="0" w:color="000000"/>
              <w:left w:val="single" w:sz="0" w:space="0" w:color="000000"/>
              <w:bottom w:val="single" w:sz="0" w:space="0" w:color="000000"/>
              <w:right w:val="single" w:sz="0" w:space="0" w:color="000000"/>
            </w:tcBorders>
            <w:vAlign w:val="center"/>
          </w:tcPr>
          <w:p w:rsidR="00F6599F">
            <w:pPr>
              <w:jc w:val="right"/>
            </w:pPr>
            <w:r>
              <w:rPr>
                <w:color w:val="000000"/>
              </w:rPr>
              <w:t>100,000</w:t>
            </w:r>
          </w:p>
        </w:tc>
        <w:tc>
          <w:tcPr>
            <w:tcW w:w="0" w:type="auto"/>
            <w:tcBorders>
              <w:top w:val="single" w:sz="0" w:space="0" w:color="000000"/>
              <w:left w:val="single" w:sz="0" w:space="0" w:color="000000"/>
              <w:bottom w:val="single" w:sz="0" w:space="0" w:color="000000"/>
              <w:right w:val="single" w:sz="0" w:space="0" w:color="000000"/>
            </w:tcBorders>
            <w:vAlign w:val="center"/>
          </w:tcPr>
          <w:p w:rsidR="00F6599F">
            <w:pPr>
              <w:jc w:val="right"/>
            </w:pPr>
            <w:r>
              <w:rPr>
                <w:color w:val="000000"/>
              </w:rPr>
              <w:t>10,098,932.06</w:t>
            </w:r>
          </w:p>
        </w:tc>
        <w:tc>
          <w:tcPr>
            <w:tcW w:w="0" w:type="auto"/>
            <w:tcBorders>
              <w:top w:val="single" w:sz="0" w:space="0" w:color="000000"/>
              <w:left w:val="single" w:sz="0" w:space="0" w:color="000000"/>
              <w:bottom w:val="single" w:sz="0" w:space="0" w:color="000000"/>
              <w:right w:val="single" w:sz="0" w:space="0" w:color="000000"/>
            </w:tcBorders>
            <w:vAlign w:val="center"/>
          </w:tcPr>
          <w:p w:rsidR="00F6599F">
            <w:pPr>
              <w:jc w:val="right"/>
            </w:pPr>
            <w:r>
              <w:rPr>
                <w:color w:val="000000"/>
              </w:rPr>
              <w:t>0.25</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F6599F">
            <w:pPr>
              <w:jc w:val="center"/>
            </w:pPr>
            <w:r>
              <w:rPr>
                <w:color w:val="000000"/>
              </w:rPr>
              <w:t>8</w:t>
            </w:r>
          </w:p>
        </w:tc>
        <w:tc>
          <w:tcPr>
            <w:tcW w:w="0" w:type="auto"/>
            <w:tcBorders>
              <w:top w:val="single" w:sz="0" w:space="0" w:color="000000"/>
              <w:left w:val="single" w:sz="0" w:space="0" w:color="000000"/>
              <w:bottom w:val="single" w:sz="0" w:space="0" w:color="000000"/>
              <w:right w:val="single" w:sz="0" w:space="0" w:color="000000"/>
            </w:tcBorders>
            <w:vAlign w:val="center"/>
          </w:tcPr>
          <w:p w:rsidR="00F6599F">
            <w:pPr>
              <w:jc w:val="center"/>
            </w:pPr>
            <w:r>
              <w:rPr>
                <w:color w:val="000000"/>
              </w:rPr>
              <w:t>180310</w:t>
            </w:r>
          </w:p>
        </w:tc>
        <w:tc>
          <w:tcPr>
            <w:tcW w:w="0" w:type="auto"/>
            <w:tcBorders>
              <w:top w:val="single" w:sz="0" w:space="0" w:color="000000"/>
              <w:left w:val="single" w:sz="0" w:space="0" w:color="000000"/>
              <w:bottom w:val="single" w:sz="0" w:space="0" w:color="000000"/>
              <w:right w:val="single" w:sz="0" w:space="0" w:color="000000"/>
            </w:tcBorders>
            <w:vAlign w:val="center"/>
          </w:tcPr>
          <w:p w:rsidR="00F6599F">
            <w:pPr>
              <w:jc w:val="center"/>
            </w:pPr>
            <w:r>
              <w:rPr>
                <w:color w:val="000000"/>
              </w:rPr>
              <w:t>诚悦</w:t>
            </w:r>
            <w:r>
              <w:rPr>
                <w:color w:val="000000"/>
              </w:rPr>
              <w:t>7A</w:t>
            </w:r>
          </w:p>
        </w:tc>
        <w:tc>
          <w:tcPr>
            <w:tcW w:w="0" w:type="auto"/>
            <w:tcBorders>
              <w:top w:val="single" w:sz="0" w:space="0" w:color="000000"/>
              <w:left w:val="single" w:sz="0" w:space="0" w:color="000000"/>
              <w:bottom w:val="single" w:sz="0" w:space="0" w:color="000000"/>
              <w:right w:val="single" w:sz="0" w:space="0" w:color="000000"/>
            </w:tcBorders>
            <w:vAlign w:val="center"/>
          </w:tcPr>
          <w:p w:rsidR="00F6599F">
            <w:pPr>
              <w:jc w:val="right"/>
            </w:pPr>
            <w:r>
              <w:rPr>
                <w:color w:val="000000"/>
              </w:rPr>
              <w:t>100,000</w:t>
            </w:r>
          </w:p>
        </w:tc>
        <w:tc>
          <w:tcPr>
            <w:tcW w:w="0" w:type="auto"/>
            <w:tcBorders>
              <w:top w:val="single" w:sz="0" w:space="0" w:color="000000"/>
              <w:left w:val="single" w:sz="0" w:space="0" w:color="000000"/>
              <w:bottom w:val="single" w:sz="0" w:space="0" w:color="000000"/>
              <w:right w:val="single" w:sz="0" w:space="0" w:color="000000"/>
            </w:tcBorders>
            <w:vAlign w:val="center"/>
          </w:tcPr>
          <w:p w:rsidR="00F6599F">
            <w:pPr>
              <w:jc w:val="right"/>
            </w:pPr>
            <w:r>
              <w:rPr>
                <w:color w:val="000000"/>
              </w:rPr>
              <w:t>10,022,169.86</w:t>
            </w:r>
          </w:p>
        </w:tc>
        <w:tc>
          <w:tcPr>
            <w:tcW w:w="0" w:type="auto"/>
            <w:tcBorders>
              <w:top w:val="single" w:sz="0" w:space="0" w:color="000000"/>
              <w:left w:val="single" w:sz="0" w:space="0" w:color="000000"/>
              <w:bottom w:val="single" w:sz="0" w:space="0" w:color="000000"/>
              <w:right w:val="single" w:sz="0" w:space="0" w:color="000000"/>
            </w:tcBorders>
            <w:vAlign w:val="center"/>
          </w:tcPr>
          <w:p w:rsidR="00F6599F">
            <w:pPr>
              <w:jc w:val="right"/>
            </w:pPr>
            <w:r>
              <w:rPr>
                <w:color w:val="000000"/>
              </w:rPr>
              <w:t>0.24</w:t>
            </w:r>
          </w:p>
        </w:tc>
      </w:tr>
    </w:tbl>
    <w:p w:rsidR="00336BCC">
      <w:pPr>
        <w:spacing w:line="360" w:lineRule="auto"/>
        <w:jc w:val="left"/>
      </w:pPr>
      <w:r>
        <w:t>7</w:t>
      </w:r>
      <w:r>
        <w:t>、报告期末按公允价值占基金资产净值比例大小排序的前五名贵金属投资明细</w:t>
      </w:r>
    </w:p>
    <w:p w:rsidR="00336BCC">
      <w:pPr>
        <w:spacing w:line="360" w:lineRule="auto"/>
        <w:ind w:firstLine="420"/>
        <w:jc w:val="left"/>
      </w:pPr>
      <w:r>
        <w:t>本基金本报告期末未持有贵金属。</w:t>
      </w:r>
    </w:p>
    <w:p w:rsidR="00336BCC">
      <w:pPr>
        <w:spacing w:line="360" w:lineRule="auto"/>
        <w:jc w:val="left"/>
      </w:pPr>
      <w:r>
        <w:t>8</w:t>
      </w:r>
      <w:r>
        <w:t>、报告期末按公允价值占基金资产净值比例大小排序的前五名权证投资明细</w:t>
      </w:r>
    </w:p>
    <w:p w:rsidR="00336BCC">
      <w:pPr>
        <w:spacing w:line="360" w:lineRule="auto"/>
        <w:ind w:firstLine="420"/>
        <w:jc w:val="left"/>
      </w:pPr>
      <w:r>
        <w:t>本基金本报告期末未持有权证。</w:t>
      </w:r>
    </w:p>
    <w:p w:rsidR="00336BCC">
      <w:pPr>
        <w:spacing w:line="360" w:lineRule="auto"/>
        <w:jc w:val="left"/>
      </w:pPr>
      <w:r>
        <w:t>9</w:t>
      </w:r>
      <w:r>
        <w:t>、报告期末本基金投资的股指期货交易情况说明</w:t>
      </w:r>
    </w:p>
    <w:p w:rsidR="00336BCC">
      <w:pPr>
        <w:spacing w:line="360" w:lineRule="auto"/>
        <w:ind w:firstLine="420"/>
        <w:jc w:val="left"/>
      </w:pPr>
      <w:r>
        <w:t>本基金本报告期末未投资股指期货。</w:t>
      </w:r>
    </w:p>
    <w:p w:rsidR="00336BCC">
      <w:pPr>
        <w:spacing w:line="360" w:lineRule="auto"/>
        <w:jc w:val="left"/>
      </w:pPr>
      <w:r>
        <w:t>10</w:t>
      </w:r>
      <w:r>
        <w:t>、报告期末本基金投资的国债期货交易情况说明</w:t>
      </w:r>
    </w:p>
    <w:p w:rsidR="00336BCC">
      <w:pPr>
        <w:spacing w:line="360" w:lineRule="auto"/>
        <w:ind w:firstLine="420"/>
        <w:jc w:val="left"/>
      </w:pPr>
      <w:r>
        <w:t>本基金本报告期末未投资国债期货。</w:t>
      </w:r>
    </w:p>
    <w:p w:rsidR="00336BCC">
      <w:pPr>
        <w:spacing w:line="360" w:lineRule="auto"/>
        <w:jc w:val="left"/>
      </w:pPr>
      <w:r>
        <w:t>11</w:t>
      </w:r>
      <w:r>
        <w:t>、投资组合报告附注</w:t>
      </w:r>
    </w:p>
    <w:p w:rsidR="00336BCC">
      <w:pPr>
        <w:spacing w:line="360" w:lineRule="auto"/>
        <w:jc w:val="left"/>
      </w:pPr>
      <w:r>
        <w:t>（</w:t>
      </w:r>
      <w:r>
        <w:t>1</w:t>
      </w:r>
      <w:r>
        <w:t>）</w:t>
      </w:r>
      <w:r>
        <w:t xml:space="preserve"> </w:t>
      </w:r>
      <w:r>
        <w:t>本基金投资的前十名证券的发行主体中，中国进出口银行在报告编制日前一年内曾受到中国银行保险监督管理委员会的处罚。兴业银行股份有限公司在报告编制日前一年内曾受到中国银行保险监督管理委员会的处罚。国家开发银行在报告编制日前一年内曾受到中国银行保险监督管理委员会的处罚。</w:t>
      </w:r>
    </w:p>
    <w:p w:rsidR="00336BCC">
      <w:pPr>
        <w:spacing w:line="360" w:lineRule="auto"/>
        <w:ind w:firstLine="420"/>
        <w:jc w:val="left"/>
      </w:pPr>
      <w:r>
        <w:t>本基金对上述主体所发行证券的投资决策程序符合公司投资制度的规定。除上述主体外，基金管理人未发现本基金投资的前十名证券的发行主体出现本期被监管部门立案调查，或在报告编制日前一年内受到公开谴责、处罚的情形。</w:t>
      </w:r>
    </w:p>
    <w:p w:rsidR="00336BCC">
      <w:pPr>
        <w:spacing w:line="360" w:lineRule="auto"/>
        <w:jc w:val="left"/>
      </w:pPr>
      <w:r>
        <w:t>（</w:t>
      </w:r>
      <w:r>
        <w:t>2</w:t>
      </w:r>
      <w:r>
        <w:t>）</w:t>
      </w:r>
      <w:r>
        <w:t xml:space="preserve"> </w:t>
      </w:r>
      <w:r>
        <w:t>本基金本报告期没有投资股票，因此不存在投资的前十名股票超出基金合同规定的备选股票库情况。</w:t>
      </w:r>
    </w:p>
    <w:p w:rsidR="00336BCC">
      <w:pPr>
        <w:spacing w:line="360" w:lineRule="auto"/>
        <w:jc w:val="left"/>
      </w:pPr>
      <w:r>
        <w:t>（</w:t>
      </w:r>
      <w:r>
        <w:t>3</w:t>
      </w:r>
      <w:r>
        <w:t>）其他资产构成</w:t>
      </w:r>
    </w:p>
    <w:tbl>
      <w:tblPr>
        <w:tblStyle w:val="TableGrid"/>
        <w:tblW w:w="0" w:type="auto"/>
        <w:tblInd w:w="15" w:type="dxa"/>
        <w:tblLayout w:type="fixed"/>
        <w:tblLook w:val="04A0"/>
      </w:tblPr>
      <w:tblGrid>
        <w:gridCol w:w="944"/>
        <w:gridCol w:w="2761"/>
        <w:gridCol w:w="4808"/>
      </w:tblGrid>
      <w:tr w:rsidTr="00094303">
        <w:tblPrEx>
          <w:tblW w:w="0" w:type="auto"/>
          <w:tblInd w:w="15" w:type="dxa"/>
          <w:tblLayout w:type="fixed"/>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7B3D65" w:rsidP="00094303">
            <w:pPr>
              <w:autoSpaceDE w:val="0"/>
              <w:autoSpaceDN w:val="0"/>
              <w:adjustRightInd w:val="0"/>
              <w:ind w:left="17"/>
              <w:jc w:val="center"/>
              <w:rPr>
                <w:color w:val="000000"/>
                <w:kern w:val="0"/>
                <w:sz w:val="24"/>
              </w:rPr>
            </w:pPr>
            <w:r>
              <w:rPr>
                <w:color w:val="000000"/>
                <w:kern w:val="0"/>
              </w:rPr>
              <w:t>序号</w:t>
            </w:r>
          </w:p>
        </w:tc>
        <w:tc>
          <w:tcPr>
            <w:tcW w:w="2761" w:type="dxa"/>
            <w:tcBorders>
              <w:top w:val="single" w:sz="0" w:space="0" w:color="000000"/>
              <w:left w:val="single" w:sz="0" w:space="0" w:color="000000"/>
              <w:bottom w:val="single" w:sz="0" w:space="0" w:color="000000"/>
              <w:right w:val="single" w:sz="0" w:space="0" w:color="000000"/>
            </w:tcBorders>
            <w:vAlign w:val="center"/>
          </w:tcPr>
          <w:p w:rsidR="007B3D65" w:rsidP="00094303">
            <w:pPr>
              <w:autoSpaceDE w:val="0"/>
              <w:autoSpaceDN w:val="0"/>
              <w:adjustRightInd w:val="0"/>
              <w:ind w:left="17"/>
              <w:jc w:val="center"/>
              <w:rPr>
                <w:color w:val="000000"/>
                <w:kern w:val="0"/>
                <w:sz w:val="24"/>
              </w:rPr>
            </w:pPr>
            <w:r>
              <w:rPr>
                <w:color w:val="000000"/>
                <w:kern w:val="0"/>
              </w:rPr>
              <w:t>名称</w:t>
            </w:r>
          </w:p>
        </w:tc>
        <w:tc>
          <w:tcPr>
            <w:tcW w:w="4808" w:type="dxa"/>
            <w:tcBorders>
              <w:top w:val="single" w:sz="0" w:space="0" w:color="000000"/>
              <w:left w:val="single" w:sz="0" w:space="0" w:color="000000"/>
              <w:bottom w:val="single" w:sz="0" w:space="0" w:color="000000"/>
              <w:right w:val="single" w:sz="0" w:space="0" w:color="000000"/>
            </w:tcBorders>
            <w:vAlign w:val="center"/>
          </w:tcPr>
          <w:p w:rsidR="007B3D65" w:rsidP="00094303">
            <w:pPr>
              <w:autoSpaceDE w:val="0"/>
              <w:autoSpaceDN w:val="0"/>
              <w:adjustRightInd w:val="0"/>
              <w:ind w:left="17"/>
              <w:jc w:val="center"/>
              <w:rPr>
                <w:color w:val="000000"/>
                <w:kern w:val="0"/>
                <w:sz w:val="24"/>
              </w:rPr>
            </w:pPr>
            <w:r>
              <w:rPr>
                <w:color w:val="000000"/>
                <w:kern w:val="0"/>
              </w:rPr>
              <w:t>金额（元）</w:t>
            </w:r>
          </w:p>
        </w:tc>
      </w:tr>
      <w:tr w:rsidTr="00094303">
        <w:tblPrEx>
          <w:tblW w:w="0" w:type="auto"/>
          <w:tblInd w:w="15" w:type="dxa"/>
          <w:tblLayout w:type="fixed"/>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7B3D65" w:rsidP="00094303">
            <w:pPr>
              <w:autoSpaceDE w:val="0"/>
              <w:autoSpaceDN w:val="0"/>
              <w:adjustRightInd w:val="0"/>
              <w:ind w:left="15"/>
              <w:jc w:val="center"/>
              <w:rPr>
                <w:color w:val="000000"/>
                <w:kern w:val="0"/>
                <w:sz w:val="24"/>
              </w:rPr>
            </w:pPr>
            <w:r>
              <w:rPr>
                <w:color w:val="000000"/>
              </w:rPr>
              <w:t>1</w:t>
            </w:r>
          </w:p>
        </w:tc>
        <w:tc>
          <w:tcPr>
            <w:tcW w:w="2761" w:type="dxa"/>
            <w:tcBorders>
              <w:top w:val="single" w:sz="0" w:space="0" w:color="000000"/>
              <w:left w:val="single" w:sz="0" w:space="0" w:color="000000"/>
              <w:bottom w:val="single" w:sz="0" w:space="0" w:color="000000"/>
              <w:right w:val="single" w:sz="0" w:space="0" w:color="000000"/>
            </w:tcBorders>
            <w:vAlign w:val="center"/>
          </w:tcPr>
          <w:p w:rsidR="007B3D65" w:rsidP="00094303">
            <w:pPr>
              <w:autoSpaceDE w:val="0"/>
              <w:autoSpaceDN w:val="0"/>
              <w:adjustRightInd w:val="0"/>
              <w:ind w:left="15"/>
              <w:jc w:val="left"/>
              <w:rPr>
                <w:color w:val="000000"/>
                <w:kern w:val="0"/>
                <w:sz w:val="24"/>
              </w:rPr>
            </w:pPr>
            <w:r>
              <w:rPr>
                <w:color w:val="000000"/>
                <w:kern w:val="0"/>
              </w:rPr>
              <w:t>存出保证金</w:t>
            </w:r>
          </w:p>
        </w:tc>
        <w:tc>
          <w:tcPr>
            <w:tcW w:w="4808" w:type="dxa"/>
            <w:tcBorders>
              <w:top w:val="single" w:sz="0" w:space="0" w:color="000000"/>
              <w:left w:val="single" w:sz="0" w:space="0" w:color="000000"/>
              <w:bottom w:val="single" w:sz="0" w:space="0" w:color="000000"/>
              <w:right w:val="single" w:sz="0" w:space="0" w:color="000000"/>
            </w:tcBorders>
            <w:vAlign w:val="center"/>
          </w:tcPr>
          <w:p w:rsidR="007B3D65" w:rsidP="00094303">
            <w:pPr>
              <w:autoSpaceDE w:val="0"/>
              <w:autoSpaceDN w:val="0"/>
              <w:adjustRightInd w:val="0"/>
              <w:ind w:left="15"/>
              <w:jc w:val="right"/>
              <w:rPr>
                <w:color w:val="000000"/>
                <w:kern w:val="0"/>
                <w:sz w:val="24"/>
              </w:rPr>
            </w:pPr>
            <w:r>
              <w:rPr>
                <w:color w:val="000000"/>
                <w:kern w:val="0"/>
              </w:rPr>
              <w:t>44,458.61</w:t>
            </w:r>
          </w:p>
        </w:tc>
      </w:tr>
      <w:tr w:rsidTr="00094303">
        <w:tblPrEx>
          <w:tblW w:w="0" w:type="auto"/>
          <w:tblInd w:w="15" w:type="dxa"/>
          <w:tblLayout w:type="fixed"/>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7B3D65" w:rsidP="00094303">
            <w:pPr>
              <w:autoSpaceDE w:val="0"/>
              <w:autoSpaceDN w:val="0"/>
              <w:adjustRightInd w:val="0"/>
              <w:ind w:left="15"/>
              <w:jc w:val="center"/>
              <w:rPr>
                <w:color w:val="000000"/>
                <w:sz w:val="24"/>
              </w:rPr>
            </w:pPr>
            <w:r>
              <w:rPr>
                <w:color w:val="000000"/>
              </w:rPr>
              <w:t>2</w:t>
            </w:r>
          </w:p>
        </w:tc>
        <w:tc>
          <w:tcPr>
            <w:tcW w:w="2761" w:type="dxa"/>
            <w:tcBorders>
              <w:top w:val="single" w:sz="0" w:space="0" w:color="000000"/>
              <w:left w:val="single" w:sz="0" w:space="0" w:color="000000"/>
              <w:bottom w:val="single" w:sz="0" w:space="0" w:color="000000"/>
              <w:right w:val="single" w:sz="0" w:space="0" w:color="000000"/>
            </w:tcBorders>
            <w:vAlign w:val="center"/>
          </w:tcPr>
          <w:p w:rsidR="007B3D65" w:rsidP="00094303">
            <w:pPr>
              <w:autoSpaceDE w:val="0"/>
              <w:autoSpaceDN w:val="0"/>
              <w:adjustRightInd w:val="0"/>
              <w:ind w:left="15"/>
              <w:jc w:val="left"/>
              <w:rPr>
                <w:color w:val="000000"/>
                <w:kern w:val="0"/>
                <w:sz w:val="24"/>
              </w:rPr>
            </w:pPr>
            <w:r>
              <w:rPr>
                <w:color w:val="000000"/>
                <w:kern w:val="0"/>
              </w:rPr>
              <w:t>应收证券清算款</w:t>
            </w:r>
          </w:p>
        </w:tc>
        <w:tc>
          <w:tcPr>
            <w:tcW w:w="4808" w:type="dxa"/>
            <w:tcBorders>
              <w:top w:val="single" w:sz="0" w:space="0" w:color="000000"/>
              <w:left w:val="single" w:sz="0" w:space="0" w:color="000000"/>
              <w:bottom w:val="single" w:sz="0" w:space="0" w:color="000000"/>
              <w:right w:val="single" w:sz="0" w:space="0" w:color="000000"/>
            </w:tcBorders>
            <w:vAlign w:val="center"/>
          </w:tcPr>
          <w:p w:rsidR="007B3D65" w:rsidP="00094303">
            <w:pPr>
              <w:autoSpaceDE w:val="0"/>
              <w:autoSpaceDN w:val="0"/>
              <w:adjustRightInd w:val="0"/>
              <w:ind w:left="15"/>
              <w:jc w:val="right"/>
              <w:rPr>
                <w:color w:val="000000"/>
                <w:kern w:val="0"/>
                <w:sz w:val="24"/>
              </w:rPr>
            </w:pPr>
            <w:r>
              <w:rPr>
                <w:color w:val="000000"/>
                <w:kern w:val="0"/>
              </w:rPr>
              <w:t>42,815,413.70</w:t>
            </w:r>
          </w:p>
        </w:tc>
      </w:tr>
      <w:tr w:rsidTr="00094303">
        <w:tblPrEx>
          <w:tblW w:w="0" w:type="auto"/>
          <w:tblInd w:w="15" w:type="dxa"/>
          <w:tblLayout w:type="fixed"/>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7B3D65" w:rsidP="00094303">
            <w:pPr>
              <w:autoSpaceDE w:val="0"/>
              <w:autoSpaceDN w:val="0"/>
              <w:adjustRightInd w:val="0"/>
              <w:ind w:left="15"/>
              <w:jc w:val="center"/>
              <w:rPr>
                <w:color w:val="000000"/>
                <w:sz w:val="24"/>
              </w:rPr>
            </w:pPr>
            <w:r>
              <w:rPr>
                <w:color w:val="000000"/>
              </w:rPr>
              <w:t>3</w:t>
            </w:r>
          </w:p>
        </w:tc>
        <w:tc>
          <w:tcPr>
            <w:tcW w:w="2761" w:type="dxa"/>
            <w:tcBorders>
              <w:top w:val="single" w:sz="0" w:space="0" w:color="000000"/>
              <w:left w:val="single" w:sz="0" w:space="0" w:color="000000"/>
              <w:bottom w:val="single" w:sz="0" w:space="0" w:color="000000"/>
              <w:right w:val="single" w:sz="0" w:space="0" w:color="000000"/>
            </w:tcBorders>
            <w:vAlign w:val="center"/>
          </w:tcPr>
          <w:p w:rsidR="007B3D65" w:rsidP="00094303">
            <w:pPr>
              <w:autoSpaceDE w:val="0"/>
              <w:autoSpaceDN w:val="0"/>
              <w:adjustRightInd w:val="0"/>
              <w:ind w:left="15"/>
              <w:jc w:val="left"/>
              <w:rPr>
                <w:color w:val="000000"/>
                <w:kern w:val="0"/>
                <w:sz w:val="24"/>
              </w:rPr>
            </w:pPr>
            <w:r>
              <w:rPr>
                <w:color w:val="000000"/>
                <w:kern w:val="0"/>
              </w:rPr>
              <w:t>应收股利</w:t>
            </w:r>
          </w:p>
        </w:tc>
        <w:tc>
          <w:tcPr>
            <w:tcW w:w="4808" w:type="dxa"/>
            <w:tcBorders>
              <w:top w:val="single" w:sz="0" w:space="0" w:color="000000"/>
              <w:left w:val="single" w:sz="0" w:space="0" w:color="000000"/>
              <w:bottom w:val="single" w:sz="0" w:space="0" w:color="000000"/>
              <w:right w:val="single" w:sz="0" w:space="0" w:color="000000"/>
            </w:tcBorders>
            <w:vAlign w:val="center"/>
          </w:tcPr>
          <w:p w:rsidR="007B3D65" w:rsidP="00094303">
            <w:pPr>
              <w:autoSpaceDE w:val="0"/>
              <w:autoSpaceDN w:val="0"/>
              <w:adjustRightInd w:val="0"/>
              <w:ind w:left="15"/>
              <w:jc w:val="right"/>
              <w:rPr>
                <w:color w:val="000000"/>
                <w:kern w:val="0"/>
                <w:sz w:val="24"/>
              </w:rPr>
            </w:pPr>
            <w:r>
              <w:rPr>
                <w:color w:val="000000"/>
                <w:kern w:val="0"/>
              </w:rPr>
              <w:t>-</w:t>
            </w:r>
          </w:p>
        </w:tc>
      </w:tr>
      <w:tr w:rsidTr="00094303">
        <w:tblPrEx>
          <w:tblW w:w="0" w:type="auto"/>
          <w:tblInd w:w="15" w:type="dxa"/>
          <w:tblLayout w:type="fixed"/>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7B3D65" w:rsidP="00094303">
            <w:pPr>
              <w:autoSpaceDE w:val="0"/>
              <w:autoSpaceDN w:val="0"/>
              <w:adjustRightInd w:val="0"/>
              <w:ind w:left="15"/>
              <w:jc w:val="center"/>
              <w:rPr>
                <w:color w:val="000000"/>
                <w:sz w:val="24"/>
              </w:rPr>
            </w:pPr>
            <w:r>
              <w:rPr>
                <w:color w:val="000000"/>
              </w:rPr>
              <w:t>4</w:t>
            </w:r>
          </w:p>
        </w:tc>
        <w:tc>
          <w:tcPr>
            <w:tcW w:w="2761" w:type="dxa"/>
            <w:tcBorders>
              <w:top w:val="single" w:sz="0" w:space="0" w:color="000000"/>
              <w:left w:val="single" w:sz="0" w:space="0" w:color="000000"/>
              <w:bottom w:val="single" w:sz="0" w:space="0" w:color="000000"/>
              <w:right w:val="single" w:sz="0" w:space="0" w:color="000000"/>
            </w:tcBorders>
            <w:vAlign w:val="center"/>
          </w:tcPr>
          <w:p w:rsidR="007B3D65" w:rsidP="00094303">
            <w:pPr>
              <w:autoSpaceDE w:val="0"/>
              <w:autoSpaceDN w:val="0"/>
              <w:adjustRightInd w:val="0"/>
              <w:ind w:left="15"/>
              <w:jc w:val="left"/>
              <w:rPr>
                <w:color w:val="000000"/>
                <w:kern w:val="0"/>
                <w:sz w:val="24"/>
              </w:rPr>
            </w:pPr>
            <w:r>
              <w:rPr>
                <w:color w:val="000000"/>
                <w:kern w:val="0"/>
              </w:rPr>
              <w:t>应收利息</w:t>
            </w:r>
          </w:p>
        </w:tc>
        <w:tc>
          <w:tcPr>
            <w:tcW w:w="4808" w:type="dxa"/>
            <w:tcBorders>
              <w:top w:val="single" w:sz="0" w:space="0" w:color="000000"/>
              <w:left w:val="single" w:sz="0" w:space="0" w:color="000000"/>
              <w:bottom w:val="single" w:sz="0" w:space="0" w:color="000000"/>
              <w:right w:val="single" w:sz="0" w:space="0" w:color="000000"/>
            </w:tcBorders>
            <w:vAlign w:val="center"/>
          </w:tcPr>
          <w:p w:rsidR="007B3D65" w:rsidP="00094303">
            <w:pPr>
              <w:autoSpaceDE w:val="0"/>
              <w:autoSpaceDN w:val="0"/>
              <w:adjustRightInd w:val="0"/>
              <w:ind w:left="15"/>
              <w:jc w:val="right"/>
              <w:rPr>
                <w:color w:val="000000"/>
                <w:kern w:val="0"/>
                <w:sz w:val="24"/>
              </w:rPr>
            </w:pPr>
            <w:r>
              <w:rPr>
                <w:color w:val="000000"/>
                <w:kern w:val="0"/>
              </w:rPr>
              <w:t>-</w:t>
            </w:r>
          </w:p>
        </w:tc>
      </w:tr>
      <w:tr w:rsidTr="00094303">
        <w:tblPrEx>
          <w:tblW w:w="0" w:type="auto"/>
          <w:tblInd w:w="15" w:type="dxa"/>
          <w:tblLayout w:type="fixed"/>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7B3D65" w:rsidP="00094303">
            <w:pPr>
              <w:autoSpaceDE w:val="0"/>
              <w:autoSpaceDN w:val="0"/>
              <w:adjustRightInd w:val="0"/>
              <w:ind w:left="15"/>
              <w:jc w:val="center"/>
              <w:rPr>
                <w:color w:val="000000"/>
                <w:sz w:val="24"/>
              </w:rPr>
            </w:pPr>
            <w:r>
              <w:rPr>
                <w:color w:val="000000"/>
              </w:rPr>
              <w:t>5</w:t>
            </w:r>
          </w:p>
        </w:tc>
        <w:tc>
          <w:tcPr>
            <w:tcW w:w="2761" w:type="dxa"/>
            <w:tcBorders>
              <w:top w:val="single" w:sz="0" w:space="0" w:color="000000"/>
              <w:left w:val="single" w:sz="0" w:space="0" w:color="000000"/>
              <w:bottom w:val="single" w:sz="0" w:space="0" w:color="000000"/>
              <w:right w:val="single" w:sz="0" w:space="0" w:color="000000"/>
            </w:tcBorders>
            <w:vAlign w:val="center"/>
          </w:tcPr>
          <w:p w:rsidR="007B3D65" w:rsidP="00094303">
            <w:pPr>
              <w:autoSpaceDE w:val="0"/>
              <w:autoSpaceDN w:val="0"/>
              <w:adjustRightInd w:val="0"/>
              <w:ind w:left="15"/>
              <w:jc w:val="left"/>
              <w:rPr>
                <w:color w:val="000000"/>
                <w:kern w:val="0"/>
                <w:sz w:val="24"/>
              </w:rPr>
            </w:pPr>
            <w:r>
              <w:rPr>
                <w:color w:val="000000"/>
                <w:kern w:val="0"/>
              </w:rPr>
              <w:t>应收申购款</w:t>
            </w:r>
          </w:p>
        </w:tc>
        <w:tc>
          <w:tcPr>
            <w:tcW w:w="4808" w:type="dxa"/>
            <w:tcBorders>
              <w:top w:val="single" w:sz="0" w:space="0" w:color="000000"/>
              <w:left w:val="single" w:sz="0" w:space="0" w:color="000000"/>
              <w:bottom w:val="single" w:sz="0" w:space="0" w:color="000000"/>
              <w:right w:val="single" w:sz="0" w:space="0" w:color="000000"/>
            </w:tcBorders>
            <w:vAlign w:val="center"/>
          </w:tcPr>
          <w:p w:rsidR="007B3D65" w:rsidP="00094303">
            <w:pPr>
              <w:autoSpaceDE w:val="0"/>
              <w:autoSpaceDN w:val="0"/>
              <w:adjustRightInd w:val="0"/>
              <w:ind w:left="15"/>
              <w:jc w:val="right"/>
              <w:rPr>
                <w:color w:val="000000"/>
                <w:kern w:val="0"/>
                <w:sz w:val="24"/>
              </w:rPr>
            </w:pPr>
            <w:r>
              <w:rPr>
                <w:color w:val="000000"/>
                <w:kern w:val="0"/>
              </w:rPr>
              <w:t>6,188,346.92</w:t>
            </w:r>
          </w:p>
        </w:tc>
      </w:tr>
      <w:tr w:rsidTr="00094303">
        <w:tblPrEx>
          <w:tblW w:w="0" w:type="auto"/>
          <w:tblInd w:w="15" w:type="dxa"/>
          <w:tblLayout w:type="fixed"/>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7B3D65" w:rsidP="00094303">
            <w:pPr>
              <w:autoSpaceDE w:val="0"/>
              <w:autoSpaceDN w:val="0"/>
              <w:adjustRightInd w:val="0"/>
              <w:ind w:left="15"/>
              <w:jc w:val="center"/>
              <w:rPr>
                <w:color w:val="000000"/>
                <w:sz w:val="24"/>
              </w:rPr>
            </w:pPr>
            <w:r>
              <w:rPr>
                <w:color w:val="000000"/>
              </w:rPr>
              <w:t>6</w:t>
            </w:r>
          </w:p>
        </w:tc>
        <w:tc>
          <w:tcPr>
            <w:tcW w:w="2761" w:type="dxa"/>
            <w:tcBorders>
              <w:top w:val="single" w:sz="0" w:space="0" w:color="000000"/>
              <w:left w:val="single" w:sz="0" w:space="0" w:color="000000"/>
              <w:bottom w:val="single" w:sz="0" w:space="0" w:color="000000"/>
              <w:right w:val="single" w:sz="0" w:space="0" w:color="000000"/>
            </w:tcBorders>
            <w:vAlign w:val="center"/>
          </w:tcPr>
          <w:p w:rsidR="007B3D65" w:rsidP="00094303">
            <w:pPr>
              <w:autoSpaceDE w:val="0"/>
              <w:autoSpaceDN w:val="0"/>
              <w:adjustRightInd w:val="0"/>
              <w:ind w:left="15"/>
              <w:jc w:val="left"/>
              <w:rPr>
                <w:color w:val="000000"/>
                <w:kern w:val="0"/>
                <w:sz w:val="24"/>
              </w:rPr>
            </w:pPr>
            <w:r>
              <w:rPr>
                <w:color w:val="000000"/>
                <w:kern w:val="0"/>
              </w:rPr>
              <w:t>其他应收款</w:t>
            </w:r>
          </w:p>
        </w:tc>
        <w:tc>
          <w:tcPr>
            <w:tcW w:w="4808" w:type="dxa"/>
            <w:tcBorders>
              <w:top w:val="single" w:sz="0" w:space="0" w:color="000000"/>
              <w:left w:val="single" w:sz="0" w:space="0" w:color="000000"/>
              <w:bottom w:val="single" w:sz="0" w:space="0" w:color="000000"/>
              <w:right w:val="single" w:sz="0" w:space="0" w:color="000000"/>
            </w:tcBorders>
            <w:vAlign w:val="center"/>
          </w:tcPr>
          <w:p w:rsidR="007B3D65" w:rsidP="00094303">
            <w:pPr>
              <w:autoSpaceDE w:val="0"/>
              <w:autoSpaceDN w:val="0"/>
              <w:adjustRightInd w:val="0"/>
              <w:ind w:left="15"/>
              <w:jc w:val="right"/>
              <w:rPr>
                <w:color w:val="000000"/>
                <w:kern w:val="0"/>
                <w:sz w:val="24"/>
              </w:rPr>
            </w:pPr>
            <w:r>
              <w:rPr>
                <w:color w:val="000000"/>
                <w:kern w:val="0"/>
              </w:rPr>
              <w:t>-</w:t>
            </w:r>
          </w:p>
        </w:tc>
      </w:tr>
      <w:tr w:rsidTr="00094303">
        <w:tblPrEx>
          <w:tblW w:w="0" w:type="auto"/>
          <w:tblInd w:w="15" w:type="dxa"/>
          <w:tblLayout w:type="fixed"/>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7B3D65" w:rsidP="001D3F5B">
            <w:pPr>
              <w:autoSpaceDE w:val="0"/>
              <w:autoSpaceDN w:val="0"/>
              <w:adjustRightInd w:val="0"/>
              <w:ind w:left="15"/>
              <w:jc w:val="center"/>
              <w:rPr>
                <w:color w:val="000000"/>
                <w:sz w:val="24"/>
              </w:rPr>
            </w:pPr>
            <w:r>
              <w:rPr>
                <w:color w:val="000000"/>
              </w:rPr>
              <w:t>7</w:t>
            </w:r>
          </w:p>
        </w:tc>
        <w:tc>
          <w:tcPr>
            <w:tcW w:w="2761" w:type="dxa"/>
            <w:tcBorders>
              <w:top w:val="single" w:sz="0" w:space="0" w:color="000000"/>
              <w:left w:val="single" w:sz="0" w:space="0" w:color="000000"/>
              <w:bottom w:val="single" w:sz="0" w:space="0" w:color="000000"/>
              <w:right w:val="single" w:sz="0" w:space="0" w:color="000000"/>
            </w:tcBorders>
            <w:vAlign w:val="center"/>
          </w:tcPr>
          <w:p w:rsidR="007B3D65" w:rsidP="00094303">
            <w:pPr>
              <w:autoSpaceDE w:val="0"/>
              <w:autoSpaceDN w:val="0"/>
              <w:adjustRightInd w:val="0"/>
              <w:ind w:left="15"/>
              <w:jc w:val="left"/>
              <w:rPr>
                <w:color w:val="000000"/>
                <w:kern w:val="0"/>
                <w:sz w:val="24"/>
              </w:rPr>
            </w:pPr>
            <w:r>
              <w:rPr>
                <w:color w:val="000000"/>
                <w:kern w:val="0"/>
              </w:rPr>
              <w:t>其他</w:t>
            </w:r>
          </w:p>
        </w:tc>
        <w:tc>
          <w:tcPr>
            <w:tcW w:w="4808" w:type="dxa"/>
            <w:tcBorders>
              <w:top w:val="single" w:sz="0" w:space="0" w:color="000000"/>
              <w:left w:val="single" w:sz="0" w:space="0" w:color="000000"/>
              <w:bottom w:val="single" w:sz="0" w:space="0" w:color="000000"/>
              <w:right w:val="single" w:sz="0" w:space="0" w:color="000000"/>
            </w:tcBorders>
            <w:vAlign w:val="center"/>
          </w:tcPr>
          <w:p w:rsidR="007B3D65" w:rsidP="00094303">
            <w:pPr>
              <w:autoSpaceDE w:val="0"/>
              <w:autoSpaceDN w:val="0"/>
              <w:adjustRightInd w:val="0"/>
              <w:ind w:left="15"/>
              <w:jc w:val="right"/>
              <w:rPr>
                <w:color w:val="000000"/>
                <w:kern w:val="0"/>
                <w:sz w:val="24"/>
              </w:rPr>
            </w:pPr>
            <w:r>
              <w:rPr>
                <w:color w:val="000000"/>
                <w:kern w:val="0"/>
              </w:rPr>
              <w:t>-</w:t>
            </w:r>
          </w:p>
        </w:tc>
      </w:tr>
      <w:tr w:rsidTr="00094303">
        <w:tblPrEx>
          <w:tblW w:w="0" w:type="auto"/>
          <w:tblInd w:w="15" w:type="dxa"/>
          <w:tblLayout w:type="fixed"/>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7B3D65" w:rsidP="001D3F5B">
            <w:pPr>
              <w:autoSpaceDE w:val="0"/>
              <w:autoSpaceDN w:val="0"/>
              <w:adjustRightInd w:val="0"/>
              <w:ind w:left="15"/>
              <w:jc w:val="center"/>
              <w:rPr>
                <w:color w:val="000000"/>
                <w:sz w:val="24"/>
              </w:rPr>
            </w:pPr>
            <w:r>
              <w:rPr>
                <w:color w:val="000000"/>
              </w:rPr>
              <w:t>8</w:t>
            </w:r>
          </w:p>
        </w:tc>
        <w:tc>
          <w:tcPr>
            <w:tcW w:w="2761" w:type="dxa"/>
            <w:tcBorders>
              <w:top w:val="single" w:sz="0" w:space="0" w:color="000000"/>
              <w:left w:val="single" w:sz="0" w:space="0" w:color="000000"/>
              <w:bottom w:val="single" w:sz="0" w:space="0" w:color="000000"/>
              <w:right w:val="single" w:sz="0" w:space="0" w:color="000000"/>
            </w:tcBorders>
            <w:vAlign w:val="center"/>
          </w:tcPr>
          <w:p w:rsidR="007B3D65" w:rsidP="00094303">
            <w:pPr>
              <w:autoSpaceDE w:val="0"/>
              <w:autoSpaceDN w:val="0"/>
              <w:adjustRightInd w:val="0"/>
              <w:ind w:left="15"/>
              <w:jc w:val="left"/>
              <w:rPr>
                <w:color w:val="000000"/>
                <w:kern w:val="0"/>
                <w:sz w:val="24"/>
              </w:rPr>
            </w:pPr>
            <w:r>
              <w:rPr>
                <w:color w:val="000000"/>
                <w:kern w:val="0"/>
              </w:rPr>
              <w:t>合计</w:t>
            </w:r>
          </w:p>
        </w:tc>
        <w:tc>
          <w:tcPr>
            <w:tcW w:w="4808" w:type="dxa"/>
            <w:tcBorders>
              <w:top w:val="single" w:sz="0" w:space="0" w:color="000000"/>
              <w:left w:val="single" w:sz="0" w:space="0" w:color="000000"/>
              <w:bottom w:val="single" w:sz="0" w:space="0" w:color="000000"/>
              <w:right w:val="single" w:sz="0" w:space="0" w:color="000000"/>
            </w:tcBorders>
            <w:vAlign w:val="center"/>
          </w:tcPr>
          <w:p w:rsidR="007B3D65" w:rsidP="00094303">
            <w:pPr>
              <w:autoSpaceDE w:val="0"/>
              <w:autoSpaceDN w:val="0"/>
              <w:adjustRightInd w:val="0"/>
              <w:ind w:left="15"/>
              <w:jc w:val="right"/>
              <w:rPr>
                <w:color w:val="000000"/>
                <w:kern w:val="0"/>
                <w:sz w:val="24"/>
              </w:rPr>
            </w:pPr>
            <w:r>
              <w:rPr>
                <w:color w:val="000000"/>
                <w:kern w:val="0"/>
              </w:rPr>
              <w:t>49,048,219.23</w:t>
            </w:r>
          </w:p>
        </w:tc>
      </w:tr>
    </w:tbl>
    <w:p w:rsidR="00336BCC">
      <w:pPr>
        <w:spacing w:line="360" w:lineRule="auto"/>
        <w:jc w:val="left"/>
      </w:pPr>
      <w:r>
        <w:t>（</w:t>
      </w:r>
      <w:r>
        <w:t>4</w:t>
      </w:r>
      <w:r>
        <w:t>）报告期末持有的处于转股期的可转换债券明细</w:t>
      </w:r>
    </w:p>
    <w:p w:rsidR="00336BCC">
      <w:pPr>
        <w:spacing w:line="360" w:lineRule="auto"/>
        <w:ind w:firstLine="420"/>
        <w:jc w:val="left"/>
      </w:pPr>
      <w:r>
        <w:t>本基金本报告期末未持有处于转股期的可转换债券。</w:t>
      </w:r>
    </w:p>
    <w:p w:rsidR="00336BCC">
      <w:pPr>
        <w:spacing w:line="360" w:lineRule="auto"/>
        <w:jc w:val="left"/>
      </w:pPr>
      <w:r>
        <w:t>（</w:t>
      </w:r>
      <w:r>
        <w:t>5</w:t>
      </w:r>
      <w:r>
        <w:t>）报告期末前十名股票中存在流通受限情况的说明</w:t>
      </w:r>
    </w:p>
    <w:p w:rsidR="00336BCC">
      <w:pPr>
        <w:spacing w:line="360" w:lineRule="auto"/>
        <w:ind w:firstLine="420"/>
        <w:jc w:val="left"/>
      </w:pPr>
      <w:r>
        <w:t>本基金本报告期末未持有股票。</w:t>
      </w:r>
      <w:r>
        <w:br w:type="page"/>
      </w:r>
    </w:p>
    <w:p w:rsidR="00B449BA" w:rsidRPr="005A7DE6" w:rsidP="006B758F">
      <w:pPr>
        <w:pStyle w:val="111"/>
        <w:pageBreakBefore w:val="0"/>
        <w:snapToGrid w:val="0"/>
        <w:spacing w:beforeLines="0" w:afterLines="0" w:line="360" w:lineRule="auto"/>
        <w:ind w:firstLine="602"/>
        <w:rPr>
          <w:rFonts w:asciiTheme="minorEastAsia" w:eastAsiaTheme="minorEastAsia" w:hAnsiTheme="minorEastAsia"/>
          <w:b/>
          <w:color w:val="000000" w:themeColor="text1"/>
          <w:sz w:val="30"/>
        </w:rPr>
      </w:pPr>
      <w:bookmarkStart w:id="3663" w:name="_Toc94172433"/>
      <w:r w:rsidRPr="005A7DE6">
        <w:rPr>
          <w:rFonts w:asciiTheme="minorEastAsia" w:eastAsiaTheme="minorEastAsia" w:hAnsiTheme="minorEastAsia"/>
          <w:b/>
          <w:color w:val="000000" w:themeColor="text1"/>
          <w:sz w:val="30"/>
        </w:rPr>
        <w:t>十</w:t>
      </w:r>
      <w:r w:rsidRPr="005A7DE6">
        <w:rPr>
          <w:rFonts w:asciiTheme="minorEastAsia" w:eastAsiaTheme="minorEastAsia" w:hAnsiTheme="minorEastAsia" w:hint="eastAsia"/>
          <w:b/>
          <w:color w:val="000000" w:themeColor="text1"/>
          <w:sz w:val="30"/>
        </w:rPr>
        <w:t>二</w:t>
      </w:r>
      <w:r w:rsidRPr="005A7DE6">
        <w:rPr>
          <w:rFonts w:asciiTheme="minorEastAsia" w:eastAsiaTheme="minorEastAsia" w:hAnsiTheme="minorEastAsia"/>
          <w:b/>
          <w:color w:val="000000" w:themeColor="text1"/>
          <w:sz w:val="30"/>
        </w:rPr>
        <w:t>、基金的</w:t>
      </w:r>
      <w:r w:rsidRPr="005A7DE6">
        <w:rPr>
          <w:rFonts w:asciiTheme="minorEastAsia" w:eastAsiaTheme="minorEastAsia" w:hAnsiTheme="minorEastAsia" w:hint="eastAsia"/>
          <w:b/>
          <w:color w:val="000000" w:themeColor="text1"/>
          <w:sz w:val="30"/>
        </w:rPr>
        <w:t>业绩</w:t>
      </w:r>
      <w:bookmarkEnd w:id="3663"/>
    </w:p>
    <w:p w:rsidR="00A97F2D"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基金管理人依照恪尽职守、诚实信用、谨慎勤勉的原则管理和运用基金财产，但不保证基金一定盈利，也不保证最低收益。基金的过往业绩并不代表其未来表现。投资有风险，投资者在</w:t>
      </w:r>
      <w:r w:rsidRPr="005A7DE6">
        <w:rPr>
          <w:rFonts w:asciiTheme="minorEastAsia" w:eastAsiaTheme="minorEastAsia" w:hAnsiTheme="minorEastAsia" w:hint="eastAsia"/>
          <w:color w:val="000000" w:themeColor="text1"/>
          <w:szCs w:val="21"/>
        </w:rPr>
        <w:t>作出</w:t>
      </w:r>
      <w:r w:rsidRPr="005A7DE6">
        <w:rPr>
          <w:rFonts w:asciiTheme="minorEastAsia" w:eastAsiaTheme="minorEastAsia" w:hAnsiTheme="minorEastAsia"/>
          <w:color w:val="000000" w:themeColor="text1"/>
          <w:szCs w:val="21"/>
        </w:rPr>
        <w:t>投资决策前应仔细阅读本基金的招募说明书。</w:t>
      </w:r>
    </w:p>
    <w:p w:rsidR="00A97F2D" w:rsidRPr="005A7DE6" w:rsidP="006B758F">
      <w:pPr>
        <w:snapToGrid w:val="0"/>
        <w:spacing w:line="360" w:lineRule="auto"/>
        <w:ind w:firstLine="420" w:firstLineChars="200"/>
        <w:rPr>
          <w:rFonts w:asciiTheme="minorEastAsia" w:eastAsiaTheme="minorEastAsia" w:hAnsiTheme="minorEastAsia"/>
          <w:color w:val="000000" w:themeColor="text1"/>
          <w:szCs w:val="21"/>
        </w:rPr>
      </w:pPr>
      <w:r>
        <w:t>本基金合同生效日为</w:t>
      </w:r>
      <w:r>
        <w:t>2012</w:t>
      </w:r>
      <w:r>
        <w:t>年</w:t>
      </w:r>
      <w:r>
        <w:t>5</w:t>
      </w:r>
      <w:r>
        <w:t>月</w:t>
      </w:r>
      <w:r>
        <w:t>3</w:t>
      </w:r>
      <w:r>
        <w:t>日，基金合同生效以来（截至</w:t>
      </w:r>
      <w:r>
        <w:t>2021</w:t>
      </w:r>
      <w:r>
        <w:t>年</w:t>
      </w:r>
      <w:r>
        <w:t>12</w:t>
      </w:r>
      <w:r>
        <w:t>月</w:t>
      </w:r>
      <w:r>
        <w:t>31</w:t>
      </w:r>
      <w:r>
        <w:t>日）的投资业绩及与同期基准的比较如下表所示：</w:t>
      </w:r>
    </w:p>
    <w:p w:rsidR="00A97F2D" w:rsidRPr="005A7DE6" w:rsidP="006B758F">
      <w:pPr>
        <w:snapToGrid w:val="0"/>
        <w:spacing w:line="360" w:lineRule="auto"/>
        <w:ind w:right="28"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s="宋体"/>
          <w:color w:val="000000" w:themeColor="text1"/>
          <w:kern w:val="0"/>
          <w:szCs w:val="21"/>
        </w:rPr>
        <w:t>1</w:t>
      </w:r>
      <w:r w:rsidRPr="005A7DE6">
        <w:rPr>
          <w:rFonts w:asciiTheme="minorEastAsia" w:eastAsiaTheme="minorEastAsia" w:hAnsiTheme="minorEastAsia" w:cs="宋体" w:hint="eastAsia"/>
          <w:color w:val="000000" w:themeColor="text1"/>
          <w:kern w:val="0"/>
          <w:szCs w:val="21"/>
        </w:rPr>
        <w:t>、易方达纯债债券</w:t>
      </w:r>
      <w:r w:rsidRPr="005A7DE6">
        <w:rPr>
          <w:rFonts w:asciiTheme="minorEastAsia" w:eastAsiaTheme="minorEastAsia" w:hAnsiTheme="minorEastAsia" w:cs="宋体"/>
          <w:color w:val="000000" w:themeColor="text1"/>
          <w:kern w:val="0"/>
          <w:szCs w:val="21"/>
        </w:rPr>
        <w:t>A</w:t>
      </w:r>
      <w:r w:rsidRPr="005A7DE6">
        <w:rPr>
          <w:rFonts w:asciiTheme="minorEastAsia" w:eastAsiaTheme="minorEastAsia" w:hAnsiTheme="minorEastAsia" w:cs="宋体" w:hint="eastAsia"/>
          <w:color w:val="000000" w:themeColor="text1"/>
          <w:kern w:val="0"/>
          <w:szCs w:val="21"/>
        </w:rPr>
        <w:t>类基金份额净值增长率与同期业绩比较基准收益率比较</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6"/>
        <w:gridCol w:w="1080"/>
        <w:gridCol w:w="1080"/>
        <w:gridCol w:w="1440"/>
        <w:gridCol w:w="1440"/>
        <w:gridCol w:w="1175"/>
        <w:gridCol w:w="1134"/>
      </w:tblGrid>
      <w:tr w:rsidTr="00615A3A">
        <w:tblPrEx>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15"/>
        </w:trPr>
        <w:tc>
          <w:tcPr>
            <w:tcW w:w="1866" w:type="dxa"/>
            <w:vAlign w:val="center"/>
          </w:tcPr>
          <w:p w:rsidR="00A97F2D" w:rsidRPr="005A7DE6" w:rsidP="006B758F">
            <w:pPr>
              <w:snapToGrid w:val="0"/>
              <w:spacing w:line="360" w:lineRule="auto"/>
              <w:jc w:val="center"/>
              <w:rPr>
                <w:rFonts w:asciiTheme="minorEastAsia" w:eastAsiaTheme="minorEastAsia" w:hAnsiTheme="minorEastAsia" w:cs="Arial Unicode MS"/>
                <w:color w:val="000000" w:themeColor="text1"/>
                <w:szCs w:val="21"/>
              </w:rPr>
            </w:pPr>
            <w:r w:rsidRPr="005A7DE6">
              <w:rPr>
                <w:rFonts w:asciiTheme="minorEastAsia" w:eastAsiaTheme="minorEastAsia" w:hAnsiTheme="minorEastAsia" w:hint="eastAsia"/>
                <w:color w:val="000000" w:themeColor="text1"/>
                <w:szCs w:val="21"/>
              </w:rPr>
              <w:t>阶段</w:t>
            </w:r>
          </w:p>
        </w:tc>
        <w:tc>
          <w:tcPr>
            <w:tcW w:w="1080" w:type="dxa"/>
            <w:vAlign w:val="center"/>
          </w:tcPr>
          <w:p w:rsidR="00A97F2D" w:rsidRPr="005A7DE6" w:rsidP="006B758F">
            <w:pPr>
              <w:snapToGrid w:val="0"/>
              <w:spacing w:line="360" w:lineRule="auto"/>
              <w:jc w:val="center"/>
              <w:rPr>
                <w:rFonts w:asciiTheme="minorEastAsia" w:eastAsiaTheme="minorEastAsia" w:hAnsiTheme="minorEastAsia" w:cs="Arial Unicode MS"/>
                <w:color w:val="000000" w:themeColor="text1"/>
                <w:szCs w:val="21"/>
              </w:rPr>
            </w:pPr>
            <w:r w:rsidRPr="005A7DE6">
              <w:rPr>
                <w:rFonts w:asciiTheme="minorEastAsia" w:eastAsiaTheme="minorEastAsia" w:hAnsiTheme="minorEastAsia" w:hint="eastAsia"/>
                <w:color w:val="000000" w:themeColor="text1"/>
                <w:szCs w:val="21"/>
              </w:rPr>
              <w:t>净值增长率（</w:t>
            </w: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w:t>
            </w:r>
          </w:p>
        </w:tc>
        <w:tc>
          <w:tcPr>
            <w:tcW w:w="1080" w:type="dxa"/>
            <w:vAlign w:val="center"/>
          </w:tcPr>
          <w:p w:rsidR="00A97F2D" w:rsidRPr="005A7DE6" w:rsidP="006B758F">
            <w:pPr>
              <w:snapToGrid w:val="0"/>
              <w:spacing w:line="360" w:lineRule="auto"/>
              <w:jc w:val="center"/>
              <w:rPr>
                <w:rFonts w:asciiTheme="minorEastAsia" w:eastAsiaTheme="minorEastAsia" w:hAnsiTheme="minorEastAsia" w:cs="Arial Unicode MS"/>
                <w:color w:val="000000" w:themeColor="text1"/>
                <w:szCs w:val="21"/>
              </w:rPr>
            </w:pPr>
            <w:r w:rsidRPr="005A7DE6">
              <w:rPr>
                <w:rFonts w:asciiTheme="minorEastAsia" w:eastAsiaTheme="minorEastAsia" w:hAnsiTheme="minorEastAsia" w:hint="eastAsia"/>
                <w:color w:val="000000" w:themeColor="text1"/>
                <w:szCs w:val="21"/>
              </w:rPr>
              <w:t>净值增长率标准差（</w:t>
            </w: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color w:val="000000" w:themeColor="text1"/>
                <w:szCs w:val="21"/>
              </w:rPr>
              <w:t>）</w:t>
            </w:r>
          </w:p>
        </w:tc>
        <w:tc>
          <w:tcPr>
            <w:tcW w:w="1440" w:type="dxa"/>
            <w:vAlign w:val="center"/>
          </w:tcPr>
          <w:p w:rsidR="00A97F2D" w:rsidRPr="005A7DE6" w:rsidP="006B758F">
            <w:pPr>
              <w:snapToGrid w:val="0"/>
              <w:spacing w:line="360" w:lineRule="auto"/>
              <w:jc w:val="center"/>
              <w:rPr>
                <w:rFonts w:asciiTheme="minorEastAsia" w:eastAsiaTheme="minorEastAsia" w:hAnsiTheme="minorEastAsia" w:cs="Arial Unicode MS"/>
                <w:color w:val="000000" w:themeColor="text1"/>
                <w:szCs w:val="21"/>
              </w:rPr>
            </w:pPr>
            <w:r w:rsidRPr="005A7DE6">
              <w:rPr>
                <w:rFonts w:asciiTheme="minorEastAsia" w:eastAsiaTheme="minorEastAsia" w:hAnsiTheme="minorEastAsia" w:hint="eastAsia"/>
                <w:color w:val="000000" w:themeColor="text1"/>
                <w:szCs w:val="21"/>
              </w:rPr>
              <w:t>业绩比较基准收益率（</w:t>
            </w:r>
            <w:r w:rsidRPr="005A7DE6">
              <w:rPr>
                <w:rFonts w:asciiTheme="minorEastAsia" w:eastAsiaTheme="minorEastAsia" w:hAnsiTheme="minorEastAsia"/>
                <w:color w:val="000000" w:themeColor="text1"/>
                <w:szCs w:val="21"/>
              </w:rPr>
              <w:t>3</w:t>
            </w:r>
            <w:r w:rsidRPr="005A7DE6">
              <w:rPr>
                <w:rFonts w:asciiTheme="minorEastAsia" w:eastAsiaTheme="minorEastAsia" w:hAnsiTheme="minorEastAsia"/>
                <w:color w:val="000000" w:themeColor="text1"/>
                <w:szCs w:val="21"/>
              </w:rPr>
              <w:t>）</w:t>
            </w:r>
          </w:p>
        </w:tc>
        <w:tc>
          <w:tcPr>
            <w:tcW w:w="1440" w:type="dxa"/>
            <w:vAlign w:val="center"/>
          </w:tcPr>
          <w:p w:rsidR="00A97F2D" w:rsidRPr="005A7DE6" w:rsidP="006B758F">
            <w:pPr>
              <w:snapToGrid w:val="0"/>
              <w:spacing w:line="360" w:lineRule="auto"/>
              <w:jc w:val="center"/>
              <w:rPr>
                <w:rFonts w:asciiTheme="minorEastAsia" w:eastAsiaTheme="minorEastAsia" w:hAnsiTheme="minorEastAsia" w:cs="Arial Unicode MS"/>
                <w:color w:val="000000" w:themeColor="text1"/>
                <w:szCs w:val="21"/>
              </w:rPr>
            </w:pPr>
            <w:r w:rsidRPr="005A7DE6">
              <w:rPr>
                <w:rFonts w:asciiTheme="minorEastAsia" w:eastAsiaTheme="minorEastAsia" w:hAnsiTheme="minorEastAsia" w:hint="eastAsia"/>
                <w:color w:val="000000" w:themeColor="text1"/>
                <w:szCs w:val="21"/>
              </w:rPr>
              <w:t>业绩比较基准收益率标准差（</w:t>
            </w:r>
            <w:r w:rsidRPr="005A7DE6">
              <w:rPr>
                <w:rFonts w:asciiTheme="minorEastAsia" w:eastAsiaTheme="minorEastAsia" w:hAnsiTheme="minorEastAsia"/>
                <w:color w:val="000000" w:themeColor="text1"/>
                <w:szCs w:val="21"/>
              </w:rPr>
              <w:t>4</w:t>
            </w:r>
            <w:r w:rsidRPr="005A7DE6">
              <w:rPr>
                <w:rFonts w:asciiTheme="minorEastAsia" w:eastAsiaTheme="minorEastAsia" w:hAnsiTheme="minorEastAsia"/>
                <w:color w:val="000000" w:themeColor="text1"/>
                <w:szCs w:val="21"/>
              </w:rPr>
              <w:t>）</w:t>
            </w:r>
          </w:p>
        </w:tc>
        <w:tc>
          <w:tcPr>
            <w:tcW w:w="1175" w:type="dxa"/>
            <w:vAlign w:val="center"/>
          </w:tcPr>
          <w:p w:rsidR="00A97F2D" w:rsidRPr="005A7DE6" w:rsidP="006B758F">
            <w:pPr>
              <w:snapToGrid w:val="0"/>
              <w:spacing w:line="360" w:lineRule="auto"/>
              <w:ind w:left="-107" w:right="-107" w:leftChars="-51" w:rightChars="-51"/>
              <w:jc w:val="center"/>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3</w:t>
            </w:r>
            <w:r w:rsidRPr="005A7DE6">
              <w:rPr>
                <w:rFonts w:asciiTheme="minorEastAsia" w:eastAsiaTheme="minorEastAsia" w:hAnsiTheme="minorEastAsia"/>
                <w:color w:val="000000" w:themeColor="text1"/>
                <w:szCs w:val="21"/>
              </w:rPr>
              <w:t>）</w:t>
            </w:r>
          </w:p>
        </w:tc>
        <w:tc>
          <w:tcPr>
            <w:tcW w:w="1134" w:type="dxa"/>
            <w:vAlign w:val="center"/>
          </w:tcPr>
          <w:p w:rsidR="00A97F2D" w:rsidRPr="005A7DE6" w:rsidP="006B758F">
            <w:pPr>
              <w:snapToGrid w:val="0"/>
              <w:spacing w:line="360" w:lineRule="auto"/>
              <w:ind w:left="-107" w:leftChars="-51"/>
              <w:jc w:val="center"/>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4</w:t>
            </w:r>
            <w:r w:rsidRPr="005A7DE6">
              <w:rPr>
                <w:rFonts w:asciiTheme="minorEastAsia" w:eastAsiaTheme="minorEastAsia" w:hAnsiTheme="minorEastAsia"/>
                <w:color w:val="000000" w:themeColor="text1"/>
                <w:szCs w:val="21"/>
              </w:rPr>
              <w:t>）</w:t>
            </w:r>
          </w:p>
        </w:tc>
      </w:tr>
      <w:tr>
        <w:tblPrEx>
          <w:tblW w:w="9215" w:type="dxa"/>
          <w:tblInd w:w="-318" w:type="dxa"/>
          <w:tblLayout w:type="fixed"/>
          <w:tblLook w:val="0000"/>
        </w:tblPrEx>
        <w:tc>
          <w:tcPr>
            <w:tcW w:w="1866" w:type="dxa"/>
          </w:tcPr>
          <w:p w:rsidR="00336BCC">
            <w:pPr>
              <w:jc w:val="center"/>
            </w:pPr>
            <w:r>
              <w:t>自基金合同生效日至</w:t>
            </w:r>
            <w:r>
              <w:t>2012</w:t>
            </w:r>
            <w:r>
              <w:t>年</w:t>
            </w:r>
            <w:r>
              <w:t>12</w:t>
            </w:r>
            <w:r>
              <w:t>月</w:t>
            </w:r>
            <w:r>
              <w:t>31</w:t>
            </w:r>
            <w:r>
              <w:t>日</w:t>
            </w:r>
          </w:p>
        </w:tc>
        <w:tc>
          <w:tcPr>
            <w:tcW w:w="1080" w:type="dxa"/>
          </w:tcPr>
          <w:p w:rsidR="00336BCC">
            <w:pPr>
              <w:jc w:val="center"/>
            </w:pPr>
            <w:r>
              <w:t>3.30%</w:t>
            </w:r>
          </w:p>
        </w:tc>
        <w:tc>
          <w:tcPr>
            <w:tcW w:w="1080" w:type="dxa"/>
          </w:tcPr>
          <w:p w:rsidR="00336BCC">
            <w:pPr>
              <w:jc w:val="center"/>
            </w:pPr>
            <w:r>
              <w:t>0.06%</w:t>
            </w:r>
          </w:p>
        </w:tc>
        <w:tc>
          <w:tcPr>
            <w:tcW w:w="1440" w:type="dxa"/>
          </w:tcPr>
          <w:p w:rsidR="00336BCC">
            <w:pPr>
              <w:jc w:val="center"/>
            </w:pPr>
            <w:r>
              <w:t>0.14%</w:t>
            </w:r>
          </w:p>
        </w:tc>
        <w:tc>
          <w:tcPr>
            <w:tcW w:w="1440" w:type="dxa"/>
          </w:tcPr>
          <w:p w:rsidR="00336BCC">
            <w:pPr>
              <w:jc w:val="center"/>
            </w:pPr>
            <w:r>
              <w:t>0.06%</w:t>
            </w:r>
          </w:p>
        </w:tc>
        <w:tc>
          <w:tcPr>
            <w:tcW w:w="1175" w:type="dxa"/>
          </w:tcPr>
          <w:p w:rsidR="00336BCC">
            <w:pPr>
              <w:jc w:val="center"/>
            </w:pPr>
            <w:r>
              <w:t>3.16%</w:t>
            </w:r>
          </w:p>
        </w:tc>
        <w:tc>
          <w:tcPr>
            <w:tcW w:w="1134" w:type="dxa"/>
          </w:tcPr>
          <w:p w:rsidR="00336BCC">
            <w:pPr>
              <w:jc w:val="center"/>
            </w:pPr>
            <w:r>
              <w:t>0.00%</w:t>
            </w:r>
          </w:p>
        </w:tc>
      </w:tr>
      <w:tr>
        <w:tblPrEx>
          <w:tblW w:w="9215" w:type="dxa"/>
          <w:tblInd w:w="-318" w:type="dxa"/>
          <w:tblLayout w:type="fixed"/>
          <w:tblLook w:val="0000"/>
        </w:tblPrEx>
        <w:tc>
          <w:tcPr>
            <w:tcW w:w="1866" w:type="dxa"/>
          </w:tcPr>
          <w:p w:rsidR="00336BCC">
            <w:pPr>
              <w:jc w:val="center"/>
            </w:pPr>
            <w:r>
              <w:t>2013</w:t>
            </w:r>
            <w:r>
              <w:t>年</w:t>
            </w:r>
            <w:r>
              <w:t>1</w:t>
            </w:r>
            <w:r>
              <w:t>月</w:t>
            </w:r>
            <w:r>
              <w:t>1</w:t>
            </w:r>
            <w:r>
              <w:t>日至</w:t>
            </w:r>
            <w:r>
              <w:t>2013</w:t>
            </w:r>
            <w:r>
              <w:t>年</w:t>
            </w:r>
            <w:r>
              <w:t>12</w:t>
            </w:r>
            <w:r>
              <w:t>月</w:t>
            </w:r>
            <w:r>
              <w:t>31</w:t>
            </w:r>
            <w:r>
              <w:t>日</w:t>
            </w:r>
          </w:p>
        </w:tc>
        <w:tc>
          <w:tcPr>
            <w:tcW w:w="1080" w:type="dxa"/>
          </w:tcPr>
          <w:p w:rsidR="00336BCC">
            <w:pPr>
              <w:jc w:val="center"/>
            </w:pPr>
            <w:r>
              <w:t>0.75%</w:t>
            </w:r>
          </w:p>
        </w:tc>
        <w:tc>
          <w:tcPr>
            <w:tcW w:w="1080" w:type="dxa"/>
          </w:tcPr>
          <w:p w:rsidR="00336BCC">
            <w:pPr>
              <w:jc w:val="center"/>
            </w:pPr>
            <w:r>
              <w:t>0.11%</w:t>
            </w:r>
          </w:p>
        </w:tc>
        <w:tc>
          <w:tcPr>
            <w:tcW w:w="1440" w:type="dxa"/>
          </w:tcPr>
          <w:p w:rsidR="00336BCC">
            <w:pPr>
              <w:jc w:val="center"/>
            </w:pPr>
            <w:r>
              <w:t>-3.75%</w:t>
            </w:r>
          </w:p>
        </w:tc>
        <w:tc>
          <w:tcPr>
            <w:tcW w:w="1440" w:type="dxa"/>
          </w:tcPr>
          <w:p w:rsidR="00336BCC">
            <w:pPr>
              <w:jc w:val="center"/>
            </w:pPr>
            <w:r>
              <w:t>0.08%</w:t>
            </w:r>
          </w:p>
        </w:tc>
        <w:tc>
          <w:tcPr>
            <w:tcW w:w="1175" w:type="dxa"/>
          </w:tcPr>
          <w:p w:rsidR="00336BCC">
            <w:pPr>
              <w:jc w:val="center"/>
            </w:pPr>
            <w:r>
              <w:t>4.50%</w:t>
            </w:r>
          </w:p>
        </w:tc>
        <w:tc>
          <w:tcPr>
            <w:tcW w:w="1134" w:type="dxa"/>
          </w:tcPr>
          <w:p w:rsidR="00336BCC">
            <w:pPr>
              <w:jc w:val="center"/>
            </w:pPr>
            <w:r>
              <w:t>0.03%</w:t>
            </w:r>
          </w:p>
        </w:tc>
      </w:tr>
      <w:tr>
        <w:tblPrEx>
          <w:tblW w:w="9215" w:type="dxa"/>
          <w:tblInd w:w="-318" w:type="dxa"/>
          <w:tblLayout w:type="fixed"/>
          <w:tblLook w:val="0000"/>
        </w:tblPrEx>
        <w:tc>
          <w:tcPr>
            <w:tcW w:w="1866" w:type="dxa"/>
          </w:tcPr>
          <w:p w:rsidR="00336BCC">
            <w:pPr>
              <w:jc w:val="center"/>
            </w:pPr>
            <w:r>
              <w:t>2014</w:t>
            </w:r>
            <w:r>
              <w:t>年</w:t>
            </w:r>
            <w:r>
              <w:t>1</w:t>
            </w:r>
            <w:r>
              <w:t>月</w:t>
            </w:r>
            <w:r>
              <w:t>1</w:t>
            </w:r>
            <w:r>
              <w:t>日至</w:t>
            </w:r>
            <w:r>
              <w:t>2014</w:t>
            </w:r>
            <w:r>
              <w:t>年</w:t>
            </w:r>
            <w:r>
              <w:t>12</w:t>
            </w:r>
            <w:r>
              <w:t>月</w:t>
            </w:r>
            <w:r>
              <w:t>31</w:t>
            </w:r>
            <w:r>
              <w:t>日</w:t>
            </w:r>
          </w:p>
        </w:tc>
        <w:tc>
          <w:tcPr>
            <w:tcW w:w="1080" w:type="dxa"/>
          </w:tcPr>
          <w:p w:rsidR="00336BCC">
            <w:pPr>
              <w:jc w:val="center"/>
            </w:pPr>
            <w:r>
              <w:t>6.93%</w:t>
            </w:r>
          </w:p>
        </w:tc>
        <w:tc>
          <w:tcPr>
            <w:tcW w:w="1080" w:type="dxa"/>
          </w:tcPr>
          <w:p w:rsidR="00336BCC">
            <w:pPr>
              <w:jc w:val="center"/>
            </w:pPr>
            <w:r>
              <w:t>0.15%</w:t>
            </w:r>
          </w:p>
        </w:tc>
        <w:tc>
          <w:tcPr>
            <w:tcW w:w="1440" w:type="dxa"/>
          </w:tcPr>
          <w:p w:rsidR="00336BCC">
            <w:pPr>
              <w:jc w:val="center"/>
            </w:pPr>
            <w:r>
              <w:t>6.54%</w:t>
            </w:r>
          </w:p>
        </w:tc>
        <w:tc>
          <w:tcPr>
            <w:tcW w:w="1440" w:type="dxa"/>
          </w:tcPr>
          <w:p w:rsidR="00336BCC">
            <w:pPr>
              <w:jc w:val="center"/>
            </w:pPr>
            <w:r>
              <w:t>0.11%</w:t>
            </w:r>
          </w:p>
        </w:tc>
        <w:tc>
          <w:tcPr>
            <w:tcW w:w="1175" w:type="dxa"/>
          </w:tcPr>
          <w:p w:rsidR="00336BCC">
            <w:pPr>
              <w:jc w:val="center"/>
            </w:pPr>
            <w:r>
              <w:t>0.39%</w:t>
            </w:r>
          </w:p>
        </w:tc>
        <w:tc>
          <w:tcPr>
            <w:tcW w:w="1134" w:type="dxa"/>
          </w:tcPr>
          <w:p w:rsidR="00336BCC">
            <w:pPr>
              <w:jc w:val="center"/>
            </w:pPr>
            <w:r>
              <w:t>0.04%</w:t>
            </w:r>
          </w:p>
        </w:tc>
      </w:tr>
      <w:tr>
        <w:tblPrEx>
          <w:tblW w:w="9215" w:type="dxa"/>
          <w:tblInd w:w="-318" w:type="dxa"/>
          <w:tblLayout w:type="fixed"/>
          <w:tblLook w:val="0000"/>
        </w:tblPrEx>
        <w:tc>
          <w:tcPr>
            <w:tcW w:w="1866" w:type="dxa"/>
          </w:tcPr>
          <w:p w:rsidR="00336BCC">
            <w:pPr>
              <w:jc w:val="center"/>
            </w:pPr>
            <w:r>
              <w:t>2015</w:t>
            </w:r>
            <w:r>
              <w:t>年</w:t>
            </w:r>
            <w:r>
              <w:t>1</w:t>
            </w:r>
            <w:r>
              <w:t>月</w:t>
            </w:r>
            <w:r>
              <w:t>1</w:t>
            </w:r>
            <w:r>
              <w:t>日至</w:t>
            </w:r>
            <w:r>
              <w:t>2015</w:t>
            </w:r>
            <w:r>
              <w:t>年</w:t>
            </w:r>
            <w:r>
              <w:t>12</w:t>
            </w:r>
            <w:r>
              <w:t>月</w:t>
            </w:r>
            <w:r>
              <w:t>31</w:t>
            </w:r>
            <w:r>
              <w:t>日</w:t>
            </w:r>
          </w:p>
        </w:tc>
        <w:tc>
          <w:tcPr>
            <w:tcW w:w="1080" w:type="dxa"/>
          </w:tcPr>
          <w:p w:rsidR="00336BCC">
            <w:pPr>
              <w:jc w:val="center"/>
            </w:pPr>
            <w:r>
              <w:t>11.52%</w:t>
            </w:r>
          </w:p>
        </w:tc>
        <w:tc>
          <w:tcPr>
            <w:tcW w:w="1080" w:type="dxa"/>
          </w:tcPr>
          <w:p w:rsidR="00336BCC">
            <w:pPr>
              <w:jc w:val="center"/>
            </w:pPr>
            <w:r>
              <w:t>0.12%</w:t>
            </w:r>
          </w:p>
        </w:tc>
        <w:tc>
          <w:tcPr>
            <w:tcW w:w="1440" w:type="dxa"/>
          </w:tcPr>
          <w:p w:rsidR="00336BCC">
            <w:pPr>
              <w:jc w:val="center"/>
            </w:pPr>
            <w:r>
              <w:t>4.19%</w:t>
            </w:r>
          </w:p>
        </w:tc>
        <w:tc>
          <w:tcPr>
            <w:tcW w:w="1440" w:type="dxa"/>
          </w:tcPr>
          <w:p w:rsidR="00336BCC">
            <w:pPr>
              <w:jc w:val="center"/>
            </w:pPr>
            <w:r>
              <w:t>0.08%</w:t>
            </w:r>
          </w:p>
        </w:tc>
        <w:tc>
          <w:tcPr>
            <w:tcW w:w="1175" w:type="dxa"/>
          </w:tcPr>
          <w:p w:rsidR="00336BCC">
            <w:pPr>
              <w:jc w:val="center"/>
            </w:pPr>
            <w:r>
              <w:t>7.33%</w:t>
            </w:r>
          </w:p>
        </w:tc>
        <w:tc>
          <w:tcPr>
            <w:tcW w:w="1134" w:type="dxa"/>
          </w:tcPr>
          <w:p w:rsidR="00336BCC">
            <w:pPr>
              <w:jc w:val="center"/>
            </w:pPr>
            <w:r>
              <w:t>0.04%</w:t>
            </w:r>
          </w:p>
        </w:tc>
      </w:tr>
      <w:tr>
        <w:tblPrEx>
          <w:tblW w:w="9215" w:type="dxa"/>
          <w:tblInd w:w="-318" w:type="dxa"/>
          <w:tblLayout w:type="fixed"/>
          <w:tblLook w:val="0000"/>
        </w:tblPrEx>
        <w:tc>
          <w:tcPr>
            <w:tcW w:w="1866" w:type="dxa"/>
          </w:tcPr>
          <w:p w:rsidR="00336BCC">
            <w:pPr>
              <w:jc w:val="center"/>
            </w:pPr>
            <w:r>
              <w:t>2016</w:t>
            </w:r>
            <w:r>
              <w:t>年</w:t>
            </w:r>
            <w:r>
              <w:t>1</w:t>
            </w:r>
            <w:r>
              <w:t>月</w:t>
            </w:r>
            <w:r>
              <w:t>1</w:t>
            </w:r>
            <w:r>
              <w:t>日至</w:t>
            </w:r>
            <w:r>
              <w:t>2016</w:t>
            </w:r>
            <w:r>
              <w:t>年</w:t>
            </w:r>
            <w:r>
              <w:t>12</w:t>
            </w:r>
            <w:r>
              <w:t>月</w:t>
            </w:r>
            <w:r>
              <w:t>31</w:t>
            </w:r>
            <w:r>
              <w:t>日</w:t>
            </w:r>
          </w:p>
        </w:tc>
        <w:tc>
          <w:tcPr>
            <w:tcW w:w="1080" w:type="dxa"/>
          </w:tcPr>
          <w:p w:rsidR="00336BCC">
            <w:pPr>
              <w:jc w:val="center"/>
            </w:pPr>
            <w:r>
              <w:t>0.47%</w:t>
            </w:r>
          </w:p>
        </w:tc>
        <w:tc>
          <w:tcPr>
            <w:tcW w:w="1080" w:type="dxa"/>
          </w:tcPr>
          <w:p w:rsidR="00336BCC">
            <w:pPr>
              <w:jc w:val="center"/>
            </w:pPr>
            <w:r>
              <w:t>0.10%</w:t>
            </w:r>
          </w:p>
        </w:tc>
        <w:tc>
          <w:tcPr>
            <w:tcW w:w="1440" w:type="dxa"/>
          </w:tcPr>
          <w:p w:rsidR="00336BCC">
            <w:pPr>
              <w:jc w:val="center"/>
            </w:pPr>
            <w:r>
              <w:t>-1.63%</w:t>
            </w:r>
          </w:p>
        </w:tc>
        <w:tc>
          <w:tcPr>
            <w:tcW w:w="1440" w:type="dxa"/>
          </w:tcPr>
          <w:p w:rsidR="00336BCC">
            <w:pPr>
              <w:jc w:val="center"/>
            </w:pPr>
            <w:r>
              <w:t>0.09%</w:t>
            </w:r>
          </w:p>
        </w:tc>
        <w:tc>
          <w:tcPr>
            <w:tcW w:w="1175" w:type="dxa"/>
          </w:tcPr>
          <w:p w:rsidR="00336BCC">
            <w:pPr>
              <w:jc w:val="center"/>
            </w:pPr>
            <w:r>
              <w:t>2.10%</w:t>
            </w:r>
          </w:p>
        </w:tc>
        <w:tc>
          <w:tcPr>
            <w:tcW w:w="1134" w:type="dxa"/>
          </w:tcPr>
          <w:p w:rsidR="00336BCC">
            <w:pPr>
              <w:jc w:val="center"/>
            </w:pPr>
            <w:r>
              <w:t>0.01%</w:t>
            </w:r>
          </w:p>
        </w:tc>
      </w:tr>
      <w:tr>
        <w:tblPrEx>
          <w:tblW w:w="9215" w:type="dxa"/>
          <w:tblInd w:w="-318" w:type="dxa"/>
          <w:tblLayout w:type="fixed"/>
          <w:tblLook w:val="0000"/>
        </w:tblPrEx>
        <w:tc>
          <w:tcPr>
            <w:tcW w:w="1866" w:type="dxa"/>
          </w:tcPr>
          <w:p w:rsidR="00336BCC">
            <w:pPr>
              <w:jc w:val="center"/>
            </w:pPr>
            <w:r>
              <w:t>2017</w:t>
            </w:r>
            <w:r>
              <w:t>年</w:t>
            </w:r>
            <w:r>
              <w:t>1</w:t>
            </w:r>
            <w:r>
              <w:t>月</w:t>
            </w:r>
            <w:r>
              <w:t>1</w:t>
            </w:r>
            <w:r>
              <w:t>日至</w:t>
            </w:r>
            <w:r>
              <w:t>2017</w:t>
            </w:r>
            <w:r>
              <w:t>年</w:t>
            </w:r>
            <w:r>
              <w:t>12</w:t>
            </w:r>
            <w:r>
              <w:t>月</w:t>
            </w:r>
            <w:r>
              <w:t>31</w:t>
            </w:r>
            <w:r>
              <w:t>日</w:t>
            </w:r>
          </w:p>
        </w:tc>
        <w:tc>
          <w:tcPr>
            <w:tcW w:w="1080" w:type="dxa"/>
          </w:tcPr>
          <w:p w:rsidR="00336BCC">
            <w:pPr>
              <w:jc w:val="center"/>
            </w:pPr>
            <w:r>
              <w:t>2.71%</w:t>
            </w:r>
          </w:p>
        </w:tc>
        <w:tc>
          <w:tcPr>
            <w:tcW w:w="1080" w:type="dxa"/>
          </w:tcPr>
          <w:p w:rsidR="00336BCC">
            <w:pPr>
              <w:jc w:val="center"/>
            </w:pPr>
            <w:r>
              <w:t>0.06%</w:t>
            </w:r>
          </w:p>
        </w:tc>
        <w:tc>
          <w:tcPr>
            <w:tcW w:w="1440" w:type="dxa"/>
          </w:tcPr>
          <w:p w:rsidR="00336BCC">
            <w:pPr>
              <w:jc w:val="center"/>
            </w:pPr>
            <w:r>
              <w:t>-3.38%</w:t>
            </w:r>
          </w:p>
        </w:tc>
        <w:tc>
          <w:tcPr>
            <w:tcW w:w="1440" w:type="dxa"/>
          </w:tcPr>
          <w:p w:rsidR="00336BCC">
            <w:pPr>
              <w:jc w:val="center"/>
            </w:pPr>
            <w:r>
              <w:t>0.06%</w:t>
            </w:r>
          </w:p>
        </w:tc>
        <w:tc>
          <w:tcPr>
            <w:tcW w:w="1175" w:type="dxa"/>
          </w:tcPr>
          <w:p w:rsidR="00336BCC">
            <w:pPr>
              <w:jc w:val="center"/>
            </w:pPr>
            <w:r>
              <w:t>6.09%</w:t>
            </w:r>
          </w:p>
        </w:tc>
        <w:tc>
          <w:tcPr>
            <w:tcW w:w="1134" w:type="dxa"/>
          </w:tcPr>
          <w:p w:rsidR="00336BCC">
            <w:pPr>
              <w:jc w:val="center"/>
            </w:pPr>
            <w:r>
              <w:t>0.00%</w:t>
            </w:r>
          </w:p>
        </w:tc>
      </w:tr>
      <w:tr>
        <w:tblPrEx>
          <w:tblW w:w="9215" w:type="dxa"/>
          <w:tblInd w:w="-318" w:type="dxa"/>
          <w:tblLayout w:type="fixed"/>
          <w:tblLook w:val="0000"/>
        </w:tblPrEx>
        <w:tc>
          <w:tcPr>
            <w:tcW w:w="1866" w:type="dxa"/>
          </w:tcPr>
          <w:p w:rsidR="00336BCC">
            <w:pPr>
              <w:jc w:val="center"/>
            </w:pPr>
            <w:r>
              <w:t>2018</w:t>
            </w:r>
            <w:r>
              <w:t>年</w:t>
            </w:r>
            <w:r>
              <w:t>1</w:t>
            </w:r>
            <w:r>
              <w:t>月</w:t>
            </w:r>
            <w:r>
              <w:t>1</w:t>
            </w:r>
            <w:r>
              <w:t>日至</w:t>
            </w:r>
            <w:r>
              <w:t>2018</w:t>
            </w:r>
            <w:r>
              <w:t>年</w:t>
            </w:r>
            <w:r>
              <w:t>12</w:t>
            </w:r>
            <w:r>
              <w:t>月</w:t>
            </w:r>
            <w:r>
              <w:t>31</w:t>
            </w:r>
            <w:r>
              <w:t>日</w:t>
            </w:r>
          </w:p>
        </w:tc>
        <w:tc>
          <w:tcPr>
            <w:tcW w:w="1080" w:type="dxa"/>
          </w:tcPr>
          <w:p w:rsidR="00336BCC">
            <w:pPr>
              <w:jc w:val="center"/>
            </w:pPr>
            <w:r>
              <w:t>7.55%</w:t>
            </w:r>
          </w:p>
        </w:tc>
        <w:tc>
          <w:tcPr>
            <w:tcW w:w="1080" w:type="dxa"/>
          </w:tcPr>
          <w:p w:rsidR="00336BCC">
            <w:pPr>
              <w:jc w:val="center"/>
            </w:pPr>
            <w:r>
              <w:t>0.06%</w:t>
            </w:r>
          </w:p>
        </w:tc>
        <w:tc>
          <w:tcPr>
            <w:tcW w:w="1440" w:type="dxa"/>
          </w:tcPr>
          <w:p w:rsidR="00336BCC">
            <w:pPr>
              <w:jc w:val="center"/>
            </w:pPr>
            <w:r>
              <w:t>4.79%</w:t>
            </w:r>
          </w:p>
        </w:tc>
        <w:tc>
          <w:tcPr>
            <w:tcW w:w="1440" w:type="dxa"/>
          </w:tcPr>
          <w:p w:rsidR="00336BCC">
            <w:pPr>
              <w:jc w:val="center"/>
            </w:pPr>
            <w:r>
              <w:t>0.07%</w:t>
            </w:r>
          </w:p>
        </w:tc>
        <w:tc>
          <w:tcPr>
            <w:tcW w:w="1175" w:type="dxa"/>
          </w:tcPr>
          <w:p w:rsidR="00336BCC">
            <w:pPr>
              <w:jc w:val="center"/>
            </w:pPr>
            <w:r>
              <w:t>2.76%</w:t>
            </w:r>
          </w:p>
        </w:tc>
        <w:tc>
          <w:tcPr>
            <w:tcW w:w="1134" w:type="dxa"/>
          </w:tcPr>
          <w:p w:rsidR="00336BCC">
            <w:pPr>
              <w:jc w:val="center"/>
            </w:pPr>
            <w:r>
              <w:t>-0.01%</w:t>
            </w:r>
          </w:p>
        </w:tc>
      </w:tr>
      <w:tr>
        <w:tblPrEx>
          <w:tblW w:w="9215" w:type="dxa"/>
          <w:tblInd w:w="-318" w:type="dxa"/>
          <w:tblLayout w:type="fixed"/>
          <w:tblLook w:val="0000"/>
        </w:tblPrEx>
        <w:tc>
          <w:tcPr>
            <w:tcW w:w="1866" w:type="dxa"/>
          </w:tcPr>
          <w:p w:rsidR="00336BCC">
            <w:pPr>
              <w:jc w:val="center"/>
            </w:pPr>
            <w:r>
              <w:t>2019</w:t>
            </w:r>
            <w:r>
              <w:t>年</w:t>
            </w:r>
            <w:r>
              <w:t>1</w:t>
            </w:r>
            <w:r>
              <w:t>月</w:t>
            </w:r>
            <w:r>
              <w:t>1</w:t>
            </w:r>
            <w:r>
              <w:t>日至</w:t>
            </w:r>
            <w:r>
              <w:t>2019</w:t>
            </w:r>
            <w:r>
              <w:t>年</w:t>
            </w:r>
            <w:r>
              <w:t>12</w:t>
            </w:r>
            <w:r>
              <w:t>月</w:t>
            </w:r>
            <w:r>
              <w:t>31</w:t>
            </w:r>
            <w:r>
              <w:t>日</w:t>
            </w:r>
          </w:p>
        </w:tc>
        <w:tc>
          <w:tcPr>
            <w:tcW w:w="1080" w:type="dxa"/>
          </w:tcPr>
          <w:p w:rsidR="00336BCC">
            <w:pPr>
              <w:jc w:val="center"/>
            </w:pPr>
            <w:r>
              <w:t>5.23%</w:t>
            </w:r>
          </w:p>
        </w:tc>
        <w:tc>
          <w:tcPr>
            <w:tcW w:w="1080" w:type="dxa"/>
          </w:tcPr>
          <w:p w:rsidR="00336BCC">
            <w:pPr>
              <w:jc w:val="center"/>
            </w:pPr>
            <w:r>
              <w:t>0.06%</w:t>
            </w:r>
          </w:p>
        </w:tc>
        <w:tc>
          <w:tcPr>
            <w:tcW w:w="1440" w:type="dxa"/>
          </w:tcPr>
          <w:p w:rsidR="00336BCC">
            <w:pPr>
              <w:jc w:val="center"/>
            </w:pPr>
            <w:r>
              <w:t>1.31%</w:t>
            </w:r>
          </w:p>
        </w:tc>
        <w:tc>
          <w:tcPr>
            <w:tcW w:w="1440" w:type="dxa"/>
          </w:tcPr>
          <w:p w:rsidR="00336BCC">
            <w:pPr>
              <w:jc w:val="center"/>
            </w:pPr>
            <w:r>
              <w:t>0.05%</w:t>
            </w:r>
          </w:p>
        </w:tc>
        <w:tc>
          <w:tcPr>
            <w:tcW w:w="1175" w:type="dxa"/>
          </w:tcPr>
          <w:p w:rsidR="00336BCC">
            <w:pPr>
              <w:jc w:val="center"/>
            </w:pPr>
            <w:r>
              <w:t>3.92%</w:t>
            </w:r>
          </w:p>
        </w:tc>
        <w:tc>
          <w:tcPr>
            <w:tcW w:w="1134" w:type="dxa"/>
          </w:tcPr>
          <w:p w:rsidR="00336BCC">
            <w:pPr>
              <w:jc w:val="center"/>
            </w:pPr>
            <w:r>
              <w:t>0.01%</w:t>
            </w:r>
          </w:p>
        </w:tc>
      </w:tr>
      <w:tr>
        <w:tblPrEx>
          <w:tblW w:w="9215" w:type="dxa"/>
          <w:tblInd w:w="-318" w:type="dxa"/>
          <w:tblLayout w:type="fixed"/>
          <w:tblLook w:val="0000"/>
        </w:tblPrEx>
        <w:tc>
          <w:tcPr>
            <w:tcW w:w="1866" w:type="dxa"/>
          </w:tcPr>
          <w:p w:rsidR="00336BCC">
            <w:pPr>
              <w:jc w:val="center"/>
            </w:pPr>
            <w:r>
              <w:t>2020</w:t>
            </w:r>
            <w:r>
              <w:t>年</w:t>
            </w:r>
            <w:r>
              <w:t>1</w:t>
            </w:r>
            <w:r>
              <w:t>月</w:t>
            </w:r>
            <w:r>
              <w:t>1</w:t>
            </w:r>
            <w:r>
              <w:t>日至</w:t>
            </w:r>
            <w:r>
              <w:t>2020</w:t>
            </w:r>
            <w:r>
              <w:t>年</w:t>
            </w:r>
            <w:r>
              <w:t>12</w:t>
            </w:r>
            <w:r>
              <w:t>月</w:t>
            </w:r>
            <w:r>
              <w:t>31</w:t>
            </w:r>
            <w:r>
              <w:t>日</w:t>
            </w:r>
          </w:p>
        </w:tc>
        <w:tc>
          <w:tcPr>
            <w:tcW w:w="1080" w:type="dxa"/>
          </w:tcPr>
          <w:p w:rsidR="00336BCC">
            <w:pPr>
              <w:jc w:val="center"/>
            </w:pPr>
            <w:r>
              <w:t>2.56%</w:t>
            </w:r>
          </w:p>
        </w:tc>
        <w:tc>
          <w:tcPr>
            <w:tcW w:w="1080" w:type="dxa"/>
          </w:tcPr>
          <w:p w:rsidR="00336BCC">
            <w:pPr>
              <w:jc w:val="center"/>
            </w:pPr>
            <w:r>
              <w:t>0.10%</w:t>
            </w:r>
          </w:p>
        </w:tc>
        <w:tc>
          <w:tcPr>
            <w:tcW w:w="1440" w:type="dxa"/>
          </w:tcPr>
          <w:p w:rsidR="00336BCC">
            <w:pPr>
              <w:jc w:val="center"/>
            </w:pPr>
            <w:r>
              <w:t>-0.06%</w:t>
            </w:r>
          </w:p>
        </w:tc>
        <w:tc>
          <w:tcPr>
            <w:tcW w:w="1440" w:type="dxa"/>
          </w:tcPr>
          <w:p w:rsidR="00336BCC">
            <w:pPr>
              <w:jc w:val="center"/>
            </w:pPr>
            <w:r>
              <w:t>0.09%</w:t>
            </w:r>
          </w:p>
        </w:tc>
        <w:tc>
          <w:tcPr>
            <w:tcW w:w="1175" w:type="dxa"/>
          </w:tcPr>
          <w:p w:rsidR="00336BCC">
            <w:pPr>
              <w:jc w:val="center"/>
            </w:pPr>
            <w:r>
              <w:t>2.62%</w:t>
            </w:r>
          </w:p>
        </w:tc>
        <w:tc>
          <w:tcPr>
            <w:tcW w:w="1134" w:type="dxa"/>
          </w:tcPr>
          <w:p w:rsidR="00336BCC">
            <w:pPr>
              <w:jc w:val="center"/>
            </w:pPr>
            <w:r>
              <w:t>0.01%</w:t>
            </w:r>
          </w:p>
        </w:tc>
      </w:tr>
      <w:tr>
        <w:tblPrEx>
          <w:tblW w:w="9215" w:type="dxa"/>
          <w:tblInd w:w="-318" w:type="dxa"/>
          <w:tblLayout w:type="fixed"/>
          <w:tblLook w:val="0000"/>
        </w:tblPrEx>
        <w:tc>
          <w:tcPr>
            <w:tcW w:w="1866" w:type="dxa"/>
          </w:tcPr>
          <w:p w:rsidR="00336BCC">
            <w:pPr>
              <w:jc w:val="center"/>
            </w:pPr>
            <w:r>
              <w:t>2021</w:t>
            </w:r>
            <w:r>
              <w:t>年</w:t>
            </w:r>
            <w:r>
              <w:t>1</w:t>
            </w:r>
            <w:r>
              <w:t>月</w:t>
            </w:r>
            <w:r>
              <w:t>1</w:t>
            </w:r>
            <w:r>
              <w:t>日至</w:t>
            </w:r>
            <w:r>
              <w:t>2021</w:t>
            </w:r>
            <w:r>
              <w:t>年</w:t>
            </w:r>
            <w:r>
              <w:t>12</w:t>
            </w:r>
            <w:r>
              <w:t>月</w:t>
            </w:r>
            <w:r>
              <w:t>31</w:t>
            </w:r>
            <w:r>
              <w:t>日</w:t>
            </w:r>
          </w:p>
        </w:tc>
        <w:tc>
          <w:tcPr>
            <w:tcW w:w="1080" w:type="dxa"/>
          </w:tcPr>
          <w:p w:rsidR="00336BCC">
            <w:pPr>
              <w:jc w:val="center"/>
            </w:pPr>
            <w:r>
              <w:t>4.58%</w:t>
            </w:r>
          </w:p>
        </w:tc>
        <w:tc>
          <w:tcPr>
            <w:tcW w:w="1080" w:type="dxa"/>
          </w:tcPr>
          <w:p w:rsidR="00336BCC">
            <w:pPr>
              <w:jc w:val="center"/>
            </w:pPr>
            <w:r>
              <w:t>0.04%</w:t>
            </w:r>
          </w:p>
        </w:tc>
        <w:tc>
          <w:tcPr>
            <w:tcW w:w="1440" w:type="dxa"/>
          </w:tcPr>
          <w:p w:rsidR="00336BCC">
            <w:pPr>
              <w:jc w:val="center"/>
            </w:pPr>
            <w:r>
              <w:t>2.10%</w:t>
            </w:r>
          </w:p>
        </w:tc>
        <w:tc>
          <w:tcPr>
            <w:tcW w:w="1440" w:type="dxa"/>
          </w:tcPr>
          <w:p w:rsidR="00336BCC">
            <w:pPr>
              <w:jc w:val="center"/>
            </w:pPr>
            <w:r>
              <w:t>0.05%</w:t>
            </w:r>
          </w:p>
        </w:tc>
        <w:tc>
          <w:tcPr>
            <w:tcW w:w="1175" w:type="dxa"/>
          </w:tcPr>
          <w:p w:rsidR="00336BCC">
            <w:pPr>
              <w:jc w:val="center"/>
            </w:pPr>
            <w:r>
              <w:t>2.48%</w:t>
            </w:r>
          </w:p>
        </w:tc>
        <w:tc>
          <w:tcPr>
            <w:tcW w:w="1134" w:type="dxa"/>
          </w:tcPr>
          <w:p w:rsidR="00336BCC">
            <w:pPr>
              <w:jc w:val="center"/>
            </w:pPr>
            <w:r>
              <w:t>-0.01%</w:t>
            </w:r>
          </w:p>
        </w:tc>
      </w:tr>
      <w:tr>
        <w:tblPrEx>
          <w:tblW w:w="9215" w:type="dxa"/>
          <w:tblInd w:w="-318" w:type="dxa"/>
          <w:tblLayout w:type="fixed"/>
          <w:tblLook w:val="0000"/>
        </w:tblPrEx>
        <w:tc>
          <w:tcPr>
            <w:tcW w:w="1866" w:type="dxa"/>
          </w:tcPr>
          <w:p w:rsidR="00336BCC">
            <w:pPr>
              <w:jc w:val="center"/>
            </w:pPr>
            <w:r>
              <w:t>自基金合同生效日至</w:t>
            </w:r>
            <w:r>
              <w:t>2021</w:t>
            </w:r>
            <w:r>
              <w:t>年</w:t>
            </w:r>
            <w:r>
              <w:t>12</w:t>
            </w:r>
            <w:r>
              <w:t>月</w:t>
            </w:r>
            <w:r>
              <w:t>31</w:t>
            </w:r>
            <w:r>
              <w:t>日</w:t>
            </w:r>
          </w:p>
        </w:tc>
        <w:tc>
          <w:tcPr>
            <w:tcW w:w="1080" w:type="dxa"/>
          </w:tcPr>
          <w:p w:rsidR="00336BCC">
            <w:pPr>
              <w:jc w:val="center"/>
            </w:pPr>
            <w:r>
              <w:t>55.45%</w:t>
            </w:r>
          </w:p>
        </w:tc>
        <w:tc>
          <w:tcPr>
            <w:tcW w:w="1080" w:type="dxa"/>
          </w:tcPr>
          <w:p w:rsidR="00336BCC">
            <w:pPr>
              <w:jc w:val="center"/>
            </w:pPr>
            <w:r>
              <w:t>0.09%</w:t>
            </w:r>
          </w:p>
        </w:tc>
        <w:tc>
          <w:tcPr>
            <w:tcW w:w="1440" w:type="dxa"/>
          </w:tcPr>
          <w:p w:rsidR="00336BCC">
            <w:pPr>
              <w:jc w:val="center"/>
            </w:pPr>
            <w:r>
              <w:t>10.14%</w:t>
            </w:r>
          </w:p>
        </w:tc>
        <w:tc>
          <w:tcPr>
            <w:tcW w:w="1440" w:type="dxa"/>
          </w:tcPr>
          <w:p w:rsidR="00336BCC">
            <w:pPr>
              <w:jc w:val="center"/>
            </w:pPr>
            <w:r>
              <w:t>0.08%</w:t>
            </w:r>
          </w:p>
        </w:tc>
        <w:tc>
          <w:tcPr>
            <w:tcW w:w="1175" w:type="dxa"/>
          </w:tcPr>
          <w:p w:rsidR="00336BCC">
            <w:pPr>
              <w:jc w:val="center"/>
            </w:pPr>
            <w:r>
              <w:t>45.31%</w:t>
            </w:r>
          </w:p>
        </w:tc>
        <w:tc>
          <w:tcPr>
            <w:tcW w:w="1134" w:type="dxa"/>
          </w:tcPr>
          <w:p w:rsidR="00336BCC">
            <w:pPr>
              <w:jc w:val="center"/>
            </w:pPr>
            <w:r>
              <w:t>0.01%</w:t>
            </w:r>
          </w:p>
        </w:tc>
      </w:tr>
    </w:tbl>
    <w:p w:rsidR="000F587B" w:rsidRPr="005A7DE6" w:rsidP="006B758F">
      <w:pPr>
        <w:snapToGrid w:val="0"/>
        <w:spacing w:line="360" w:lineRule="auto"/>
        <w:ind w:right="28" w:firstLine="420" w:firstLineChars="200"/>
        <w:rPr>
          <w:rFonts w:asciiTheme="minorEastAsia" w:eastAsiaTheme="minorEastAsia" w:hAnsiTheme="minorEastAsia" w:cs="宋体"/>
          <w:color w:val="000000" w:themeColor="text1"/>
          <w:kern w:val="0"/>
          <w:szCs w:val="21"/>
        </w:rPr>
      </w:pPr>
      <w:r w:rsidRPr="005A7DE6">
        <w:rPr>
          <w:rFonts w:asciiTheme="minorEastAsia" w:eastAsiaTheme="minorEastAsia" w:hAnsiTheme="minorEastAsia" w:cs="宋体"/>
          <w:color w:val="000000" w:themeColor="text1"/>
          <w:kern w:val="0"/>
          <w:szCs w:val="21"/>
        </w:rPr>
        <w:t>2</w:t>
      </w:r>
      <w:r w:rsidRPr="005A7DE6">
        <w:rPr>
          <w:rFonts w:asciiTheme="minorEastAsia" w:eastAsiaTheme="minorEastAsia" w:hAnsiTheme="minorEastAsia" w:cs="宋体" w:hint="eastAsia"/>
          <w:color w:val="000000" w:themeColor="text1"/>
          <w:kern w:val="0"/>
          <w:szCs w:val="21"/>
        </w:rPr>
        <w:t>、</w:t>
      </w:r>
      <w:r w:rsidRPr="005A7DE6" w:rsidR="00A97F2D">
        <w:rPr>
          <w:rFonts w:asciiTheme="minorEastAsia" w:eastAsiaTheme="minorEastAsia" w:hAnsiTheme="minorEastAsia" w:cs="宋体" w:hint="eastAsia"/>
          <w:color w:val="000000" w:themeColor="text1"/>
          <w:kern w:val="0"/>
          <w:szCs w:val="21"/>
        </w:rPr>
        <w:t>易方达纯债债券C类基金份额净值增长率与同期业绩比较基准收益率比较</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6"/>
        <w:gridCol w:w="1080"/>
        <w:gridCol w:w="1080"/>
        <w:gridCol w:w="1440"/>
        <w:gridCol w:w="1440"/>
        <w:gridCol w:w="1175"/>
        <w:gridCol w:w="1134"/>
      </w:tblGrid>
      <w:tr w:rsidTr="00615A3A">
        <w:tblPrEx>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15"/>
        </w:trPr>
        <w:tc>
          <w:tcPr>
            <w:tcW w:w="1866" w:type="dxa"/>
            <w:vAlign w:val="center"/>
          </w:tcPr>
          <w:p w:rsidR="00A97F2D" w:rsidRPr="005A7DE6" w:rsidP="006B758F">
            <w:pPr>
              <w:snapToGrid w:val="0"/>
              <w:spacing w:line="360" w:lineRule="auto"/>
              <w:jc w:val="center"/>
              <w:rPr>
                <w:rFonts w:asciiTheme="minorEastAsia" w:eastAsiaTheme="minorEastAsia" w:hAnsiTheme="minorEastAsia" w:cs="Arial Unicode MS"/>
                <w:color w:val="000000" w:themeColor="text1"/>
                <w:szCs w:val="21"/>
              </w:rPr>
            </w:pPr>
            <w:r w:rsidRPr="005A7DE6">
              <w:rPr>
                <w:rFonts w:asciiTheme="minorEastAsia" w:eastAsiaTheme="minorEastAsia" w:hAnsiTheme="minorEastAsia" w:hint="eastAsia"/>
                <w:color w:val="000000" w:themeColor="text1"/>
                <w:szCs w:val="21"/>
              </w:rPr>
              <w:t>阶段</w:t>
            </w:r>
          </w:p>
        </w:tc>
        <w:tc>
          <w:tcPr>
            <w:tcW w:w="1080" w:type="dxa"/>
            <w:vAlign w:val="center"/>
          </w:tcPr>
          <w:p w:rsidR="00A97F2D" w:rsidRPr="005A7DE6" w:rsidP="006B758F">
            <w:pPr>
              <w:snapToGrid w:val="0"/>
              <w:spacing w:line="360" w:lineRule="auto"/>
              <w:jc w:val="center"/>
              <w:rPr>
                <w:rFonts w:asciiTheme="minorEastAsia" w:eastAsiaTheme="minorEastAsia" w:hAnsiTheme="minorEastAsia" w:cs="Arial Unicode MS"/>
                <w:color w:val="000000" w:themeColor="text1"/>
                <w:szCs w:val="21"/>
              </w:rPr>
            </w:pPr>
            <w:r w:rsidRPr="005A7DE6">
              <w:rPr>
                <w:rFonts w:asciiTheme="minorEastAsia" w:eastAsiaTheme="minorEastAsia" w:hAnsiTheme="minorEastAsia" w:hint="eastAsia"/>
                <w:color w:val="000000" w:themeColor="text1"/>
                <w:szCs w:val="21"/>
              </w:rPr>
              <w:t>净值增长率（</w:t>
            </w: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w:t>
            </w:r>
          </w:p>
        </w:tc>
        <w:tc>
          <w:tcPr>
            <w:tcW w:w="1080" w:type="dxa"/>
            <w:vAlign w:val="center"/>
          </w:tcPr>
          <w:p w:rsidR="00A97F2D" w:rsidRPr="005A7DE6" w:rsidP="006B758F">
            <w:pPr>
              <w:snapToGrid w:val="0"/>
              <w:spacing w:line="360" w:lineRule="auto"/>
              <w:jc w:val="center"/>
              <w:rPr>
                <w:rFonts w:asciiTheme="minorEastAsia" w:eastAsiaTheme="minorEastAsia" w:hAnsiTheme="minorEastAsia" w:cs="Arial Unicode MS"/>
                <w:color w:val="000000" w:themeColor="text1"/>
                <w:szCs w:val="21"/>
              </w:rPr>
            </w:pPr>
            <w:r w:rsidRPr="005A7DE6">
              <w:rPr>
                <w:rFonts w:asciiTheme="minorEastAsia" w:eastAsiaTheme="minorEastAsia" w:hAnsiTheme="minorEastAsia" w:hint="eastAsia"/>
                <w:color w:val="000000" w:themeColor="text1"/>
                <w:szCs w:val="21"/>
              </w:rPr>
              <w:t>净值增长率标准差（</w:t>
            </w: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color w:val="000000" w:themeColor="text1"/>
                <w:szCs w:val="21"/>
              </w:rPr>
              <w:t>）</w:t>
            </w:r>
          </w:p>
        </w:tc>
        <w:tc>
          <w:tcPr>
            <w:tcW w:w="1440" w:type="dxa"/>
            <w:vAlign w:val="center"/>
          </w:tcPr>
          <w:p w:rsidR="00A97F2D" w:rsidRPr="005A7DE6" w:rsidP="006B758F">
            <w:pPr>
              <w:snapToGrid w:val="0"/>
              <w:spacing w:line="360" w:lineRule="auto"/>
              <w:jc w:val="center"/>
              <w:rPr>
                <w:rFonts w:asciiTheme="minorEastAsia" w:eastAsiaTheme="minorEastAsia" w:hAnsiTheme="minorEastAsia" w:cs="Arial Unicode MS"/>
                <w:color w:val="000000" w:themeColor="text1"/>
                <w:szCs w:val="21"/>
              </w:rPr>
            </w:pPr>
            <w:r w:rsidRPr="005A7DE6">
              <w:rPr>
                <w:rFonts w:asciiTheme="minorEastAsia" w:eastAsiaTheme="minorEastAsia" w:hAnsiTheme="minorEastAsia" w:hint="eastAsia"/>
                <w:color w:val="000000" w:themeColor="text1"/>
                <w:szCs w:val="21"/>
              </w:rPr>
              <w:t>业绩比较基准收益率（</w:t>
            </w:r>
            <w:r w:rsidRPr="005A7DE6">
              <w:rPr>
                <w:rFonts w:asciiTheme="minorEastAsia" w:eastAsiaTheme="minorEastAsia" w:hAnsiTheme="minorEastAsia"/>
                <w:color w:val="000000" w:themeColor="text1"/>
                <w:szCs w:val="21"/>
              </w:rPr>
              <w:t>3</w:t>
            </w:r>
            <w:r w:rsidRPr="005A7DE6">
              <w:rPr>
                <w:rFonts w:asciiTheme="minorEastAsia" w:eastAsiaTheme="minorEastAsia" w:hAnsiTheme="minorEastAsia"/>
                <w:color w:val="000000" w:themeColor="text1"/>
                <w:szCs w:val="21"/>
              </w:rPr>
              <w:t>）</w:t>
            </w:r>
          </w:p>
        </w:tc>
        <w:tc>
          <w:tcPr>
            <w:tcW w:w="1440" w:type="dxa"/>
            <w:vAlign w:val="center"/>
          </w:tcPr>
          <w:p w:rsidR="00A97F2D" w:rsidRPr="005A7DE6" w:rsidP="006B758F">
            <w:pPr>
              <w:snapToGrid w:val="0"/>
              <w:spacing w:line="360" w:lineRule="auto"/>
              <w:jc w:val="center"/>
              <w:rPr>
                <w:rFonts w:asciiTheme="minorEastAsia" w:eastAsiaTheme="minorEastAsia" w:hAnsiTheme="minorEastAsia" w:cs="Arial Unicode MS"/>
                <w:color w:val="000000" w:themeColor="text1"/>
                <w:szCs w:val="21"/>
              </w:rPr>
            </w:pPr>
            <w:r w:rsidRPr="005A7DE6">
              <w:rPr>
                <w:rFonts w:asciiTheme="minorEastAsia" w:eastAsiaTheme="minorEastAsia" w:hAnsiTheme="minorEastAsia" w:hint="eastAsia"/>
                <w:color w:val="000000" w:themeColor="text1"/>
                <w:szCs w:val="21"/>
              </w:rPr>
              <w:t>业绩比较基准收益率标准差（</w:t>
            </w:r>
            <w:r w:rsidRPr="005A7DE6">
              <w:rPr>
                <w:rFonts w:asciiTheme="minorEastAsia" w:eastAsiaTheme="minorEastAsia" w:hAnsiTheme="minorEastAsia"/>
                <w:color w:val="000000" w:themeColor="text1"/>
                <w:szCs w:val="21"/>
              </w:rPr>
              <w:t>4</w:t>
            </w:r>
            <w:r w:rsidRPr="005A7DE6">
              <w:rPr>
                <w:rFonts w:asciiTheme="minorEastAsia" w:eastAsiaTheme="minorEastAsia" w:hAnsiTheme="minorEastAsia"/>
                <w:color w:val="000000" w:themeColor="text1"/>
                <w:szCs w:val="21"/>
              </w:rPr>
              <w:t>）</w:t>
            </w:r>
          </w:p>
        </w:tc>
        <w:tc>
          <w:tcPr>
            <w:tcW w:w="1175" w:type="dxa"/>
            <w:vAlign w:val="center"/>
          </w:tcPr>
          <w:p w:rsidR="00A97F2D" w:rsidRPr="005A7DE6" w:rsidP="006B758F">
            <w:pPr>
              <w:snapToGrid w:val="0"/>
              <w:spacing w:line="360" w:lineRule="auto"/>
              <w:ind w:left="-107" w:right="-107" w:leftChars="-51" w:rightChars="-51"/>
              <w:jc w:val="center"/>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3</w:t>
            </w:r>
            <w:r w:rsidRPr="005A7DE6">
              <w:rPr>
                <w:rFonts w:asciiTheme="minorEastAsia" w:eastAsiaTheme="minorEastAsia" w:hAnsiTheme="minorEastAsia"/>
                <w:color w:val="000000" w:themeColor="text1"/>
                <w:szCs w:val="21"/>
              </w:rPr>
              <w:t>）</w:t>
            </w:r>
          </w:p>
        </w:tc>
        <w:tc>
          <w:tcPr>
            <w:tcW w:w="1134" w:type="dxa"/>
            <w:vAlign w:val="center"/>
          </w:tcPr>
          <w:p w:rsidR="00A97F2D" w:rsidRPr="005A7DE6" w:rsidP="006B758F">
            <w:pPr>
              <w:snapToGrid w:val="0"/>
              <w:spacing w:line="360" w:lineRule="auto"/>
              <w:ind w:left="-107" w:leftChars="-51"/>
              <w:jc w:val="center"/>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4</w:t>
            </w:r>
            <w:r w:rsidRPr="005A7DE6">
              <w:rPr>
                <w:rFonts w:asciiTheme="minorEastAsia" w:eastAsiaTheme="minorEastAsia" w:hAnsiTheme="minorEastAsia"/>
                <w:color w:val="000000" w:themeColor="text1"/>
                <w:szCs w:val="21"/>
              </w:rPr>
              <w:t>）</w:t>
            </w:r>
          </w:p>
        </w:tc>
      </w:tr>
      <w:tr>
        <w:tblPrEx>
          <w:tblW w:w="9215" w:type="dxa"/>
          <w:tblInd w:w="-318" w:type="dxa"/>
          <w:tblLayout w:type="fixed"/>
          <w:tblLook w:val="0000"/>
        </w:tblPrEx>
        <w:tc>
          <w:tcPr>
            <w:tcW w:w="1866" w:type="dxa"/>
          </w:tcPr>
          <w:p w:rsidR="00336BCC">
            <w:pPr>
              <w:jc w:val="center"/>
            </w:pPr>
            <w:r>
              <w:t>自基金合同生效日至</w:t>
            </w:r>
            <w:r>
              <w:t>2012</w:t>
            </w:r>
            <w:r>
              <w:t>年</w:t>
            </w:r>
            <w:r>
              <w:t>12</w:t>
            </w:r>
            <w:r>
              <w:t>月</w:t>
            </w:r>
            <w:r>
              <w:t>31</w:t>
            </w:r>
            <w:r>
              <w:t>日</w:t>
            </w:r>
          </w:p>
        </w:tc>
        <w:tc>
          <w:tcPr>
            <w:tcW w:w="1080" w:type="dxa"/>
          </w:tcPr>
          <w:p w:rsidR="00336BCC">
            <w:pPr>
              <w:jc w:val="center"/>
            </w:pPr>
            <w:r>
              <w:t>3.00%</w:t>
            </w:r>
          </w:p>
        </w:tc>
        <w:tc>
          <w:tcPr>
            <w:tcW w:w="1080" w:type="dxa"/>
          </w:tcPr>
          <w:p w:rsidR="00336BCC">
            <w:pPr>
              <w:jc w:val="center"/>
            </w:pPr>
            <w:r>
              <w:t>0.06%</w:t>
            </w:r>
          </w:p>
        </w:tc>
        <w:tc>
          <w:tcPr>
            <w:tcW w:w="1440" w:type="dxa"/>
          </w:tcPr>
          <w:p w:rsidR="00336BCC">
            <w:pPr>
              <w:jc w:val="center"/>
            </w:pPr>
            <w:r>
              <w:t>0.14%</w:t>
            </w:r>
          </w:p>
        </w:tc>
        <w:tc>
          <w:tcPr>
            <w:tcW w:w="1440" w:type="dxa"/>
          </w:tcPr>
          <w:p w:rsidR="00336BCC">
            <w:pPr>
              <w:jc w:val="center"/>
            </w:pPr>
            <w:r>
              <w:t>0.06%</w:t>
            </w:r>
          </w:p>
        </w:tc>
        <w:tc>
          <w:tcPr>
            <w:tcW w:w="1175" w:type="dxa"/>
          </w:tcPr>
          <w:p w:rsidR="00336BCC">
            <w:pPr>
              <w:jc w:val="center"/>
            </w:pPr>
            <w:r>
              <w:t>2.86%</w:t>
            </w:r>
          </w:p>
        </w:tc>
        <w:tc>
          <w:tcPr>
            <w:tcW w:w="1134" w:type="dxa"/>
          </w:tcPr>
          <w:p w:rsidR="00336BCC">
            <w:pPr>
              <w:jc w:val="center"/>
            </w:pPr>
            <w:r>
              <w:t>0.00%</w:t>
            </w:r>
          </w:p>
        </w:tc>
      </w:tr>
      <w:tr>
        <w:tblPrEx>
          <w:tblW w:w="9215" w:type="dxa"/>
          <w:tblInd w:w="-318" w:type="dxa"/>
          <w:tblLayout w:type="fixed"/>
          <w:tblLook w:val="0000"/>
        </w:tblPrEx>
        <w:tc>
          <w:tcPr>
            <w:tcW w:w="1866" w:type="dxa"/>
          </w:tcPr>
          <w:p w:rsidR="00336BCC">
            <w:pPr>
              <w:jc w:val="center"/>
            </w:pPr>
            <w:r>
              <w:t>2013</w:t>
            </w:r>
            <w:r>
              <w:t>年</w:t>
            </w:r>
            <w:r>
              <w:t>1</w:t>
            </w:r>
            <w:r>
              <w:t>月</w:t>
            </w:r>
            <w:r>
              <w:t>1</w:t>
            </w:r>
            <w:r>
              <w:t>日至</w:t>
            </w:r>
            <w:r>
              <w:t>2013</w:t>
            </w:r>
            <w:r>
              <w:t>年</w:t>
            </w:r>
            <w:r>
              <w:t>12</w:t>
            </w:r>
            <w:r>
              <w:t>月</w:t>
            </w:r>
            <w:r>
              <w:t>31</w:t>
            </w:r>
            <w:r>
              <w:t>日</w:t>
            </w:r>
          </w:p>
        </w:tc>
        <w:tc>
          <w:tcPr>
            <w:tcW w:w="1080" w:type="dxa"/>
          </w:tcPr>
          <w:p w:rsidR="00336BCC">
            <w:pPr>
              <w:jc w:val="center"/>
            </w:pPr>
            <w:r>
              <w:t>0.36%</w:t>
            </w:r>
          </w:p>
        </w:tc>
        <w:tc>
          <w:tcPr>
            <w:tcW w:w="1080" w:type="dxa"/>
          </w:tcPr>
          <w:p w:rsidR="00336BCC">
            <w:pPr>
              <w:jc w:val="center"/>
            </w:pPr>
            <w:r>
              <w:t>0.11%</w:t>
            </w:r>
          </w:p>
        </w:tc>
        <w:tc>
          <w:tcPr>
            <w:tcW w:w="1440" w:type="dxa"/>
          </w:tcPr>
          <w:p w:rsidR="00336BCC">
            <w:pPr>
              <w:jc w:val="center"/>
            </w:pPr>
            <w:r>
              <w:t>-3.75%</w:t>
            </w:r>
          </w:p>
        </w:tc>
        <w:tc>
          <w:tcPr>
            <w:tcW w:w="1440" w:type="dxa"/>
          </w:tcPr>
          <w:p w:rsidR="00336BCC">
            <w:pPr>
              <w:jc w:val="center"/>
            </w:pPr>
            <w:r>
              <w:t>0.08%</w:t>
            </w:r>
          </w:p>
        </w:tc>
        <w:tc>
          <w:tcPr>
            <w:tcW w:w="1175" w:type="dxa"/>
          </w:tcPr>
          <w:p w:rsidR="00336BCC">
            <w:pPr>
              <w:jc w:val="center"/>
            </w:pPr>
            <w:r>
              <w:t>4.11%</w:t>
            </w:r>
          </w:p>
        </w:tc>
        <w:tc>
          <w:tcPr>
            <w:tcW w:w="1134" w:type="dxa"/>
          </w:tcPr>
          <w:p w:rsidR="00336BCC">
            <w:pPr>
              <w:jc w:val="center"/>
            </w:pPr>
            <w:r>
              <w:t>0.03%</w:t>
            </w:r>
          </w:p>
        </w:tc>
      </w:tr>
      <w:tr>
        <w:tblPrEx>
          <w:tblW w:w="9215" w:type="dxa"/>
          <w:tblInd w:w="-318" w:type="dxa"/>
          <w:tblLayout w:type="fixed"/>
          <w:tblLook w:val="0000"/>
        </w:tblPrEx>
        <w:tc>
          <w:tcPr>
            <w:tcW w:w="1866" w:type="dxa"/>
          </w:tcPr>
          <w:p w:rsidR="00336BCC">
            <w:pPr>
              <w:jc w:val="center"/>
            </w:pPr>
            <w:r>
              <w:t>2014</w:t>
            </w:r>
            <w:r>
              <w:t>年</w:t>
            </w:r>
            <w:r>
              <w:t>1</w:t>
            </w:r>
            <w:r>
              <w:t>月</w:t>
            </w:r>
            <w:r>
              <w:t>1</w:t>
            </w:r>
            <w:r>
              <w:t>日至</w:t>
            </w:r>
            <w:r>
              <w:t>2014</w:t>
            </w:r>
            <w:r>
              <w:t>年</w:t>
            </w:r>
            <w:r>
              <w:t>12</w:t>
            </w:r>
            <w:r>
              <w:t>月</w:t>
            </w:r>
            <w:r>
              <w:t>31</w:t>
            </w:r>
            <w:r>
              <w:t>日</w:t>
            </w:r>
          </w:p>
        </w:tc>
        <w:tc>
          <w:tcPr>
            <w:tcW w:w="1080" w:type="dxa"/>
          </w:tcPr>
          <w:p w:rsidR="00336BCC">
            <w:pPr>
              <w:jc w:val="center"/>
            </w:pPr>
            <w:r>
              <w:t>6.65%</w:t>
            </w:r>
          </w:p>
        </w:tc>
        <w:tc>
          <w:tcPr>
            <w:tcW w:w="1080" w:type="dxa"/>
          </w:tcPr>
          <w:p w:rsidR="00336BCC">
            <w:pPr>
              <w:jc w:val="center"/>
            </w:pPr>
            <w:r>
              <w:t>0.15%</w:t>
            </w:r>
          </w:p>
        </w:tc>
        <w:tc>
          <w:tcPr>
            <w:tcW w:w="1440" w:type="dxa"/>
          </w:tcPr>
          <w:p w:rsidR="00336BCC">
            <w:pPr>
              <w:jc w:val="center"/>
            </w:pPr>
            <w:r>
              <w:t>6.54%</w:t>
            </w:r>
          </w:p>
        </w:tc>
        <w:tc>
          <w:tcPr>
            <w:tcW w:w="1440" w:type="dxa"/>
          </w:tcPr>
          <w:p w:rsidR="00336BCC">
            <w:pPr>
              <w:jc w:val="center"/>
            </w:pPr>
            <w:r>
              <w:t>0.11%</w:t>
            </w:r>
          </w:p>
        </w:tc>
        <w:tc>
          <w:tcPr>
            <w:tcW w:w="1175" w:type="dxa"/>
          </w:tcPr>
          <w:p w:rsidR="00336BCC">
            <w:pPr>
              <w:jc w:val="center"/>
            </w:pPr>
            <w:r>
              <w:t>0.11%</w:t>
            </w:r>
          </w:p>
        </w:tc>
        <w:tc>
          <w:tcPr>
            <w:tcW w:w="1134" w:type="dxa"/>
          </w:tcPr>
          <w:p w:rsidR="00336BCC">
            <w:pPr>
              <w:jc w:val="center"/>
            </w:pPr>
            <w:r>
              <w:t>0.04%</w:t>
            </w:r>
          </w:p>
        </w:tc>
      </w:tr>
      <w:tr>
        <w:tblPrEx>
          <w:tblW w:w="9215" w:type="dxa"/>
          <w:tblInd w:w="-318" w:type="dxa"/>
          <w:tblLayout w:type="fixed"/>
          <w:tblLook w:val="0000"/>
        </w:tblPrEx>
        <w:tc>
          <w:tcPr>
            <w:tcW w:w="1866" w:type="dxa"/>
          </w:tcPr>
          <w:p w:rsidR="00336BCC">
            <w:pPr>
              <w:jc w:val="center"/>
            </w:pPr>
            <w:r>
              <w:t>2015</w:t>
            </w:r>
            <w:r>
              <w:t>年</w:t>
            </w:r>
            <w:r>
              <w:t>1</w:t>
            </w:r>
            <w:r>
              <w:t>月</w:t>
            </w:r>
            <w:r>
              <w:t>1</w:t>
            </w:r>
            <w:r>
              <w:t>日至</w:t>
            </w:r>
            <w:r>
              <w:t>2015</w:t>
            </w:r>
            <w:r>
              <w:t>年</w:t>
            </w:r>
            <w:r>
              <w:t>12</w:t>
            </w:r>
            <w:r>
              <w:t>月</w:t>
            </w:r>
            <w:r>
              <w:t>31</w:t>
            </w:r>
            <w:r>
              <w:t>日</w:t>
            </w:r>
          </w:p>
        </w:tc>
        <w:tc>
          <w:tcPr>
            <w:tcW w:w="1080" w:type="dxa"/>
          </w:tcPr>
          <w:p w:rsidR="00336BCC">
            <w:pPr>
              <w:jc w:val="center"/>
            </w:pPr>
            <w:r>
              <w:t>11.21%</w:t>
            </w:r>
          </w:p>
        </w:tc>
        <w:tc>
          <w:tcPr>
            <w:tcW w:w="1080" w:type="dxa"/>
          </w:tcPr>
          <w:p w:rsidR="00336BCC">
            <w:pPr>
              <w:jc w:val="center"/>
            </w:pPr>
            <w:r>
              <w:t>0.12%</w:t>
            </w:r>
          </w:p>
        </w:tc>
        <w:tc>
          <w:tcPr>
            <w:tcW w:w="1440" w:type="dxa"/>
          </w:tcPr>
          <w:p w:rsidR="00336BCC">
            <w:pPr>
              <w:jc w:val="center"/>
            </w:pPr>
            <w:r>
              <w:t>4.19%</w:t>
            </w:r>
          </w:p>
        </w:tc>
        <w:tc>
          <w:tcPr>
            <w:tcW w:w="1440" w:type="dxa"/>
          </w:tcPr>
          <w:p w:rsidR="00336BCC">
            <w:pPr>
              <w:jc w:val="center"/>
            </w:pPr>
            <w:r>
              <w:t>0.08%</w:t>
            </w:r>
          </w:p>
        </w:tc>
        <w:tc>
          <w:tcPr>
            <w:tcW w:w="1175" w:type="dxa"/>
          </w:tcPr>
          <w:p w:rsidR="00336BCC">
            <w:pPr>
              <w:jc w:val="center"/>
            </w:pPr>
            <w:r>
              <w:t>7.02%</w:t>
            </w:r>
          </w:p>
        </w:tc>
        <w:tc>
          <w:tcPr>
            <w:tcW w:w="1134" w:type="dxa"/>
          </w:tcPr>
          <w:p w:rsidR="00336BCC">
            <w:pPr>
              <w:jc w:val="center"/>
            </w:pPr>
            <w:r>
              <w:t>0.04%</w:t>
            </w:r>
          </w:p>
        </w:tc>
      </w:tr>
      <w:tr>
        <w:tblPrEx>
          <w:tblW w:w="9215" w:type="dxa"/>
          <w:tblInd w:w="-318" w:type="dxa"/>
          <w:tblLayout w:type="fixed"/>
          <w:tblLook w:val="0000"/>
        </w:tblPrEx>
        <w:tc>
          <w:tcPr>
            <w:tcW w:w="1866" w:type="dxa"/>
          </w:tcPr>
          <w:p w:rsidR="00336BCC">
            <w:pPr>
              <w:jc w:val="center"/>
            </w:pPr>
            <w:r>
              <w:t>2016</w:t>
            </w:r>
            <w:r>
              <w:t>年</w:t>
            </w:r>
            <w:r>
              <w:t>1</w:t>
            </w:r>
            <w:r>
              <w:t>月</w:t>
            </w:r>
            <w:r>
              <w:t>1</w:t>
            </w:r>
            <w:r>
              <w:t>日至</w:t>
            </w:r>
            <w:r>
              <w:t>2016</w:t>
            </w:r>
            <w:r>
              <w:t>年</w:t>
            </w:r>
            <w:r>
              <w:t>12</w:t>
            </w:r>
            <w:r>
              <w:t>月</w:t>
            </w:r>
            <w:r>
              <w:t>31</w:t>
            </w:r>
            <w:r>
              <w:t>日</w:t>
            </w:r>
          </w:p>
        </w:tc>
        <w:tc>
          <w:tcPr>
            <w:tcW w:w="1080" w:type="dxa"/>
          </w:tcPr>
          <w:p w:rsidR="00336BCC">
            <w:pPr>
              <w:jc w:val="center"/>
            </w:pPr>
            <w:r>
              <w:t>0.04%</w:t>
            </w:r>
          </w:p>
        </w:tc>
        <w:tc>
          <w:tcPr>
            <w:tcW w:w="1080" w:type="dxa"/>
          </w:tcPr>
          <w:p w:rsidR="00336BCC">
            <w:pPr>
              <w:jc w:val="center"/>
            </w:pPr>
            <w:r>
              <w:t>0.11%</w:t>
            </w:r>
          </w:p>
        </w:tc>
        <w:tc>
          <w:tcPr>
            <w:tcW w:w="1440" w:type="dxa"/>
          </w:tcPr>
          <w:p w:rsidR="00336BCC">
            <w:pPr>
              <w:jc w:val="center"/>
            </w:pPr>
            <w:r>
              <w:t>-1.63%</w:t>
            </w:r>
          </w:p>
        </w:tc>
        <w:tc>
          <w:tcPr>
            <w:tcW w:w="1440" w:type="dxa"/>
          </w:tcPr>
          <w:p w:rsidR="00336BCC">
            <w:pPr>
              <w:jc w:val="center"/>
            </w:pPr>
            <w:r>
              <w:t>0.09%</w:t>
            </w:r>
          </w:p>
        </w:tc>
        <w:tc>
          <w:tcPr>
            <w:tcW w:w="1175" w:type="dxa"/>
          </w:tcPr>
          <w:p w:rsidR="00336BCC">
            <w:pPr>
              <w:jc w:val="center"/>
            </w:pPr>
            <w:r>
              <w:t>1.67%</w:t>
            </w:r>
          </w:p>
        </w:tc>
        <w:tc>
          <w:tcPr>
            <w:tcW w:w="1134" w:type="dxa"/>
          </w:tcPr>
          <w:p w:rsidR="00336BCC">
            <w:pPr>
              <w:jc w:val="center"/>
            </w:pPr>
            <w:r>
              <w:t>0.02%</w:t>
            </w:r>
          </w:p>
        </w:tc>
      </w:tr>
      <w:tr>
        <w:tblPrEx>
          <w:tblW w:w="9215" w:type="dxa"/>
          <w:tblInd w:w="-318" w:type="dxa"/>
          <w:tblLayout w:type="fixed"/>
          <w:tblLook w:val="0000"/>
        </w:tblPrEx>
        <w:tc>
          <w:tcPr>
            <w:tcW w:w="1866" w:type="dxa"/>
          </w:tcPr>
          <w:p w:rsidR="00336BCC">
            <w:pPr>
              <w:jc w:val="center"/>
            </w:pPr>
            <w:r>
              <w:t>2017</w:t>
            </w:r>
            <w:r>
              <w:t>年</w:t>
            </w:r>
            <w:r>
              <w:t>1</w:t>
            </w:r>
            <w:r>
              <w:t>月</w:t>
            </w:r>
            <w:r>
              <w:t>1</w:t>
            </w:r>
            <w:r>
              <w:t>日至</w:t>
            </w:r>
            <w:r>
              <w:t>2017</w:t>
            </w:r>
            <w:r>
              <w:t>年</w:t>
            </w:r>
            <w:r>
              <w:t>12</w:t>
            </w:r>
            <w:r>
              <w:t>月</w:t>
            </w:r>
            <w:r>
              <w:t>31</w:t>
            </w:r>
            <w:r>
              <w:t>日</w:t>
            </w:r>
          </w:p>
        </w:tc>
        <w:tc>
          <w:tcPr>
            <w:tcW w:w="1080" w:type="dxa"/>
          </w:tcPr>
          <w:p w:rsidR="00336BCC">
            <w:pPr>
              <w:jc w:val="center"/>
            </w:pPr>
            <w:r>
              <w:t>2.05%</w:t>
            </w:r>
          </w:p>
        </w:tc>
        <w:tc>
          <w:tcPr>
            <w:tcW w:w="1080" w:type="dxa"/>
          </w:tcPr>
          <w:p w:rsidR="00336BCC">
            <w:pPr>
              <w:jc w:val="center"/>
            </w:pPr>
            <w:r>
              <w:t>0.06%</w:t>
            </w:r>
          </w:p>
        </w:tc>
        <w:tc>
          <w:tcPr>
            <w:tcW w:w="1440" w:type="dxa"/>
          </w:tcPr>
          <w:p w:rsidR="00336BCC">
            <w:pPr>
              <w:jc w:val="center"/>
            </w:pPr>
            <w:r>
              <w:t>-3.38%</w:t>
            </w:r>
          </w:p>
        </w:tc>
        <w:tc>
          <w:tcPr>
            <w:tcW w:w="1440" w:type="dxa"/>
          </w:tcPr>
          <w:p w:rsidR="00336BCC">
            <w:pPr>
              <w:jc w:val="center"/>
            </w:pPr>
            <w:r>
              <w:t>0.06%</w:t>
            </w:r>
          </w:p>
        </w:tc>
        <w:tc>
          <w:tcPr>
            <w:tcW w:w="1175" w:type="dxa"/>
          </w:tcPr>
          <w:p w:rsidR="00336BCC">
            <w:pPr>
              <w:jc w:val="center"/>
            </w:pPr>
            <w:r>
              <w:t>5.43%</w:t>
            </w:r>
          </w:p>
        </w:tc>
        <w:tc>
          <w:tcPr>
            <w:tcW w:w="1134" w:type="dxa"/>
          </w:tcPr>
          <w:p w:rsidR="00336BCC">
            <w:pPr>
              <w:jc w:val="center"/>
            </w:pPr>
            <w:r>
              <w:t>0.00%</w:t>
            </w:r>
          </w:p>
        </w:tc>
      </w:tr>
      <w:tr>
        <w:tblPrEx>
          <w:tblW w:w="9215" w:type="dxa"/>
          <w:tblInd w:w="-318" w:type="dxa"/>
          <w:tblLayout w:type="fixed"/>
          <w:tblLook w:val="0000"/>
        </w:tblPrEx>
        <w:tc>
          <w:tcPr>
            <w:tcW w:w="1866" w:type="dxa"/>
          </w:tcPr>
          <w:p w:rsidR="00336BCC">
            <w:pPr>
              <w:jc w:val="center"/>
            </w:pPr>
            <w:r>
              <w:t>2018</w:t>
            </w:r>
            <w:r>
              <w:t>年</w:t>
            </w:r>
            <w:r>
              <w:t>1</w:t>
            </w:r>
            <w:r>
              <w:t>月</w:t>
            </w:r>
            <w:r>
              <w:t>1</w:t>
            </w:r>
            <w:r>
              <w:t>日至</w:t>
            </w:r>
            <w:r>
              <w:t>2018</w:t>
            </w:r>
            <w:r>
              <w:t>年</w:t>
            </w:r>
            <w:r>
              <w:t>12</w:t>
            </w:r>
            <w:r>
              <w:t>月</w:t>
            </w:r>
            <w:r>
              <w:t>31</w:t>
            </w:r>
            <w:r>
              <w:t>日</w:t>
            </w:r>
          </w:p>
        </w:tc>
        <w:tc>
          <w:tcPr>
            <w:tcW w:w="1080" w:type="dxa"/>
          </w:tcPr>
          <w:p w:rsidR="00336BCC">
            <w:pPr>
              <w:jc w:val="center"/>
            </w:pPr>
            <w:r>
              <w:t>7.20%</w:t>
            </w:r>
          </w:p>
        </w:tc>
        <w:tc>
          <w:tcPr>
            <w:tcW w:w="1080" w:type="dxa"/>
          </w:tcPr>
          <w:p w:rsidR="00336BCC">
            <w:pPr>
              <w:jc w:val="center"/>
            </w:pPr>
            <w:r>
              <w:t>0.07%</w:t>
            </w:r>
          </w:p>
        </w:tc>
        <w:tc>
          <w:tcPr>
            <w:tcW w:w="1440" w:type="dxa"/>
          </w:tcPr>
          <w:p w:rsidR="00336BCC">
            <w:pPr>
              <w:jc w:val="center"/>
            </w:pPr>
            <w:r>
              <w:t>4.79%</w:t>
            </w:r>
          </w:p>
        </w:tc>
        <w:tc>
          <w:tcPr>
            <w:tcW w:w="1440" w:type="dxa"/>
          </w:tcPr>
          <w:p w:rsidR="00336BCC">
            <w:pPr>
              <w:jc w:val="center"/>
            </w:pPr>
            <w:r>
              <w:t>0.07%</w:t>
            </w:r>
          </w:p>
        </w:tc>
        <w:tc>
          <w:tcPr>
            <w:tcW w:w="1175" w:type="dxa"/>
          </w:tcPr>
          <w:p w:rsidR="00336BCC">
            <w:pPr>
              <w:jc w:val="center"/>
            </w:pPr>
            <w:r>
              <w:t>2.41%</w:t>
            </w:r>
          </w:p>
        </w:tc>
        <w:tc>
          <w:tcPr>
            <w:tcW w:w="1134" w:type="dxa"/>
          </w:tcPr>
          <w:p w:rsidR="00336BCC">
            <w:pPr>
              <w:jc w:val="center"/>
            </w:pPr>
            <w:r>
              <w:t>0.00%</w:t>
            </w:r>
          </w:p>
        </w:tc>
      </w:tr>
      <w:tr>
        <w:tblPrEx>
          <w:tblW w:w="9215" w:type="dxa"/>
          <w:tblInd w:w="-318" w:type="dxa"/>
          <w:tblLayout w:type="fixed"/>
          <w:tblLook w:val="0000"/>
        </w:tblPrEx>
        <w:tc>
          <w:tcPr>
            <w:tcW w:w="1866" w:type="dxa"/>
          </w:tcPr>
          <w:p w:rsidR="00336BCC">
            <w:pPr>
              <w:jc w:val="center"/>
            </w:pPr>
            <w:r>
              <w:t>2019</w:t>
            </w:r>
            <w:r>
              <w:t>年</w:t>
            </w:r>
            <w:r>
              <w:t>1</w:t>
            </w:r>
            <w:r>
              <w:t>月</w:t>
            </w:r>
            <w:r>
              <w:t>1</w:t>
            </w:r>
            <w:r>
              <w:t>日至</w:t>
            </w:r>
            <w:r>
              <w:t>2019</w:t>
            </w:r>
            <w:r>
              <w:t>年</w:t>
            </w:r>
            <w:r>
              <w:t>12</w:t>
            </w:r>
            <w:r>
              <w:t>月</w:t>
            </w:r>
            <w:r>
              <w:t>31</w:t>
            </w:r>
            <w:r>
              <w:t>日</w:t>
            </w:r>
          </w:p>
        </w:tc>
        <w:tc>
          <w:tcPr>
            <w:tcW w:w="1080" w:type="dxa"/>
          </w:tcPr>
          <w:p w:rsidR="00336BCC">
            <w:pPr>
              <w:jc w:val="center"/>
            </w:pPr>
            <w:r>
              <w:t>4.79%</w:t>
            </w:r>
          </w:p>
        </w:tc>
        <w:tc>
          <w:tcPr>
            <w:tcW w:w="1080" w:type="dxa"/>
          </w:tcPr>
          <w:p w:rsidR="00336BCC">
            <w:pPr>
              <w:jc w:val="center"/>
            </w:pPr>
            <w:r>
              <w:t>0.05%</w:t>
            </w:r>
          </w:p>
        </w:tc>
        <w:tc>
          <w:tcPr>
            <w:tcW w:w="1440" w:type="dxa"/>
          </w:tcPr>
          <w:p w:rsidR="00336BCC">
            <w:pPr>
              <w:jc w:val="center"/>
            </w:pPr>
            <w:r>
              <w:t>1.31%</w:t>
            </w:r>
          </w:p>
        </w:tc>
        <w:tc>
          <w:tcPr>
            <w:tcW w:w="1440" w:type="dxa"/>
          </w:tcPr>
          <w:p w:rsidR="00336BCC">
            <w:pPr>
              <w:jc w:val="center"/>
            </w:pPr>
            <w:r>
              <w:t>0.05%</w:t>
            </w:r>
          </w:p>
        </w:tc>
        <w:tc>
          <w:tcPr>
            <w:tcW w:w="1175" w:type="dxa"/>
          </w:tcPr>
          <w:p w:rsidR="00336BCC">
            <w:pPr>
              <w:jc w:val="center"/>
            </w:pPr>
            <w:r>
              <w:t>3.48%</w:t>
            </w:r>
          </w:p>
        </w:tc>
        <w:tc>
          <w:tcPr>
            <w:tcW w:w="1134" w:type="dxa"/>
          </w:tcPr>
          <w:p w:rsidR="00336BCC">
            <w:pPr>
              <w:jc w:val="center"/>
            </w:pPr>
            <w:r>
              <w:t>0.00%</w:t>
            </w:r>
          </w:p>
        </w:tc>
      </w:tr>
      <w:tr>
        <w:tblPrEx>
          <w:tblW w:w="9215" w:type="dxa"/>
          <w:tblInd w:w="-318" w:type="dxa"/>
          <w:tblLayout w:type="fixed"/>
          <w:tblLook w:val="0000"/>
        </w:tblPrEx>
        <w:tc>
          <w:tcPr>
            <w:tcW w:w="1866" w:type="dxa"/>
          </w:tcPr>
          <w:p w:rsidR="00336BCC">
            <w:pPr>
              <w:jc w:val="center"/>
            </w:pPr>
            <w:r>
              <w:t>2020</w:t>
            </w:r>
            <w:r>
              <w:t>年</w:t>
            </w:r>
            <w:r>
              <w:t>1</w:t>
            </w:r>
            <w:r>
              <w:t>月</w:t>
            </w:r>
            <w:r>
              <w:t>1</w:t>
            </w:r>
            <w:r>
              <w:t>日至</w:t>
            </w:r>
            <w:r>
              <w:t>2020</w:t>
            </w:r>
            <w:r>
              <w:t>年</w:t>
            </w:r>
            <w:r>
              <w:t>12</w:t>
            </w:r>
            <w:r>
              <w:t>月</w:t>
            </w:r>
            <w:r>
              <w:t>31</w:t>
            </w:r>
            <w:r>
              <w:t>日</w:t>
            </w:r>
          </w:p>
        </w:tc>
        <w:tc>
          <w:tcPr>
            <w:tcW w:w="1080" w:type="dxa"/>
          </w:tcPr>
          <w:p w:rsidR="00336BCC">
            <w:pPr>
              <w:jc w:val="center"/>
            </w:pPr>
            <w:r>
              <w:t>2.10%</w:t>
            </w:r>
          </w:p>
        </w:tc>
        <w:tc>
          <w:tcPr>
            <w:tcW w:w="1080" w:type="dxa"/>
          </w:tcPr>
          <w:p w:rsidR="00336BCC">
            <w:pPr>
              <w:jc w:val="center"/>
            </w:pPr>
            <w:r>
              <w:t>0.09%</w:t>
            </w:r>
          </w:p>
        </w:tc>
        <w:tc>
          <w:tcPr>
            <w:tcW w:w="1440" w:type="dxa"/>
          </w:tcPr>
          <w:p w:rsidR="00336BCC">
            <w:pPr>
              <w:jc w:val="center"/>
            </w:pPr>
            <w:r>
              <w:t>-0.06%</w:t>
            </w:r>
          </w:p>
        </w:tc>
        <w:tc>
          <w:tcPr>
            <w:tcW w:w="1440" w:type="dxa"/>
          </w:tcPr>
          <w:p w:rsidR="00336BCC">
            <w:pPr>
              <w:jc w:val="center"/>
            </w:pPr>
            <w:r>
              <w:t>0.09%</w:t>
            </w:r>
          </w:p>
        </w:tc>
        <w:tc>
          <w:tcPr>
            <w:tcW w:w="1175" w:type="dxa"/>
          </w:tcPr>
          <w:p w:rsidR="00336BCC">
            <w:pPr>
              <w:jc w:val="center"/>
            </w:pPr>
            <w:r>
              <w:t>2.16%</w:t>
            </w:r>
          </w:p>
        </w:tc>
        <w:tc>
          <w:tcPr>
            <w:tcW w:w="1134" w:type="dxa"/>
          </w:tcPr>
          <w:p w:rsidR="00336BCC">
            <w:pPr>
              <w:jc w:val="center"/>
            </w:pPr>
            <w:r>
              <w:t>0.00%</w:t>
            </w:r>
          </w:p>
        </w:tc>
      </w:tr>
      <w:tr>
        <w:tblPrEx>
          <w:tblW w:w="9215" w:type="dxa"/>
          <w:tblInd w:w="-318" w:type="dxa"/>
          <w:tblLayout w:type="fixed"/>
          <w:tblLook w:val="0000"/>
        </w:tblPrEx>
        <w:tc>
          <w:tcPr>
            <w:tcW w:w="1866" w:type="dxa"/>
          </w:tcPr>
          <w:p w:rsidR="00336BCC">
            <w:pPr>
              <w:jc w:val="center"/>
            </w:pPr>
            <w:r>
              <w:t>2021</w:t>
            </w:r>
            <w:r>
              <w:t>年</w:t>
            </w:r>
            <w:r>
              <w:t>1</w:t>
            </w:r>
            <w:r>
              <w:t>月</w:t>
            </w:r>
            <w:r>
              <w:t>1</w:t>
            </w:r>
            <w:r>
              <w:t>日至</w:t>
            </w:r>
            <w:r>
              <w:t>2021</w:t>
            </w:r>
            <w:r>
              <w:t>年</w:t>
            </w:r>
            <w:r>
              <w:t>12</w:t>
            </w:r>
            <w:r>
              <w:t>月</w:t>
            </w:r>
            <w:r>
              <w:t>31</w:t>
            </w:r>
            <w:r>
              <w:t>日</w:t>
            </w:r>
          </w:p>
        </w:tc>
        <w:tc>
          <w:tcPr>
            <w:tcW w:w="1080" w:type="dxa"/>
          </w:tcPr>
          <w:p w:rsidR="00336BCC">
            <w:pPr>
              <w:jc w:val="center"/>
            </w:pPr>
            <w:r>
              <w:t>4.24%</w:t>
            </w:r>
          </w:p>
        </w:tc>
        <w:tc>
          <w:tcPr>
            <w:tcW w:w="1080" w:type="dxa"/>
          </w:tcPr>
          <w:p w:rsidR="00336BCC">
            <w:pPr>
              <w:jc w:val="center"/>
            </w:pPr>
            <w:r>
              <w:t>0.04%</w:t>
            </w:r>
          </w:p>
        </w:tc>
        <w:tc>
          <w:tcPr>
            <w:tcW w:w="1440" w:type="dxa"/>
          </w:tcPr>
          <w:p w:rsidR="00336BCC">
            <w:pPr>
              <w:jc w:val="center"/>
            </w:pPr>
            <w:r>
              <w:t>2.10%</w:t>
            </w:r>
          </w:p>
        </w:tc>
        <w:tc>
          <w:tcPr>
            <w:tcW w:w="1440" w:type="dxa"/>
          </w:tcPr>
          <w:p w:rsidR="00336BCC">
            <w:pPr>
              <w:jc w:val="center"/>
            </w:pPr>
            <w:r>
              <w:t>0.05%</w:t>
            </w:r>
          </w:p>
        </w:tc>
        <w:tc>
          <w:tcPr>
            <w:tcW w:w="1175" w:type="dxa"/>
          </w:tcPr>
          <w:p w:rsidR="00336BCC">
            <w:pPr>
              <w:jc w:val="center"/>
            </w:pPr>
            <w:r>
              <w:t>2.14%</w:t>
            </w:r>
          </w:p>
        </w:tc>
        <w:tc>
          <w:tcPr>
            <w:tcW w:w="1134" w:type="dxa"/>
          </w:tcPr>
          <w:p w:rsidR="00336BCC">
            <w:pPr>
              <w:jc w:val="center"/>
            </w:pPr>
            <w:r>
              <w:t>-0.01%</w:t>
            </w:r>
          </w:p>
        </w:tc>
      </w:tr>
      <w:tr>
        <w:tblPrEx>
          <w:tblW w:w="9215" w:type="dxa"/>
          <w:tblInd w:w="-318" w:type="dxa"/>
          <w:tblLayout w:type="fixed"/>
          <w:tblLook w:val="0000"/>
        </w:tblPrEx>
        <w:tc>
          <w:tcPr>
            <w:tcW w:w="1866" w:type="dxa"/>
          </w:tcPr>
          <w:p w:rsidR="00336BCC">
            <w:pPr>
              <w:jc w:val="center"/>
            </w:pPr>
            <w:r>
              <w:t>自基金合同生效日至</w:t>
            </w:r>
            <w:r>
              <w:t>2021</w:t>
            </w:r>
            <w:r>
              <w:t>年</w:t>
            </w:r>
            <w:r>
              <w:t>12</w:t>
            </w:r>
            <w:r>
              <w:t>月</w:t>
            </w:r>
            <w:r>
              <w:t>31</w:t>
            </w:r>
            <w:r>
              <w:t>日</w:t>
            </w:r>
          </w:p>
        </w:tc>
        <w:tc>
          <w:tcPr>
            <w:tcW w:w="1080" w:type="dxa"/>
          </w:tcPr>
          <w:p w:rsidR="00336BCC">
            <w:pPr>
              <w:jc w:val="center"/>
            </w:pPr>
            <w:r>
              <w:t>49.65%</w:t>
            </w:r>
          </w:p>
        </w:tc>
        <w:tc>
          <w:tcPr>
            <w:tcW w:w="1080" w:type="dxa"/>
          </w:tcPr>
          <w:p w:rsidR="00336BCC">
            <w:pPr>
              <w:jc w:val="center"/>
            </w:pPr>
            <w:r>
              <w:t>0.09%</w:t>
            </w:r>
          </w:p>
        </w:tc>
        <w:tc>
          <w:tcPr>
            <w:tcW w:w="1440" w:type="dxa"/>
          </w:tcPr>
          <w:p w:rsidR="00336BCC">
            <w:pPr>
              <w:jc w:val="center"/>
            </w:pPr>
            <w:r>
              <w:t>10.14%</w:t>
            </w:r>
          </w:p>
        </w:tc>
        <w:tc>
          <w:tcPr>
            <w:tcW w:w="1440" w:type="dxa"/>
          </w:tcPr>
          <w:p w:rsidR="00336BCC">
            <w:pPr>
              <w:jc w:val="center"/>
            </w:pPr>
            <w:r>
              <w:t>0.08%</w:t>
            </w:r>
          </w:p>
        </w:tc>
        <w:tc>
          <w:tcPr>
            <w:tcW w:w="1175" w:type="dxa"/>
          </w:tcPr>
          <w:p w:rsidR="00336BCC">
            <w:pPr>
              <w:jc w:val="center"/>
            </w:pPr>
            <w:r>
              <w:t>39.51%</w:t>
            </w:r>
          </w:p>
        </w:tc>
        <w:tc>
          <w:tcPr>
            <w:tcW w:w="1134" w:type="dxa"/>
          </w:tcPr>
          <w:p w:rsidR="00336BCC">
            <w:pPr>
              <w:jc w:val="center"/>
            </w:pPr>
            <w:r>
              <w:t>0.01%</w:t>
            </w:r>
          </w:p>
        </w:tc>
      </w:tr>
    </w:tbl>
    <w:p w:rsidR="00E07113" w:rsidRPr="005A7DE6">
      <w:pPr>
        <w:spacing w:line="360" w:lineRule="auto"/>
        <w:ind w:firstLine="420"/>
        <w:rPr>
          <w:rFonts w:asciiTheme="minorEastAsia" w:eastAsiaTheme="minorEastAsia" w:hAnsiTheme="minorEastAsia"/>
          <w:color w:val="000000" w:themeColor="text1"/>
        </w:rPr>
      </w:pPr>
      <w:r>
        <w:t>本基金历任基金经理情况：马喜德，管理时间为</w:t>
      </w:r>
      <w:r>
        <w:t>2012</w:t>
      </w:r>
      <w:r>
        <w:t>年</w:t>
      </w:r>
      <w:r>
        <w:t>5</w:t>
      </w:r>
      <w:r>
        <w:t>月</w:t>
      </w:r>
      <w:r>
        <w:t>3</w:t>
      </w:r>
      <w:r>
        <w:t>日至</w:t>
      </w:r>
      <w:r>
        <w:t>2013</w:t>
      </w:r>
      <w:r>
        <w:t>年</w:t>
      </w:r>
      <w:r>
        <w:t>4</w:t>
      </w:r>
      <w:r>
        <w:t>月</w:t>
      </w:r>
      <w:r>
        <w:t>21</w:t>
      </w:r>
      <w:r>
        <w:t>日；刘琦，管理时间为</w:t>
      </w:r>
      <w:r>
        <w:t>2013</w:t>
      </w:r>
      <w:r>
        <w:t>年</w:t>
      </w:r>
      <w:r>
        <w:t>4</w:t>
      </w:r>
      <w:r>
        <w:t>月</w:t>
      </w:r>
      <w:r>
        <w:t>22</w:t>
      </w:r>
      <w:r>
        <w:t>日至</w:t>
      </w:r>
      <w:r>
        <w:t>2015</w:t>
      </w:r>
      <w:r>
        <w:t>年</w:t>
      </w:r>
      <w:r>
        <w:t>1</w:t>
      </w:r>
      <w:r>
        <w:t>月</w:t>
      </w:r>
      <w:r>
        <w:t>9</w:t>
      </w:r>
      <w:r>
        <w:t>日；胡剑，管理时间为</w:t>
      </w:r>
      <w:r>
        <w:t>2013</w:t>
      </w:r>
      <w:r>
        <w:t>年</w:t>
      </w:r>
      <w:r>
        <w:t>4</w:t>
      </w:r>
      <w:r>
        <w:t>月</w:t>
      </w:r>
      <w:r>
        <w:t>22</w:t>
      </w:r>
      <w:r>
        <w:t>日至</w:t>
      </w:r>
      <w:r>
        <w:t>2015</w:t>
      </w:r>
      <w:r>
        <w:t>年</w:t>
      </w:r>
      <w:r>
        <w:t>3</w:t>
      </w:r>
      <w:r>
        <w:t>月</w:t>
      </w:r>
      <w:r>
        <w:t>13</w:t>
      </w:r>
      <w:r>
        <w:t>日；王晓晨，管理时间为</w:t>
      </w:r>
      <w:r>
        <w:t>2017</w:t>
      </w:r>
      <w:r>
        <w:t>年</w:t>
      </w:r>
      <w:r>
        <w:t>2</w:t>
      </w:r>
      <w:r>
        <w:t>月</w:t>
      </w:r>
      <w:r>
        <w:t>15</w:t>
      </w:r>
      <w:r>
        <w:t>日至</w:t>
      </w:r>
      <w:r>
        <w:t>2019</w:t>
      </w:r>
      <w:r>
        <w:t>年</w:t>
      </w:r>
      <w:r>
        <w:t>9</w:t>
      </w:r>
      <w:r>
        <w:t>月</w:t>
      </w:r>
      <w:r>
        <w:t>10</w:t>
      </w:r>
      <w:r>
        <w:t>日。</w:t>
      </w:r>
    </w:p>
    <w:p w:rsidR="008C330F" w:rsidRPr="005A7DE6" w:rsidP="00C05732">
      <w:pPr>
        <w:rPr>
          <w:rFonts w:asciiTheme="minorEastAsia" w:eastAsiaTheme="minorEastAsia" w:hAnsiTheme="minorEastAsia"/>
          <w:color w:val="000000" w:themeColor="text1"/>
        </w:rPr>
      </w:pPr>
    </w:p>
    <w:p w:rsidR="00BA4B87" w:rsidRPr="005A7DE6" w:rsidP="006B758F">
      <w:pPr>
        <w:pStyle w:val="111"/>
        <w:pageBreakBefore w:val="0"/>
        <w:snapToGrid w:val="0"/>
        <w:spacing w:beforeLines="0" w:afterLines="0" w:line="360" w:lineRule="auto"/>
        <w:ind w:firstLine="640"/>
        <w:rPr>
          <w:rFonts w:asciiTheme="minorEastAsia" w:eastAsiaTheme="minorEastAsia" w:hAnsiTheme="minorEastAsia"/>
          <w:b/>
          <w:color w:val="000000" w:themeColor="text1"/>
          <w:sz w:val="30"/>
        </w:rPr>
      </w:pPr>
      <w:r w:rsidRPr="005A7DE6">
        <w:rPr>
          <w:rFonts w:asciiTheme="minorEastAsia" w:eastAsiaTheme="minorEastAsia" w:hAnsiTheme="minorEastAsia"/>
          <w:color w:val="000000" w:themeColor="text1"/>
        </w:rPr>
        <w:br w:type="page"/>
      </w:r>
      <w:bookmarkStart w:id="3664" w:name="_Toc94172434"/>
      <w:r w:rsidRPr="005A7DE6" w:rsidR="00B20BDE">
        <w:rPr>
          <w:rFonts w:asciiTheme="minorEastAsia" w:eastAsiaTheme="minorEastAsia" w:hAnsiTheme="minorEastAsia"/>
          <w:b/>
          <w:color w:val="000000" w:themeColor="text1"/>
          <w:sz w:val="30"/>
        </w:rPr>
        <w:t>十</w:t>
      </w:r>
      <w:r w:rsidRPr="005A7DE6" w:rsidR="00B20BDE">
        <w:rPr>
          <w:rFonts w:asciiTheme="minorEastAsia" w:eastAsiaTheme="minorEastAsia" w:hAnsiTheme="minorEastAsia" w:hint="eastAsia"/>
          <w:b/>
          <w:color w:val="000000" w:themeColor="text1"/>
          <w:sz w:val="30"/>
        </w:rPr>
        <w:t>三</w:t>
      </w:r>
      <w:r w:rsidRPr="005A7DE6">
        <w:rPr>
          <w:rFonts w:asciiTheme="minorEastAsia" w:eastAsiaTheme="minorEastAsia" w:hAnsiTheme="minorEastAsia"/>
          <w:b/>
          <w:color w:val="000000" w:themeColor="text1"/>
          <w:sz w:val="30"/>
        </w:rPr>
        <w:t>、基金的财产</w:t>
      </w:r>
      <w:bookmarkEnd w:id="3664"/>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665" w:name="_Toc94172435"/>
      <w:bookmarkStart w:id="3666" w:name="_Toc79392635"/>
      <w:bookmarkStart w:id="3667" w:name="_Toc79556449"/>
      <w:r w:rsidRPr="005A7DE6">
        <w:rPr>
          <w:rFonts w:asciiTheme="minorEastAsia" w:eastAsiaTheme="minorEastAsia" w:hAnsiTheme="minorEastAsia"/>
          <w:b w:val="0"/>
          <w:color w:val="000000" w:themeColor="text1"/>
        </w:rPr>
        <w:t>（一）基金资产总值</w:t>
      </w:r>
      <w:bookmarkEnd w:id="3665"/>
    </w:p>
    <w:p w:rsidR="00090469"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基金资产总值是指基金拥有的各类有价证券、银行存款本息、基金应收款项以及其他资产的价值总和。</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668" w:name="_Toc94172436"/>
      <w:r w:rsidRPr="005A7DE6">
        <w:rPr>
          <w:rFonts w:asciiTheme="minorEastAsia" w:eastAsiaTheme="minorEastAsia" w:hAnsiTheme="minorEastAsia"/>
          <w:b w:val="0"/>
          <w:color w:val="000000" w:themeColor="text1"/>
        </w:rPr>
        <w:t>（二）基金资产净值</w:t>
      </w:r>
      <w:bookmarkEnd w:id="3668"/>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基金资产净值是指基金资产总值减去负债后的价值。</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669" w:name="_Toc94172437"/>
      <w:r w:rsidRPr="005A7DE6">
        <w:rPr>
          <w:rFonts w:asciiTheme="minorEastAsia" w:eastAsiaTheme="minorEastAsia" w:hAnsiTheme="minorEastAsia"/>
          <w:b w:val="0"/>
          <w:color w:val="000000" w:themeColor="text1"/>
        </w:rPr>
        <w:t>（三）基金财产的账户</w:t>
      </w:r>
      <w:bookmarkEnd w:id="3669"/>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670" w:name="_Toc94172438"/>
      <w:r w:rsidRPr="005A7DE6">
        <w:rPr>
          <w:rFonts w:asciiTheme="minorEastAsia" w:eastAsiaTheme="minorEastAsia" w:hAnsiTheme="minorEastAsia"/>
          <w:b w:val="0"/>
          <w:color w:val="000000" w:themeColor="text1"/>
        </w:rPr>
        <w:t>（四）基金财产的处分</w:t>
      </w:r>
      <w:bookmarkEnd w:id="3670"/>
    </w:p>
    <w:p w:rsidR="00077BD0"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基金财产独立于基金管理人、基金托管人和</w:t>
      </w:r>
      <w:r w:rsidRPr="005A7DE6" w:rsidR="00E30B9F">
        <w:rPr>
          <w:rFonts w:asciiTheme="minorEastAsia" w:eastAsiaTheme="minorEastAsia" w:hAnsiTheme="minorEastAsia" w:hint="eastAsia"/>
          <w:color w:val="000000" w:themeColor="text1"/>
          <w:szCs w:val="21"/>
        </w:rPr>
        <w:t>销售</w:t>
      </w:r>
      <w:r w:rsidRPr="005A7DE6">
        <w:rPr>
          <w:rFonts w:asciiTheme="minorEastAsia" w:eastAsiaTheme="minorEastAsia" w:hAnsiTheme="minorEastAsia"/>
          <w:color w:val="000000" w:themeColor="text1"/>
          <w:szCs w:val="21"/>
        </w:rPr>
        <w:t>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抵销，不同基金财产的债权债务，不得相互抵销。基金管理人、基金托管人以其自有资产承担法律责任，其债权人不得对基金财产行使请求冻结、扣押和其他权利。</w:t>
      </w:r>
    </w:p>
    <w:p w:rsidR="00077BD0"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基金管理人、基金托管人因依法解散、被依法撤销或者被依法</w:t>
      </w:r>
      <w:r w:rsidRPr="005A7DE6">
        <w:rPr>
          <w:rFonts w:asciiTheme="minorEastAsia" w:eastAsiaTheme="minorEastAsia" w:hAnsiTheme="minorEastAsia"/>
          <w:color w:val="000000" w:themeColor="text1"/>
          <w:szCs w:val="21"/>
        </w:rPr>
        <w:t>宣告破产等原因进行清算的，基金财产不属于其清算财产。</w:t>
      </w:r>
    </w:p>
    <w:p w:rsidR="00BA4B87"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szCs w:val="21"/>
        </w:rPr>
        <w:t>除依据《基金法》、基金合同及其他有关规定处分外，基金财产不得被处分。非因基金财产本身承担的债务，不得对基金财产强制执行。</w:t>
      </w:r>
      <w:bookmarkEnd w:id="3666"/>
      <w:bookmarkEnd w:id="3667"/>
    </w:p>
    <w:p w:rsidR="00BA4B87" w:rsidRPr="005A7DE6" w:rsidP="006B758F">
      <w:pPr>
        <w:pStyle w:val="111"/>
        <w:pageBreakBefore w:val="0"/>
        <w:snapToGrid w:val="0"/>
        <w:spacing w:beforeLines="0" w:afterLines="0" w:line="360" w:lineRule="auto"/>
        <w:ind w:firstLine="600"/>
        <w:rPr>
          <w:rFonts w:asciiTheme="minorEastAsia" w:eastAsiaTheme="minorEastAsia" w:hAnsiTheme="minorEastAsia"/>
          <w:b/>
          <w:color w:val="000000" w:themeColor="text1"/>
          <w:sz w:val="30"/>
        </w:rPr>
      </w:pPr>
      <w:r w:rsidRPr="005A7DE6">
        <w:rPr>
          <w:rFonts w:asciiTheme="minorEastAsia" w:eastAsiaTheme="minorEastAsia" w:hAnsiTheme="minorEastAsia"/>
          <w:color w:val="000000" w:themeColor="text1"/>
          <w:sz w:val="30"/>
        </w:rPr>
        <w:br w:type="column"/>
      </w:r>
      <w:bookmarkStart w:id="3671" w:name="_Toc94172439"/>
      <w:r w:rsidRPr="005A7DE6" w:rsidR="00B20BDE">
        <w:rPr>
          <w:rFonts w:asciiTheme="minorEastAsia" w:eastAsiaTheme="minorEastAsia" w:hAnsiTheme="minorEastAsia"/>
          <w:b/>
          <w:color w:val="000000" w:themeColor="text1"/>
          <w:sz w:val="30"/>
        </w:rPr>
        <w:t>十</w:t>
      </w:r>
      <w:r w:rsidRPr="005A7DE6" w:rsidR="00B20BDE">
        <w:rPr>
          <w:rFonts w:asciiTheme="minorEastAsia" w:eastAsiaTheme="minorEastAsia" w:hAnsiTheme="minorEastAsia" w:hint="eastAsia"/>
          <w:b/>
          <w:color w:val="000000" w:themeColor="text1"/>
          <w:sz w:val="30"/>
        </w:rPr>
        <w:t>四</w:t>
      </w:r>
      <w:r w:rsidRPr="005A7DE6">
        <w:rPr>
          <w:rFonts w:asciiTheme="minorEastAsia" w:eastAsiaTheme="minorEastAsia" w:hAnsiTheme="minorEastAsia"/>
          <w:b/>
          <w:color w:val="000000" w:themeColor="text1"/>
          <w:sz w:val="30"/>
        </w:rPr>
        <w:t>、基金资产的估值</w:t>
      </w:r>
      <w:bookmarkEnd w:id="3671"/>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672" w:name="_Toc94172440"/>
      <w:r w:rsidRPr="005A7DE6">
        <w:rPr>
          <w:rFonts w:asciiTheme="minorEastAsia" w:eastAsiaTheme="minorEastAsia" w:hAnsiTheme="minorEastAsia"/>
          <w:b w:val="0"/>
          <w:color w:val="000000" w:themeColor="text1"/>
        </w:rPr>
        <w:t>（一）估值目的</w:t>
      </w:r>
      <w:bookmarkEnd w:id="3672"/>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基金资产估值的目的是客观、准确地反映基金资产是否保值、增值，依据经基金资产估值后确定的基金资产净值而计算出的基金份额净值，是计算基金申购与赎回价格的基础。</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673" w:name="_Toc94172441"/>
      <w:r w:rsidRPr="005A7DE6">
        <w:rPr>
          <w:rFonts w:asciiTheme="minorEastAsia" w:eastAsiaTheme="minorEastAsia" w:hAnsiTheme="minorEastAsia"/>
          <w:b w:val="0"/>
          <w:color w:val="000000" w:themeColor="text1"/>
        </w:rPr>
        <w:t>（二）估值日</w:t>
      </w:r>
      <w:bookmarkEnd w:id="3673"/>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本基金的估值日为本基金相关的证券交易场所的正常营业日以及国家法律法规规定需要对外披露基金净值的非营业日。</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674" w:name="_Toc94172442"/>
      <w:r w:rsidRPr="005A7DE6">
        <w:rPr>
          <w:rFonts w:asciiTheme="minorEastAsia" w:eastAsiaTheme="minorEastAsia" w:hAnsiTheme="minorEastAsia"/>
          <w:b w:val="0"/>
          <w:color w:val="000000" w:themeColor="text1"/>
        </w:rPr>
        <w:t>（三）估值方法</w:t>
      </w:r>
      <w:bookmarkEnd w:id="3674"/>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、证券交易所上市的有价证券的估值</w:t>
      </w:r>
    </w:p>
    <w:p w:rsidR="00EC78EA"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交易所上市的有价证券（包括股票、权证等），以其估值日在证券交易所挂牌的市价（收盘价）估值；估值日无交易的，但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Pr="005A7DE6" w:rsidR="00F00F6D">
        <w:rPr>
          <w:rFonts w:asciiTheme="minorEastAsia" w:eastAsiaTheme="minorEastAsia" w:hAnsiTheme="minorEastAsia" w:hint="eastAsia"/>
          <w:color w:val="000000" w:themeColor="text1"/>
          <w:szCs w:val="21"/>
        </w:rPr>
        <w:t>；</w:t>
      </w:r>
    </w:p>
    <w:p w:rsidR="00EC78EA"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color w:val="000000" w:themeColor="text1"/>
          <w:szCs w:val="21"/>
        </w:rPr>
        <w:t>）交易所上市实行净价交易的债券按估值日收盘价估值，估值日没有交易的，但最近交易日后经济</w:t>
      </w:r>
      <w:r w:rsidRPr="005A7DE6">
        <w:rPr>
          <w:rFonts w:asciiTheme="minorEastAsia" w:eastAsiaTheme="minorEastAsia" w:hAnsiTheme="minorEastAsia"/>
          <w:color w:val="000000" w:themeColor="text1"/>
          <w:szCs w:val="21"/>
        </w:rPr>
        <w:t>环境未发生重大变化且证券发行机构未发生影响证券价格的重大事件的，按最近交易日的收盘价估值。如最近交易日后经济环境发生了重大变化或证券发行机构发生影响证券价格的重大事件的，可参考类似投资品种的现行市价及重大变化等因素，调整最近交易市价，确定公允价格；</w:t>
      </w:r>
    </w:p>
    <w:p w:rsidR="00EC78EA"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3</w:t>
      </w:r>
      <w:r w:rsidRPr="005A7DE6">
        <w:rPr>
          <w:rFonts w:asciiTheme="minorEastAsia" w:eastAsiaTheme="minorEastAsia" w:hAnsiTheme="minorEastAsia"/>
          <w:color w:val="000000" w:themeColor="text1"/>
          <w:szCs w:val="21"/>
        </w:rPr>
        <w:t>）交易所上市未实行净价交易的债券按估值日收盘价减去债券收盘价中所含的债券应收利息得到的净价进行估值；估值日没有交易的，但最近交易日后经济环境未发生重大变化且证券发行机构未发生影响证券价格的重大事件的，按最近交易日债券收盘价减去债券收盘价中所含的债券应收利息得</w:t>
      </w:r>
      <w:r w:rsidRPr="005A7DE6">
        <w:rPr>
          <w:rFonts w:asciiTheme="minorEastAsia" w:eastAsiaTheme="minorEastAsia" w:hAnsiTheme="minorEastAsia"/>
          <w:color w:val="000000" w:themeColor="text1"/>
          <w:szCs w:val="21"/>
        </w:rPr>
        <w:t>到的净价进行估值。如最近交易日后经济环境发生了重大变化或证券发行机构未发生影响证券价格的重大事件的，可参考类似投资品种的现行市价及重大变化等因素，调整最近交易日所采用的净价，确定公允价格；</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sidR="00EC78EA">
        <w:rPr>
          <w:rFonts w:asciiTheme="minorEastAsia" w:eastAsiaTheme="minorEastAsia" w:hAnsiTheme="minorEastAsia"/>
          <w:color w:val="000000" w:themeColor="text1"/>
          <w:szCs w:val="21"/>
        </w:rPr>
        <w:t>4</w:t>
      </w:r>
      <w:r w:rsidRPr="005A7DE6">
        <w:rPr>
          <w:rFonts w:asciiTheme="minorEastAsia" w:eastAsiaTheme="minorEastAsia" w:hAnsiTheme="minorEastAsia"/>
          <w:color w:val="000000" w:themeColor="text1"/>
          <w:szCs w:val="21"/>
        </w:rPr>
        <w:t>）</w:t>
      </w:r>
      <w:r w:rsidRPr="005A7DE6" w:rsidR="00EC78EA">
        <w:rPr>
          <w:rFonts w:asciiTheme="minorEastAsia" w:eastAsiaTheme="minorEastAsia" w:hAnsiTheme="minorEastAsia"/>
          <w:color w:val="000000" w:themeColor="text1"/>
          <w:szCs w:val="21"/>
        </w:rPr>
        <w:t>交易所上市不存在活跃市场的有价证券，采用估值技术确定公允价值。交易所上市的资产支持证券，采用估值技术确定公允价值，在估值技术难以可靠计量公允价值的情况下，按成本估值。</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color w:val="000000" w:themeColor="text1"/>
          <w:szCs w:val="21"/>
        </w:rPr>
        <w:t>、处于未上市期间的有价证券应区分如下情况处理：</w:t>
      </w:r>
    </w:p>
    <w:p w:rsidR="00EC78EA"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）送股、转增股、配股和公开增发的新股，按估值日在证券交易所挂牌的同一股票的估值价格估值。</w:t>
      </w:r>
    </w:p>
    <w:p w:rsidR="00EC78EA"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color w:val="000000" w:themeColor="text1"/>
          <w:szCs w:val="21"/>
        </w:rPr>
        <w:t>）首次公开发行未上市的股票、债券和权证，采用估值技术确定公允价值，在估值技术难以可靠计量公允价值的情况下，按成本估值。</w:t>
      </w:r>
    </w:p>
    <w:p w:rsidR="00EC78EA"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3</w:t>
      </w:r>
      <w:r w:rsidRPr="005A7DE6">
        <w:rPr>
          <w:rFonts w:asciiTheme="minorEastAsia" w:eastAsiaTheme="minorEastAsia" w:hAnsiTheme="minorEastAsia"/>
          <w:color w:val="000000" w:themeColor="text1"/>
          <w:szCs w:val="21"/>
        </w:rPr>
        <w:t>）首次公开发行有明确锁定期的股票，同一股票在交易所上市后，按交易所上市的同一股票的估值价格估值；非公开发行有明确锁定期的股票，按监管机构或行业协会有关规定确定公允价值。</w:t>
      </w:r>
    </w:p>
    <w:p w:rsidR="00EC78EA"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w:t>
      </w:r>
      <w:r w:rsidRPr="005A7DE6">
        <w:rPr>
          <w:rFonts w:asciiTheme="minorEastAsia" w:eastAsiaTheme="minorEastAsia" w:hAnsiTheme="minorEastAsia"/>
          <w:color w:val="000000" w:themeColor="text1"/>
          <w:szCs w:val="21"/>
        </w:rPr>
        <w:t>、全国银行间债券市场交易的债券、资产支持证券等固定收益品种，采用估值技术确定公允价值。</w:t>
      </w:r>
    </w:p>
    <w:p w:rsidR="00EC78EA"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4</w:t>
      </w:r>
      <w:r w:rsidRPr="005A7DE6">
        <w:rPr>
          <w:rFonts w:asciiTheme="minorEastAsia" w:eastAsiaTheme="minorEastAsia" w:hAnsiTheme="minorEastAsia"/>
          <w:color w:val="000000" w:themeColor="text1"/>
          <w:szCs w:val="21"/>
        </w:rPr>
        <w:t>、同一债券同时在两个或两个以上市场交易的，按债券所处的市场分别估值。</w:t>
      </w:r>
    </w:p>
    <w:p w:rsidR="00EC78EA"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5</w:t>
      </w:r>
      <w:r w:rsidRPr="005A7DE6">
        <w:rPr>
          <w:rFonts w:asciiTheme="minorEastAsia" w:eastAsiaTheme="minorEastAsia" w:hAnsiTheme="minorEastAsia"/>
          <w:color w:val="000000" w:themeColor="text1"/>
          <w:szCs w:val="21"/>
        </w:rPr>
        <w:t>、如有确凿证据表明按上述方法进行估值不能客观反映其</w:t>
      </w:r>
      <w:r w:rsidRPr="005A7DE6">
        <w:rPr>
          <w:rFonts w:asciiTheme="minorEastAsia" w:eastAsiaTheme="minorEastAsia" w:hAnsiTheme="minorEastAsia"/>
          <w:color w:val="000000" w:themeColor="text1"/>
          <w:szCs w:val="21"/>
        </w:rPr>
        <w:t>公允价值的，基金管理人可根据具体情况与基金托管人商定后，按最能反映公允价值的价格估值。</w:t>
      </w:r>
    </w:p>
    <w:p w:rsidR="00EC78EA"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6</w:t>
      </w:r>
      <w:r w:rsidRPr="005A7DE6">
        <w:rPr>
          <w:rFonts w:asciiTheme="minorEastAsia" w:eastAsiaTheme="minorEastAsia" w:hAnsiTheme="minorEastAsia"/>
          <w:color w:val="000000" w:themeColor="text1"/>
          <w:szCs w:val="21"/>
        </w:rPr>
        <w:t>、相关法律法规以及监管部门有强制规定的，从其规定。如有新增事项，按国家最新规定估值。</w:t>
      </w:r>
    </w:p>
    <w:p w:rsidR="00EC78EA"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675" w:name="_Toc94172443"/>
      <w:r w:rsidRPr="005A7DE6">
        <w:rPr>
          <w:rFonts w:asciiTheme="minorEastAsia" w:eastAsiaTheme="minorEastAsia" w:hAnsiTheme="minorEastAsia"/>
          <w:b w:val="0"/>
          <w:color w:val="000000" w:themeColor="text1"/>
        </w:rPr>
        <w:t>（四）估值对象</w:t>
      </w:r>
      <w:bookmarkEnd w:id="3675"/>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基金所拥有的股票、权证、债券和银行存款本息、应收款项、其它投资等</w:t>
      </w:r>
      <w:r w:rsidRPr="005A7DE6" w:rsidR="00EC78EA">
        <w:rPr>
          <w:rFonts w:asciiTheme="minorEastAsia" w:eastAsiaTheme="minorEastAsia" w:hAnsiTheme="minorEastAsia"/>
          <w:color w:val="000000" w:themeColor="text1"/>
          <w:szCs w:val="21"/>
        </w:rPr>
        <w:t>金融</w:t>
      </w:r>
      <w:r w:rsidRPr="005A7DE6">
        <w:rPr>
          <w:rFonts w:asciiTheme="minorEastAsia" w:eastAsiaTheme="minorEastAsia" w:hAnsiTheme="minorEastAsia"/>
          <w:color w:val="000000" w:themeColor="text1"/>
          <w:szCs w:val="21"/>
        </w:rPr>
        <w:t>资产和</w:t>
      </w:r>
      <w:r w:rsidRPr="005A7DE6" w:rsidR="00EC78EA">
        <w:rPr>
          <w:rFonts w:asciiTheme="minorEastAsia" w:eastAsiaTheme="minorEastAsia" w:hAnsiTheme="minorEastAsia"/>
          <w:color w:val="000000" w:themeColor="text1"/>
          <w:szCs w:val="21"/>
        </w:rPr>
        <w:t>金融</w:t>
      </w:r>
      <w:r w:rsidRPr="005A7DE6">
        <w:rPr>
          <w:rFonts w:asciiTheme="minorEastAsia" w:eastAsiaTheme="minorEastAsia" w:hAnsiTheme="minorEastAsia"/>
          <w:color w:val="000000" w:themeColor="text1"/>
          <w:szCs w:val="21"/>
        </w:rPr>
        <w:t>负债。</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676" w:name="_Toc94172444"/>
      <w:r w:rsidRPr="005A7DE6">
        <w:rPr>
          <w:rFonts w:asciiTheme="minorEastAsia" w:eastAsiaTheme="minorEastAsia" w:hAnsiTheme="minorEastAsia"/>
          <w:b w:val="0"/>
          <w:color w:val="000000" w:themeColor="text1"/>
        </w:rPr>
        <w:t>（五）估值程序</w:t>
      </w:r>
      <w:bookmarkEnd w:id="3676"/>
    </w:p>
    <w:p w:rsidR="00EE2464"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、基金份额净值是按照每个工作日闭市后，基金资产净值除以当日基金份额的余额数量计算，精确到</w:t>
      </w:r>
      <w:r w:rsidRPr="005A7DE6">
        <w:rPr>
          <w:rFonts w:asciiTheme="minorEastAsia" w:eastAsiaTheme="minorEastAsia" w:hAnsiTheme="minorEastAsia"/>
          <w:color w:val="000000" w:themeColor="text1"/>
          <w:szCs w:val="21"/>
        </w:rPr>
        <w:t>0.</w:t>
      </w:r>
      <w:r w:rsidRPr="005A7DE6" w:rsidR="0052477F">
        <w:rPr>
          <w:rFonts w:asciiTheme="minorEastAsia" w:eastAsiaTheme="minorEastAsia" w:hAnsiTheme="minorEastAsia"/>
          <w:color w:val="000000" w:themeColor="text1"/>
          <w:szCs w:val="21"/>
        </w:rPr>
        <w:t>0</w:t>
      </w:r>
      <w:r w:rsidRPr="005A7DE6">
        <w:rPr>
          <w:rFonts w:asciiTheme="minorEastAsia" w:eastAsiaTheme="minorEastAsia" w:hAnsiTheme="minorEastAsia"/>
          <w:color w:val="000000" w:themeColor="text1"/>
          <w:szCs w:val="21"/>
        </w:rPr>
        <w:t>001</w:t>
      </w:r>
      <w:r w:rsidRPr="005A7DE6">
        <w:rPr>
          <w:rFonts w:asciiTheme="minorEastAsia" w:eastAsiaTheme="minorEastAsia" w:hAnsiTheme="minorEastAsia"/>
          <w:color w:val="000000" w:themeColor="text1"/>
          <w:szCs w:val="21"/>
        </w:rPr>
        <w:t>元，小数点后第</w:t>
      </w:r>
      <w:r w:rsidRPr="005A7DE6" w:rsidR="0052477F">
        <w:rPr>
          <w:rFonts w:asciiTheme="minorEastAsia" w:eastAsiaTheme="minorEastAsia" w:hAnsiTheme="minorEastAsia"/>
          <w:color w:val="000000" w:themeColor="text1"/>
          <w:szCs w:val="21"/>
        </w:rPr>
        <w:t>五</w:t>
      </w:r>
      <w:r w:rsidRPr="005A7DE6">
        <w:rPr>
          <w:rFonts w:asciiTheme="minorEastAsia" w:eastAsiaTheme="minorEastAsia" w:hAnsiTheme="minorEastAsia"/>
          <w:color w:val="000000" w:themeColor="text1"/>
          <w:szCs w:val="21"/>
        </w:rPr>
        <w:t>位四舍五入。国家另有</w:t>
      </w:r>
      <w:r w:rsidRPr="005A7DE6">
        <w:rPr>
          <w:rFonts w:asciiTheme="minorEastAsia" w:eastAsiaTheme="minorEastAsia" w:hAnsiTheme="minorEastAsia"/>
          <w:color w:val="000000" w:themeColor="text1"/>
          <w:szCs w:val="21"/>
        </w:rPr>
        <w:t>规定的，从其规定。</w:t>
      </w:r>
    </w:p>
    <w:p w:rsidR="00EE2464"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每个工作日计算基金资产净值及基金份额净值，并按规定公告。</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color w:val="000000" w:themeColor="text1"/>
          <w:szCs w:val="21"/>
        </w:rPr>
        <w:t>、基金管理人应每个工作日对基金资产估值。基金管理人每个工作日对基金资产估值后，将基金份额净值结果发送基金托管人，基金托管人复核无误后以双方认可的方式将复核结果发送基金管理人。月末、年中和年末估值复核与基金会计账目的核对同时进行。</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677" w:name="_Toc94172445"/>
      <w:r w:rsidRPr="005A7DE6">
        <w:rPr>
          <w:rFonts w:asciiTheme="minorEastAsia" w:eastAsiaTheme="minorEastAsia" w:hAnsiTheme="minorEastAsia"/>
          <w:b w:val="0"/>
          <w:color w:val="000000" w:themeColor="text1"/>
        </w:rPr>
        <w:t>（六）估值错误的处理</w:t>
      </w:r>
      <w:bookmarkEnd w:id="3677"/>
    </w:p>
    <w:p w:rsidR="00CB09E3"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基金管理人和基金托管人将采取必要、适当、合理的措施确保基金资产估值的准确性、及时性。当基金份额净值小数点后</w:t>
      </w:r>
      <w:r w:rsidRPr="005A7DE6" w:rsidR="0052477F">
        <w:rPr>
          <w:rFonts w:asciiTheme="minorEastAsia" w:eastAsiaTheme="minorEastAsia" w:hAnsiTheme="minorEastAsia"/>
          <w:color w:val="000000" w:themeColor="text1"/>
          <w:szCs w:val="21"/>
        </w:rPr>
        <w:t>4</w:t>
      </w:r>
      <w:r w:rsidRPr="005A7DE6">
        <w:rPr>
          <w:rFonts w:asciiTheme="minorEastAsia" w:eastAsiaTheme="minorEastAsia" w:hAnsiTheme="minorEastAsia"/>
          <w:color w:val="000000" w:themeColor="text1"/>
          <w:szCs w:val="21"/>
        </w:rPr>
        <w:t>位以内</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含第</w:t>
      </w:r>
      <w:r w:rsidRPr="005A7DE6" w:rsidR="0052477F">
        <w:rPr>
          <w:rFonts w:asciiTheme="minorEastAsia" w:eastAsiaTheme="minorEastAsia" w:hAnsiTheme="minorEastAsia"/>
          <w:color w:val="000000" w:themeColor="text1"/>
          <w:szCs w:val="21"/>
        </w:rPr>
        <w:t>4</w:t>
      </w:r>
      <w:r w:rsidRPr="005A7DE6">
        <w:rPr>
          <w:rFonts w:asciiTheme="minorEastAsia" w:eastAsiaTheme="minorEastAsia" w:hAnsiTheme="minorEastAsia"/>
          <w:color w:val="000000" w:themeColor="text1"/>
          <w:szCs w:val="21"/>
        </w:rPr>
        <w:t>位</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发生差错时，视为基金份额净值错误。</w:t>
      </w:r>
    </w:p>
    <w:p w:rsidR="00CB09E3"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基金合同的当事人应按照以下约定处理：</w:t>
      </w:r>
    </w:p>
    <w:p w:rsidR="00CB09E3"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w:t>
      </w:r>
      <w:r w:rsidRPr="005A7DE6" w:rsidR="0019543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差错类型</w:t>
      </w:r>
    </w:p>
    <w:p w:rsidR="00CB09E3"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本基金运作过程中，如果由于基金管理人或基金托管人、或注册登记机构、或</w:t>
      </w:r>
      <w:r w:rsidRPr="005A7DE6" w:rsidR="00E30B9F">
        <w:rPr>
          <w:rFonts w:asciiTheme="minorEastAsia" w:eastAsiaTheme="minorEastAsia" w:hAnsiTheme="minorEastAsia" w:hint="eastAsia"/>
          <w:color w:val="000000" w:themeColor="text1"/>
        </w:rPr>
        <w:t>销售</w:t>
      </w:r>
      <w:r w:rsidRPr="005A7DE6">
        <w:rPr>
          <w:rFonts w:asciiTheme="minorEastAsia" w:eastAsiaTheme="minorEastAsia" w:hAnsiTheme="minorEastAsia"/>
          <w:color w:val="000000" w:themeColor="text1"/>
        </w:rPr>
        <w:t>机构、或投资人自身的过错造成差错，导致其他当事人遭受损失的，过错的责任人应当对由于该差错遭受损失当事人</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受损方</w:t>
      </w:r>
      <w:r w:rsidRPr="005A7DE6">
        <w:rPr>
          <w:rFonts w:asciiTheme="minorEastAsia" w:eastAsiaTheme="minorEastAsia" w:hAnsiTheme="minorEastAsia"/>
          <w:color w:val="000000" w:themeColor="text1"/>
        </w:rPr>
        <w:t>”</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的直接损失按下述</w:t>
      </w: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差错处理原则</w:t>
      </w: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给予赔偿。</w:t>
      </w:r>
    </w:p>
    <w:p w:rsidR="00CB09E3"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CB09E3"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CB09E3"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w:t>
      </w:r>
      <w:r w:rsidRPr="005A7DE6" w:rsidR="0019543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差错处理原则</w:t>
      </w:r>
    </w:p>
    <w:p w:rsidR="00CB09E3" w:rsidRPr="005A7DE6" w:rsidP="006B758F">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1</w:t>
      </w:r>
      <w:r w:rsidRPr="005A7DE6">
        <w:rPr>
          <w:rFonts w:asciiTheme="minorEastAsia" w:eastAsiaTheme="minorEastAsia" w:hAnsiTheme="minorEastAsia"/>
          <w:color w:val="000000" w:themeColor="text1"/>
        </w:rPr>
        <w:t>）差错已发生，但尚未给当事人造成损失时，差错责任方应及时协调各方，及时进</w:t>
      </w:r>
      <w:r w:rsidRPr="005A7DE6">
        <w:rPr>
          <w:rFonts w:asciiTheme="minorEastAsia" w:eastAsiaTheme="minorEastAsia" w:hAnsiTheme="minorEastAsia"/>
          <w:color w:val="000000" w:themeColor="text1"/>
          <w:szCs w:val="21"/>
        </w:rPr>
        <w:t>行更正，因更正差错发生的费用由差错责任方承担；由于差错责任方未及时更正已产生的差错，给当事人造成损失的，由差错责任方对直接损失承担赔偿责任；若差错责任方已经积极协调，并且有协助义务的当事人有足够的时间进行更正而未更正，则其应当承担相</w:t>
      </w:r>
      <w:r w:rsidRPr="005A7DE6">
        <w:rPr>
          <w:rFonts w:asciiTheme="minorEastAsia" w:eastAsiaTheme="minorEastAsia" w:hAnsiTheme="minorEastAsia"/>
          <w:color w:val="000000" w:themeColor="text1"/>
          <w:szCs w:val="21"/>
        </w:rPr>
        <w:t>应赔偿责任。差错责任方应对更正的情况向有关当事人进行确认，确保差错已得到更正。</w:t>
      </w:r>
    </w:p>
    <w:p w:rsidR="00CB09E3"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color w:val="000000" w:themeColor="text1"/>
          <w:szCs w:val="21"/>
        </w:rPr>
        <w:t>）差错的责任方对有关当事人的直接损失负责，不对间接损失负责，并且仅对差错的有关直接当事人负责，不对第三方负责。</w:t>
      </w:r>
    </w:p>
    <w:p w:rsidR="00CB09E3"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3</w:t>
      </w:r>
      <w:r w:rsidRPr="005A7DE6">
        <w:rPr>
          <w:rFonts w:asciiTheme="minorEastAsia" w:eastAsiaTheme="minorEastAsia" w:hAnsiTheme="minorEastAsia"/>
          <w:color w:val="000000" w:themeColor="text1"/>
          <w:szCs w:val="21"/>
        </w:rPr>
        <w:t>）因差错而获得不当得利的当事人负有及时返还不当得利的义务。但差错责任方仍应对差错负责。如果由于获得不当得利的当事人不返还或不全部返还不当得利造成其他当事人的利益损失（</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受损方</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），则差错责任方应赔偿受损方的损失，并在其支付的赔偿金额的范围内对获得不当得利的当事人享有要求返还不当得利的权利；如果获得不当得利的当事</w:t>
      </w:r>
      <w:r w:rsidRPr="005A7DE6">
        <w:rPr>
          <w:rFonts w:asciiTheme="minorEastAsia" w:eastAsiaTheme="minorEastAsia" w:hAnsiTheme="minorEastAsia"/>
          <w:color w:val="000000" w:themeColor="text1"/>
          <w:szCs w:val="21"/>
        </w:rPr>
        <w:t>人已经将此部分不当得利返还给受损方，则受损方应当将其已经获得的赔偿额加上已经获得的不当得利返还的总和超过其实际损失的差额部分支付给差错责任方。</w:t>
      </w:r>
    </w:p>
    <w:p w:rsidR="00CB09E3"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4</w:t>
      </w:r>
      <w:r w:rsidRPr="005A7DE6">
        <w:rPr>
          <w:rFonts w:asciiTheme="minorEastAsia" w:eastAsiaTheme="minorEastAsia" w:hAnsiTheme="minorEastAsia"/>
          <w:color w:val="000000" w:themeColor="text1"/>
          <w:szCs w:val="21"/>
        </w:rPr>
        <w:t>）差错调整采用尽量恢复至假设未发生差错的正确情形的方式。</w:t>
      </w:r>
    </w:p>
    <w:p w:rsidR="00CB09E3"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5</w:t>
      </w:r>
      <w:r w:rsidRPr="005A7DE6">
        <w:rPr>
          <w:rFonts w:asciiTheme="minorEastAsia" w:eastAsiaTheme="minorEastAsia" w:hAnsiTheme="minorEastAsia"/>
          <w:color w:val="000000" w:themeColor="text1"/>
          <w:szCs w:val="21"/>
        </w:rPr>
        <w:t>）差错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托管人之外的第三方造成基金财产的损失，并拒绝进行赔偿时，由基金管理人负责向差错方追偿；追偿过程中产</w:t>
      </w:r>
      <w:r w:rsidRPr="005A7DE6">
        <w:rPr>
          <w:rFonts w:asciiTheme="minorEastAsia" w:eastAsiaTheme="minorEastAsia" w:hAnsiTheme="minorEastAsia"/>
          <w:color w:val="000000" w:themeColor="text1"/>
          <w:szCs w:val="21"/>
        </w:rPr>
        <w:t>生的有关费用，应列入基金费用，从基金资产中支付。</w:t>
      </w:r>
    </w:p>
    <w:p w:rsidR="00CB09E3"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6</w:t>
      </w:r>
      <w:r w:rsidRPr="005A7DE6">
        <w:rPr>
          <w:rFonts w:asciiTheme="minorEastAsia" w:eastAsiaTheme="minorEastAsia" w:hAnsiTheme="minorEastAsia"/>
          <w:color w:val="000000" w:themeColor="text1"/>
          <w:szCs w:val="21"/>
        </w:rPr>
        <w:t>）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直接损失。</w:t>
      </w:r>
    </w:p>
    <w:p w:rsidR="00CB09E3"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7</w:t>
      </w:r>
      <w:r w:rsidRPr="005A7DE6">
        <w:rPr>
          <w:rFonts w:asciiTheme="minorEastAsia" w:eastAsiaTheme="minorEastAsia" w:hAnsiTheme="minorEastAsia"/>
          <w:color w:val="000000" w:themeColor="text1"/>
          <w:szCs w:val="21"/>
        </w:rPr>
        <w:t>）按法律法规规定的其他原则处理差错。</w:t>
      </w:r>
    </w:p>
    <w:p w:rsidR="00CB09E3"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w:t>
      </w:r>
      <w:r w:rsidRPr="005A7DE6" w:rsidR="0019543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差错处理程序</w:t>
      </w:r>
    </w:p>
    <w:p w:rsidR="00CB09E3"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差错被发现后，有关的当事人应当及时进行处理，处理的程序如下：</w:t>
      </w:r>
    </w:p>
    <w:p w:rsidR="00CB09E3"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）查明差错发生的原因，列明所有的当事人，并根据差错发生的原因确定差错的责任方；</w:t>
      </w:r>
    </w:p>
    <w:p w:rsidR="00CB09E3"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color w:val="000000" w:themeColor="text1"/>
          <w:szCs w:val="21"/>
        </w:rPr>
        <w:t>）根据差错处理原则或当事人协商的方法对因差错造成的损失进行评估；</w:t>
      </w:r>
    </w:p>
    <w:p w:rsidR="00CB09E3"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3</w:t>
      </w:r>
      <w:r w:rsidRPr="005A7DE6">
        <w:rPr>
          <w:rFonts w:asciiTheme="minorEastAsia" w:eastAsiaTheme="minorEastAsia" w:hAnsiTheme="minorEastAsia"/>
          <w:color w:val="000000" w:themeColor="text1"/>
          <w:szCs w:val="21"/>
        </w:rPr>
        <w:t>）根据差错处理原则或当事人协商的方法由差错的责任方进行更正和赔偿损失；</w:t>
      </w:r>
    </w:p>
    <w:p w:rsidR="00CB09E3"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4</w:t>
      </w:r>
      <w:r w:rsidRPr="005A7DE6">
        <w:rPr>
          <w:rFonts w:asciiTheme="minorEastAsia" w:eastAsiaTheme="minorEastAsia" w:hAnsiTheme="minorEastAsia"/>
          <w:color w:val="000000" w:themeColor="text1"/>
          <w:szCs w:val="21"/>
        </w:rPr>
        <w:t>）根据差错处理的方法，需要修改基金注册登记机构交易数据的，由基金注册登记机构进行更正，并就差错的更正向有关当事人进行确认。</w:t>
      </w:r>
    </w:p>
    <w:p w:rsidR="00CB09E3"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4</w:t>
      </w:r>
      <w:r w:rsidRPr="005A7DE6" w:rsidR="0019543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基金份额净值差错处理的原则和方法如下：</w:t>
      </w:r>
    </w:p>
    <w:p w:rsidR="00CB09E3"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）基金份额净值计算出现错误时，基金管理人应当立即予以纠正，通报基金托管人，并采取合理的措施防止损失进一步扩大。</w:t>
      </w:r>
    </w:p>
    <w:p w:rsidR="00CB09E3"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color w:val="000000" w:themeColor="text1"/>
          <w:szCs w:val="21"/>
        </w:rPr>
        <w:t>）错误偏差达到或超过基金</w:t>
      </w:r>
      <w:r w:rsidRPr="005A7DE6" w:rsidR="00733912">
        <w:rPr>
          <w:rFonts w:asciiTheme="minorEastAsia" w:eastAsiaTheme="minorEastAsia" w:hAnsiTheme="minorEastAsia"/>
          <w:color w:val="000000" w:themeColor="text1"/>
          <w:szCs w:val="21"/>
        </w:rPr>
        <w:t>份额</w:t>
      </w:r>
      <w:r w:rsidRPr="005A7DE6">
        <w:rPr>
          <w:rFonts w:asciiTheme="minorEastAsia" w:eastAsiaTheme="minorEastAsia" w:hAnsiTheme="minorEastAsia"/>
          <w:color w:val="000000" w:themeColor="text1"/>
          <w:szCs w:val="21"/>
        </w:rPr>
        <w:t>净值的</w:t>
      </w:r>
      <w:r w:rsidRPr="005A7DE6">
        <w:rPr>
          <w:rFonts w:asciiTheme="minorEastAsia" w:eastAsiaTheme="minorEastAsia" w:hAnsiTheme="minorEastAsia"/>
          <w:color w:val="000000" w:themeColor="text1"/>
          <w:szCs w:val="21"/>
        </w:rPr>
        <w:t>0.25%</w:t>
      </w:r>
      <w:r w:rsidRPr="005A7DE6">
        <w:rPr>
          <w:rFonts w:asciiTheme="minorEastAsia" w:eastAsiaTheme="minorEastAsia" w:hAnsiTheme="minorEastAsia"/>
          <w:color w:val="000000" w:themeColor="text1"/>
          <w:szCs w:val="21"/>
        </w:rPr>
        <w:t>时，基金管理人应当通报基金托管</w:t>
      </w:r>
      <w:r w:rsidRPr="005A7DE6">
        <w:rPr>
          <w:rFonts w:asciiTheme="minorEastAsia" w:eastAsiaTheme="minorEastAsia" w:hAnsiTheme="minorEastAsia"/>
          <w:color w:val="000000" w:themeColor="text1"/>
          <w:szCs w:val="21"/>
        </w:rPr>
        <w:t>人并报中国证监会备案；错误偏差达到或超过基金份额净值的</w:t>
      </w:r>
      <w:r w:rsidRPr="005A7DE6">
        <w:rPr>
          <w:rFonts w:asciiTheme="minorEastAsia" w:eastAsiaTheme="minorEastAsia" w:hAnsiTheme="minorEastAsia"/>
          <w:color w:val="000000" w:themeColor="text1"/>
          <w:szCs w:val="21"/>
        </w:rPr>
        <w:t>0.5%</w:t>
      </w:r>
      <w:r w:rsidRPr="005A7DE6">
        <w:rPr>
          <w:rFonts w:asciiTheme="minorEastAsia" w:eastAsiaTheme="minorEastAsia" w:hAnsiTheme="minorEastAsia"/>
          <w:color w:val="000000" w:themeColor="text1"/>
          <w:szCs w:val="21"/>
        </w:rPr>
        <w:t>时，基金管理人应当公告、通报基金托管人并报中国证监会备案。</w:t>
      </w:r>
    </w:p>
    <w:p w:rsidR="00CB09E3"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3</w:t>
      </w:r>
      <w:r w:rsidRPr="005A7DE6">
        <w:rPr>
          <w:rFonts w:asciiTheme="minorEastAsia" w:eastAsiaTheme="minorEastAsia" w:hAnsiTheme="minorEastAsia"/>
          <w:color w:val="000000" w:themeColor="text1"/>
          <w:szCs w:val="21"/>
        </w:rPr>
        <w:t>）因基金份额净值计算错误，给基金或基金份额持有人造成损失的，应由基金管理人先行赔付，基金管理人按差错情形，有权向其他当事人追偿。</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sidR="00CB09E3">
        <w:rPr>
          <w:rFonts w:asciiTheme="minorEastAsia" w:eastAsiaTheme="minorEastAsia" w:hAnsiTheme="minorEastAsia"/>
          <w:color w:val="000000" w:themeColor="text1"/>
          <w:szCs w:val="21"/>
        </w:rPr>
        <w:t>4</w:t>
      </w:r>
      <w:r w:rsidRPr="005A7DE6">
        <w:rPr>
          <w:rFonts w:asciiTheme="minorEastAsia" w:eastAsiaTheme="minorEastAsia" w:hAnsiTheme="minorEastAsia"/>
          <w:color w:val="000000" w:themeColor="text1"/>
          <w:szCs w:val="21"/>
        </w:rPr>
        <w:t>）</w:t>
      </w:r>
      <w:r w:rsidRPr="005A7DE6" w:rsidR="00CB09E3">
        <w:rPr>
          <w:rFonts w:asciiTheme="minorEastAsia" w:eastAsiaTheme="minorEastAsia" w:hAnsiTheme="minorEastAsia"/>
          <w:color w:val="000000" w:themeColor="text1"/>
          <w:szCs w:val="21"/>
        </w:rPr>
        <w:t>前述内容如法律法规或监管机关另有规定的，从其规定处理。如果行业有通行做法，双方当事人应本着平等和保护基金份额持有人利益的原则进行协商。</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678" w:name="_Toc94172446"/>
      <w:r w:rsidRPr="005A7DE6">
        <w:rPr>
          <w:rFonts w:asciiTheme="minorEastAsia" w:eastAsiaTheme="minorEastAsia" w:hAnsiTheme="minorEastAsia"/>
          <w:b w:val="0"/>
          <w:color w:val="000000" w:themeColor="text1"/>
        </w:rPr>
        <w:t>（七）暂停估值的情形</w:t>
      </w:r>
      <w:bookmarkEnd w:id="3678"/>
    </w:p>
    <w:p w:rsidR="00CB09E3"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、基金投资所涉及的证券交易市场遇法定节假日或因其他原因暂停交易时；</w:t>
      </w:r>
    </w:p>
    <w:p w:rsidR="00CB09E3"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color w:val="000000" w:themeColor="text1"/>
          <w:szCs w:val="21"/>
        </w:rPr>
        <w:t>、因不可抗力或其它情</w:t>
      </w:r>
      <w:r w:rsidRPr="005A7DE6">
        <w:rPr>
          <w:rFonts w:asciiTheme="minorEastAsia" w:eastAsiaTheme="minorEastAsia" w:hAnsiTheme="minorEastAsia"/>
          <w:color w:val="000000" w:themeColor="text1"/>
          <w:szCs w:val="21"/>
        </w:rPr>
        <w:t>形致使基金管理人、基金托管人无法准确评估基金资产价值时；</w:t>
      </w:r>
    </w:p>
    <w:p w:rsidR="00CB09E3"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w:t>
      </w:r>
      <w:r w:rsidRPr="005A7DE6">
        <w:rPr>
          <w:rFonts w:asciiTheme="minorEastAsia" w:eastAsiaTheme="minorEastAsia" w:hAnsiTheme="minorEastAsia"/>
          <w:color w:val="000000" w:themeColor="text1"/>
          <w:szCs w:val="21"/>
        </w:rPr>
        <w:t>、占基金相当比例的投资品种的估值出现重大转变，而基金管理人为保障投资人的利益，已决定延迟估值；</w:t>
      </w:r>
    </w:p>
    <w:p w:rsidR="00FB4165"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4</w:t>
      </w:r>
      <w:r w:rsidRPr="005A7DE6">
        <w:rPr>
          <w:rFonts w:asciiTheme="minorEastAsia" w:eastAsiaTheme="minorEastAsia" w:hAnsiTheme="minorEastAsia"/>
          <w:color w:val="000000" w:themeColor="text1"/>
          <w:szCs w:val="21"/>
        </w:rPr>
        <w:t>、</w:t>
      </w:r>
      <w:r w:rsidRPr="005A7DE6" w:rsidR="00C700D2">
        <w:rPr>
          <w:rFonts w:asciiTheme="minorEastAsia" w:eastAsiaTheme="minorEastAsia" w:hAnsiTheme="minorEastAsia" w:hint="eastAsia"/>
          <w:color w:val="000000" w:themeColor="text1"/>
          <w:szCs w:val="21"/>
        </w:rPr>
        <w:t>当特定资产占前一估值日基金资产净值50%以上的，经与基金托管人协商确认后，基金管理人应当暂停估值；</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5</w:t>
      </w:r>
      <w:r w:rsidRPr="005A7DE6">
        <w:rPr>
          <w:rFonts w:asciiTheme="minorEastAsia" w:eastAsiaTheme="minorEastAsia" w:hAnsiTheme="minorEastAsia"/>
          <w:color w:val="000000" w:themeColor="text1"/>
          <w:szCs w:val="21"/>
        </w:rPr>
        <w:t>、</w:t>
      </w:r>
      <w:r w:rsidRPr="005A7DE6" w:rsidR="00CB09E3">
        <w:rPr>
          <w:rFonts w:asciiTheme="minorEastAsia" w:eastAsiaTheme="minorEastAsia" w:hAnsiTheme="minorEastAsia"/>
          <w:color w:val="000000" w:themeColor="text1"/>
          <w:szCs w:val="21"/>
        </w:rPr>
        <w:t>法律法规、中国证监会和基金合同认定的其它情形。</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679" w:name="_Toc94172447"/>
      <w:r w:rsidRPr="005A7DE6">
        <w:rPr>
          <w:rFonts w:asciiTheme="minorEastAsia" w:eastAsiaTheme="minorEastAsia" w:hAnsiTheme="minorEastAsia"/>
          <w:b w:val="0"/>
          <w:color w:val="000000" w:themeColor="text1"/>
        </w:rPr>
        <w:t>（八）基金净值的确认</w:t>
      </w:r>
      <w:bookmarkEnd w:id="3679"/>
    </w:p>
    <w:p w:rsidR="00046A2F"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用于基金信息披露的基金资产净值和基金份额净值由基金管理人负责计算，基金托管人负责进行复核。基金管理人应于每个工作日交易结束后计算当日或国家法律法规规定需要对外披露基金净值的非工作日的基金资产净值并发送给基金托管人。基金托管人对净值计算结果复核确认后发送给基金管理人，由基金管理人对基金净值予以公布。</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680" w:name="_Toc94172448"/>
      <w:r w:rsidRPr="005A7DE6">
        <w:rPr>
          <w:rFonts w:asciiTheme="minorEastAsia" w:eastAsiaTheme="minorEastAsia" w:hAnsiTheme="minorEastAsia"/>
          <w:b w:val="0"/>
          <w:color w:val="000000" w:themeColor="text1"/>
        </w:rPr>
        <w:t>（九）特殊情况的处理</w:t>
      </w:r>
      <w:bookmarkEnd w:id="3680"/>
    </w:p>
    <w:p w:rsidR="0019543C"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、基金管理人或基金托管人按估值方法的第</w:t>
      </w:r>
      <w:r w:rsidRPr="005A7DE6">
        <w:rPr>
          <w:rFonts w:asciiTheme="minorEastAsia" w:eastAsiaTheme="minorEastAsia" w:hAnsiTheme="minorEastAsia"/>
          <w:color w:val="000000" w:themeColor="text1"/>
          <w:szCs w:val="21"/>
        </w:rPr>
        <w:t>5</w:t>
      </w:r>
      <w:r w:rsidRPr="005A7DE6">
        <w:rPr>
          <w:rFonts w:asciiTheme="minorEastAsia" w:eastAsiaTheme="minorEastAsia" w:hAnsiTheme="minorEastAsia"/>
          <w:color w:val="000000" w:themeColor="text1"/>
          <w:szCs w:val="21"/>
        </w:rPr>
        <w:t>项进行估值时，所造成的误差不作为基</w:t>
      </w:r>
      <w:r w:rsidRPr="005A7DE6">
        <w:rPr>
          <w:rFonts w:asciiTheme="minorEastAsia" w:eastAsiaTheme="minorEastAsia" w:hAnsiTheme="minorEastAsia"/>
          <w:color w:val="000000" w:themeColor="text1"/>
          <w:szCs w:val="21"/>
        </w:rPr>
        <w:t>金资产估值错误处理。</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color w:val="000000" w:themeColor="text1"/>
          <w:szCs w:val="21"/>
        </w:rPr>
        <w:t>、由于不可抗力原因，或由于证券交易所及登记结算公司发送的数据错误，或国家会计政策变更、市场</w:t>
      </w:r>
      <w:r w:rsidRPr="005A7DE6">
        <w:rPr>
          <w:rFonts w:asciiTheme="minorEastAsia" w:eastAsiaTheme="minorEastAsia" w:hAnsiTheme="minorEastAsia"/>
          <w:color w:val="000000" w:themeColor="text1"/>
          <w:szCs w:val="21"/>
        </w:rPr>
        <w:t>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C700D2" w:rsidRPr="005A7DE6" w:rsidP="00C05732">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3681" w:name="_Toc94172449"/>
      <w:r w:rsidRPr="005A7DE6">
        <w:rPr>
          <w:rFonts w:asciiTheme="minorEastAsia" w:eastAsiaTheme="minorEastAsia" w:hAnsiTheme="minorEastAsia" w:hint="eastAsia"/>
          <w:b w:val="0"/>
          <w:color w:val="000000" w:themeColor="text1"/>
        </w:rPr>
        <w:t>（十）实施侧袋机制期间的基金资产估值</w:t>
      </w:r>
      <w:bookmarkEnd w:id="3681"/>
    </w:p>
    <w:p w:rsidR="00C700D2" w:rsidRPr="005A7DE6" w:rsidP="00C700D2">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本基金实施侧袋机制的，应根据本部分的约定对主袋账户资产进行估值并披露主袋账户的基金资产净值和份额净值，暂停披露侧袋账户份额净值。</w:t>
      </w:r>
    </w:p>
    <w:p w:rsidR="00BA4B87" w:rsidRPr="005A7DE6" w:rsidP="006B758F">
      <w:pPr>
        <w:pStyle w:val="111"/>
        <w:pageBreakBefore w:val="0"/>
        <w:snapToGrid w:val="0"/>
        <w:spacing w:beforeLines="0" w:afterLines="0" w:line="360" w:lineRule="auto"/>
        <w:ind w:firstLine="600"/>
        <w:rPr>
          <w:rFonts w:asciiTheme="minorEastAsia" w:eastAsiaTheme="minorEastAsia" w:hAnsiTheme="minorEastAsia"/>
          <w:b/>
          <w:color w:val="000000" w:themeColor="text1"/>
          <w:sz w:val="30"/>
        </w:rPr>
      </w:pPr>
      <w:r w:rsidRPr="005A7DE6">
        <w:rPr>
          <w:rFonts w:asciiTheme="minorEastAsia" w:eastAsiaTheme="minorEastAsia" w:hAnsiTheme="minorEastAsia"/>
          <w:color w:val="000000" w:themeColor="text1"/>
          <w:sz w:val="30"/>
        </w:rPr>
        <w:br w:type="column"/>
      </w:r>
      <w:bookmarkStart w:id="3682" w:name="_Toc94172450"/>
      <w:r w:rsidRPr="005A7DE6" w:rsidR="00B20BDE">
        <w:rPr>
          <w:rFonts w:asciiTheme="minorEastAsia" w:eastAsiaTheme="minorEastAsia" w:hAnsiTheme="minorEastAsia"/>
          <w:b/>
          <w:color w:val="000000" w:themeColor="text1"/>
          <w:sz w:val="30"/>
        </w:rPr>
        <w:t>十</w:t>
      </w:r>
      <w:r w:rsidRPr="005A7DE6" w:rsidR="00B20BDE">
        <w:rPr>
          <w:rFonts w:asciiTheme="minorEastAsia" w:eastAsiaTheme="minorEastAsia" w:hAnsiTheme="minorEastAsia" w:hint="eastAsia"/>
          <w:b/>
          <w:color w:val="000000" w:themeColor="text1"/>
          <w:sz w:val="30"/>
        </w:rPr>
        <w:t>五</w:t>
      </w:r>
      <w:r w:rsidRPr="005A7DE6">
        <w:rPr>
          <w:rFonts w:asciiTheme="minorEastAsia" w:eastAsiaTheme="minorEastAsia" w:hAnsiTheme="minorEastAsia"/>
          <w:b/>
          <w:color w:val="000000" w:themeColor="text1"/>
          <w:sz w:val="30"/>
        </w:rPr>
        <w:t>、基金的收益分配</w:t>
      </w:r>
      <w:bookmarkEnd w:id="3682"/>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683" w:name="_Toc94172451"/>
      <w:r w:rsidRPr="005A7DE6">
        <w:rPr>
          <w:rFonts w:asciiTheme="minorEastAsia" w:eastAsiaTheme="minorEastAsia" w:hAnsiTheme="minorEastAsia"/>
          <w:b w:val="0"/>
          <w:color w:val="000000" w:themeColor="text1"/>
        </w:rPr>
        <w:t>（一）基金利润的构成</w:t>
      </w:r>
      <w:bookmarkEnd w:id="3683"/>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基金利润指基金利息收入、投资收益、公允价值变动收益和其他收入扣除相关费用后的余额。</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684" w:name="_Toc94172452"/>
      <w:r w:rsidRPr="005A7DE6">
        <w:rPr>
          <w:rFonts w:asciiTheme="minorEastAsia" w:eastAsiaTheme="minorEastAsia" w:hAnsiTheme="minorEastAsia"/>
          <w:b w:val="0"/>
          <w:color w:val="000000" w:themeColor="text1"/>
        </w:rPr>
        <w:t>（二）基金可供分配利润</w:t>
      </w:r>
      <w:bookmarkEnd w:id="3684"/>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基金可供分配利润指截至收益分配基准日</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即可供分配利润计算截至日</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资产负债表中基金未分配利润与未分配利润中已实现收益的孰低数。其中，基金已实现收益指基金利润减去公允价值变动收益后的余额。</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685" w:name="_Toc94172453"/>
      <w:r w:rsidRPr="005A7DE6">
        <w:rPr>
          <w:rFonts w:asciiTheme="minorEastAsia" w:eastAsiaTheme="minorEastAsia" w:hAnsiTheme="minorEastAsia"/>
          <w:b w:val="0"/>
          <w:color w:val="000000" w:themeColor="text1"/>
        </w:rPr>
        <w:t>（三）收益分配原则</w:t>
      </w:r>
      <w:bookmarkEnd w:id="3685"/>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本基金收益分配应遵循下列原则：</w:t>
      </w:r>
    </w:p>
    <w:p w:rsidR="00283D4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、由于本基金</w:t>
      </w:r>
      <w:r w:rsidRPr="005A7DE6">
        <w:rPr>
          <w:rFonts w:asciiTheme="minorEastAsia" w:eastAsiaTheme="minorEastAsia" w:hAnsiTheme="minorEastAsia"/>
          <w:color w:val="000000" w:themeColor="text1"/>
          <w:szCs w:val="21"/>
        </w:rPr>
        <w:t>A</w:t>
      </w:r>
      <w:r w:rsidRPr="005A7DE6">
        <w:rPr>
          <w:rFonts w:asciiTheme="minorEastAsia" w:eastAsiaTheme="minorEastAsia" w:hAnsiTheme="minorEastAsia"/>
          <w:color w:val="000000" w:themeColor="text1"/>
          <w:szCs w:val="21"/>
        </w:rPr>
        <w:t>类基金份额不收取销售服务费，而</w:t>
      </w:r>
      <w:r w:rsidRPr="005A7DE6">
        <w:rPr>
          <w:rFonts w:asciiTheme="minorEastAsia" w:eastAsiaTheme="minorEastAsia" w:hAnsiTheme="minorEastAsia"/>
          <w:color w:val="000000" w:themeColor="text1"/>
          <w:szCs w:val="21"/>
        </w:rPr>
        <w:t>C</w:t>
      </w:r>
      <w:r w:rsidRPr="005A7DE6">
        <w:rPr>
          <w:rFonts w:asciiTheme="minorEastAsia" w:eastAsiaTheme="minorEastAsia" w:hAnsiTheme="minorEastAsia"/>
          <w:color w:val="000000" w:themeColor="text1"/>
          <w:szCs w:val="21"/>
        </w:rPr>
        <w:t>类基金份额收取销售服务费，各基金份额类别对应的可供分配利润将有所不同。本基金同一类别的每一基金份额享有同等分配权；</w:t>
      </w:r>
    </w:p>
    <w:p w:rsidR="00283D4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color w:val="000000" w:themeColor="text1"/>
          <w:szCs w:val="21"/>
        </w:rPr>
        <w:t>、基金收益分配后基金份额净值不能低于面值；即基金收益分配基准日的基金份额净值减去每单位基金份额收益分配金额后不能低于面值；</w:t>
      </w:r>
    </w:p>
    <w:p w:rsidR="00283D4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w:t>
      </w:r>
      <w:r w:rsidRPr="005A7DE6">
        <w:rPr>
          <w:rFonts w:asciiTheme="minorEastAsia" w:eastAsiaTheme="minorEastAsia" w:hAnsiTheme="minorEastAsia"/>
          <w:color w:val="000000" w:themeColor="text1"/>
          <w:szCs w:val="21"/>
        </w:rPr>
        <w:t>、在符合有关基金分红条件的前提下，本基金收益每年最多分配</w:t>
      </w:r>
      <w:r w:rsidRPr="005A7DE6">
        <w:rPr>
          <w:rFonts w:asciiTheme="minorEastAsia" w:eastAsiaTheme="minorEastAsia" w:hAnsiTheme="minorEastAsia"/>
          <w:color w:val="000000" w:themeColor="text1"/>
          <w:szCs w:val="21"/>
        </w:rPr>
        <w:t>12</w:t>
      </w:r>
      <w:r w:rsidRPr="005A7DE6">
        <w:rPr>
          <w:rFonts w:asciiTheme="minorEastAsia" w:eastAsiaTheme="minorEastAsia" w:hAnsiTheme="minorEastAsia"/>
          <w:color w:val="000000" w:themeColor="text1"/>
          <w:szCs w:val="21"/>
        </w:rPr>
        <w:t>次，每份基金份额每次基金收益分配比例不低于收益分配基准日每份基金份额可供分配利润的</w:t>
      </w:r>
      <w:r w:rsidRPr="005A7DE6">
        <w:rPr>
          <w:rFonts w:asciiTheme="minorEastAsia" w:eastAsiaTheme="minorEastAsia" w:hAnsiTheme="minorEastAsia"/>
          <w:color w:val="000000" w:themeColor="text1"/>
          <w:szCs w:val="21"/>
        </w:rPr>
        <w:t>60%</w:t>
      </w:r>
      <w:r w:rsidRPr="005A7DE6">
        <w:rPr>
          <w:rFonts w:asciiTheme="minorEastAsia" w:eastAsiaTheme="minorEastAsia" w:hAnsiTheme="minorEastAsia"/>
          <w:color w:val="000000" w:themeColor="text1"/>
          <w:szCs w:val="21"/>
        </w:rPr>
        <w:t>；</w:t>
      </w:r>
    </w:p>
    <w:p w:rsidR="00283D4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w:t>
      </w:r>
      <w:r w:rsidRPr="005A7DE6">
        <w:rPr>
          <w:rFonts w:asciiTheme="minorEastAsia" w:eastAsiaTheme="minorEastAsia" w:hAnsiTheme="minorEastAsia"/>
          <w:color w:val="000000" w:themeColor="text1"/>
        </w:rPr>
        <w:t>、基金合同生效不满</w:t>
      </w:r>
      <w:r w:rsidRPr="005A7DE6">
        <w:rPr>
          <w:rFonts w:asciiTheme="minorEastAsia" w:eastAsiaTheme="minorEastAsia" w:hAnsiTheme="minorEastAsia"/>
          <w:color w:val="000000" w:themeColor="text1"/>
        </w:rPr>
        <w:t>3</w:t>
      </w:r>
      <w:r w:rsidRPr="005A7DE6">
        <w:rPr>
          <w:rFonts w:asciiTheme="minorEastAsia" w:eastAsiaTheme="minorEastAsia" w:hAnsiTheme="minorEastAsia"/>
          <w:color w:val="000000" w:themeColor="text1"/>
        </w:rPr>
        <w:t>个月可不进行收益分配；</w:t>
      </w:r>
    </w:p>
    <w:p w:rsidR="00283D4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w:t>
      </w:r>
      <w:r w:rsidRPr="005A7DE6">
        <w:rPr>
          <w:rFonts w:asciiTheme="minorEastAsia" w:eastAsiaTheme="minorEastAsia" w:hAnsiTheme="minorEastAsia"/>
          <w:color w:val="000000" w:themeColor="text1"/>
        </w:rPr>
        <w:t>、本基金收益分配方式分两种：现金分红与红利再投资，基金份额持有人可以选择取得现金红利或将现金红利自动转为基金份额进行再投资，如果基金份额持有人未选择收益分配方式，则默认为现金分红方式；</w:t>
      </w:r>
    </w:p>
    <w:p w:rsidR="00283D4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6</w:t>
      </w:r>
      <w:r w:rsidRPr="005A7DE6">
        <w:rPr>
          <w:rFonts w:asciiTheme="minorEastAsia" w:eastAsiaTheme="minorEastAsia" w:hAnsiTheme="minorEastAsia"/>
          <w:color w:val="000000" w:themeColor="text1"/>
        </w:rPr>
        <w:t>、本基金收益分配的发放日距离收益分配基准日</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即可供分配利润计算截止日</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的时间不超过</w:t>
      </w:r>
      <w:r w:rsidRPr="005A7DE6">
        <w:rPr>
          <w:rFonts w:asciiTheme="minorEastAsia" w:eastAsiaTheme="minorEastAsia" w:hAnsiTheme="minorEastAsia"/>
          <w:color w:val="000000" w:themeColor="text1"/>
        </w:rPr>
        <w:t>15</w:t>
      </w:r>
      <w:r w:rsidRPr="005A7DE6">
        <w:rPr>
          <w:rFonts w:asciiTheme="minorEastAsia" w:eastAsiaTheme="minorEastAsia" w:hAnsiTheme="minorEastAsia"/>
          <w:color w:val="000000" w:themeColor="text1"/>
        </w:rPr>
        <w:t>个工作日；</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法律、法规或监管机构另有规定的，基金管理人在履行适当程序后，将对上述基金收益分配政策进行调整。</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686" w:name="_Toc94172454"/>
      <w:r w:rsidRPr="005A7DE6">
        <w:rPr>
          <w:rFonts w:asciiTheme="minorEastAsia" w:eastAsiaTheme="minorEastAsia" w:hAnsiTheme="minorEastAsia"/>
          <w:b w:val="0"/>
          <w:color w:val="000000" w:themeColor="text1"/>
        </w:rPr>
        <w:t>（四）收益分配方案</w:t>
      </w:r>
      <w:bookmarkEnd w:id="3686"/>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基金收益分配方案中应载明收益分配基准日以及截至收益分配基准日的可供分配利润、基金收益分配对象、分配原则、分配时间、分配数额及比例、分配方式、支付方式等内容。</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687" w:name="_Toc94172455"/>
      <w:r w:rsidRPr="005A7DE6">
        <w:rPr>
          <w:rFonts w:asciiTheme="minorEastAsia" w:eastAsiaTheme="minorEastAsia" w:hAnsiTheme="minorEastAsia"/>
          <w:b w:val="0"/>
          <w:color w:val="000000" w:themeColor="text1"/>
        </w:rPr>
        <w:t>（五）收益分配方案的确定、公告与实施</w:t>
      </w:r>
      <w:bookmarkEnd w:id="3687"/>
    </w:p>
    <w:p w:rsidR="006D5375"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、基金收益分配方案由基金管理人拟订，由基金托管人复核，依照《信息披露办法》的有关规定在</w:t>
      </w:r>
      <w:r w:rsidRPr="005A7DE6" w:rsidR="006E73AA">
        <w:rPr>
          <w:rFonts w:asciiTheme="minorEastAsia" w:eastAsiaTheme="minorEastAsia" w:hAnsiTheme="minorEastAsia"/>
          <w:color w:val="000000" w:themeColor="text1"/>
          <w:szCs w:val="21"/>
        </w:rPr>
        <w:t>指定媒介</w:t>
      </w:r>
      <w:r w:rsidRPr="005A7DE6">
        <w:rPr>
          <w:rFonts w:asciiTheme="minorEastAsia" w:eastAsiaTheme="minorEastAsia" w:hAnsiTheme="minorEastAsia"/>
          <w:color w:val="000000" w:themeColor="text1"/>
          <w:szCs w:val="21"/>
        </w:rPr>
        <w:t>上</w:t>
      </w:r>
      <w:r w:rsidRPr="005A7DE6">
        <w:rPr>
          <w:rFonts w:asciiTheme="minorEastAsia" w:eastAsiaTheme="minorEastAsia" w:hAnsiTheme="minorEastAsia"/>
          <w:color w:val="000000" w:themeColor="text1"/>
          <w:szCs w:val="21"/>
        </w:rPr>
        <w:t>公告；</w:t>
      </w:r>
    </w:p>
    <w:p w:rsidR="00BA4B87" w:rsidRPr="005A7DE6" w:rsidP="006B758F">
      <w:pPr>
        <w:snapToGrid w:val="0"/>
        <w:spacing w:line="360" w:lineRule="auto"/>
        <w:ind w:firstLine="48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color w:val="000000" w:themeColor="text1"/>
          <w:szCs w:val="21"/>
        </w:rPr>
        <w:t>、在收益分配方案公布后，基金管理人依据具体方案的规定就支付的现金红利向基金</w:t>
      </w:r>
      <w:r w:rsidRPr="005A7DE6">
        <w:rPr>
          <w:rFonts w:asciiTheme="minorEastAsia" w:eastAsiaTheme="minorEastAsia" w:hAnsiTheme="minorEastAsia"/>
          <w:color w:val="000000" w:themeColor="text1"/>
          <w:szCs w:val="21"/>
        </w:rPr>
        <w:t>托管人发送划款指令，基金托管人按照基金管理人的指令及时进行分红资金的划付</w:t>
      </w:r>
      <w:r w:rsidRPr="005A7DE6" w:rsidR="00F00F6D">
        <w:rPr>
          <w:rFonts w:asciiTheme="minorEastAsia" w:eastAsiaTheme="minorEastAsia" w:hAnsiTheme="minorEastAsia" w:hint="eastAsia"/>
          <w:color w:val="000000" w:themeColor="text1"/>
          <w:szCs w:val="21"/>
        </w:rPr>
        <w:t>；</w:t>
      </w:r>
    </w:p>
    <w:p w:rsidR="00BA4B87" w:rsidRPr="005A7DE6" w:rsidP="006B758F">
      <w:pPr>
        <w:snapToGrid w:val="0"/>
        <w:spacing w:line="360" w:lineRule="auto"/>
        <w:ind w:firstLine="48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w:t>
      </w:r>
      <w:r w:rsidRPr="005A7DE6" w:rsidR="006D5375">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法律法规或监管机关另有规定的，从其规定。</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688" w:name="_Toc94172456"/>
      <w:r w:rsidRPr="005A7DE6">
        <w:rPr>
          <w:rFonts w:asciiTheme="minorEastAsia" w:eastAsiaTheme="minorEastAsia" w:hAnsiTheme="minorEastAsia"/>
          <w:b w:val="0"/>
          <w:color w:val="000000" w:themeColor="text1"/>
        </w:rPr>
        <w:t>（六）收益分配中发生的费用</w:t>
      </w:r>
      <w:bookmarkEnd w:id="3688"/>
    </w:p>
    <w:p w:rsidR="00BA4B87" w:rsidRPr="005A7DE6" w:rsidP="006B758F">
      <w:pPr>
        <w:snapToGrid w:val="0"/>
        <w:spacing w:line="360" w:lineRule="auto"/>
        <w:ind w:firstLine="472" w:firstLineChars="225"/>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收益分配时所发生的银行转账或其他手续费用由投资人自行承担。当投资人的现金红利小于一定金额，不足于支付银行转账或其他手续费用时，基金注册登记机构可将基金份额持有人的现金红利自动转为基金份额。红利再投资的计算方法，依照《业务规则》执行</w:t>
      </w:r>
      <w:r w:rsidRPr="005A7DE6" w:rsidR="006B0442">
        <w:rPr>
          <w:rFonts w:asciiTheme="minorEastAsia" w:eastAsiaTheme="minorEastAsia" w:hAnsiTheme="minorEastAsia"/>
          <w:color w:val="000000" w:themeColor="text1"/>
          <w:szCs w:val="21"/>
        </w:rPr>
        <w:t>。</w:t>
      </w:r>
    </w:p>
    <w:p w:rsidR="00C700D2" w:rsidRPr="005A7DE6" w:rsidP="00C05732">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3689" w:name="_Toc94172457"/>
      <w:r w:rsidRPr="005A7DE6">
        <w:rPr>
          <w:rFonts w:asciiTheme="minorEastAsia" w:eastAsiaTheme="minorEastAsia" w:hAnsiTheme="minorEastAsia" w:hint="eastAsia"/>
          <w:b w:val="0"/>
          <w:color w:val="000000" w:themeColor="text1"/>
        </w:rPr>
        <w:t>（七）实施侧袋机制期间的收益分配</w:t>
      </w:r>
      <w:bookmarkEnd w:id="3689"/>
    </w:p>
    <w:p w:rsidR="00C700D2" w:rsidRPr="005A7DE6" w:rsidP="00C700D2">
      <w:pPr>
        <w:snapToGrid w:val="0"/>
        <w:spacing w:line="360" w:lineRule="auto"/>
        <w:ind w:firstLine="472" w:firstLineChars="225"/>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本基金实施侧袋机制的，侧袋账户不进行收益分配。</w:t>
      </w:r>
    </w:p>
    <w:p w:rsidR="00BA4B87" w:rsidRPr="005A7DE6" w:rsidP="006B758F">
      <w:pPr>
        <w:pStyle w:val="111"/>
        <w:pageBreakBefore w:val="0"/>
        <w:snapToGrid w:val="0"/>
        <w:spacing w:beforeLines="0" w:afterLines="0" w:line="360" w:lineRule="auto"/>
        <w:ind w:firstLine="640"/>
        <w:rPr>
          <w:rFonts w:asciiTheme="minorEastAsia" w:eastAsiaTheme="minorEastAsia" w:hAnsiTheme="minorEastAsia"/>
          <w:b/>
          <w:color w:val="000000" w:themeColor="text1"/>
          <w:sz w:val="30"/>
        </w:rPr>
      </w:pPr>
      <w:r w:rsidRPr="005A7DE6">
        <w:rPr>
          <w:rFonts w:asciiTheme="minorEastAsia" w:eastAsiaTheme="minorEastAsia" w:hAnsiTheme="minorEastAsia"/>
          <w:color w:val="000000" w:themeColor="text1"/>
          <w:szCs w:val="21"/>
        </w:rPr>
        <w:br w:type="column"/>
      </w:r>
      <w:bookmarkStart w:id="3690" w:name="_Toc94172458"/>
      <w:r w:rsidRPr="005A7DE6" w:rsidR="00B20BDE">
        <w:rPr>
          <w:rFonts w:asciiTheme="minorEastAsia" w:eastAsiaTheme="minorEastAsia" w:hAnsiTheme="minorEastAsia"/>
          <w:b/>
          <w:color w:val="000000" w:themeColor="text1"/>
          <w:sz w:val="30"/>
        </w:rPr>
        <w:t>十</w:t>
      </w:r>
      <w:r w:rsidRPr="005A7DE6" w:rsidR="00B20BDE">
        <w:rPr>
          <w:rFonts w:asciiTheme="minorEastAsia" w:eastAsiaTheme="minorEastAsia" w:hAnsiTheme="minorEastAsia" w:hint="eastAsia"/>
          <w:b/>
          <w:color w:val="000000" w:themeColor="text1"/>
          <w:sz w:val="30"/>
        </w:rPr>
        <w:t>六</w:t>
      </w:r>
      <w:r w:rsidRPr="005A7DE6">
        <w:rPr>
          <w:rFonts w:asciiTheme="minorEastAsia" w:eastAsiaTheme="minorEastAsia" w:hAnsiTheme="minorEastAsia"/>
          <w:b/>
          <w:color w:val="000000" w:themeColor="text1"/>
          <w:sz w:val="30"/>
        </w:rPr>
        <w:t>、基金的费用与税收</w:t>
      </w:r>
      <w:bookmarkEnd w:id="3690"/>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691" w:name="_Toc94172459"/>
      <w:r w:rsidRPr="005A7DE6">
        <w:rPr>
          <w:rFonts w:asciiTheme="minorEastAsia" w:eastAsiaTheme="minorEastAsia" w:hAnsiTheme="minorEastAsia"/>
          <w:b w:val="0"/>
          <w:color w:val="000000" w:themeColor="text1"/>
        </w:rPr>
        <w:t>（一）</w:t>
      </w:r>
      <w:r w:rsidRPr="005A7DE6" w:rsidR="0060669A">
        <w:rPr>
          <w:rFonts w:asciiTheme="minorEastAsia" w:eastAsiaTheme="minorEastAsia" w:hAnsiTheme="minorEastAsia" w:hint="eastAsia"/>
          <w:b w:val="0"/>
          <w:color w:val="000000" w:themeColor="text1"/>
        </w:rPr>
        <w:t>与基金运作相关的费用</w:t>
      </w:r>
      <w:bookmarkEnd w:id="3691"/>
    </w:p>
    <w:p w:rsidR="0060669A"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1</w:t>
      </w:r>
      <w:r w:rsidRPr="005A7DE6">
        <w:rPr>
          <w:rFonts w:asciiTheme="minorEastAsia" w:eastAsiaTheme="minorEastAsia" w:hAnsiTheme="minorEastAsia" w:hint="eastAsia"/>
          <w:color w:val="000000" w:themeColor="text1"/>
          <w:szCs w:val="21"/>
        </w:rPr>
        <w:t>、基金费用的种类</w:t>
      </w:r>
    </w:p>
    <w:p w:rsidR="00B43DA4"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基金管理人的管理费；</w:t>
      </w:r>
    </w:p>
    <w:p w:rsidR="00B43DA4"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基金托管人的托管费；</w:t>
      </w:r>
    </w:p>
    <w:p w:rsidR="00B43DA4"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3</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从</w:t>
      </w:r>
      <w:r w:rsidRPr="005A7DE6">
        <w:rPr>
          <w:rFonts w:asciiTheme="minorEastAsia" w:eastAsiaTheme="minorEastAsia" w:hAnsiTheme="minorEastAsia"/>
          <w:color w:val="000000" w:themeColor="text1"/>
          <w:szCs w:val="21"/>
        </w:rPr>
        <w:t>C</w:t>
      </w:r>
      <w:r w:rsidRPr="005A7DE6">
        <w:rPr>
          <w:rFonts w:asciiTheme="minorEastAsia" w:eastAsiaTheme="minorEastAsia" w:hAnsiTheme="minorEastAsia"/>
          <w:color w:val="000000" w:themeColor="text1"/>
          <w:szCs w:val="21"/>
        </w:rPr>
        <w:t>类基金份额的基金财产中计提的销售服务费；</w:t>
      </w:r>
    </w:p>
    <w:p w:rsidR="00B43DA4"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4</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基金财产拨划支付的银行费用；</w:t>
      </w:r>
    </w:p>
    <w:p w:rsidR="00B43DA4"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5</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基金合同生效后的基金信息披露费用；</w:t>
      </w:r>
    </w:p>
    <w:p w:rsidR="00B43DA4"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6</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基金份额持有人大会费用；</w:t>
      </w:r>
    </w:p>
    <w:p w:rsidR="00B43DA4"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7</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基金合同生效后与基金有关的会计师费、律师费；</w:t>
      </w:r>
    </w:p>
    <w:p w:rsidR="00B43DA4"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8</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基金的证券交易费用；</w:t>
      </w:r>
    </w:p>
    <w:p w:rsidR="00B43DA4"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9</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证券账户开户费用、银行账户维护费用；</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w:t>
      </w:r>
      <w:r w:rsidRPr="005A7DE6" w:rsidR="00B43DA4">
        <w:rPr>
          <w:rFonts w:asciiTheme="minorEastAsia" w:eastAsiaTheme="minorEastAsia" w:hAnsiTheme="minorEastAsia"/>
          <w:color w:val="000000" w:themeColor="text1"/>
          <w:szCs w:val="21"/>
        </w:rPr>
        <w:t>10</w:t>
      </w:r>
      <w:r w:rsidRPr="005A7DE6">
        <w:rPr>
          <w:rFonts w:asciiTheme="minorEastAsia" w:eastAsiaTheme="minorEastAsia" w:hAnsiTheme="minorEastAsia" w:hint="eastAsia"/>
          <w:color w:val="000000" w:themeColor="text1"/>
          <w:szCs w:val="21"/>
        </w:rPr>
        <w:t>）</w:t>
      </w:r>
      <w:r w:rsidRPr="005A7DE6" w:rsidR="00B43DA4">
        <w:rPr>
          <w:rFonts w:asciiTheme="minorEastAsia" w:eastAsiaTheme="minorEastAsia" w:hAnsiTheme="minorEastAsia"/>
          <w:color w:val="000000" w:themeColor="text1"/>
          <w:szCs w:val="21"/>
        </w:rPr>
        <w:t>依法可以在基金财产中列支的其他费用。</w:t>
      </w:r>
    </w:p>
    <w:p w:rsidR="00BA4B87" w:rsidRPr="005A7DE6" w:rsidP="006B758F">
      <w:pPr>
        <w:snapToGrid w:val="0"/>
        <w:spacing w:line="360" w:lineRule="auto"/>
        <w:ind w:firstLine="472" w:firstLineChars="225"/>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上述基金费用由基金管理人在法律规定的范围内参照公允的市场价格确定，法律法规另有规定时从其规定。</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2</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基金费用计提方法、计提标准和支付方式</w:t>
      </w:r>
    </w:p>
    <w:p w:rsidR="00BA4B87" w:rsidRPr="005A7DE6" w:rsidP="006B758F">
      <w:pPr>
        <w:snapToGrid w:val="0"/>
        <w:spacing w:line="360" w:lineRule="auto"/>
        <w:ind w:firstLine="472" w:firstLineChars="225"/>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基金管理人的管理费</w:t>
      </w:r>
    </w:p>
    <w:p w:rsidR="002A6C6A"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在通常情况下，基金管理费按基金资产净值的</w:t>
      </w:r>
      <w:r w:rsidRPr="005A7DE6" w:rsidR="00797EBD">
        <w:rPr>
          <w:rFonts w:asciiTheme="minorEastAsia" w:eastAsiaTheme="minorEastAsia" w:hAnsiTheme="minorEastAsia"/>
          <w:color w:val="000000" w:themeColor="text1"/>
          <w:szCs w:val="21"/>
        </w:rPr>
        <w:t>0.35</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年费率计提。计算方法如下：</w:t>
      </w:r>
    </w:p>
    <w:p w:rsidR="002A6C6A"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H</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E×0.</w:t>
      </w:r>
      <w:r w:rsidRPr="005A7DE6" w:rsidR="00797EBD">
        <w:rPr>
          <w:rFonts w:asciiTheme="minorEastAsia" w:eastAsiaTheme="minorEastAsia" w:hAnsiTheme="minorEastAsia"/>
          <w:color w:val="000000" w:themeColor="text1"/>
          <w:szCs w:val="21"/>
        </w:rPr>
        <w:t>35</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当年天数</w:t>
      </w:r>
    </w:p>
    <w:p w:rsidR="002A6C6A"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H</w:t>
      </w:r>
      <w:r w:rsidRPr="005A7DE6">
        <w:rPr>
          <w:rFonts w:asciiTheme="minorEastAsia" w:eastAsiaTheme="minorEastAsia" w:hAnsiTheme="minorEastAsia"/>
          <w:color w:val="000000" w:themeColor="text1"/>
          <w:szCs w:val="21"/>
        </w:rPr>
        <w:t>为每日应计提的基金管理费</w:t>
      </w:r>
    </w:p>
    <w:p w:rsidR="002A6C6A"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E</w:t>
      </w:r>
      <w:r w:rsidRPr="005A7DE6">
        <w:rPr>
          <w:rFonts w:asciiTheme="minorEastAsia" w:eastAsiaTheme="minorEastAsia" w:hAnsiTheme="minorEastAsia"/>
          <w:color w:val="000000" w:themeColor="text1"/>
          <w:szCs w:val="21"/>
        </w:rPr>
        <w:t>为前一日基金资产净值</w:t>
      </w:r>
    </w:p>
    <w:p w:rsidR="00BA4B87" w:rsidRPr="005A7DE6" w:rsidP="006B758F">
      <w:pPr>
        <w:snapToGrid w:val="0"/>
        <w:spacing w:line="360" w:lineRule="auto"/>
        <w:ind w:firstLine="472" w:firstLineChars="225"/>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基金管理费每日计提，按月支付。经基金管理人与基金托管人核对一致后，由基金托管人于次月首日起</w:t>
      </w:r>
      <w:r w:rsidRPr="005A7DE6">
        <w:rPr>
          <w:rFonts w:asciiTheme="minorEastAsia" w:eastAsiaTheme="minorEastAsia" w:hAnsiTheme="minorEastAsia"/>
          <w:color w:val="000000" w:themeColor="text1"/>
          <w:szCs w:val="21"/>
        </w:rPr>
        <w:t>5</w:t>
      </w:r>
      <w:r w:rsidRPr="005A7DE6">
        <w:rPr>
          <w:rFonts w:asciiTheme="minorEastAsia" w:eastAsiaTheme="minorEastAsia" w:hAnsiTheme="minorEastAsia"/>
          <w:color w:val="000000" w:themeColor="text1"/>
          <w:szCs w:val="21"/>
        </w:rPr>
        <w:t>个工作日内从基金财产中一次性支付给基金管理人，若遇法定节假日、休息日，支付日期顺延。</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color w:val="000000" w:themeColor="text1"/>
        </w:rPr>
        <w:t>2</w:t>
      </w: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color w:val="000000" w:themeColor="text1"/>
        </w:rPr>
        <w:t>基金托管人的托管费</w:t>
      </w:r>
    </w:p>
    <w:p w:rsidR="00FB46FE"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在通常情况下，基金托管费按基金资产净值的</w:t>
      </w:r>
      <w:r w:rsidRPr="005A7DE6">
        <w:rPr>
          <w:rFonts w:asciiTheme="minorEastAsia" w:eastAsiaTheme="minorEastAsia" w:hAnsiTheme="minorEastAsia"/>
          <w:color w:val="000000" w:themeColor="text1"/>
        </w:rPr>
        <w:t>0.</w:t>
      </w:r>
      <w:r w:rsidRPr="005A7DE6" w:rsidR="00797EBD">
        <w:rPr>
          <w:rFonts w:asciiTheme="minorEastAsia" w:eastAsiaTheme="minorEastAsia" w:hAnsiTheme="minorEastAsia"/>
          <w:color w:val="000000" w:themeColor="text1"/>
        </w:rPr>
        <w:t>1</w:t>
      </w: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年费率计提。计算方法如下：</w:t>
      </w:r>
    </w:p>
    <w:p w:rsidR="00FB46FE"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H</w:t>
      </w: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E×</w:t>
      </w:r>
      <w:r w:rsidRPr="005A7DE6" w:rsidR="00797EBD">
        <w:rPr>
          <w:rFonts w:asciiTheme="minorEastAsia" w:eastAsiaTheme="minorEastAsia" w:hAnsiTheme="minorEastAsia"/>
          <w:color w:val="000000" w:themeColor="text1"/>
        </w:rPr>
        <w:t>0.1</w:t>
      </w: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当年天数</w:t>
      </w:r>
    </w:p>
    <w:p w:rsidR="00FB46FE"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H</w:t>
      </w:r>
      <w:r w:rsidRPr="005A7DE6">
        <w:rPr>
          <w:rFonts w:asciiTheme="minorEastAsia" w:eastAsiaTheme="minorEastAsia" w:hAnsiTheme="minorEastAsia"/>
          <w:color w:val="000000" w:themeColor="text1"/>
        </w:rPr>
        <w:t>为每日应计提的基金托管费</w:t>
      </w:r>
    </w:p>
    <w:p w:rsidR="00FB46FE"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E</w:t>
      </w:r>
      <w:r w:rsidRPr="005A7DE6">
        <w:rPr>
          <w:rFonts w:asciiTheme="minorEastAsia" w:eastAsiaTheme="minorEastAsia" w:hAnsiTheme="minorEastAsia"/>
          <w:color w:val="000000" w:themeColor="text1"/>
        </w:rPr>
        <w:t>为前一日基金资产净值</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基金托管费每日计提，按月支付。经基金管理人与基金托管人核对一致后，由基金托管人于次月首日起</w:t>
      </w:r>
      <w:r w:rsidRPr="005A7DE6">
        <w:rPr>
          <w:rFonts w:asciiTheme="minorEastAsia" w:eastAsiaTheme="minorEastAsia" w:hAnsiTheme="minorEastAsia"/>
          <w:color w:val="000000" w:themeColor="text1"/>
        </w:rPr>
        <w:t>5</w:t>
      </w:r>
      <w:r w:rsidRPr="005A7DE6">
        <w:rPr>
          <w:rFonts w:asciiTheme="minorEastAsia" w:eastAsiaTheme="minorEastAsia" w:hAnsiTheme="minorEastAsia"/>
          <w:color w:val="000000" w:themeColor="text1"/>
        </w:rPr>
        <w:t>个工作日内从基金财产中一次性支付给基金托管人，若遇法定节假日、休息日，支付日期顺延。</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color w:val="000000" w:themeColor="text1"/>
        </w:rPr>
        <w:t>3</w:t>
      </w: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color w:val="000000" w:themeColor="text1"/>
        </w:rPr>
        <w:t>销售服务费</w:t>
      </w:r>
    </w:p>
    <w:p w:rsidR="00FB46FE"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w:t>
      </w:r>
      <w:r w:rsidRPr="005A7DE6">
        <w:rPr>
          <w:rFonts w:asciiTheme="minorEastAsia" w:eastAsiaTheme="minorEastAsia" w:hAnsiTheme="minorEastAsia"/>
          <w:color w:val="000000" w:themeColor="text1"/>
          <w:szCs w:val="21"/>
        </w:rPr>
        <w:t>A</w:t>
      </w:r>
      <w:r w:rsidRPr="005A7DE6">
        <w:rPr>
          <w:rFonts w:asciiTheme="minorEastAsia" w:eastAsiaTheme="minorEastAsia" w:hAnsiTheme="minorEastAsia"/>
          <w:color w:val="000000" w:themeColor="text1"/>
          <w:szCs w:val="21"/>
        </w:rPr>
        <w:t>类基金份额不收取销售服务费，</w:t>
      </w:r>
      <w:r w:rsidRPr="005A7DE6">
        <w:rPr>
          <w:rFonts w:asciiTheme="minorEastAsia" w:eastAsiaTheme="minorEastAsia" w:hAnsiTheme="minorEastAsia"/>
          <w:color w:val="000000" w:themeColor="text1"/>
          <w:szCs w:val="21"/>
        </w:rPr>
        <w:t>C</w:t>
      </w:r>
      <w:r w:rsidRPr="005A7DE6">
        <w:rPr>
          <w:rFonts w:asciiTheme="minorEastAsia" w:eastAsiaTheme="minorEastAsia" w:hAnsiTheme="minorEastAsia"/>
          <w:color w:val="000000" w:themeColor="text1"/>
          <w:szCs w:val="21"/>
        </w:rPr>
        <w:t>类基金份额的销售服务费年费率为</w:t>
      </w:r>
      <w:r w:rsidRPr="005A7DE6">
        <w:rPr>
          <w:rFonts w:asciiTheme="minorEastAsia" w:eastAsiaTheme="minorEastAsia" w:hAnsiTheme="minorEastAsia"/>
          <w:color w:val="000000" w:themeColor="text1"/>
          <w:szCs w:val="21"/>
        </w:rPr>
        <w:t>0.4%</w:t>
      </w:r>
      <w:r w:rsidRPr="005A7DE6">
        <w:rPr>
          <w:rFonts w:asciiTheme="minorEastAsia" w:eastAsiaTheme="minorEastAsia" w:hAnsiTheme="minorEastAsia"/>
          <w:color w:val="000000" w:themeColor="text1"/>
          <w:szCs w:val="21"/>
        </w:rPr>
        <w:t>。</w:t>
      </w:r>
    </w:p>
    <w:p w:rsidR="00FB46FE"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本基金销售服务费按前一日</w:t>
      </w:r>
      <w:r w:rsidRPr="005A7DE6">
        <w:rPr>
          <w:rFonts w:asciiTheme="minorEastAsia" w:eastAsiaTheme="minorEastAsia" w:hAnsiTheme="minorEastAsia"/>
          <w:color w:val="000000" w:themeColor="text1"/>
          <w:szCs w:val="21"/>
        </w:rPr>
        <w:t>C</w:t>
      </w:r>
      <w:r w:rsidRPr="005A7DE6">
        <w:rPr>
          <w:rFonts w:asciiTheme="minorEastAsia" w:eastAsiaTheme="minorEastAsia" w:hAnsiTheme="minorEastAsia"/>
          <w:color w:val="000000" w:themeColor="text1"/>
          <w:szCs w:val="21"/>
        </w:rPr>
        <w:t>类基金资产净值的</w:t>
      </w:r>
      <w:r w:rsidRPr="005A7DE6">
        <w:rPr>
          <w:rFonts w:asciiTheme="minorEastAsia" w:eastAsiaTheme="minorEastAsia" w:hAnsiTheme="minorEastAsia"/>
          <w:color w:val="000000" w:themeColor="text1"/>
          <w:szCs w:val="21"/>
        </w:rPr>
        <w:t>0.4%</w:t>
      </w:r>
      <w:r w:rsidRPr="005A7DE6">
        <w:rPr>
          <w:rFonts w:asciiTheme="minorEastAsia" w:eastAsiaTheme="minorEastAsia" w:hAnsiTheme="minorEastAsia"/>
          <w:color w:val="000000" w:themeColor="text1"/>
          <w:szCs w:val="21"/>
        </w:rPr>
        <w:t>年费率计提。</w:t>
      </w:r>
    </w:p>
    <w:p w:rsidR="00FB46FE"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销售服务费的计算方法如下：</w:t>
      </w:r>
    </w:p>
    <w:p w:rsidR="00FB46FE"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H</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E×</w:t>
      </w:r>
      <w:r w:rsidRPr="005A7DE6">
        <w:rPr>
          <w:rFonts w:asciiTheme="minorEastAsia" w:eastAsiaTheme="minorEastAsia" w:hAnsiTheme="minorEastAsia"/>
          <w:color w:val="000000" w:themeColor="text1"/>
          <w:szCs w:val="21"/>
        </w:rPr>
        <w:t>年销售服务费率</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当年天数</w:t>
      </w:r>
    </w:p>
    <w:p w:rsidR="00FB46FE"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H</w:t>
      </w:r>
      <w:r w:rsidRPr="005A7DE6">
        <w:rPr>
          <w:rFonts w:asciiTheme="minorEastAsia" w:eastAsiaTheme="minorEastAsia" w:hAnsiTheme="minorEastAsia"/>
          <w:color w:val="000000" w:themeColor="text1"/>
          <w:szCs w:val="21"/>
        </w:rPr>
        <w:t>为</w:t>
      </w:r>
      <w:r w:rsidRPr="005A7DE6">
        <w:rPr>
          <w:rFonts w:asciiTheme="minorEastAsia" w:eastAsiaTheme="minorEastAsia" w:hAnsiTheme="minorEastAsia"/>
          <w:color w:val="000000" w:themeColor="text1"/>
          <w:szCs w:val="21"/>
        </w:rPr>
        <w:t>C</w:t>
      </w:r>
      <w:r w:rsidRPr="005A7DE6">
        <w:rPr>
          <w:rFonts w:asciiTheme="minorEastAsia" w:eastAsiaTheme="minorEastAsia" w:hAnsiTheme="minorEastAsia"/>
          <w:color w:val="000000" w:themeColor="text1"/>
          <w:szCs w:val="21"/>
        </w:rPr>
        <w:t>类基金份额每日应计提的销售服务费</w:t>
      </w:r>
    </w:p>
    <w:p w:rsidR="00FB46FE"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E</w:t>
      </w:r>
      <w:r w:rsidRPr="005A7DE6">
        <w:rPr>
          <w:rFonts w:asciiTheme="minorEastAsia" w:eastAsiaTheme="minorEastAsia" w:hAnsiTheme="minorEastAsia"/>
          <w:color w:val="000000" w:themeColor="text1"/>
          <w:szCs w:val="21"/>
        </w:rPr>
        <w:t>为</w:t>
      </w:r>
      <w:r w:rsidRPr="005A7DE6">
        <w:rPr>
          <w:rFonts w:asciiTheme="minorEastAsia" w:eastAsiaTheme="minorEastAsia" w:hAnsiTheme="minorEastAsia"/>
          <w:color w:val="000000" w:themeColor="text1"/>
          <w:szCs w:val="21"/>
        </w:rPr>
        <w:t>C</w:t>
      </w:r>
      <w:r w:rsidRPr="005A7DE6">
        <w:rPr>
          <w:rFonts w:asciiTheme="minorEastAsia" w:eastAsiaTheme="minorEastAsia" w:hAnsiTheme="minorEastAsia"/>
          <w:color w:val="000000" w:themeColor="text1"/>
          <w:szCs w:val="21"/>
        </w:rPr>
        <w:t>类基金份额前一日基金资产净值</w:t>
      </w:r>
    </w:p>
    <w:p w:rsidR="00FB46FE"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基金销售服务费每日计提，按月支付。经基金管理人与基金托管人核对一致后，由基金托管人于次月首日起</w:t>
      </w:r>
      <w:r w:rsidRPr="005A7DE6">
        <w:rPr>
          <w:rFonts w:asciiTheme="minorEastAsia" w:eastAsiaTheme="minorEastAsia" w:hAnsiTheme="minorEastAsia"/>
          <w:color w:val="000000" w:themeColor="text1"/>
          <w:szCs w:val="21"/>
        </w:rPr>
        <w:t>5</w:t>
      </w:r>
      <w:r w:rsidRPr="005A7DE6">
        <w:rPr>
          <w:rFonts w:asciiTheme="minorEastAsia" w:eastAsiaTheme="minorEastAsia" w:hAnsiTheme="minorEastAsia"/>
          <w:color w:val="000000" w:themeColor="text1"/>
          <w:szCs w:val="21"/>
        </w:rPr>
        <w:t>个工作日内从基金财产中一次性划出，由注册登记机构代收，注册登记机构收到后按相关合同规定支付给基金销售机构等。若遇法定节假日、休息日，支付日期顺延。</w:t>
      </w:r>
    </w:p>
    <w:p w:rsidR="00FB46FE"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销售服务费主要用于支付销售机构佣金、以及基金管理人的基金行销广告费</w:t>
      </w:r>
      <w:r w:rsidRPr="005A7DE6">
        <w:rPr>
          <w:rFonts w:asciiTheme="minorEastAsia" w:eastAsiaTheme="minorEastAsia" w:hAnsiTheme="minorEastAsia"/>
          <w:color w:val="000000" w:themeColor="text1"/>
          <w:szCs w:val="21"/>
        </w:rPr>
        <w:t>、促销活动费、基金份额持有人服务费等。</w:t>
      </w:r>
    </w:p>
    <w:p w:rsidR="00BA4B87" w:rsidRPr="005A7DE6" w:rsidP="006B758F">
      <w:pPr>
        <w:snapToGrid w:val="0"/>
        <w:spacing w:line="360" w:lineRule="auto"/>
        <w:ind w:firstLine="472" w:firstLineChars="225"/>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销售服务费使用范围不包括基金募集期间的上述费用。</w:t>
      </w:r>
    </w:p>
    <w:p w:rsidR="00BA4B87" w:rsidRPr="005A7DE6" w:rsidP="006B758F">
      <w:pPr>
        <w:snapToGrid w:val="0"/>
        <w:spacing w:line="360" w:lineRule="auto"/>
        <w:ind w:firstLine="472" w:firstLineChars="225"/>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w:t>
      </w:r>
      <w:r w:rsidRPr="005A7DE6" w:rsidR="009B2E01">
        <w:rPr>
          <w:rFonts w:asciiTheme="minorEastAsia" w:eastAsiaTheme="minorEastAsia" w:hAnsiTheme="minorEastAsia"/>
          <w:color w:val="000000" w:themeColor="text1"/>
          <w:szCs w:val="21"/>
        </w:rPr>
        <w:t>4</w:t>
      </w:r>
      <w:r w:rsidRPr="005A7DE6">
        <w:rPr>
          <w:rFonts w:asciiTheme="minorEastAsia" w:eastAsiaTheme="minorEastAsia" w:hAnsiTheme="minorEastAsia" w:hint="eastAsia"/>
          <w:color w:val="000000" w:themeColor="text1"/>
          <w:szCs w:val="21"/>
        </w:rPr>
        <w:t>）</w:t>
      </w:r>
      <w:r w:rsidRPr="005A7DE6" w:rsidR="003856F5">
        <w:rPr>
          <w:rFonts w:asciiTheme="minorEastAsia" w:eastAsiaTheme="minorEastAsia" w:hAnsiTheme="minorEastAsia"/>
          <w:color w:val="000000" w:themeColor="text1"/>
          <w:szCs w:val="21"/>
        </w:rPr>
        <w:t>除管理费、托管费以及销售服务费之外的基金费用，由基金托管人根据其他有关法规及相应协议的规定，按费用支出金额支付，列入或摊入当期基金费用。</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3</w:t>
      </w: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color w:val="000000" w:themeColor="text1"/>
        </w:rPr>
        <w:t>不列入基金费用的项目</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基金合同生效前的律师费、会计师费和信息披露费用不得从基金财产中列支。基金管理人与基金托管人因未履行或未完全履行义务导致的费用支出或基金财产的损失，以及处理与基金运作无关的事项发生的费用等不列入基金费用。</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4</w:t>
      </w: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color w:val="000000" w:themeColor="text1"/>
        </w:rPr>
        <w:t>费用调整</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rPr>
        <w:t>基金管理人和基金托管人可协商酌情降</w:t>
      </w:r>
      <w:r w:rsidRPr="005A7DE6">
        <w:rPr>
          <w:rFonts w:asciiTheme="minorEastAsia" w:eastAsiaTheme="minorEastAsia" w:hAnsiTheme="minorEastAsia"/>
          <w:color w:val="000000" w:themeColor="text1"/>
        </w:rPr>
        <w:t>低基金管理费、基金托管费、销售服务费，此项</w:t>
      </w:r>
      <w:r w:rsidRPr="005A7DE6">
        <w:rPr>
          <w:rFonts w:asciiTheme="minorEastAsia" w:eastAsiaTheme="minorEastAsia" w:hAnsiTheme="minorEastAsia"/>
          <w:color w:val="000000" w:themeColor="text1"/>
          <w:szCs w:val="21"/>
        </w:rPr>
        <w:t>调整不需要基金份额持有人大会决议通过。基金管理人必须最迟于新的费率实施</w:t>
      </w: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color w:val="000000" w:themeColor="text1"/>
          <w:szCs w:val="21"/>
        </w:rPr>
        <w:t>日前在</w:t>
      </w:r>
      <w:r w:rsidRPr="005A7DE6" w:rsidR="006E73AA">
        <w:rPr>
          <w:rFonts w:asciiTheme="minorEastAsia" w:eastAsiaTheme="minorEastAsia" w:hAnsiTheme="minorEastAsia"/>
          <w:color w:val="000000" w:themeColor="text1"/>
          <w:szCs w:val="21"/>
        </w:rPr>
        <w:t>指定媒介</w:t>
      </w:r>
      <w:r w:rsidRPr="005A7DE6">
        <w:rPr>
          <w:rFonts w:asciiTheme="minorEastAsia" w:eastAsiaTheme="minorEastAsia" w:hAnsiTheme="minorEastAsia"/>
          <w:color w:val="000000" w:themeColor="text1"/>
          <w:szCs w:val="21"/>
        </w:rPr>
        <w:t>上刊登公告。</w:t>
      </w:r>
    </w:p>
    <w:p w:rsidR="0060669A"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692" w:name="_Toc328061399"/>
      <w:bookmarkStart w:id="3693" w:name="_Toc94172460"/>
      <w:r w:rsidRPr="005A7DE6">
        <w:rPr>
          <w:rFonts w:asciiTheme="minorEastAsia" w:eastAsiaTheme="minorEastAsia" w:hAnsiTheme="minorEastAsia" w:hint="eastAsia"/>
          <w:b w:val="0"/>
          <w:color w:val="000000" w:themeColor="text1"/>
        </w:rPr>
        <w:t>（二</w:t>
      </w:r>
      <w:r w:rsidRPr="005A7DE6" w:rsidR="00666794">
        <w:rPr>
          <w:rFonts w:asciiTheme="minorEastAsia" w:eastAsiaTheme="minorEastAsia" w:hAnsiTheme="minorEastAsia"/>
          <w:b w:val="0"/>
          <w:color w:val="000000" w:themeColor="text1"/>
        </w:rPr>
        <w:t>）</w:t>
      </w:r>
      <w:r w:rsidRPr="005A7DE6">
        <w:rPr>
          <w:rFonts w:asciiTheme="minorEastAsia" w:eastAsiaTheme="minorEastAsia" w:hAnsiTheme="minorEastAsia" w:hint="eastAsia"/>
          <w:b w:val="0"/>
          <w:color w:val="000000" w:themeColor="text1"/>
        </w:rPr>
        <w:t>与基金销售相关的费用</w:t>
      </w:r>
      <w:bookmarkEnd w:id="3692"/>
      <w:bookmarkEnd w:id="3693"/>
    </w:p>
    <w:p w:rsidR="0060669A"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1</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本基金的申购费、赎回费的费率水平、计算公式</w:t>
      </w:r>
      <w:r w:rsidRPr="005A7DE6">
        <w:rPr>
          <w:rFonts w:asciiTheme="minorEastAsia" w:eastAsiaTheme="minorEastAsia" w:hAnsiTheme="minorEastAsia" w:hint="eastAsia"/>
          <w:color w:val="000000" w:themeColor="text1"/>
          <w:szCs w:val="21"/>
        </w:rPr>
        <w:t>和</w:t>
      </w:r>
      <w:r w:rsidRPr="005A7DE6">
        <w:rPr>
          <w:rFonts w:asciiTheme="minorEastAsia" w:eastAsiaTheme="minorEastAsia" w:hAnsiTheme="minorEastAsia"/>
          <w:color w:val="000000" w:themeColor="text1"/>
          <w:szCs w:val="21"/>
        </w:rPr>
        <w:t>收取方式详见本招募说明书</w:t>
      </w:r>
      <w:r w:rsidRPr="005A7DE6" w:rsidR="005D6BAB">
        <w:rPr>
          <w:rFonts w:asciiTheme="minorEastAsia" w:eastAsiaTheme="minorEastAsia" w:hAnsiTheme="minorEastAsia" w:hint="eastAsia"/>
          <w:color w:val="000000" w:themeColor="text1"/>
          <w:szCs w:val="21"/>
        </w:rPr>
        <w:t>“八、基金份额的申购、赎回”中</w:t>
      </w:r>
      <w:r w:rsidRPr="005A7DE6" w:rsidR="00FE31FF">
        <w:rPr>
          <w:rFonts w:asciiTheme="minorEastAsia" w:eastAsiaTheme="minorEastAsia" w:hAnsiTheme="minorEastAsia" w:hint="eastAsia"/>
          <w:color w:val="000000" w:themeColor="text1"/>
          <w:szCs w:val="21"/>
        </w:rPr>
        <w:t>“</w:t>
      </w:r>
      <w:r w:rsidRPr="005A7DE6" w:rsidR="00FE31FF">
        <w:rPr>
          <w:rFonts w:asciiTheme="minorEastAsia" w:eastAsiaTheme="minorEastAsia" w:hAnsiTheme="minorEastAsia"/>
          <w:color w:val="000000" w:themeColor="text1"/>
          <w:szCs w:val="21"/>
        </w:rPr>
        <w:t>（七）基金的申购费和赎回费</w:t>
      </w:r>
      <w:r w:rsidRPr="005A7DE6" w:rsidR="00FE31FF">
        <w:rPr>
          <w:rFonts w:asciiTheme="minorEastAsia" w:eastAsiaTheme="minorEastAsia" w:hAnsiTheme="minorEastAsia" w:hint="eastAsia"/>
          <w:color w:val="000000" w:themeColor="text1"/>
          <w:szCs w:val="21"/>
        </w:rPr>
        <w:t>”和“</w:t>
      </w:r>
      <w:r w:rsidRPr="005A7DE6" w:rsidR="00FE31FF">
        <w:rPr>
          <w:rFonts w:asciiTheme="minorEastAsia" w:eastAsiaTheme="minorEastAsia" w:hAnsiTheme="minorEastAsia"/>
          <w:color w:val="000000" w:themeColor="text1"/>
          <w:szCs w:val="21"/>
        </w:rPr>
        <w:t>（八）申购和赎回的数额和价格</w:t>
      </w:r>
      <w:r w:rsidRPr="005A7DE6" w:rsidR="00FE31FF">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的相关规定。</w:t>
      </w:r>
    </w:p>
    <w:p w:rsidR="0060669A"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2</w:t>
      </w: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color w:val="000000" w:themeColor="text1"/>
        </w:rPr>
        <w:t>转换费率</w:t>
      </w:r>
    </w:p>
    <w:p w:rsidR="0060669A"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目前，基金管理人已开通了本基金与旗下部分开放式基金之间的转换业务，具体实施办法和转换费率详见相关公告。基金转换费由基金份额持有人承担，由转出基金赎回费用及基金申购补差费用构成，其中赎回费按照</w:t>
      </w:r>
      <w:r w:rsidRPr="005A7DE6" w:rsidR="00E41492">
        <w:rPr>
          <w:rFonts w:asciiTheme="minorEastAsia" w:eastAsiaTheme="minorEastAsia" w:hAnsiTheme="minorEastAsia" w:hint="eastAsia"/>
          <w:color w:val="000000" w:themeColor="text1"/>
          <w:szCs w:val="21"/>
        </w:rPr>
        <w:t>各基金</w:t>
      </w:r>
      <w:r w:rsidRPr="005A7DE6" w:rsidR="00E41492">
        <w:rPr>
          <w:rFonts w:asciiTheme="minorEastAsia" w:eastAsiaTheme="minorEastAsia" w:hAnsiTheme="minorEastAsia"/>
          <w:color w:val="000000" w:themeColor="text1"/>
          <w:szCs w:val="21"/>
        </w:rPr>
        <w:t>的</w:t>
      </w:r>
      <w:r w:rsidRPr="005A7DE6">
        <w:rPr>
          <w:rFonts w:asciiTheme="minorEastAsia" w:eastAsiaTheme="minorEastAsia" w:hAnsiTheme="minorEastAsia" w:hint="eastAsia"/>
          <w:color w:val="000000" w:themeColor="text1"/>
          <w:szCs w:val="21"/>
        </w:rPr>
        <w:t>基金合同、更新的招募说明书及最新的相关公告约定的比例归入基金财产，其余部分用于支付注册登记费等相关手续费，</w:t>
      </w:r>
      <w:r w:rsidRPr="005A7DE6">
        <w:rPr>
          <w:rFonts w:asciiTheme="minorEastAsia" w:eastAsiaTheme="minorEastAsia" w:hAnsiTheme="minorEastAsia"/>
          <w:color w:val="000000" w:themeColor="text1"/>
          <w:szCs w:val="21"/>
        </w:rPr>
        <w:t>转换费用以人民币元为单位，计算结果按照四舍五入方法，保留小数点后两位</w:t>
      </w:r>
      <w:r w:rsidRPr="005A7DE6">
        <w:rPr>
          <w:rFonts w:asciiTheme="minorEastAsia" w:eastAsiaTheme="minorEastAsia" w:hAnsiTheme="minorEastAsia" w:hint="eastAsia"/>
          <w:color w:val="000000" w:themeColor="text1"/>
          <w:szCs w:val="21"/>
        </w:rPr>
        <w:t>。</w:t>
      </w:r>
    </w:p>
    <w:p w:rsidR="0060669A"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3</w:t>
      </w:r>
      <w:r w:rsidRPr="005A7DE6">
        <w:rPr>
          <w:rFonts w:asciiTheme="minorEastAsia" w:eastAsiaTheme="minorEastAsia" w:hAnsiTheme="minorEastAsia" w:hint="eastAsia"/>
          <w:color w:val="000000" w:themeColor="text1"/>
          <w:szCs w:val="21"/>
        </w:rPr>
        <w:t>、投资者通过本公司网上交易系统（</w:t>
      </w:r>
      <w:r w:rsidRPr="005A7DE6">
        <w:rPr>
          <w:rFonts w:asciiTheme="minorEastAsia" w:eastAsiaTheme="minorEastAsia" w:hAnsiTheme="minorEastAsia" w:hint="eastAsia"/>
          <w:color w:val="000000" w:themeColor="text1"/>
          <w:szCs w:val="21"/>
        </w:rPr>
        <w:t>www.efunds.com.cn</w:t>
      </w:r>
      <w:r w:rsidRPr="005A7DE6">
        <w:rPr>
          <w:rFonts w:asciiTheme="minorEastAsia" w:eastAsiaTheme="minorEastAsia" w:hAnsiTheme="minorEastAsia" w:hint="eastAsia"/>
          <w:color w:val="000000" w:themeColor="text1"/>
          <w:szCs w:val="21"/>
        </w:rPr>
        <w:t>）进行申购、赎回和转换的交</w:t>
      </w:r>
      <w:r w:rsidRPr="005A7DE6">
        <w:rPr>
          <w:rFonts w:asciiTheme="minorEastAsia" w:eastAsiaTheme="minorEastAsia" w:hAnsiTheme="minorEastAsia" w:hint="eastAsia"/>
          <w:color w:val="000000" w:themeColor="text1"/>
          <w:szCs w:val="21"/>
        </w:rPr>
        <w:t>易费率，请具体参照我公司网站上的相关说明。</w:t>
      </w:r>
    </w:p>
    <w:p w:rsidR="0060669A"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4</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基金管理人可以在基金合同规定的范围内调整</w:t>
      </w:r>
      <w:r w:rsidRPr="005A7DE6">
        <w:rPr>
          <w:rFonts w:asciiTheme="minorEastAsia" w:eastAsiaTheme="minorEastAsia" w:hAnsiTheme="minorEastAsia" w:hint="eastAsia"/>
          <w:color w:val="000000" w:themeColor="text1"/>
          <w:szCs w:val="21"/>
        </w:rPr>
        <w:t>上述</w:t>
      </w:r>
      <w:r w:rsidRPr="005A7DE6">
        <w:rPr>
          <w:rFonts w:asciiTheme="minorEastAsia" w:eastAsiaTheme="minorEastAsia" w:hAnsiTheme="minorEastAsia"/>
          <w:color w:val="000000" w:themeColor="text1"/>
          <w:szCs w:val="21"/>
        </w:rPr>
        <w:t>费率</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上述费率如发生变更，基金管理人应最迟于新的费率实施前在</w:t>
      </w:r>
      <w:r w:rsidRPr="005A7DE6" w:rsidR="00B238D7">
        <w:rPr>
          <w:rFonts w:asciiTheme="minorEastAsia" w:eastAsiaTheme="minorEastAsia" w:hAnsiTheme="minorEastAsia"/>
          <w:color w:val="000000" w:themeColor="text1"/>
          <w:szCs w:val="21"/>
        </w:rPr>
        <w:t>指定媒介</w:t>
      </w:r>
      <w:r w:rsidRPr="005A7DE6">
        <w:rPr>
          <w:rFonts w:asciiTheme="minorEastAsia" w:eastAsiaTheme="minorEastAsia" w:hAnsiTheme="minorEastAsia"/>
          <w:color w:val="000000" w:themeColor="text1"/>
          <w:szCs w:val="21"/>
        </w:rPr>
        <w:t>公告。</w:t>
      </w:r>
    </w:p>
    <w:p w:rsidR="0060669A"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5</w:t>
      </w:r>
      <w:r w:rsidRPr="005A7DE6">
        <w:rPr>
          <w:rFonts w:asciiTheme="minorEastAsia" w:eastAsiaTheme="minorEastAsia" w:hAnsiTheme="minorEastAsia" w:hint="eastAsia"/>
          <w:color w:val="000000" w:themeColor="text1"/>
          <w:szCs w:val="21"/>
        </w:rPr>
        <w:t>、</w:t>
      </w:r>
      <w:r w:rsidRPr="005A7DE6" w:rsidR="00875755">
        <w:rPr>
          <w:rFonts w:asciiTheme="minorEastAsia" w:eastAsiaTheme="minorEastAsia" w:hAnsiTheme="minorEastAsia" w:hint="eastAsia"/>
          <w:color w:val="000000" w:themeColor="text1"/>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C700D2" w:rsidRPr="005A7DE6" w:rsidP="00C05732">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3694" w:name="_Toc94172461"/>
      <w:r w:rsidRPr="005A7DE6">
        <w:rPr>
          <w:rFonts w:asciiTheme="minorEastAsia" w:eastAsiaTheme="minorEastAsia" w:hAnsiTheme="minorEastAsia" w:hint="eastAsia"/>
          <w:b w:val="0"/>
          <w:color w:val="000000" w:themeColor="text1"/>
        </w:rPr>
        <w:t>（三）实施侧袋机制期间的基金费用</w:t>
      </w:r>
      <w:bookmarkEnd w:id="3694"/>
    </w:p>
    <w:p w:rsidR="00C700D2" w:rsidRPr="005A7DE6" w:rsidP="00C700D2">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本基金实施侧袋机制的，与侧袋账户有关的费用可以从侧袋账户中列支，但应待侧袋账户资产变现后方可列支，有关费用可酌情收取或减免，但不得收取管理费。</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695" w:name="_Toc94172462"/>
      <w:r w:rsidRPr="005A7DE6">
        <w:rPr>
          <w:rFonts w:asciiTheme="minorEastAsia" w:eastAsiaTheme="minorEastAsia" w:hAnsiTheme="minorEastAsia"/>
          <w:b w:val="0"/>
          <w:color w:val="000000" w:themeColor="text1"/>
        </w:rPr>
        <w:t>（</w:t>
      </w:r>
      <w:r w:rsidRPr="005A7DE6" w:rsidR="00C700D2">
        <w:rPr>
          <w:rFonts w:asciiTheme="minorEastAsia" w:eastAsiaTheme="minorEastAsia" w:hAnsiTheme="minorEastAsia" w:hint="eastAsia"/>
          <w:b w:val="0"/>
          <w:color w:val="000000" w:themeColor="text1"/>
        </w:rPr>
        <w:t>四</w:t>
      </w:r>
      <w:r w:rsidRPr="005A7DE6">
        <w:rPr>
          <w:rFonts w:asciiTheme="minorEastAsia" w:eastAsiaTheme="minorEastAsia" w:hAnsiTheme="minorEastAsia"/>
          <w:b w:val="0"/>
          <w:color w:val="000000" w:themeColor="text1"/>
        </w:rPr>
        <w:t>）税收</w:t>
      </w:r>
      <w:bookmarkEnd w:id="3695"/>
    </w:p>
    <w:p w:rsidR="00BA4B87" w:rsidRPr="005A7DE6" w:rsidP="006B758F">
      <w:pPr>
        <w:snapToGrid w:val="0"/>
        <w:spacing w:line="360" w:lineRule="auto"/>
        <w:ind w:firstLine="472" w:firstLineChars="225"/>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基金和基金份额持有人根据国家法律法规的规定，履行纳税义务。</w:t>
      </w:r>
    </w:p>
    <w:p w:rsidR="00BA4B87" w:rsidRPr="005A7DE6" w:rsidP="006B758F">
      <w:pPr>
        <w:pStyle w:val="111"/>
        <w:pageBreakBefore w:val="0"/>
        <w:snapToGrid w:val="0"/>
        <w:spacing w:beforeLines="0" w:afterLines="0" w:line="360" w:lineRule="auto"/>
        <w:ind w:firstLine="600"/>
        <w:rPr>
          <w:rFonts w:asciiTheme="minorEastAsia" w:eastAsiaTheme="minorEastAsia" w:hAnsiTheme="minorEastAsia"/>
          <w:b/>
          <w:color w:val="000000" w:themeColor="text1"/>
          <w:sz w:val="30"/>
        </w:rPr>
      </w:pPr>
      <w:r w:rsidRPr="005A7DE6">
        <w:rPr>
          <w:rFonts w:asciiTheme="minorEastAsia" w:eastAsiaTheme="minorEastAsia" w:hAnsiTheme="minorEastAsia"/>
          <w:color w:val="000000" w:themeColor="text1"/>
          <w:sz w:val="30"/>
        </w:rPr>
        <w:br w:type="page"/>
      </w:r>
      <w:bookmarkStart w:id="3696" w:name="_Toc94172463"/>
      <w:r w:rsidRPr="005A7DE6" w:rsidR="008245B1">
        <w:rPr>
          <w:rFonts w:asciiTheme="minorEastAsia" w:eastAsiaTheme="minorEastAsia" w:hAnsiTheme="minorEastAsia"/>
          <w:b/>
          <w:color w:val="000000" w:themeColor="text1"/>
          <w:sz w:val="30"/>
        </w:rPr>
        <w:t>十</w:t>
      </w:r>
      <w:r w:rsidRPr="005A7DE6" w:rsidR="008245B1">
        <w:rPr>
          <w:rFonts w:asciiTheme="minorEastAsia" w:eastAsiaTheme="minorEastAsia" w:hAnsiTheme="minorEastAsia" w:hint="eastAsia"/>
          <w:b/>
          <w:color w:val="000000" w:themeColor="text1"/>
          <w:sz w:val="30"/>
        </w:rPr>
        <w:t>七</w:t>
      </w:r>
      <w:r w:rsidRPr="005A7DE6">
        <w:rPr>
          <w:rFonts w:asciiTheme="minorEastAsia" w:eastAsiaTheme="minorEastAsia" w:hAnsiTheme="minorEastAsia"/>
          <w:b/>
          <w:color w:val="000000" w:themeColor="text1"/>
          <w:sz w:val="30"/>
        </w:rPr>
        <w:t>、基金的会计与审计</w:t>
      </w:r>
      <w:bookmarkEnd w:id="3696"/>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697" w:name="_Toc94172464"/>
      <w:r w:rsidRPr="005A7DE6">
        <w:rPr>
          <w:rFonts w:asciiTheme="minorEastAsia" w:eastAsiaTheme="minorEastAsia" w:hAnsiTheme="minorEastAsia"/>
          <w:b w:val="0"/>
          <w:color w:val="000000" w:themeColor="text1"/>
        </w:rPr>
        <w:t>（一）基金会计政策</w:t>
      </w:r>
      <w:bookmarkEnd w:id="3697"/>
    </w:p>
    <w:p w:rsidR="003622FA"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、基金管理人为本基金的会计责任方；</w:t>
      </w:r>
    </w:p>
    <w:p w:rsidR="000553C5"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w:t>
      </w:r>
      <w:r w:rsidRPr="005A7DE6">
        <w:rPr>
          <w:rFonts w:asciiTheme="minorEastAsia" w:eastAsiaTheme="minorEastAsia" w:hAnsiTheme="minorEastAsia"/>
          <w:color w:val="000000" w:themeColor="text1"/>
        </w:rPr>
        <w:t>、本基金的会计年度为公历每年的</w:t>
      </w:r>
      <w:r w:rsidRPr="005A7DE6">
        <w:rPr>
          <w:rFonts w:asciiTheme="minorEastAsia" w:eastAsiaTheme="minorEastAsia" w:hAnsiTheme="minorEastAsia"/>
          <w:color w:val="000000" w:themeColor="text1"/>
        </w:rPr>
        <w:t>1</w:t>
      </w:r>
      <w:r w:rsidRPr="005A7DE6">
        <w:rPr>
          <w:rFonts w:asciiTheme="minorEastAsia" w:eastAsiaTheme="minorEastAsia" w:hAnsiTheme="minorEastAsia"/>
          <w:color w:val="000000" w:themeColor="text1"/>
        </w:rPr>
        <w:t>月</w:t>
      </w:r>
      <w:r w:rsidRPr="005A7DE6">
        <w:rPr>
          <w:rFonts w:asciiTheme="minorEastAsia" w:eastAsiaTheme="minorEastAsia" w:hAnsiTheme="minorEastAsia"/>
          <w:color w:val="000000" w:themeColor="text1"/>
        </w:rPr>
        <w:t>1</w:t>
      </w:r>
      <w:r w:rsidRPr="005A7DE6">
        <w:rPr>
          <w:rFonts w:asciiTheme="minorEastAsia" w:eastAsiaTheme="minorEastAsia" w:hAnsiTheme="minorEastAsia"/>
          <w:color w:val="000000" w:themeColor="text1"/>
        </w:rPr>
        <w:t>日至</w:t>
      </w:r>
      <w:r w:rsidRPr="005A7DE6">
        <w:rPr>
          <w:rFonts w:asciiTheme="minorEastAsia" w:eastAsiaTheme="minorEastAsia" w:hAnsiTheme="minorEastAsia"/>
          <w:color w:val="000000" w:themeColor="text1"/>
        </w:rPr>
        <w:t>12</w:t>
      </w:r>
      <w:r w:rsidRPr="005A7DE6">
        <w:rPr>
          <w:rFonts w:asciiTheme="minorEastAsia" w:eastAsiaTheme="minorEastAsia" w:hAnsiTheme="minorEastAsia"/>
          <w:color w:val="000000" w:themeColor="text1"/>
        </w:rPr>
        <w:t>月</w:t>
      </w:r>
      <w:r w:rsidRPr="005A7DE6">
        <w:rPr>
          <w:rFonts w:asciiTheme="minorEastAsia" w:eastAsiaTheme="minorEastAsia" w:hAnsiTheme="minorEastAsia"/>
          <w:color w:val="000000" w:themeColor="text1"/>
        </w:rPr>
        <w:t>31</w:t>
      </w:r>
      <w:r w:rsidRPr="005A7DE6">
        <w:rPr>
          <w:rFonts w:asciiTheme="minorEastAsia" w:eastAsiaTheme="minorEastAsia" w:hAnsiTheme="minorEastAsia"/>
          <w:color w:val="000000" w:themeColor="text1"/>
        </w:rPr>
        <w:t>日；</w:t>
      </w:r>
    </w:p>
    <w:p w:rsidR="000553C5"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w:t>
      </w:r>
      <w:r w:rsidRPr="005A7DE6">
        <w:rPr>
          <w:rFonts w:asciiTheme="minorEastAsia" w:eastAsiaTheme="minorEastAsia" w:hAnsiTheme="minorEastAsia"/>
          <w:color w:val="000000" w:themeColor="text1"/>
        </w:rPr>
        <w:t>、本基金的会计核算以人民币为记账本位币，以人民币元为记账单位；</w:t>
      </w:r>
    </w:p>
    <w:p w:rsidR="000553C5"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4</w:t>
      </w:r>
      <w:r w:rsidRPr="005A7DE6">
        <w:rPr>
          <w:rFonts w:asciiTheme="minorEastAsia" w:eastAsiaTheme="minorEastAsia" w:hAnsiTheme="minorEastAsia"/>
          <w:color w:val="000000" w:themeColor="text1"/>
          <w:szCs w:val="21"/>
        </w:rPr>
        <w:t>、会计制度执行国家有关的会计制度；</w:t>
      </w:r>
    </w:p>
    <w:p w:rsidR="000553C5"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5</w:t>
      </w:r>
      <w:r w:rsidRPr="005A7DE6">
        <w:rPr>
          <w:rFonts w:asciiTheme="minorEastAsia" w:eastAsiaTheme="minorEastAsia" w:hAnsiTheme="minorEastAsia"/>
          <w:color w:val="000000" w:themeColor="text1"/>
          <w:szCs w:val="21"/>
        </w:rPr>
        <w:t>、本基金独立建账、独立核算；</w:t>
      </w:r>
    </w:p>
    <w:p w:rsidR="000553C5"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6</w:t>
      </w:r>
      <w:r w:rsidRPr="005A7DE6">
        <w:rPr>
          <w:rFonts w:asciiTheme="minorEastAsia" w:eastAsiaTheme="minorEastAsia" w:hAnsiTheme="minorEastAsia"/>
          <w:color w:val="000000" w:themeColor="text1"/>
          <w:szCs w:val="21"/>
        </w:rPr>
        <w:t>、基金管理人保留完整的会计账目、凭证并进行日常的会计核算，按照有关规定编制基金会计报表；</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7</w:t>
      </w:r>
      <w:r w:rsidRPr="005A7DE6">
        <w:rPr>
          <w:rFonts w:asciiTheme="minorEastAsia" w:eastAsiaTheme="minorEastAsia" w:hAnsiTheme="minorEastAsia"/>
          <w:color w:val="000000" w:themeColor="text1"/>
          <w:szCs w:val="21"/>
        </w:rPr>
        <w:t>、基金托管人定期与基金管理人就基金的会计核算、报表编制等进行核对并书面确认。</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698" w:name="_Toc94172465"/>
      <w:r w:rsidRPr="005A7DE6">
        <w:rPr>
          <w:rFonts w:asciiTheme="minorEastAsia" w:eastAsiaTheme="minorEastAsia" w:hAnsiTheme="minorEastAsia"/>
          <w:b w:val="0"/>
          <w:color w:val="000000" w:themeColor="text1"/>
        </w:rPr>
        <w:t>（二）基金审计</w:t>
      </w:r>
      <w:bookmarkEnd w:id="3698"/>
    </w:p>
    <w:p w:rsidR="00F63CAF"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、基金管理人聘请具有从事证券</w:t>
      </w:r>
      <w:r w:rsidRPr="005A7DE6" w:rsidR="00A83831">
        <w:rPr>
          <w:rFonts w:asciiTheme="minorEastAsia" w:eastAsiaTheme="minorEastAsia" w:hAnsiTheme="minorEastAsia" w:hint="eastAsia"/>
          <w:color w:val="000000" w:themeColor="text1"/>
          <w:szCs w:val="21"/>
        </w:rPr>
        <w:t>、</w:t>
      </w:r>
      <w:r w:rsidRPr="005A7DE6" w:rsidR="00A83831">
        <w:rPr>
          <w:rFonts w:asciiTheme="minorEastAsia" w:eastAsiaTheme="minorEastAsia" w:hAnsiTheme="minorEastAsia"/>
          <w:color w:val="000000" w:themeColor="text1"/>
          <w:szCs w:val="21"/>
        </w:rPr>
        <w:t>期货</w:t>
      </w:r>
      <w:r w:rsidRPr="005A7DE6">
        <w:rPr>
          <w:rFonts w:asciiTheme="minorEastAsia" w:eastAsiaTheme="minorEastAsia" w:hAnsiTheme="minorEastAsia"/>
          <w:color w:val="000000" w:themeColor="text1"/>
          <w:szCs w:val="21"/>
        </w:rPr>
        <w:t>相关业务资格的会计师事务所及其注册会计师对本基金年度财务报表及其他规定事项进行审计。会计师事务所及其注册会计师与基金管理人、基金托管人相互独立。</w:t>
      </w:r>
    </w:p>
    <w:p w:rsidR="00F63CAF"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color w:val="000000" w:themeColor="text1"/>
          <w:szCs w:val="21"/>
        </w:rPr>
        <w:t>、会计师事务所更换经办注册会计师时，应事先征得基金管理人同意。</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w:t>
      </w:r>
      <w:r w:rsidRPr="005A7DE6">
        <w:rPr>
          <w:rFonts w:asciiTheme="minorEastAsia" w:eastAsiaTheme="minorEastAsia" w:hAnsiTheme="minorEastAsia"/>
          <w:color w:val="000000" w:themeColor="text1"/>
          <w:szCs w:val="21"/>
        </w:rPr>
        <w:t>、基金管理人认为有充足理由更换会计师事务所，须通报基金托管人。就更换会计师事务所，基金管理人应当依照《信息披露办法》的有关规定在</w:t>
      </w:r>
      <w:r w:rsidRPr="005A7DE6" w:rsidR="006E73AA">
        <w:rPr>
          <w:rFonts w:asciiTheme="minorEastAsia" w:eastAsiaTheme="minorEastAsia" w:hAnsiTheme="minorEastAsia"/>
          <w:color w:val="000000" w:themeColor="text1"/>
          <w:szCs w:val="21"/>
        </w:rPr>
        <w:t>指定媒介</w:t>
      </w:r>
      <w:r w:rsidRPr="005A7DE6">
        <w:rPr>
          <w:rFonts w:asciiTheme="minorEastAsia" w:eastAsiaTheme="minorEastAsia" w:hAnsiTheme="minorEastAsia"/>
          <w:color w:val="000000" w:themeColor="text1"/>
          <w:szCs w:val="21"/>
        </w:rPr>
        <w:t>上公告。</w:t>
      </w:r>
    </w:p>
    <w:p w:rsidR="00BA4B87" w:rsidRPr="005A7DE6" w:rsidP="006B758F">
      <w:pPr>
        <w:snapToGrid w:val="0"/>
        <w:spacing w:line="360" w:lineRule="auto"/>
        <w:ind w:firstLine="480"/>
        <w:rPr>
          <w:rFonts w:asciiTheme="minorEastAsia" w:eastAsiaTheme="minorEastAsia" w:hAnsiTheme="minorEastAsia"/>
          <w:color w:val="000000" w:themeColor="text1"/>
        </w:rPr>
      </w:pPr>
    </w:p>
    <w:p w:rsidR="00BA4B87" w:rsidRPr="005A7DE6" w:rsidP="006B758F">
      <w:pPr>
        <w:pStyle w:val="111"/>
        <w:pageBreakBefore w:val="0"/>
        <w:snapToGrid w:val="0"/>
        <w:spacing w:beforeLines="0" w:afterLines="0" w:line="360" w:lineRule="auto"/>
        <w:ind w:firstLine="600"/>
        <w:rPr>
          <w:rFonts w:asciiTheme="minorEastAsia" w:eastAsiaTheme="minorEastAsia" w:hAnsiTheme="minorEastAsia"/>
          <w:b/>
          <w:color w:val="000000" w:themeColor="text1"/>
          <w:sz w:val="30"/>
        </w:rPr>
      </w:pPr>
      <w:r w:rsidRPr="005A7DE6">
        <w:rPr>
          <w:rFonts w:asciiTheme="minorEastAsia" w:eastAsiaTheme="minorEastAsia" w:hAnsiTheme="minorEastAsia"/>
          <w:color w:val="000000" w:themeColor="text1"/>
          <w:sz w:val="30"/>
        </w:rPr>
        <w:br w:type="column"/>
      </w:r>
      <w:bookmarkStart w:id="3699" w:name="_Toc94172466"/>
      <w:r w:rsidRPr="005A7DE6" w:rsidR="008245B1">
        <w:rPr>
          <w:rFonts w:asciiTheme="minorEastAsia" w:eastAsiaTheme="minorEastAsia" w:hAnsiTheme="minorEastAsia"/>
          <w:b/>
          <w:color w:val="000000" w:themeColor="text1"/>
          <w:sz w:val="30"/>
        </w:rPr>
        <w:t>十</w:t>
      </w:r>
      <w:r w:rsidRPr="005A7DE6" w:rsidR="008245B1">
        <w:rPr>
          <w:rFonts w:asciiTheme="minorEastAsia" w:eastAsiaTheme="minorEastAsia" w:hAnsiTheme="minorEastAsia" w:hint="eastAsia"/>
          <w:b/>
          <w:color w:val="000000" w:themeColor="text1"/>
          <w:sz w:val="30"/>
        </w:rPr>
        <w:t>八</w:t>
      </w:r>
      <w:r w:rsidRPr="005A7DE6">
        <w:rPr>
          <w:rFonts w:asciiTheme="minorEastAsia" w:eastAsiaTheme="minorEastAsia" w:hAnsiTheme="minorEastAsia"/>
          <w:b/>
          <w:color w:val="000000" w:themeColor="text1"/>
          <w:sz w:val="30"/>
        </w:rPr>
        <w:t>、基金的信息披露</w:t>
      </w:r>
      <w:bookmarkEnd w:id="3699"/>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700" w:name="_Toc94172467"/>
      <w:r w:rsidRPr="005A7DE6">
        <w:rPr>
          <w:rFonts w:asciiTheme="minorEastAsia" w:eastAsiaTheme="minorEastAsia" w:hAnsiTheme="minorEastAsia"/>
          <w:b w:val="0"/>
          <w:color w:val="000000" w:themeColor="text1"/>
        </w:rPr>
        <w:t>（一）信息披露的形式</w:t>
      </w:r>
      <w:bookmarkEnd w:id="3700"/>
    </w:p>
    <w:p w:rsidR="005D286E"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的信息披露应符合《基金法》、《运作办法》、《信息披露办法》、基金合同及其他有关规定。基金管理人、基金托管人和其他基金信息披露义务人应当依法披露基金信息，并保证所披露信息的真实性、准确性和完整性。</w:t>
      </w:r>
    </w:p>
    <w:p w:rsidR="00A83831" w:rsidRPr="005A7DE6" w:rsidP="00A83831">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本基金信息披露义务人包括基金管理人、基金托管人、召集基金份额持有人大会的基金份额持有人等法律、行政法规和中国证监会规定的自然人、法人和非法人组织。</w:t>
      </w:r>
    </w:p>
    <w:p w:rsidR="00A83831" w:rsidRPr="005A7DE6" w:rsidP="00A83831">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本基金信息披露义务人以保护基金份额持有人利益为根本出发点，按照法律法规和中国证监会的规定披露基金信息，并保证所披露信息的真实性、准确性、完整性、及时性、简明性和易得性。</w:t>
      </w:r>
    </w:p>
    <w:p w:rsidR="005D286E" w:rsidRPr="005A7DE6" w:rsidP="00A83831">
      <w:pPr>
        <w:snapToGrid w:val="0"/>
        <w:spacing w:line="360" w:lineRule="auto"/>
        <w:ind w:firstLine="420" w:firstLineChars="200"/>
        <w:rPr>
          <w:rFonts w:asciiTheme="minorEastAsia" w:eastAsiaTheme="minorEastAsia" w:hAnsiTheme="minorEastAsia"/>
          <w:color w:val="000000" w:themeColor="text1"/>
          <w:szCs w:val="21"/>
          <w:shd w:val="pct15" w:color="auto" w:fill="FFFFFF"/>
        </w:rPr>
      </w:pPr>
      <w:r w:rsidRPr="005A7DE6">
        <w:rPr>
          <w:rFonts w:asciiTheme="minorEastAsia" w:eastAsiaTheme="minorEastAsia" w:hAnsiTheme="minorEastAsia" w:hint="eastAsia"/>
          <w:color w:val="000000" w:themeColor="text1"/>
          <w:szCs w:val="21"/>
        </w:rPr>
        <w:t>本基金信息披露义务人应当在中国证监会规定时间内，将应予披露的基金信息通过中国证监会指定的媒介披露，并保证基金投资者能够按照《基金合同》约定的时间和方式查阅或者复制公开披露的信息资料。</w:t>
      </w:r>
    </w:p>
    <w:p w:rsidR="005D286E"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本基金信息</w:t>
      </w:r>
      <w:r w:rsidRPr="005A7DE6">
        <w:rPr>
          <w:rFonts w:asciiTheme="minorEastAsia" w:eastAsiaTheme="minorEastAsia" w:hAnsiTheme="minorEastAsia"/>
          <w:color w:val="000000" w:themeColor="text1"/>
          <w:szCs w:val="21"/>
        </w:rPr>
        <w:t>披露义务人承诺公开披露的基金信息，不得有下列行为：</w:t>
      </w:r>
    </w:p>
    <w:p w:rsidR="005D286E"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、虚假记载、误导性陈述或者重大遗漏；</w:t>
      </w:r>
    </w:p>
    <w:p w:rsidR="005D286E"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color w:val="000000" w:themeColor="text1"/>
          <w:szCs w:val="21"/>
        </w:rPr>
        <w:t>、对证券投资业绩进行预测；</w:t>
      </w:r>
    </w:p>
    <w:p w:rsidR="005D286E"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w:t>
      </w:r>
      <w:r w:rsidRPr="005A7DE6">
        <w:rPr>
          <w:rFonts w:asciiTheme="minorEastAsia" w:eastAsiaTheme="minorEastAsia" w:hAnsiTheme="minorEastAsia"/>
          <w:color w:val="000000" w:themeColor="text1"/>
          <w:szCs w:val="21"/>
        </w:rPr>
        <w:t>、违规承诺收益或者承担损失；</w:t>
      </w:r>
    </w:p>
    <w:p w:rsidR="005D286E"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4</w:t>
      </w:r>
      <w:r w:rsidRPr="005A7DE6">
        <w:rPr>
          <w:rFonts w:asciiTheme="minorEastAsia" w:eastAsiaTheme="minorEastAsia" w:hAnsiTheme="minorEastAsia"/>
          <w:color w:val="000000" w:themeColor="text1"/>
          <w:szCs w:val="21"/>
        </w:rPr>
        <w:t>、诋毁其他基金管理人、基金托管人或者</w:t>
      </w:r>
      <w:r w:rsidRPr="005A7DE6" w:rsidR="00E30B9F">
        <w:rPr>
          <w:rFonts w:asciiTheme="minorEastAsia" w:eastAsiaTheme="minorEastAsia" w:hAnsiTheme="minorEastAsia" w:hint="eastAsia"/>
          <w:color w:val="000000" w:themeColor="text1"/>
          <w:szCs w:val="21"/>
        </w:rPr>
        <w:t>销售</w:t>
      </w:r>
      <w:r w:rsidRPr="005A7DE6">
        <w:rPr>
          <w:rFonts w:asciiTheme="minorEastAsia" w:eastAsiaTheme="minorEastAsia" w:hAnsiTheme="minorEastAsia"/>
          <w:color w:val="000000" w:themeColor="text1"/>
          <w:szCs w:val="21"/>
        </w:rPr>
        <w:t>机构；</w:t>
      </w:r>
    </w:p>
    <w:p w:rsidR="005D286E"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5</w:t>
      </w:r>
      <w:r w:rsidRPr="005A7DE6">
        <w:rPr>
          <w:rFonts w:asciiTheme="minorEastAsia" w:eastAsiaTheme="minorEastAsia" w:hAnsiTheme="minorEastAsia"/>
          <w:color w:val="000000" w:themeColor="text1"/>
          <w:szCs w:val="21"/>
        </w:rPr>
        <w:t>、登载任何自然人、法人</w:t>
      </w:r>
      <w:r w:rsidRPr="005A7DE6" w:rsidR="00A83831">
        <w:rPr>
          <w:rFonts w:asciiTheme="minorEastAsia" w:eastAsiaTheme="minorEastAsia" w:hAnsiTheme="minorEastAsia" w:hint="eastAsia"/>
          <w:color w:val="000000" w:themeColor="text1"/>
          <w:szCs w:val="21"/>
        </w:rPr>
        <w:t>和</w:t>
      </w:r>
      <w:r w:rsidRPr="005A7DE6" w:rsidR="00A83831">
        <w:rPr>
          <w:rFonts w:asciiTheme="minorEastAsia" w:eastAsiaTheme="minorEastAsia" w:hAnsiTheme="minorEastAsia" w:hint="eastAsia"/>
          <w:bCs/>
          <w:color w:val="000000" w:themeColor="text1"/>
          <w:szCs w:val="21"/>
        </w:rPr>
        <w:t>非法人组织</w:t>
      </w:r>
      <w:r w:rsidRPr="005A7DE6">
        <w:rPr>
          <w:rFonts w:asciiTheme="minorEastAsia" w:eastAsiaTheme="minorEastAsia" w:hAnsiTheme="minorEastAsia"/>
          <w:color w:val="000000" w:themeColor="text1"/>
          <w:szCs w:val="21"/>
        </w:rPr>
        <w:t>的祝贺性、恭维性或推荐性的文字；</w:t>
      </w:r>
    </w:p>
    <w:p w:rsidR="005D286E"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6</w:t>
      </w:r>
      <w:r w:rsidRPr="005A7DE6">
        <w:rPr>
          <w:rFonts w:asciiTheme="minorEastAsia" w:eastAsiaTheme="minorEastAsia" w:hAnsiTheme="minorEastAsia"/>
          <w:color w:val="000000" w:themeColor="text1"/>
          <w:szCs w:val="21"/>
        </w:rPr>
        <w:t>、中国证监会禁止的其他行为。</w:t>
      </w:r>
    </w:p>
    <w:p w:rsidR="005D286E"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本基金公开披露的信息应采用中文文本。如同时采用外文文本的，基金信息披露义务人应保证</w:t>
      </w:r>
      <w:r w:rsidRPr="005A7DE6">
        <w:rPr>
          <w:rFonts w:asciiTheme="minorEastAsia" w:eastAsiaTheme="minorEastAsia" w:hAnsiTheme="minorEastAsia" w:hint="eastAsia"/>
          <w:bCs/>
          <w:color w:val="000000" w:themeColor="text1"/>
          <w:szCs w:val="21"/>
        </w:rPr>
        <w:t>不同</w:t>
      </w:r>
      <w:r w:rsidRPr="005A7DE6">
        <w:rPr>
          <w:rFonts w:asciiTheme="minorEastAsia" w:eastAsiaTheme="minorEastAsia" w:hAnsiTheme="minorEastAsia" w:hint="eastAsia"/>
          <w:color w:val="000000" w:themeColor="text1"/>
          <w:szCs w:val="21"/>
        </w:rPr>
        <w:t>文本的内容一致。不同文本之间发生歧义的，以中文文本为准。</w:t>
      </w:r>
    </w:p>
    <w:p w:rsidR="005D286E"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本基金公开披露的信息采用阿拉伯数字；除特别说明外，货币单位为人民币元。</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701" w:name="_Toc94172468"/>
      <w:r w:rsidRPr="005A7DE6">
        <w:rPr>
          <w:rFonts w:asciiTheme="minorEastAsia" w:eastAsiaTheme="minorEastAsia" w:hAnsiTheme="minorEastAsia"/>
          <w:b w:val="0"/>
          <w:color w:val="000000" w:themeColor="text1"/>
        </w:rPr>
        <w:t>（二）信息披露的种类、披露时间和披露形式</w:t>
      </w:r>
      <w:bookmarkEnd w:id="3701"/>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、招募说明书</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基金招募说明书应当最大限度地披露影响基金投资者决策的全部事项，说明基金认购、申购和赎回安排、基金投资、基金产品特性、风险揭示、信息披露及基金份额持有人服务等内容。</w:t>
      </w:r>
      <w:r w:rsidRPr="005A7DE6">
        <w:rPr>
          <w:rFonts w:asciiTheme="minorEastAsia" w:eastAsiaTheme="minorEastAsia" w:hAnsiTheme="minorEastAsia" w:hint="eastAsia"/>
          <w:bCs/>
          <w:color w:val="000000" w:themeColor="text1"/>
          <w:szCs w:val="21"/>
        </w:rPr>
        <w:t>基金合同生效后，基金招募说明书的信息发生重大变更的，基金管理人应当在三个工作日内，更新基金招募说明书并登载在指定网站上；基金招募</w:t>
      </w:r>
      <w:r w:rsidRPr="005A7DE6">
        <w:rPr>
          <w:rFonts w:asciiTheme="minorEastAsia" w:eastAsiaTheme="minorEastAsia" w:hAnsiTheme="minorEastAsia"/>
          <w:bCs/>
          <w:color w:val="000000" w:themeColor="text1"/>
          <w:szCs w:val="21"/>
        </w:rPr>
        <w:t>说明书其他信息发生变更的</w:t>
      </w:r>
      <w:r w:rsidRPr="005A7DE6">
        <w:rPr>
          <w:rFonts w:asciiTheme="minorEastAsia" w:eastAsiaTheme="minorEastAsia" w:hAnsiTheme="minorEastAsia" w:hint="eastAsia"/>
          <w:bCs/>
          <w:color w:val="000000" w:themeColor="text1"/>
          <w:szCs w:val="21"/>
        </w:rPr>
        <w:t>，基金管理人至少每年更新一次。基金终止运作的，基金管理人不再更新基金</w:t>
      </w:r>
      <w:r w:rsidRPr="005A7DE6">
        <w:rPr>
          <w:rFonts w:asciiTheme="minorEastAsia" w:eastAsiaTheme="minorEastAsia" w:hAnsiTheme="minorEastAsia" w:hint="eastAsia"/>
          <w:bCs/>
          <w:color w:val="000000" w:themeColor="text1"/>
          <w:szCs w:val="21"/>
        </w:rPr>
        <w:t>招募说明书</w:t>
      </w:r>
      <w:r w:rsidRPr="005A7DE6">
        <w:rPr>
          <w:rFonts w:asciiTheme="minorEastAsia" w:eastAsiaTheme="minorEastAsia" w:hAnsiTheme="minorEastAsia" w:hint="eastAsia"/>
          <w:color w:val="000000" w:themeColor="text1"/>
          <w:szCs w:val="21"/>
        </w:rPr>
        <w:t>。</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w:t>
      </w:r>
      <w:r w:rsidRPr="005A7DE6">
        <w:rPr>
          <w:rFonts w:asciiTheme="minorEastAsia" w:eastAsiaTheme="minorEastAsia" w:hAnsiTheme="minorEastAsia"/>
          <w:color w:val="000000" w:themeColor="text1"/>
        </w:rPr>
        <w:t>、基金合同、托管协议</w:t>
      </w:r>
    </w:p>
    <w:p w:rsidR="00A83831" w:rsidRPr="005A7DE6" w:rsidP="00A83831">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《基金合同》是界定《基金合同》当事人的各项权利、义务关系，明确基金份额持有人大会召开的规则及具体程序，说明基金产品的特性等涉及基金投资者重大利益的事项的法律</w:t>
      </w:r>
      <w:r w:rsidRPr="005A7DE6">
        <w:rPr>
          <w:rFonts w:asciiTheme="minorEastAsia" w:eastAsiaTheme="minorEastAsia" w:hAnsiTheme="minorEastAsia" w:hint="eastAsia"/>
          <w:color w:val="000000" w:themeColor="text1"/>
        </w:rPr>
        <w:t>文件。</w:t>
      </w:r>
    </w:p>
    <w:p w:rsidR="00A83831" w:rsidRPr="005A7DE6" w:rsidP="00A83831">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基金托管协议是界定基金托管人和基金管理人在基金财产保管及基金运作监督等活动中的权利、义务关系的法律文件。</w:t>
      </w:r>
    </w:p>
    <w:p w:rsidR="00A83831" w:rsidRPr="005A7DE6" w:rsidP="00A83831">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基金管理人应在基金份额发售的</w:t>
      </w:r>
      <w:r w:rsidRPr="005A7DE6">
        <w:rPr>
          <w:rFonts w:asciiTheme="minorEastAsia" w:eastAsiaTheme="minorEastAsia" w:hAnsiTheme="minorEastAsia"/>
          <w:color w:val="000000" w:themeColor="text1"/>
        </w:rPr>
        <w:t>3</w:t>
      </w:r>
      <w:r w:rsidRPr="005A7DE6">
        <w:rPr>
          <w:rFonts w:asciiTheme="minorEastAsia" w:eastAsiaTheme="minorEastAsia" w:hAnsiTheme="minorEastAsia"/>
          <w:color w:val="000000" w:themeColor="text1"/>
        </w:rPr>
        <w:t>日前，将基金合同摘要登载在指定媒介上；基金管理人、基金托管人应将基金合同、托管协议登载在各自网站上。</w:t>
      </w:r>
    </w:p>
    <w:p w:rsidR="00A83831" w:rsidRPr="005A7DE6" w:rsidP="00A83831">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3</w:t>
      </w:r>
      <w:r w:rsidRPr="005A7DE6">
        <w:rPr>
          <w:rFonts w:asciiTheme="minorEastAsia" w:eastAsiaTheme="minorEastAsia" w:hAnsiTheme="minorEastAsia" w:hint="eastAsia"/>
          <w:color w:val="000000" w:themeColor="text1"/>
        </w:rPr>
        <w:t>、基金产品资料概要</w:t>
      </w:r>
    </w:p>
    <w:p w:rsidR="00BA4B87" w:rsidRPr="005A7DE6" w:rsidP="00A83831">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w:t>
      </w:r>
      <w:r w:rsidRPr="005A7DE6">
        <w:rPr>
          <w:rFonts w:asciiTheme="minorEastAsia" w:eastAsiaTheme="minorEastAsia" w:hAnsiTheme="minorEastAsia"/>
          <w:color w:val="000000" w:themeColor="text1"/>
        </w:rPr>
        <w:t>、基金份额发售公告</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基金管理人将按照《基金法》、《信息披露办法》的有关规定，就基金份额发售的具体事宜编制基金份额发售公告，并在披露招募说明书的当日登载于</w:t>
      </w:r>
      <w:r w:rsidRPr="005A7DE6" w:rsidR="006E73AA">
        <w:rPr>
          <w:rFonts w:asciiTheme="minorEastAsia" w:eastAsiaTheme="minorEastAsia" w:hAnsiTheme="minorEastAsia"/>
          <w:color w:val="000000" w:themeColor="text1"/>
        </w:rPr>
        <w:t>指定媒介</w:t>
      </w:r>
      <w:r w:rsidRPr="005A7DE6">
        <w:rPr>
          <w:rFonts w:asciiTheme="minorEastAsia" w:eastAsiaTheme="minorEastAsia" w:hAnsiTheme="minorEastAsia"/>
          <w:color w:val="000000" w:themeColor="text1"/>
        </w:rPr>
        <w:t>上。</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w:t>
      </w:r>
      <w:r w:rsidRPr="005A7DE6">
        <w:rPr>
          <w:rFonts w:asciiTheme="minorEastAsia" w:eastAsiaTheme="minorEastAsia" w:hAnsiTheme="minorEastAsia"/>
          <w:color w:val="000000" w:themeColor="text1"/>
        </w:rPr>
        <w:t>、基金合同生效公告</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基金管理人将在基金合同生效的次日在</w:t>
      </w:r>
      <w:r w:rsidRPr="005A7DE6" w:rsidR="006E73AA">
        <w:rPr>
          <w:rFonts w:asciiTheme="minorEastAsia" w:eastAsiaTheme="minorEastAsia" w:hAnsiTheme="minorEastAsia"/>
          <w:color w:val="000000" w:themeColor="text1"/>
        </w:rPr>
        <w:t>指定媒介</w:t>
      </w:r>
      <w:r w:rsidRPr="005A7DE6">
        <w:rPr>
          <w:rFonts w:asciiTheme="minorEastAsia" w:eastAsiaTheme="minorEastAsia" w:hAnsiTheme="minorEastAsia"/>
          <w:color w:val="000000" w:themeColor="text1"/>
        </w:rPr>
        <w:t>上登载基金合同生效公告。基金合同生效公告中将说明基金募集情况。</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6</w:t>
      </w:r>
      <w:r w:rsidRPr="005A7DE6">
        <w:rPr>
          <w:rFonts w:asciiTheme="minorEastAsia" w:eastAsiaTheme="minorEastAsia" w:hAnsiTheme="minorEastAsia"/>
          <w:color w:val="000000" w:themeColor="text1"/>
        </w:rPr>
        <w:t>、基金净值信息</w:t>
      </w:r>
    </w:p>
    <w:p w:rsidR="00A83831" w:rsidRPr="005A7DE6" w:rsidP="00A83831">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《基金合同》生效后，在开始办理基金份额申购或者赎回前，基金管理人应当至少每周在指定网站披露一次基金份额净值和基金份额累计净值。</w:t>
      </w:r>
    </w:p>
    <w:p w:rsidR="00A83831" w:rsidRPr="005A7DE6" w:rsidP="00A83831">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在开始办理基金份额申购或者赎回后，基金管理人应当在不晚于每个开放日的次日，通过指定网站、基金销售机构网站或者营业网点，披露开放日的基金份额净值和基金份额累计净值。</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基金管理人应当在不晚于半年度和年度最后一日的次日，在指定网站披露半年度和年度最后一日的基金份额净值和基金份额累计净值。</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7</w:t>
      </w:r>
      <w:r w:rsidRPr="005A7DE6">
        <w:rPr>
          <w:rFonts w:asciiTheme="minorEastAsia" w:eastAsiaTheme="minorEastAsia" w:hAnsiTheme="minorEastAsia"/>
          <w:color w:val="000000" w:themeColor="text1"/>
        </w:rPr>
        <w:t>、基金份额申购、赎回价格公告</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基金管理人应当在本基金的基金合同、招募说明书等信息披露文件上载明基金份额申购、赎回价格的计算方式及有关申购、赎回费率，并保证投资人能够在</w:t>
      </w:r>
      <w:r w:rsidRPr="005A7DE6" w:rsidR="00A83831">
        <w:rPr>
          <w:rFonts w:asciiTheme="minorEastAsia" w:eastAsiaTheme="minorEastAsia" w:hAnsiTheme="minorEastAsia"/>
          <w:color w:val="000000" w:themeColor="text1"/>
        </w:rPr>
        <w:t>基金</w:t>
      </w:r>
      <w:r w:rsidRPr="005A7DE6" w:rsidR="00A83831">
        <w:rPr>
          <w:rFonts w:asciiTheme="minorEastAsia" w:eastAsiaTheme="minorEastAsia" w:hAnsiTheme="minorEastAsia" w:hint="eastAsia"/>
          <w:color w:val="000000" w:themeColor="text1"/>
        </w:rPr>
        <w:t>销售机构网站或营业</w:t>
      </w:r>
      <w:r w:rsidRPr="005A7DE6" w:rsidR="00A26107">
        <w:rPr>
          <w:rFonts w:asciiTheme="minorEastAsia" w:eastAsiaTheme="minorEastAsia" w:hAnsiTheme="minorEastAsia"/>
          <w:color w:val="000000" w:themeColor="text1"/>
        </w:rPr>
        <w:t>网点</w:t>
      </w:r>
      <w:r w:rsidRPr="005A7DE6">
        <w:rPr>
          <w:rFonts w:asciiTheme="minorEastAsia" w:eastAsiaTheme="minorEastAsia" w:hAnsiTheme="minorEastAsia"/>
          <w:color w:val="000000" w:themeColor="text1"/>
        </w:rPr>
        <w:t>查阅或者复制前述信息资料。</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8</w:t>
      </w:r>
      <w:r w:rsidRPr="005A7DE6">
        <w:rPr>
          <w:rFonts w:asciiTheme="minorEastAsia" w:eastAsiaTheme="minorEastAsia" w:hAnsiTheme="minorEastAsia"/>
          <w:color w:val="000000" w:themeColor="text1"/>
        </w:rPr>
        <w:t>、</w:t>
      </w:r>
      <w:r w:rsidRPr="005A7DE6">
        <w:rPr>
          <w:rFonts w:asciiTheme="minorEastAsia" w:eastAsiaTheme="minorEastAsia" w:hAnsiTheme="minorEastAsia" w:hint="eastAsia"/>
          <w:color w:val="000000" w:themeColor="text1"/>
        </w:rPr>
        <w:t>基金定期报告，包括基金年度报告、基金中期报告和基金季度报告</w:t>
      </w:r>
    </w:p>
    <w:p w:rsidR="00BC31EF"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1</w:t>
      </w:r>
      <w:r w:rsidRPr="005A7DE6">
        <w:rPr>
          <w:rFonts w:asciiTheme="minorEastAsia" w:eastAsiaTheme="minorEastAsia" w:hAnsiTheme="minorEastAsia"/>
          <w:color w:val="000000" w:themeColor="text1"/>
        </w:rPr>
        <w:t>）</w:t>
      </w:r>
      <w:r w:rsidRPr="005A7DE6" w:rsidR="00A83831">
        <w:rPr>
          <w:rFonts w:asciiTheme="minorEastAsia" w:eastAsiaTheme="minorEastAsia" w:hAnsiTheme="minorEastAsia" w:hint="eastAsia"/>
          <w:color w:val="000000" w:themeColor="text1"/>
        </w:rPr>
        <w:t>基金管理人应当在每年结束之日起三个</w:t>
      </w:r>
      <w:r w:rsidRPr="005A7DE6" w:rsidR="00A83831">
        <w:rPr>
          <w:rFonts w:asciiTheme="minorEastAsia" w:eastAsiaTheme="minorEastAsia" w:hAnsiTheme="minorEastAsia"/>
          <w:color w:val="000000" w:themeColor="text1"/>
        </w:rPr>
        <w:t>月</w:t>
      </w:r>
      <w:r w:rsidRPr="005A7DE6" w:rsidR="00A83831">
        <w:rPr>
          <w:rFonts w:asciiTheme="minorEastAsia" w:eastAsiaTheme="minorEastAsia" w:hAnsiTheme="minorEastAsia" w:hint="eastAsia"/>
          <w:color w:val="000000" w:themeColor="text1"/>
        </w:rPr>
        <w:t>内，编制完成基金年度报告，将年度报告登载在指定网站上，并将年度报告提示</w:t>
      </w:r>
      <w:r w:rsidRPr="005A7DE6" w:rsidR="00A83831">
        <w:rPr>
          <w:rFonts w:asciiTheme="minorEastAsia" w:eastAsiaTheme="minorEastAsia" w:hAnsiTheme="minorEastAsia"/>
          <w:color w:val="000000" w:themeColor="text1"/>
        </w:rPr>
        <w:t>性公告</w:t>
      </w:r>
      <w:r w:rsidRPr="005A7DE6" w:rsidR="00A83831">
        <w:rPr>
          <w:rFonts w:asciiTheme="minorEastAsia" w:eastAsiaTheme="minorEastAsia" w:hAnsiTheme="minorEastAsia" w:hint="eastAsia"/>
          <w:color w:val="000000" w:themeColor="text1"/>
        </w:rPr>
        <w:t>登载在指定报刊上。基金年度报告中的财务会计报告应当经过具有证券、期货相关业务资格的会计师事务所审计。</w:t>
      </w:r>
    </w:p>
    <w:p w:rsidR="00BC31EF"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2</w:t>
      </w:r>
      <w:r w:rsidRPr="005A7DE6">
        <w:rPr>
          <w:rFonts w:asciiTheme="minorEastAsia" w:eastAsiaTheme="minorEastAsia" w:hAnsiTheme="minorEastAsia"/>
          <w:color w:val="000000" w:themeColor="text1"/>
        </w:rPr>
        <w:t>）</w:t>
      </w:r>
      <w:r w:rsidRPr="005A7DE6" w:rsidR="00A83831">
        <w:rPr>
          <w:rFonts w:asciiTheme="minorEastAsia" w:eastAsiaTheme="minorEastAsia" w:hAnsiTheme="minorEastAsia" w:hint="eastAsia"/>
          <w:color w:val="000000" w:themeColor="text1"/>
        </w:rPr>
        <w:t>基金管理人应当在上半年结束之日起两个</w:t>
      </w:r>
      <w:r w:rsidRPr="005A7DE6" w:rsidR="00A83831">
        <w:rPr>
          <w:rFonts w:asciiTheme="minorEastAsia" w:eastAsiaTheme="minorEastAsia" w:hAnsiTheme="minorEastAsia"/>
          <w:color w:val="000000" w:themeColor="text1"/>
        </w:rPr>
        <w:t>月</w:t>
      </w:r>
      <w:r w:rsidRPr="005A7DE6" w:rsidR="00A83831">
        <w:rPr>
          <w:rFonts w:asciiTheme="minorEastAsia" w:eastAsiaTheme="minorEastAsia" w:hAnsiTheme="minorEastAsia" w:hint="eastAsia"/>
          <w:color w:val="000000" w:themeColor="text1"/>
        </w:rPr>
        <w:t>内，编制完成基金中期报告，将中期</w:t>
      </w:r>
      <w:r w:rsidRPr="005A7DE6" w:rsidR="00A83831">
        <w:rPr>
          <w:rFonts w:asciiTheme="minorEastAsia" w:eastAsiaTheme="minorEastAsia" w:hAnsiTheme="minorEastAsia" w:hint="eastAsia"/>
          <w:color w:val="000000" w:themeColor="text1"/>
        </w:rPr>
        <w:t>报告登载在指定网站上，并将中期报告提示性</w:t>
      </w:r>
      <w:r w:rsidRPr="005A7DE6" w:rsidR="00A83831">
        <w:rPr>
          <w:rFonts w:asciiTheme="minorEastAsia" w:eastAsiaTheme="minorEastAsia" w:hAnsiTheme="minorEastAsia"/>
          <w:color w:val="000000" w:themeColor="text1"/>
        </w:rPr>
        <w:t>公告</w:t>
      </w:r>
      <w:r w:rsidRPr="005A7DE6" w:rsidR="00A83831">
        <w:rPr>
          <w:rFonts w:asciiTheme="minorEastAsia" w:eastAsiaTheme="minorEastAsia" w:hAnsiTheme="minorEastAsia" w:hint="eastAsia"/>
          <w:color w:val="000000" w:themeColor="text1"/>
        </w:rPr>
        <w:t>登载在指定报刊上。</w:t>
      </w:r>
    </w:p>
    <w:p w:rsidR="00BC31EF"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3</w:t>
      </w:r>
      <w:r w:rsidRPr="005A7DE6">
        <w:rPr>
          <w:rFonts w:asciiTheme="minorEastAsia" w:eastAsiaTheme="minorEastAsia" w:hAnsiTheme="minorEastAsia"/>
          <w:color w:val="000000" w:themeColor="text1"/>
        </w:rPr>
        <w:t>）</w:t>
      </w:r>
      <w:r w:rsidRPr="005A7DE6" w:rsidR="00A83831">
        <w:rPr>
          <w:rFonts w:asciiTheme="minorEastAsia" w:eastAsiaTheme="minorEastAsia" w:hAnsiTheme="minorEastAsia" w:hint="eastAsia"/>
          <w:color w:val="000000" w:themeColor="text1"/>
        </w:rPr>
        <w:t>基金管理人应当在季度结束之日起</w:t>
      </w:r>
      <w:r w:rsidRPr="005A7DE6" w:rsidR="00A83831">
        <w:rPr>
          <w:rFonts w:asciiTheme="minorEastAsia" w:eastAsiaTheme="minorEastAsia" w:hAnsiTheme="minorEastAsia"/>
          <w:color w:val="000000" w:themeColor="text1"/>
        </w:rPr>
        <w:t>15</w:t>
      </w:r>
      <w:r w:rsidRPr="005A7DE6" w:rsidR="00A83831">
        <w:rPr>
          <w:rFonts w:asciiTheme="minorEastAsia" w:eastAsiaTheme="minorEastAsia" w:hAnsiTheme="minorEastAsia" w:hint="eastAsia"/>
          <w:color w:val="000000" w:themeColor="text1"/>
        </w:rPr>
        <w:t>个工作日内，编制完成基金季度报告，将季度报告登载</w:t>
      </w:r>
      <w:r w:rsidRPr="005A7DE6" w:rsidR="00A83831">
        <w:rPr>
          <w:rFonts w:asciiTheme="minorEastAsia" w:eastAsiaTheme="minorEastAsia" w:hAnsiTheme="minorEastAsia"/>
          <w:color w:val="000000" w:themeColor="text1"/>
        </w:rPr>
        <w:t>在指定网站上，</w:t>
      </w:r>
      <w:r w:rsidRPr="005A7DE6" w:rsidR="00A83831">
        <w:rPr>
          <w:rFonts w:asciiTheme="minorEastAsia" w:eastAsiaTheme="minorEastAsia" w:hAnsiTheme="minorEastAsia" w:hint="eastAsia"/>
          <w:color w:val="000000" w:themeColor="text1"/>
        </w:rPr>
        <w:t>并</w:t>
      </w:r>
      <w:r w:rsidRPr="005A7DE6" w:rsidR="00A83831">
        <w:rPr>
          <w:rFonts w:asciiTheme="minorEastAsia" w:eastAsiaTheme="minorEastAsia" w:hAnsiTheme="minorEastAsia"/>
          <w:color w:val="000000" w:themeColor="text1"/>
        </w:rPr>
        <w:t>将</w:t>
      </w:r>
      <w:r w:rsidRPr="005A7DE6" w:rsidR="00A83831">
        <w:rPr>
          <w:rFonts w:asciiTheme="minorEastAsia" w:eastAsiaTheme="minorEastAsia" w:hAnsiTheme="minorEastAsia" w:hint="eastAsia"/>
          <w:color w:val="000000" w:themeColor="text1"/>
        </w:rPr>
        <w:t>季度</w:t>
      </w:r>
      <w:r w:rsidRPr="005A7DE6" w:rsidR="00A83831">
        <w:rPr>
          <w:rFonts w:asciiTheme="minorEastAsia" w:eastAsiaTheme="minorEastAsia" w:hAnsiTheme="minorEastAsia"/>
          <w:color w:val="000000" w:themeColor="text1"/>
        </w:rPr>
        <w:t>报告</w:t>
      </w:r>
      <w:r w:rsidRPr="005A7DE6" w:rsidR="00A83831">
        <w:rPr>
          <w:rFonts w:asciiTheme="minorEastAsia" w:eastAsiaTheme="minorEastAsia" w:hAnsiTheme="minorEastAsia" w:hint="eastAsia"/>
          <w:color w:val="000000" w:themeColor="text1"/>
        </w:rPr>
        <w:t>提示性</w:t>
      </w:r>
      <w:r w:rsidRPr="005A7DE6" w:rsidR="00A83831">
        <w:rPr>
          <w:rFonts w:asciiTheme="minorEastAsia" w:eastAsiaTheme="minorEastAsia" w:hAnsiTheme="minorEastAsia"/>
          <w:color w:val="000000" w:themeColor="text1"/>
        </w:rPr>
        <w:t>公告</w:t>
      </w:r>
      <w:r w:rsidRPr="005A7DE6" w:rsidR="00A83831">
        <w:rPr>
          <w:rFonts w:asciiTheme="minorEastAsia" w:eastAsiaTheme="minorEastAsia" w:hAnsiTheme="minorEastAsia" w:hint="eastAsia"/>
          <w:color w:val="000000" w:themeColor="text1"/>
        </w:rPr>
        <w:t>登载在指定报刊上。</w:t>
      </w:r>
    </w:p>
    <w:p w:rsidR="00BC31EF"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4</w:t>
      </w:r>
      <w:r w:rsidRPr="005A7DE6">
        <w:rPr>
          <w:rFonts w:asciiTheme="minorEastAsia" w:eastAsiaTheme="minorEastAsia" w:hAnsiTheme="minorEastAsia"/>
          <w:color w:val="000000" w:themeColor="text1"/>
        </w:rPr>
        <w:t>）基金合同生效不足</w:t>
      </w:r>
      <w:r w:rsidRPr="005A7DE6">
        <w:rPr>
          <w:rFonts w:asciiTheme="minorEastAsia" w:eastAsiaTheme="minorEastAsia" w:hAnsiTheme="minorEastAsia"/>
          <w:color w:val="000000" w:themeColor="text1"/>
        </w:rPr>
        <w:t>2</w:t>
      </w:r>
      <w:r w:rsidRPr="005A7DE6">
        <w:rPr>
          <w:rFonts w:asciiTheme="minorEastAsia" w:eastAsiaTheme="minorEastAsia" w:hAnsiTheme="minorEastAsia"/>
          <w:color w:val="000000" w:themeColor="text1"/>
        </w:rPr>
        <w:t>个月的，本基金管理人可以不编制当期季度报告、</w:t>
      </w:r>
      <w:r w:rsidRPr="005A7DE6" w:rsidR="00A83831">
        <w:rPr>
          <w:rFonts w:asciiTheme="minorEastAsia" w:eastAsiaTheme="minorEastAsia" w:hAnsiTheme="minorEastAsia"/>
          <w:color w:val="000000" w:themeColor="text1"/>
        </w:rPr>
        <w:t>中期报告</w:t>
      </w:r>
      <w:r w:rsidRPr="005A7DE6">
        <w:rPr>
          <w:rFonts w:asciiTheme="minorEastAsia" w:eastAsiaTheme="minorEastAsia" w:hAnsiTheme="minorEastAsia"/>
          <w:color w:val="000000" w:themeColor="text1"/>
        </w:rPr>
        <w:t>或者年度报告</w:t>
      </w:r>
      <w:r w:rsidRPr="005A7DE6" w:rsidR="00F00F6D">
        <w:rPr>
          <w:rFonts w:asciiTheme="minorEastAsia" w:eastAsiaTheme="minorEastAsia" w:hAnsiTheme="minorEastAsia" w:hint="eastAsia"/>
          <w:color w:val="000000" w:themeColor="text1"/>
        </w:rPr>
        <w:t>；</w:t>
      </w:r>
    </w:p>
    <w:p w:rsidR="00A83831" w:rsidRPr="005A7DE6" w:rsidP="00A83831">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报告期内出现单一投资者持有基金份额比例达到或超过</w:t>
      </w:r>
      <w:r w:rsidRPr="005A7DE6">
        <w:rPr>
          <w:rFonts w:asciiTheme="minorEastAsia" w:eastAsiaTheme="minorEastAsia" w:hAnsiTheme="minorEastAsia" w:hint="eastAsia"/>
          <w:color w:val="000000" w:themeColor="text1"/>
        </w:rPr>
        <w:t>20%</w:t>
      </w:r>
      <w:r w:rsidRPr="005A7DE6">
        <w:rPr>
          <w:rFonts w:asciiTheme="minorEastAsia" w:eastAsiaTheme="minorEastAsia" w:hAnsiTheme="minorEastAsia" w:hint="eastAsia"/>
          <w:color w:val="000000" w:themeColor="text1"/>
        </w:rPr>
        <w:t>的情形，为保障其他投资者利益，基金管理人应当在季度报告、中期报告、年度报告等定期报告文件中“影响投资者决策的其他重要信息”项下披露该投资者的类别、报告期末持有份额及占比、报告期内持有份额变化情况及产品的特有风险，中国证监会认定的特殊情形除外。</w:t>
      </w:r>
    </w:p>
    <w:p w:rsidR="00FB4165" w:rsidRPr="005A7DE6" w:rsidP="00FB4165">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基金持续运作过程中，基金管理人应当在基金年度报告和</w:t>
      </w:r>
      <w:r w:rsidRPr="005A7DE6">
        <w:rPr>
          <w:rFonts w:asciiTheme="minorEastAsia" w:eastAsiaTheme="minorEastAsia" w:hAnsiTheme="minorEastAsia"/>
          <w:color w:val="000000" w:themeColor="text1"/>
        </w:rPr>
        <w:t>中期</w:t>
      </w:r>
      <w:r w:rsidRPr="005A7DE6">
        <w:rPr>
          <w:rFonts w:asciiTheme="minorEastAsia" w:eastAsiaTheme="minorEastAsia" w:hAnsiTheme="minorEastAsia" w:hint="eastAsia"/>
          <w:color w:val="000000" w:themeColor="text1"/>
        </w:rPr>
        <w:t>报告中披露基金组合资产情况及其流动性风险分析等。</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9</w:t>
      </w:r>
      <w:r w:rsidRPr="005A7DE6">
        <w:rPr>
          <w:rFonts w:asciiTheme="minorEastAsia" w:eastAsiaTheme="minorEastAsia" w:hAnsiTheme="minorEastAsia"/>
          <w:color w:val="000000" w:themeColor="text1"/>
        </w:rPr>
        <w:t>、临时报告与公告</w:t>
      </w:r>
    </w:p>
    <w:p w:rsidR="00A83831" w:rsidRPr="005A7DE6" w:rsidP="00A83831">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在基金运作过程中发生如下可能对基金份额持有人权益或者基金份额的价格产生重大影响的事件时，有</w:t>
      </w:r>
      <w:r w:rsidRPr="005A7DE6">
        <w:rPr>
          <w:rFonts w:asciiTheme="minorEastAsia" w:eastAsiaTheme="minorEastAsia" w:hAnsiTheme="minorEastAsia"/>
          <w:color w:val="000000" w:themeColor="text1"/>
          <w:szCs w:val="21"/>
        </w:rPr>
        <w:t>关信息披露义务人应当在</w:t>
      </w: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color w:val="000000" w:themeColor="text1"/>
          <w:szCs w:val="21"/>
        </w:rPr>
        <w:t>日内编制临时报告书，</w:t>
      </w:r>
      <w:r w:rsidRPr="005A7DE6">
        <w:rPr>
          <w:rFonts w:asciiTheme="minorEastAsia" w:eastAsiaTheme="minorEastAsia" w:hAnsiTheme="minorEastAsia" w:hint="eastAsia"/>
          <w:color w:val="000000" w:themeColor="text1"/>
          <w:szCs w:val="21"/>
        </w:rPr>
        <w:t>并登载在指定报刊和指定网站上。</w:t>
      </w:r>
    </w:p>
    <w:p w:rsidR="00A83831" w:rsidRPr="005A7DE6" w:rsidP="00A83831">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前款所称重大事件，是指可能对基金份额持有人权益或者基金份额的价格产生重大影响的下列事件</w:t>
      </w:r>
      <w:r w:rsidRPr="005A7DE6">
        <w:rPr>
          <w:rFonts w:asciiTheme="minorEastAsia" w:eastAsiaTheme="minorEastAsia" w:hAnsiTheme="minorEastAsia"/>
          <w:color w:val="000000" w:themeColor="text1"/>
          <w:szCs w:val="21"/>
        </w:rPr>
        <w:t>：</w:t>
      </w:r>
    </w:p>
    <w:p w:rsidR="00A83831" w:rsidRPr="005A7DE6" w:rsidP="00A83831">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）基金份额持有人大会的召开</w:t>
      </w:r>
      <w:r w:rsidRPr="005A7DE6">
        <w:rPr>
          <w:rFonts w:asciiTheme="minorEastAsia" w:eastAsiaTheme="minorEastAsia" w:hAnsiTheme="minorEastAsia" w:hint="eastAsia"/>
          <w:bCs/>
          <w:color w:val="000000" w:themeColor="text1"/>
          <w:szCs w:val="21"/>
        </w:rPr>
        <w:t>及决定的事项</w:t>
      </w:r>
      <w:r w:rsidRPr="005A7DE6">
        <w:rPr>
          <w:rFonts w:asciiTheme="minorEastAsia" w:eastAsiaTheme="minorEastAsia" w:hAnsiTheme="minorEastAsia"/>
          <w:color w:val="000000" w:themeColor="text1"/>
          <w:szCs w:val="21"/>
        </w:rPr>
        <w:t>；</w:t>
      </w:r>
    </w:p>
    <w:p w:rsidR="00A83831" w:rsidRPr="005A7DE6" w:rsidP="00A83831">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hint="eastAsia"/>
          <w:color w:val="000000" w:themeColor="text1"/>
          <w:szCs w:val="21"/>
        </w:rPr>
        <w:t>基金合同</w:t>
      </w:r>
      <w:r w:rsidRPr="005A7DE6">
        <w:rPr>
          <w:rFonts w:asciiTheme="minorEastAsia" w:eastAsiaTheme="minorEastAsia" w:hAnsiTheme="minorEastAsia"/>
          <w:bCs/>
          <w:color w:val="000000" w:themeColor="text1"/>
          <w:szCs w:val="21"/>
        </w:rPr>
        <w:t>终止</w:t>
      </w:r>
      <w:r w:rsidRPr="005A7DE6">
        <w:rPr>
          <w:rFonts w:asciiTheme="minorEastAsia" w:eastAsiaTheme="minorEastAsia" w:hAnsiTheme="minorEastAsia" w:hint="eastAsia"/>
          <w:bCs/>
          <w:color w:val="000000" w:themeColor="text1"/>
          <w:szCs w:val="21"/>
        </w:rPr>
        <w:t>、基金清算</w:t>
      </w:r>
      <w:r w:rsidRPr="005A7DE6">
        <w:rPr>
          <w:rFonts w:asciiTheme="minorEastAsia" w:eastAsiaTheme="minorEastAsia" w:hAnsiTheme="minorEastAsia"/>
          <w:color w:val="000000" w:themeColor="text1"/>
          <w:szCs w:val="21"/>
        </w:rPr>
        <w:t>；</w:t>
      </w:r>
    </w:p>
    <w:p w:rsidR="00A83831" w:rsidRPr="005A7DE6" w:rsidP="00A83831">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3</w:t>
      </w:r>
      <w:r w:rsidRPr="005A7DE6">
        <w:rPr>
          <w:rFonts w:asciiTheme="minorEastAsia" w:eastAsiaTheme="minorEastAsia" w:hAnsiTheme="minorEastAsia"/>
          <w:color w:val="000000" w:themeColor="text1"/>
          <w:szCs w:val="21"/>
        </w:rPr>
        <w:t>）转换基金运作方式</w:t>
      </w:r>
      <w:r w:rsidRPr="005A7DE6">
        <w:rPr>
          <w:rFonts w:asciiTheme="minorEastAsia" w:eastAsiaTheme="minorEastAsia" w:hAnsiTheme="minorEastAsia" w:hint="eastAsia"/>
          <w:bCs/>
          <w:color w:val="000000" w:themeColor="text1"/>
          <w:szCs w:val="21"/>
        </w:rPr>
        <w:t>、基金合并</w:t>
      </w:r>
      <w:r w:rsidRPr="005A7DE6">
        <w:rPr>
          <w:rFonts w:asciiTheme="minorEastAsia" w:eastAsiaTheme="minorEastAsia" w:hAnsiTheme="minorEastAsia"/>
          <w:color w:val="000000" w:themeColor="text1"/>
          <w:szCs w:val="21"/>
        </w:rPr>
        <w:t>；</w:t>
      </w:r>
    </w:p>
    <w:p w:rsidR="00A83831" w:rsidRPr="005A7DE6" w:rsidP="00A83831">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4</w:t>
      </w:r>
      <w:r w:rsidRPr="005A7DE6">
        <w:rPr>
          <w:rFonts w:asciiTheme="minorEastAsia" w:eastAsiaTheme="minorEastAsia" w:hAnsiTheme="minorEastAsia"/>
          <w:color w:val="000000" w:themeColor="text1"/>
          <w:szCs w:val="21"/>
        </w:rPr>
        <w:t>）更换基金管理人、基金托管人</w:t>
      </w:r>
      <w:r w:rsidRPr="005A7DE6">
        <w:rPr>
          <w:rFonts w:asciiTheme="minorEastAsia" w:eastAsiaTheme="minorEastAsia" w:hAnsiTheme="minorEastAsia" w:hint="eastAsia"/>
          <w:bCs/>
          <w:color w:val="000000" w:themeColor="text1"/>
          <w:szCs w:val="21"/>
        </w:rPr>
        <w:t>、基金份额登记机构，基金改聘会计师事务所</w:t>
      </w:r>
      <w:r w:rsidRPr="005A7DE6">
        <w:rPr>
          <w:rFonts w:asciiTheme="minorEastAsia" w:eastAsiaTheme="minorEastAsia" w:hAnsiTheme="minorEastAsia"/>
          <w:color w:val="000000" w:themeColor="text1"/>
          <w:szCs w:val="21"/>
        </w:rPr>
        <w:t>；</w:t>
      </w:r>
    </w:p>
    <w:p w:rsidR="00A83831" w:rsidRPr="005A7DE6" w:rsidP="00A83831">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bCs/>
          <w:color w:val="000000" w:themeColor="text1"/>
          <w:szCs w:val="21"/>
        </w:rPr>
        <w:t>（</w:t>
      </w:r>
      <w:r w:rsidRPr="005A7DE6">
        <w:rPr>
          <w:rFonts w:asciiTheme="minorEastAsia" w:eastAsiaTheme="minorEastAsia" w:hAnsiTheme="minorEastAsia"/>
          <w:bCs/>
          <w:color w:val="000000" w:themeColor="text1"/>
          <w:szCs w:val="21"/>
        </w:rPr>
        <w:t>5</w:t>
      </w:r>
      <w:r w:rsidRPr="005A7DE6">
        <w:rPr>
          <w:rFonts w:asciiTheme="minorEastAsia" w:eastAsiaTheme="minorEastAsia" w:hAnsiTheme="minorEastAsia"/>
          <w:bCs/>
          <w:color w:val="000000" w:themeColor="text1"/>
          <w:szCs w:val="21"/>
        </w:rPr>
        <w:t>）</w:t>
      </w:r>
      <w:r w:rsidRPr="005A7DE6">
        <w:rPr>
          <w:rFonts w:asciiTheme="minorEastAsia" w:eastAsiaTheme="minorEastAsia" w:hAnsiTheme="minorEastAsia" w:hint="eastAsia"/>
          <w:bCs/>
          <w:color w:val="000000" w:themeColor="text1"/>
          <w:szCs w:val="21"/>
        </w:rPr>
        <w:t>基金管理人委托基金服务机构代为办理基金的份额登记、核算、估值等事项，基金托管人委托基金服务机构代为办理基金的核算、估值、复核等事项；</w:t>
      </w:r>
    </w:p>
    <w:p w:rsidR="00A83831" w:rsidRPr="005A7DE6" w:rsidP="00A83831">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6</w:t>
      </w:r>
      <w:r w:rsidRPr="005A7DE6">
        <w:rPr>
          <w:rFonts w:asciiTheme="minorEastAsia" w:eastAsiaTheme="minorEastAsia" w:hAnsiTheme="minorEastAsia"/>
          <w:color w:val="000000" w:themeColor="text1"/>
          <w:szCs w:val="21"/>
        </w:rPr>
        <w:t>）基金管理人、基金托管人的法定名称、住所发生变更；</w:t>
      </w:r>
    </w:p>
    <w:p w:rsidR="00A83831" w:rsidRPr="005A7DE6" w:rsidP="00A83831">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bCs/>
          <w:color w:val="000000" w:themeColor="text1"/>
          <w:szCs w:val="21"/>
        </w:rPr>
        <w:t>（</w:t>
      </w:r>
      <w:r w:rsidRPr="005A7DE6">
        <w:rPr>
          <w:rFonts w:asciiTheme="minorEastAsia" w:eastAsiaTheme="minorEastAsia" w:hAnsiTheme="minorEastAsia"/>
          <w:bCs/>
          <w:color w:val="000000" w:themeColor="text1"/>
          <w:szCs w:val="21"/>
        </w:rPr>
        <w:t>7</w:t>
      </w:r>
      <w:r w:rsidRPr="005A7DE6">
        <w:rPr>
          <w:rFonts w:asciiTheme="minorEastAsia" w:eastAsiaTheme="minorEastAsia" w:hAnsiTheme="minorEastAsia"/>
          <w:bCs/>
          <w:color w:val="000000" w:themeColor="text1"/>
          <w:szCs w:val="21"/>
        </w:rPr>
        <w:t>）</w:t>
      </w:r>
      <w:r w:rsidRPr="005A7DE6">
        <w:rPr>
          <w:rFonts w:asciiTheme="minorEastAsia" w:eastAsiaTheme="minorEastAsia" w:hAnsiTheme="minorEastAsia" w:hint="eastAsia"/>
          <w:bCs/>
          <w:color w:val="000000" w:themeColor="text1"/>
          <w:szCs w:val="21"/>
        </w:rPr>
        <w:t>基金管理公司变更持有百分之五以上股权的股东、基金管理人的实际控制人变更</w:t>
      </w:r>
      <w:r w:rsidRPr="005A7DE6">
        <w:rPr>
          <w:rFonts w:asciiTheme="minorEastAsia" w:eastAsiaTheme="minorEastAsia" w:hAnsiTheme="minorEastAsia"/>
          <w:bCs/>
          <w:color w:val="000000" w:themeColor="text1"/>
          <w:szCs w:val="21"/>
        </w:rPr>
        <w:t>；</w:t>
      </w:r>
    </w:p>
    <w:p w:rsidR="00A83831" w:rsidRPr="005A7DE6" w:rsidP="00A83831">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8</w:t>
      </w:r>
      <w:r w:rsidRPr="005A7DE6">
        <w:rPr>
          <w:rFonts w:asciiTheme="minorEastAsia" w:eastAsiaTheme="minorEastAsia" w:hAnsiTheme="minorEastAsia"/>
          <w:color w:val="000000" w:themeColor="text1"/>
          <w:szCs w:val="21"/>
        </w:rPr>
        <w:t>）基金募集期延长</w:t>
      </w:r>
      <w:r w:rsidRPr="005A7DE6">
        <w:rPr>
          <w:rFonts w:asciiTheme="minorEastAsia" w:eastAsiaTheme="minorEastAsia" w:hAnsiTheme="minorEastAsia" w:hint="eastAsia"/>
          <w:bCs/>
          <w:color w:val="000000" w:themeColor="text1"/>
          <w:szCs w:val="21"/>
        </w:rPr>
        <w:t>或提前结束募集</w:t>
      </w:r>
      <w:r w:rsidRPr="005A7DE6">
        <w:rPr>
          <w:rFonts w:asciiTheme="minorEastAsia" w:eastAsiaTheme="minorEastAsia" w:hAnsiTheme="minorEastAsia"/>
          <w:color w:val="000000" w:themeColor="text1"/>
          <w:szCs w:val="21"/>
        </w:rPr>
        <w:t>；</w:t>
      </w:r>
    </w:p>
    <w:p w:rsidR="00A83831" w:rsidRPr="005A7DE6" w:rsidP="00A83831">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9</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hint="eastAsia"/>
          <w:color w:val="000000" w:themeColor="text1"/>
          <w:szCs w:val="21"/>
        </w:rPr>
        <w:t>基金管理人的高级管理人员、基金经理和基金托管人专门基金托管部门负责人发生变动；</w:t>
      </w:r>
    </w:p>
    <w:p w:rsidR="00A83831" w:rsidRPr="005A7DE6" w:rsidP="00A83831">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10</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hint="eastAsia"/>
          <w:color w:val="000000" w:themeColor="text1"/>
          <w:szCs w:val="21"/>
        </w:rPr>
        <w:t>基金管理人的董事在最近</w:t>
      </w:r>
      <w:r w:rsidRPr="005A7DE6">
        <w:rPr>
          <w:rFonts w:asciiTheme="minorEastAsia" w:eastAsiaTheme="minorEastAsia" w:hAnsiTheme="minorEastAsia" w:hint="eastAsia"/>
          <w:color w:val="000000" w:themeColor="text1"/>
          <w:szCs w:val="21"/>
        </w:rPr>
        <w:t>12</w:t>
      </w:r>
      <w:r w:rsidRPr="005A7DE6">
        <w:rPr>
          <w:rFonts w:asciiTheme="minorEastAsia" w:eastAsiaTheme="minorEastAsia" w:hAnsiTheme="minorEastAsia" w:hint="eastAsia"/>
          <w:color w:val="000000" w:themeColor="text1"/>
          <w:szCs w:val="21"/>
        </w:rPr>
        <w:t>个月内变更超过百分之五十，基金管理人、基金托管人专门基金托管部门的主要业务人员在最近</w:t>
      </w:r>
      <w:r w:rsidRPr="005A7DE6">
        <w:rPr>
          <w:rFonts w:asciiTheme="minorEastAsia" w:eastAsiaTheme="minorEastAsia" w:hAnsiTheme="minorEastAsia" w:hint="eastAsia"/>
          <w:color w:val="000000" w:themeColor="text1"/>
          <w:szCs w:val="21"/>
        </w:rPr>
        <w:t>12</w:t>
      </w:r>
      <w:r w:rsidRPr="005A7DE6">
        <w:rPr>
          <w:rFonts w:asciiTheme="minorEastAsia" w:eastAsiaTheme="minorEastAsia" w:hAnsiTheme="minorEastAsia" w:hint="eastAsia"/>
          <w:color w:val="000000" w:themeColor="text1"/>
          <w:szCs w:val="21"/>
        </w:rPr>
        <w:t>个月内变动超过百分之三十；</w:t>
      </w:r>
    </w:p>
    <w:p w:rsidR="00A83831" w:rsidRPr="005A7DE6" w:rsidP="00A83831">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11</w:t>
      </w:r>
      <w:r w:rsidRPr="005A7DE6">
        <w:rPr>
          <w:rFonts w:asciiTheme="minorEastAsia" w:eastAsiaTheme="minorEastAsia" w:hAnsiTheme="minorEastAsia"/>
          <w:color w:val="000000" w:themeColor="text1"/>
          <w:szCs w:val="21"/>
        </w:rPr>
        <w:t>）涉及基金管理人、基金财产、基金托管业务的诉讼</w:t>
      </w:r>
      <w:r w:rsidRPr="005A7DE6">
        <w:rPr>
          <w:rFonts w:asciiTheme="minorEastAsia" w:eastAsiaTheme="minorEastAsia" w:hAnsiTheme="minorEastAsia" w:hint="eastAsia"/>
          <w:color w:val="000000" w:themeColor="text1"/>
          <w:szCs w:val="21"/>
        </w:rPr>
        <w:t>或仲裁</w:t>
      </w:r>
      <w:r w:rsidRPr="005A7DE6">
        <w:rPr>
          <w:rFonts w:asciiTheme="minorEastAsia" w:eastAsiaTheme="minorEastAsia" w:hAnsiTheme="minorEastAsia"/>
          <w:color w:val="000000" w:themeColor="text1"/>
          <w:szCs w:val="21"/>
        </w:rPr>
        <w:t>；</w:t>
      </w:r>
    </w:p>
    <w:p w:rsidR="00A83831" w:rsidRPr="005A7DE6" w:rsidP="00A83831">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12</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hint="eastAsia"/>
          <w:color w:val="000000" w:themeColor="text1"/>
          <w:szCs w:val="21"/>
        </w:rPr>
        <w:t>基金管理人或其高级管理人员、基金经理因基金管理业务相关行为受到重大行政处罚、刑事处罚，基金托管人或其专门基金托管部门负责人因基金托管业务相关行为受到重大行政处罚、刑事处罚；</w:t>
      </w:r>
    </w:p>
    <w:p w:rsidR="00A83831" w:rsidRPr="005A7DE6" w:rsidP="00A83831">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13</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hint="eastAsia"/>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A83831" w:rsidRPr="005A7DE6" w:rsidP="00A83831">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14</w:t>
      </w:r>
      <w:r w:rsidRPr="005A7DE6">
        <w:rPr>
          <w:rFonts w:asciiTheme="minorEastAsia" w:eastAsiaTheme="minorEastAsia" w:hAnsiTheme="minorEastAsia"/>
          <w:color w:val="000000" w:themeColor="text1"/>
          <w:szCs w:val="21"/>
        </w:rPr>
        <w:t>）基金收益分配事项；</w:t>
      </w:r>
    </w:p>
    <w:p w:rsidR="00A83831" w:rsidRPr="005A7DE6" w:rsidP="00A83831">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15</w:t>
      </w:r>
      <w:r w:rsidRPr="005A7DE6">
        <w:rPr>
          <w:rFonts w:asciiTheme="minorEastAsia" w:eastAsiaTheme="minorEastAsia" w:hAnsiTheme="minorEastAsia"/>
          <w:color w:val="000000" w:themeColor="text1"/>
          <w:szCs w:val="21"/>
        </w:rPr>
        <w:t>）管理费、托管费、销售服务费</w:t>
      </w:r>
      <w:r w:rsidRPr="005A7DE6">
        <w:rPr>
          <w:rFonts w:asciiTheme="minorEastAsia" w:eastAsiaTheme="minorEastAsia" w:hAnsiTheme="minorEastAsia" w:hint="eastAsia"/>
          <w:color w:val="000000" w:themeColor="text1"/>
          <w:szCs w:val="21"/>
        </w:rPr>
        <w:t>、申购费、赎回费</w:t>
      </w:r>
      <w:r w:rsidRPr="005A7DE6">
        <w:rPr>
          <w:rFonts w:asciiTheme="minorEastAsia" w:eastAsiaTheme="minorEastAsia" w:hAnsiTheme="minorEastAsia"/>
          <w:color w:val="000000" w:themeColor="text1"/>
          <w:szCs w:val="21"/>
        </w:rPr>
        <w:t>等费用计提标准、计提方式和费率发生变更；</w:t>
      </w:r>
    </w:p>
    <w:p w:rsidR="00A83831" w:rsidRPr="005A7DE6" w:rsidP="00A83831">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16</w:t>
      </w:r>
      <w:r w:rsidRPr="005A7DE6">
        <w:rPr>
          <w:rFonts w:asciiTheme="minorEastAsia" w:eastAsiaTheme="minorEastAsia" w:hAnsiTheme="minorEastAsia"/>
          <w:color w:val="000000" w:themeColor="text1"/>
          <w:szCs w:val="21"/>
        </w:rPr>
        <w:t>）基金份</w:t>
      </w:r>
      <w:r w:rsidRPr="005A7DE6">
        <w:rPr>
          <w:rFonts w:asciiTheme="minorEastAsia" w:eastAsiaTheme="minorEastAsia" w:hAnsiTheme="minorEastAsia"/>
          <w:color w:val="000000" w:themeColor="text1"/>
          <w:szCs w:val="21"/>
        </w:rPr>
        <w:t>额净值计价错误达基金份额净值</w:t>
      </w:r>
      <w:r w:rsidRPr="005A7DE6">
        <w:rPr>
          <w:rFonts w:asciiTheme="minorEastAsia" w:eastAsiaTheme="minorEastAsia" w:hAnsiTheme="minorEastAsia"/>
          <w:color w:val="000000" w:themeColor="text1"/>
          <w:szCs w:val="21"/>
        </w:rPr>
        <w:t>0.5%</w:t>
      </w:r>
      <w:r w:rsidRPr="005A7DE6">
        <w:rPr>
          <w:rFonts w:asciiTheme="minorEastAsia" w:eastAsiaTheme="minorEastAsia" w:hAnsiTheme="minorEastAsia"/>
          <w:color w:val="000000" w:themeColor="text1"/>
          <w:szCs w:val="21"/>
        </w:rPr>
        <w:t>；</w:t>
      </w:r>
    </w:p>
    <w:p w:rsidR="00A83831" w:rsidRPr="005A7DE6" w:rsidP="00A83831">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17</w:t>
      </w:r>
      <w:r w:rsidRPr="005A7DE6">
        <w:rPr>
          <w:rFonts w:asciiTheme="minorEastAsia" w:eastAsiaTheme="minorEastAsia" w:hAnsiTheme="minorEastAsia"/>
          <w:color w:val="000000" w:themeColor="text1"/>
          <w:szCs w:val="21"/>
        </w:rPr>
        <w:t>）本基金开始办理申购、赎回；</w:t>
      </w:r>
    </w:p>
    <w:p w:rsidR="00A83831" w:rsidRPr="005A7DE6" w:rsidP="00A83831">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18</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hint="eastAsia"/>
          <w:color w:val="000000" w:themeColor="text1"/>
          <w:szCs w:val="21"/>
        </w:rPr>
        <w:t>本基金暂停接受申购、赎回申请或重新接受申购、赎回申请；</w:t>
      </w:r>
    </w:p>
    <w:p w:rsidR="00A83831" w:rsidRPr="005A7DE6" w:rsidP="00A83831">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19</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hint="eastAsia"/>
          <w:color w:val="000000" w:themeColor="text1"/>
          <w:szCs w:val="21"/>
        </w:rPr>
        <w:t>调整基金份额类别的设置；</w:t>
      </w:r>
    </w:p>
    <w:p w:rsidR="00A83831" w:rsidRPr="005A7DE6" w:rsidP="00A83831">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20</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hint="eastAsia"/>
          <w:color w:val="000000" w:themeColor="text1"/>
          <w:szCs w:val="21"/>
        </w:rPr>
        <w:t>基金推出新业务或服务；</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21</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hint="eastAsia"/>
          <w:bCs/>
          <w:color w:val="000000" w:themeColor="text1"/>
          <w:szCs w:val="21"/>
        </w:rPr>
        <w:t>基金信息披露义务人认为可能对基金份额持有人权益或者基金份额的价格产生重大影响的其他事项或</w:t>
      </w:r>
      <w:r w:rsidRPr="005A7DE6">
        <w:rPr>
          <w:rFonts w:asciiTheme="minorEastAsia" w:eastAsiaTheme="minorEastAsia" w:hAnsiTheme="minorEastAsia" w:hint="eastAsia"/>
          <w:color w:val="000000" w:themeColor="text1"/>
          <w:szCs w:val="21"/>
        </w:rPr>
        <w:t>中国证监会规定的其他事项。</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10</w:t>
      </w:r>
      <w:r w:rsidRPr="005A7DE6">
        <w:rPr>
          <w:rFonts w:asciiTheme="minorEastAsia" w:eastAsiaTheme="minorEastAsia" w:hAnsiTheme="minorEastAsia"/>
          <w:color w:val="000000" w:themeColor="text1"/>
        </w:rPr>
        <w:t>、澄清公告</w:t>
      </w:r>
    </w:p>
    <w:p w:rsidR="00A83831"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r w:rsidRPr="005A7DE6">
        <w:rPr>
          <w:rFonts w:asciiTheme="minorEastAsia" w:eastAsiaTheme="minorEastAsia" w:hAnsiTheme="minorEastAsia"/>
          <w:color w:val="000000" w:themeColor="text1"/>
        </w:rPr>
        <w:t>。</w:t>
      </w:r>
    </w:p>
    <w:p w:rsidR="00A83831"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11</w:t>
      </w:r>
      <w:r w:rsidRPr="005A7DE6">
        <w:rPr>
          <w:rFonts w:asciiTheme="minorEastAsia" w:eastAsiaTheme="minorEastAsia" w:hAnsiTheme="minorEastAsia"/>
          <w:color w:val="000000" w:themeColor="text1"/>
        </w:rPr>
        <w:t>、</w:t>
      </w:r>
      <w:r w:rsidRPr="005A7DE6">
        <w:rPr>
          <w:rFonts w:asciiTheme="minorEastAsia" w:eastAsiaTheme="minorEastAsia" w:hAnsiTheme="minorEastAsia" w:hint="eastAsia"/>
          <w:color w:val="000000" w:themeColor="text1"/>
        </w:rPr>
        <w:t>清算报告</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基金合同终止的，基金管理人应当依法组织基金财产清算小组对基金财产进行清算并作出清算报告。基金财产清算小组应当将清算报告登载在指定网站上，并将清算报告提示性公告登载在指定报刊上。</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12</w:t>
      </w:r>
      <w:r w:rsidRPr="005A7DE6">
        <w:rPr>
          <w:rFonts w:asciiTheme="minorEastAsia" w:eastAsiaTheme="minorEastAsia" w:hAnsiTheme="minorEastAsia"/>
          <w:color w:val="000000" w:themeColor="text1"/>
        </w:rPr>
        <w:t>、基金份额持有人大会决议</w:t>
      </w:r>
    </w:p>
    <w:p w:rsidR="00BD306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基金份额持有人大会决定的事项，应当依法报中国证监会核准或</w:t>
      </w:r>
      <w:r w:rsidRPr="005A7DE6">
        <w:rPr>
          <w:rFonts w:asciiTheme="minorEastAsia" w:eastAsiaTheme="minorEastAsia" w:hAnsiTheme="minorEastAsia"/>
          <w:color w:val="000000" w:themeColor="text1"/>
          <w:szCs w:val="21"/>
        </w:rPr>
        <w:t>者备案，并予以公告。召开基金份额持有人大会的，召集人应当至少提前</w:t>
      </w:r>
      <w:r w:rsidRPr="005A7DE6">
        <w:rPr>
          <w:rFonts w:asciiTheme="minorEastAsia" w:eastAsiaTheme="minorEastAsia" w:hAnsiTheme="minorEastAsia"/>
          <w:color w:val="000000" w:themeColor="text1"/>
          <w:szCs w:val="21"/>
        </w:rPr>
        <w:t>30</w:t>
      </w:r>
      <w:r w:rsidRPr="005A7DE6">
        <w:rPr>
          <w:rFonts w:asciiTheme="minorEastAsia" w:eastAsiaTheme="minorEastAsia" w:hAnsiTheme="minorEastAsia"/>
          <w:color w:val="000000" w:themeColor="text1"/>
          <w:szCs w:val="21"/>
        </w:rPr>
        <w:t>日公告基金份额持有人大会的召开时间、会议形式、审议事项、议事程序和表决方式等事项。</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基金份额持有人依法自行召集基金份额持有人大会，基金管理人、基金托管人对基金份额持有人大会决定的事项不依法履行信息披露义务的，召集人应当履行相关信息披露义务。</w:t>
      </w:r>
    </w:p>
    <w:p w:rsidR="00A83831"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基金份额持有人大会决定的事项，应当依法报国务院证券监督管理机构备案，并予以公告。</w:t>
      </w:r>
    </w:p>
    <w:p w:rsidR="00C700D2" w:rsidRPr="005A7DE6" w:rsidP="00C700D2">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13</w:t>
      </w:r>
      <w:r w:rsidRPr="005A7DE6" w:rsidR="00BA4B87">
        <w:rPr>
          <w:rFonts w:asciiTheme="minorEastAsia" w:eastAsiaTheme="minorEastAsia" w:hAnsiTheme="minorEastAsia"/>
          <w:color w:val="000000" w:themeColor="text1"/>
          <w:szCs w:val="21"/>
        </w:rPr>
        <w:t>、</w:t>
      </w:r>
      <w:r w:rsidRPr="005A7DE6">
        <w:rPr>
          <w:rFonts w:asciiTheme="minorEastAsia" w:eastAsiaTheme="minorEastAsia" w:hAnsiTheme="minorEastAsia" w:hint="eastAsia"/>
          <w:color w:val="000000" w:themeColor="text1"/>
          <w:szCs w:val="21"/>
        </w:rPr>
        <w:t>实施侧袋机制期间的信息披露</w:t>
      </w:r>
    </w:p>
    <w:p w:rsidR="00C700D2" w:rsidRPr="005A7DE6" w:rsidP="00C700D2">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本基金实施侧袋机制的，相关信息披露义务人应当根据法律法规、基金合同和招募说明书的规定进行信息披露，详见本招募说明书“侧袋机制”部分的规定。</w:t>
      </w:r>
    </w:p>
    <w:p w:rsidR="00BA4B87" w:rsidRPr="005A7DE6" w:rsidP="00C700D2">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14</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中国证监会规定的其他信息</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702" w:name="_Toc94172469"/>
      <w:r w:rsidRPr="005A7DE6">
        <w:rPr>
          <w:rFonts w:asciiTheme="minorEastAsia" w:eastAsiaTheme="minorEastAsia" w:hAnsiTheme="minorEastAsia"/>
          <w:b w:val="0"/>
          <w:color w:val="000000" w:themeColor="text1"/>
        </w:rPr>
        <w:t>（三）信息披露文件的存放与查阅</w:t>
      </w:r>
      <w:bookmarkEnd w:id="3702"/>
    </w:p>
    <w:p w:rsidR="00485E3F" w:rsidRPr="005A7DE6" w:rsidP="006B758F">
      <w:pPr>
        <w:snapToGrid w:val="0"/>
        <w:spacing w:line="360" w:lineRule="auto"/>
        <w:ind w:firstLine="480"/>
        <w:rPr>
          <w:rFonts w:asciiTheme="minorEastAsia" w:eastAsiaTheme="minorEastAsia" w:hAnsiTheme="minorEastAsia"/>
          <w:bCs/>
          <w:color w:val="000000" w:themeColor="text1"/>
          <w:szCs w:val="21"/>
        </w:rPr>
      </w:pPr>
      <w:r w:rsidRPr="005A7DE6">
        <w:rPr>
          <w:rFonts w:asciiTheme="minorEastAsia" w:eastAsiaTheme="minorEastAsia" w:hAnsiTheme="minorEastAsia" w:hint="eastAsia"/>
          <w:bCs/>
          <w:color w:val="000000" w:themeColor="text1"/>
          <w:szCs w:val="21"/>
        </w:rPr>
        <w:t>依法必须披露的信息发布后，基金管理人、基金托管人应当按照相关法律法规规定将信息置备于公司办公场所，供社会公众查阅、复制。</w:t>
      </w:r>
    </w:p>
    <w:p w:rsidR="00485E3F" w:rsidRPr="005A7DE6">
      <w:pPr>
        <w:widowControl/>
        <w:jc w:val="left"/>
        <w:rPr>
          <w:rFonts w:asciiTheme="minorEastAsia" w:eastAsiaTheme="minorEastAsia" w:hAnsiTheme="minorEastAsia"/>
          <w:bCs/>
          <w:color w:val="000000" w:themeColor="text1"/>
          <w:szCs w:val="21"/>
        </w:rPr>
      </w:pPr>
      <w:r w:rsidRPr="005A7DE6">
        <w:rPr>
          <w:rFonts w:asciiTheme="minorEastAsia" w:eastAsiaTheme="minorEastAsia" w:hAnsiTheme="minorEastAsia"/>
          <w:bCs/>
          <w:color w:val="000000" w:themeColor="text1"/>
          <w:szCs w:val="21"/>
        </w:rPr>
        <w:br w:type="page"/>
      </w:r>
    </w:p>
    <w:p w:rsidR="00485E3F" w:rsidRPr="005A7DE6" w:rsidP="00485E3F">
      <w:pPr>
        <w:pStyle w:val="Heading1"/>
        <w:spacing w:before="312" w:after="312" w:line="360" w:lineRule="auto"/>
        <w:ind w:firstLine="600"/>
        <w:rPr>
          <w:rFonts w:asciiTheme="minorEastAsia" w:eastAsiaTheme="minorEastAsia" w:hAnsiTheme="minorEastAsia"/>
          <w:color w:val="000000" w:themeColor="text1"/>
          <w:sz w:val="30"/>
        </w:rPr>
      </w:pPr>
      <w:bookmarkStart w:id="3703" w:name="_Toc46676683"/>
      <w:bookmarkStart w:id="3704" w:name="_Toc46737675"/>
      <w:bookmarkStart w:id="3705" w:name="_Toc47535981"/>
      <w:bookmarkStart w:id="3706" w:name="_Toc94172470"/>
      <w:r w:rsidRPr="005A7DE6">
        <w:rPr>
          <w:rFonts w:asciiTheme="minorEastAsia" w:eastAsiaTheme="minorEastAsia" w:hAnsiTheme="minorEastAsia" w:hint="eastAsia"/>
          <w:color w:val="000000" w:themeColor="text1"/>
          <w:sz w:val="30"/>
        </w:rPr>
        <w:t>十九、侧袋机制</w:t>
      </w:r>
      <w:bookmarkEnd w:id="3703"/>
      <w:bookmarkEnd w:id="3704"/>
      <w:bookmarkEnd w:id="3705"/>
      <w:bookmarkEnd w:id="3706"/>
    </w:p>
    <w:p w:rsidR="00485E3F" w:rsidRPr="005A7DE6" w:rsidP="00485E3F">
      <w:pPr>
        <w:rPr>
          <w:rFonts w:asciiTheme="minorEastAsia" w:eastAsiaTheme="minorEastAsia" w:hAnsiTheme="minorEastAsia"/>
          <w:color w:val="000000" w:themeColor="text1"/>
        </w:rPr>
      </w:pPr>
    </w:p>
    <w:p w:rsidR="00485E3F" w:rsidRPr="005A7DE6" w:rsidP="00523FFA">
      <w:pPr>
        <w:spacing w:line="360" w:lineRule="auto"/>
        <w:ind w:firstLine="420" w:firstLineChars="200"/>
        <w:outlineLvl w:val="1"/>
        <w:rPr>
          <w:rFonts w:asciiTheme="minorEastAsia" w:eastAsiaTheme="minorEastAsia" w:hAnsiTheme="minorEastAsia"/>
          <w:bCs/>
          <w:color w:val="000000" w:themeColor="text1"/>
          <w:szCs w:val="21"/>
        </w:rPr>
      </w:pPr>
      <w:bookmarkStart w:id="3707" w:name="_Toc94172471"/>
      <w:r w:rsidRPr="005A7DE6">
        <w:rPr>
          <w:rFonts w:asciiTheme="minorEastAsia" w:eastAsiaTheme="minorEastAsia" w:hAnsiTheme="minorEastAsia" w:hint="eastAsia"/>
          <w:bCs/>
          <w:color w:val="000000" w:themeColor="text1"/>
          <w:szCs w:val="21"/>
        </w:rPr>
        <w:t>（一）侧袋机制的实施条件和程序</w:t>
      </w:r>
      <w:bookmarkEnd w:id="3707"/>
    </w:p>
    <w:p w:rsidR="00485E3F" w:rsidRPr="005A7DE6" w:rsidP="00485E3F">
      <w:pPr>
        <w:spacing w:line="360" w:lineRule="auto"/>
        <w:ind w:firstLine="420" w:firstLineChars="200"/>
        <w:rPr>
          <w:rFonts w:asciiTheme="minorEastAsia" w:eastAsiaTheme="minorEastAsia" w:hAnsiTheme="minorEastAsia"/>
          <w:bCs/>
          <w:color w:val="000000" w:themeColor="text1"/>
          <w:szCs w:val="21"/>
        </w:rPr>
      </w:pPr>
      <w:r w:rsidRPr="005A7DE6">
        <w:rPr>
          <w:rFonts w:asciiTheme="minorEastAsia" w:eastAsiaTheme="minorEastAsia" w:hAnsiTheme="minorEastAsia" w:hint="eastAsia"/>
          <w:bCs/>
          <w:color w:val="000000" w:themeColor="text1"/>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485E3F" w:rsidRPr="005A7DE6" w:rsidP="00485E3F">
      <w:pPr>
        <w:spacing w:line="360" w:lineRule="auto"/>
        <w:ind w:firstLine="420" w:firstLineChars="200"/>
        <w:rPr>
          <w:rFonts w:asciiTheme="minorEastAsia" w:eastAsiaTheme="minorEastAsia" w:hAnsiTheme="minorEastAsia"/>
          <w:bCs/>
          <w:color w:val="000000" w:themeColor="text1"/>
          <w:szCs w:val="21"/>
        </w:rPr>
      </w:pPr>
      <w:r w:rsidRPr="005A7DE6">
        <w:rPr>
          <w:rFonts w:asciiTheme="minorEastAsia" w:eastAsiaTheme="minorEastAsia" w:hAnsiTheme="minorEastAsia" w:hint="eastAsia"/>
          <w:bCs/>
          <w:color w:val="000000" w:themeColor="text1"/>
          <w:szCs w:val="21"/>
        </w:rPr>
        <w:t>基金管理人应当在启用侧袋机制后及时发布临时公告，并及时聘请符合《证券法》规定的会计师事务所进行审计并披露专项审计意见。</w:t>
      </w:r>
    </w:p>
    <w:p w:rsidR="00485E3F" w:rsidRPr="005A7DE6" w:rsidP="00523FFA">
      <w:pPr>
        <w:spacing w:line="360" w:lineRule="auto"/>
        <w:ind w:firstLine="420" w:firstLineChars="200"/>
        <w:outlineLvl w:val="1"/>
        <w:rPr>
          <w:rFonts w:asciiTheme="minorEastAsia" w:eastAsiaTheme="minorEastAsia" w:hAnsiTheme="minorEastAsia"/>
          <w:bCs/>
          <w:color w:val="000000" w:themeColor="text1"/>
          <w:szCs w:val="21"/>
        </w:rPr>
      </w:pPr>
      <w:bookmarkStart w:id="3708" w:name="_Toc94172472"/>
      <w:r w:rsidRPr="005A7DE6">
        <w:rPr>
          <w:rFonts w:asciiTheme="minorEastAsia" w:eastAsiaTheme="minorEastAsia" w:hAnsiTheme="minorEastAsia" w:hint="eastAsia"/>
          <w:bCs/>
          <w:color w:val="000000" w:themeColor="text1"/>
          <w:szCs w:val="21"/>
        </w:rPr>
        <w:t>（二）实施侧袋机制期间基金份额的申购与赎回</w:t>
      </w:r>
      <w:bookmarkEnd w:id="3708"/>
    </w:p>
    <w:p w:rsidR="00485E3F" w:rsidRPr="005A7DE6" w:rsidP="00485E3F">
      <w:pPr>
        <w:spacing w:line="360" w:lineRule="auto"/>
        <w:ind w:firstLine="420" w:firstLineChars="200"/>
        <w:rPr>
          <w:rFonts w:asciiTheme="minorEastAsia" w:eastAsiaTheme="minorEastAsia" w:hAnsiTheme="minorEastAsia"/>
          <w:bCs/>
          <w:color w:val="000000" w:themeColor="text1"/>
          <w:szCs w:val="21"/>
        </w:rPr>
      </w:pPr>
      <w:r w:rsidRPr="005A7DE6">
        <w:rPr>
          <w:rFonts w:asciiTheme="minorEastAsia" w:eastAsiaTheme="minorEastAsia" w:hAnsiTheme="minorEastAsia"/>
          <w:bCs/>
          <w:color w:val="000000" w:themeColor="text1"/>
          <w:szCs w:val="21"/>
        </w:rPr>
        <w:t>1</w:t>
      </w:r>
      <w:r w:rsidRPr="005A7DE6">
        <w:rPr>
          <w:rFonts w:asciiTheme="minorEastAsia" w:eastAsiaTheme="minorEastAsia" w:hAnsiTheme="minorEastAsia" w:hint="eastAsia"/>
          <w:bCs/>
          <w:color w:val="000000" w:themeColor="text1"/>
          <w:szCs w:val="21"/>
        </w:rPr>
        <w:t>、启用侧袋机制当日，本基金登记机构以基金份额持有人的原有账户份额为基础，确认基金份额持有人的相应侧袋账户份额；当日收到的申购申请，按照启用侧袋机制后的</w:t>
      </w:r>
      <w:r w:rsidRPr="005A7DE6">
        <w:rPr>
          <w:rFonts w:asciiTheme="minorEastAsia" w:eastAsiaTheme="minorEastAsia" w:hAnsiTheme="minorEastAsia" w:hint="eastAsia"/>
          <w:bCs/>
          <w:color w:val="000000" w:themeColor="text1"/>
          <w:szCs w:val="21"/>
        </w:rPr>
        <w:t>主袋账户份额办理；当日收到的赎回申请，仅办理主袋账户份额的赎回申请并支付赎回款项。</w:t>
      </w:r>
    </w:p>
    <w:p w:rsidR="00485E3F" w:rsidRPr="005A7DE6" w:rsidP="00485E3F">
      <w:pPr>
        <w:spacing w:line="360" w:lineRule="auto"/>
        <w:ind w:firstLine="420" w:firstLineChars="200"/>
        <w:rPr>
          <w:rFonts w:asciiTheme="minorEastAsia" w:eastAsiaTheme="minorEastAsia" w:hAnsiTheme="minorEastAsia"/>
          <w:bCs/>
          <w:color w:val="000000" w:themeColor="text1"/>
          <w:szCs w:val="21"/>
        </w:rPr>
      </w:pPr>
      <w:r w:rsidRPr="005A7DE6">
        <w:rPr>
          <w:rFonts w:asciiTheme="minorEastAsia" w:eastAsiaTheme="minorEastAsia" w:hAnsiTheme="minorEastAsia"/>
          <w:bCs/>
          <w:color w:val="000000" w:themeColor="text1"/>
          <w:szCs w:val="21"/>
        </w:rPr>
        <w:t>2</w:t>
      </w:r>
      <w:r w:rsidRPr="005A7DE6">
        <w:rPr>
          <w:rFonts w:asciiTheme="minorEastAsia" w:eastAsiaTheme="minorEastAsia" w:hAnsiTheme="minorEastAsia" w:hint="eastAsia"/>
          <w:bCs/>
          <w:color w:val="000000" w:themeColor="text1"/>
          <w:szCs w:val="21"/>
        </w:rPr>
        <w:t>、实施侧袋机制期间，基金管理人不办理侧袋账户份额的申购、赎回和转换；同时，基金管理人按照基金合同和招募说明书约定的政策办理主袋账户份额的赎回，并根据主袋账户运作情况确定是否暂停申购。本招募说明书“基金份额的申购、赎回”部分的申购、赎回规定适用于主袋账户份额。</w:t>
      </w:r>
    </w:p>
    <w:p w:rsidR="00485E3F" w:rsidRPr="005A7DE6" w:rsidP="00485E3F">
      <w:pPr>
        <w:spacing w:line="360" w:lineRule="auto"/>
        <w:ind w:firstLine="420" w:firstLineChars="200"/>
        <w:rPr>
          <w:rFonts w:asciiTheme="minorEastAsia" w:eastAsiaTheme="minorEastAsia" w:hAnsiTheme="minorEastAsia"/>
          <w:bCs/>
          <w:color w:val="000000" w:themeColor="text1"/>
          <w:szCs w:val="21"/>
        </w:rPr>
      </w:pPr>
      <w:r w:rsidRPr="005A7DE6">
        <w:rPr>
          <w:rFonts w:asciiTheme="minorEastAsia" w:eastAsiaTheme="minorEastAsia" w:hAnsiTheme="minorEastAsia"/>
          <w:bCs/>
          <w:color w:val="000000" w:themeColor="text1"/>
          <w:szCs w:val="21"/>
        </w:rPr>
        <w:t>3</w:t>
      </w:r>
      <w:r w:rsidRPr="005A7DE6">
        <w:rPr>
          <w:rFonts w:asciiTheme="minorEastAsia" w:eastAsiaTheme="minorEastAsia" w:hAnsiTheme="minorEastAsia" w:hint="eastAsia"/>
          <w:bCs/>
          <w:color w:val="000000" w:themeColor="text1"/>
          <w:szCs w:val="21"/>
        </w:rPr>
        <w:t>、基金管理人应按照主袋账户的份额净值办理主袋账户份额的申购和赎回。巨额赎回按照单个开放日内主袋账户份额净赎回申请超过前一开放日主袋账户总份额的</w:t>
      </w:r>
      <w:r w:rsidRPr="005A7DE6">
        <w:rPr>
          <w:rFonts w:asciiTheme="minorEastAsia" w:eastAsiaTheme="minorEastAsia" w:hAnsiTheme="minorEastAsia"/>
          <w:bCs/>
          <w:color w:val="000000" w:themeColor="text1"/>
          <w:szCs w:val="21"/>
        </w:rPr>
        <w:t>10%</w:t>
      </w:r>
      <w:r w:rsidRPr="005A7DE6">
        <w:rPr>
          <w:rFonts w:asciiTheme="minorEastAsia" w:eastAsiaTheme="minorEastAsia" w:hAnsiTheme="minorEastAsia" w:hint="eastAsia"/>
          <w:bCs/>
          <w:color w:val="000000" w:themeColor="text1"/>
          <w:szCs w:val="21"/>
        </w:rPr>
        <w:t>认定。</w:t>
      </w:r>
    </w:p>
    <w:p w:rsidR="00485E3F" w:rsidRPr="005A7DE6" w:rsidP="00523FFA">
      <w:pPr>
        <w:spacing w:line="360" w:lineRule="auto"/>
        <w:ind w:firstLine="420" w:firstLineChars="200"/>
        <w:outlineLvl w:val="1"/>
        <w:rPr>
          <w:rFonts w:asciiTheme="minorEastAsia" w:eastAsiaTheme="minorEastAsia" w:hAnsiTheme="minorEastAsia"/>
          <w:bCs/>
          <w:color w:val="000000" w:themeColor="text1"/>
          <w:szCs w:val="21"/>
        </w:rPr>
      </w:pPr>
      <w:bookmarkStart w:id="3709" w:name="_Toc94172473"/>
      <w:r w:rsidRPr="005A7DE6">
        <w:rPr>
          <w:rFonts w:asciiTheme="minorEastAsia" w:eastAsiaTheme="minorEastAsia" w:hAnsiTheme="minorEastAsia" w:hint="eastAsia"/>
          <w:bCs/>
          <w:color w:val="000000" w:themeColor="text1"/>
          <w:szCs w:val="21"/>
        </w:rPr>
        <w:t>（三）实</w:t>
      </w:r>
      <w:r w:rsidRPr="005A7DE6">
        <w:rPr>
          <w:rFonts w:asciiTheme="minorEastAsia" w:eastAsiaTheme="minorEastAsia" w:hAnsiTheme="minorEastAsia" w:hint="eastAsia"/>
          <w:bCs/>
          <w:color w:val="000000" w:themeColor="text1"/>
          <w:szCs w:val="21"/>
        </w:rPr>
        <w:t>施侧袋机制期间的基金投资</w:t>
      </w:r>
      <w:bookmarkEnd w:id="3709"/>
    </w:p>
    <w:p w:rsidR="00485E3F" w:rsidRPr="005A7DE6" w:rsidP="00485E3F">
      <w:pPr>
        <w:spacing w:line="360" w:lineRule="auto"/>
        <w:ind w:firstLine="420" w:firstLineChars="200"/>
        <w:rPr>
          <w:rFonts w:asciiTheme="minorEastAsia" w:eastAsiaTheme="minorEastAsia" w:hAnsiTheme="minorEastAsia"/>
          <w:bCs/>
          <w:color w:val="000000" w:themeColor="text1"/>
          <w:szCs w:val="21"/>
        </w:rPr>
      </w:pPr>
      <w:r w:rsidRPr="005A7DE6">
        <w:rPr>
          <w:rFonts w:asciiTheme="minorEastAsia" w:eastAsiaTheme="minorEastAsia" w:hAnsiTheme="minorEastAsia" w:hint="eastAsia"/>
          <w:bCs/>
          <w:color w:val="000000" w:themeColor="text1"/>
          <w:szCs w:val="21"/>
        </w:rPr>
        <w:t>侧袋机制实施期间，招募说明书“基金的投资”部分约定的投资组合比例、投资策略、组合限制、业绩比较基准、风险收益特征等约定仅适用于主袋账户。基金管理人计算各项投资运作指标和基金业绩指标时应当以主袋账户资产</w:t>
      </w:r>
      <w:r w:rsidRPr="005A7DE6">
        <w:rPr>
          <w:rFonts w:asciiTheme="minorEastAsia" w:eastAsiaTheme="minorEastAsia" w:hAnsiTheme="minorEastAsia"/>
          <w:bCs/>
          <w:color w:val="000000" w:themeColor="text1"/>
          <w:szCs w:val="21"/>
        </w:rPr>
        <w:t>为基准</w:t>
      </w:r>
      <w:r w:rsidRPr="005A7DE6">
        <w:rPr>
          <w:rFonts w:asciiTheme="minorEastAsia" w:eastAsiaTheme="minorEastAsia" w:hAnsiTheme="minorEastAsia" w:hint="eastAsia"/>
          <w:bCs/>
          <w:color w:val="000000" w:themeColor="text1"/>
          <w:szCs w:val="21"/>
        </w:rPr>
        <w:t>。</w:t>
      </w:r>
    </w:p>
    <w:p w:rsidR="00485E3F" w:rsidRPr="005A7DE6" w:rsidP="00485E3F">
      <w:pPr>
        <w:spacing w:line="360" w:lineRule="auto"/>
        <w:ind w:firstLine="420" w:firstLineChars="200"/>
        <w:rPr>
          <w:rFonts w:asciiTheme="minorEastAsia" w:eastAsiaTheme="minorEastAsia" w:hAnsiTheme="minorEastAsia"/>
          <w:bCs/>
          <w:color w:val="000000" w:themeColor="text1"/>
          <w:szCs w:val="21"/>
        </w:rPr>
      </w:pPr>
      <w:r w:rsidRPr="005A7DE6">
        <w:rPr>
          <w:rFonts w:asciiTheme="minorEastAsia" w:eastAsiaTheme="minorEastAsia" w:hAnsiTheme="minorEastAsia" w:hint="eastAsia"/>
          <w:bCs/>
          <w:color w:val="000000" w:themeColor="text1"/>
          <w:szCs w:val="21"/>
        </w:rPr>
        <w:t>基金管理人原则上应当在侧袋机制启动后</w:t>
      </w:r>
      <w:r w:rsidRPr="005A7DE6">
        <w:rPr>
          <w:rFonts w:asciiTheme="minorEastAsia" w:eastAsiaTheme="minorEastAsia" w:hAnsiTheme="minorEastAsia"/>
          <w:bCs/>
          <w:color w:val="000000" w:themeColor="text1"/>
          <w:szCs w:val="21"/>
        </w:rPr>
        <w:t>20</w:t>
      </w:r>
      <w:r w:rsidRPr="005A7DE6">
        <w:rPr>
          <w:rFonts w:asciiTheme="minorEastAsia" w:eastAsiaTheme="minorEastAsia" w:hAnsiTheme="minorEastAsia" w:hint="eastAsia"/>
          <w:bCs/>
          <w:color w:val="000000" w:themeColor="text1"/>
          <w:szCs w:val="21"/>
        </w:rPr>
        <w:t>个交易日内完成对主袋账户投资组合的调整，因资产流动性受限等中国证监会规定的情形除外。</w:t>
      </w:r>
    </w:p>
    <w:p w:rsidR="00485E3F" w:rsidRPr="005A7DE6" w:rsidP="00485E3F">
      <w:pPr>
        <w:spacing w:line="360" w:lineRule="auto"/>
        <w:ind w:firstLine="420" w:firstLineChars="200"/>
        <w:rPr>
          <w:rFonts w:asciiTheme="minorEastAsia" w:eastAsiaTheme="minorEastAsia" w:hAnsiTheme="minorEastAsia"/>
          <w:bCs/>
          <w:color w:val="000000" w:themeColor="text1"/>
          <w:szCs w:val="21"/>
        </w:rPr>
      </w:pPr>
      <w:r w:rsidRPr="005A7DE6">
        <w:rPr>
          <w:rFonts w:asciiTheme="minorEastAsia" w:eastAsiaTheme="minorEastAsia" w:hAnsiTheme="minorEastAsia" w:hint="eastAsia"/>
          <w:bCs/>
          <w:color w:val="000000" w:themeColor="text1"/>
          <w:szCs w:val="21"/>
        </w:rPr>
        <w:t>基金管理人不得在侧袋账户中进行除特定资产处置变现以外的其他投资操作。</w:t>
      </w:r>
    </w:p>
    <w:p w:rsidR="00485E3F" w:rsidRPr="005A7DE6" w:rsidP="00523FFA">
      <w:pPr>
        <w:spacing w:line="360" w:lineRule="auto"/>
        <w:ind w:firstLine="420" w:firstLineChars="200"/>
        <w:outlineLvl w:val="1"/>
        <w:rPr>
          <w:rFonts w:asciiTheme="minorEastAsia" w:eastAsiaTheme="minorEastAsia" w:hAnsiTheme="minorEastAsia"/>
          <w:bCs/>
          <w:color w:val="000000" w:themeColor="text1"/>
          <w:szCs w:val="21"/>
        </w:rPr>
      </w:pPr>
      <w:bookmarkStart w:id="3710" w:name="_Toc94172474"/>
      <w:r w:rsidRPr="005A7DE6">
        <w:rPr>
          <w:rFonts w:asciiTheme="minorEastAsia" w:eastAsiaTheme="minorEastAsia" w:hAnsiTheme="minorEastAsia" w:hint="eastAsia"/>
          <w:bCs/>
          <w:color w:val="000000" w:themeColor="text1"/>
          <w:szCs w:val="21"/>
        </w:rPr>
        <w:t>（四）侧袋账户中特定资产的处置变现和支付</w:t>
      </w:r>
      <w:bookmarkEnd w:id="3710"/>
    </w:p>
    <w:p w:rsidR="00485E3F" w:rsidRPr="005A7DE6" w:rsidP="00485E3F">
      <w:pPr>
        <w:spacing w:line="360" w:lineRule="auto"/>
        <w:ind w:firstLine="420" w:firstLineChars="200"/>
        <w:rPr>
          <w:rFonts w:asciiTheme="minorEastAsia" w:eastAsiaTheme="minorEastAsia" w:hAnsiTheme="minorEastAsia"/>
          <w:bCs/>
          <w:color w:val="000000" w:themeColor="text1"/>
          <w:szCs w:val="21"/>
        </w:rPr>
      </w:pPr>
      <w:r w:rsidRPr="005A7DE6">
        <w:rPr>
          <w:rFonts w:asciiTheme="minorEastAsia" w:eastAsiaTheme="minorEastAsia" w:hAnsiTheme="minorEastAsia" w:hint="eastAsia"/>
          <w:bCs/>
          <w:color w:val="000000" w:themeColor="text1"/>
          <w:szCs w:val="21"/>
        </w:rPr>
        <w:t>特定资产以可出售、可转让、恢复交易等方式恢复流动性后，基金管理人应当按照基金份额持有人利益最大化原则，采取将特定资产予以处置变现等方式，及时向侧袋账户份额持有人支付对应款项。</w:t>
      </w:r>
    </w:p>
    <w:p w:rsidR="00485E3F" w:rsidRPr="005A7DE6" w:rsidP="00485E3F">
      <w:pPr>
        <w:spacing w:line="360" w:lineRule="auto"/>
        <w:ind w:firstLine="420" w:firstLineChars="200"/>
        <w:rPr>
          <w:rFonts w:asciiTheme="minorEastAsia" w:eastAsiaTheme="minorEastAsia" w:hAnsiTheme="minorEastAsia"/>
          <w:bCs/>
          <w:color w:val="000000" w:themeColor="text1"/>
          <w:szCs w:val="21"/>
        </w:rPr>
      </w:pPr>
      <w:r w:rsidRPr="005A7DE6">
        <w:rPr>
          <w:rFonts w:asciiTheme="minorEastAsia" w:eastAsiaTheme="minorEastAsia" w:hAnsiTheme="minorEastAsia" w:hint="eastAsia"/>
          <w:bCs/>
          <w:color w:val="000000" w:themeColor="text1"/>
          <w:szCs w:val="21"/>
        </w:rPr>
        <w:t>终止侧袋机制后，基金管理人及时聘请符合《证券法》规定的会计师事务所进行审计并披露专项审计意见。</w:t>
      </w:r>
    </w:p>
    <w:p w:rsidR="00485E3F" w:rsidRPr="005A7DE6" w:rsidP="00523FFA">
      <w:pPr>
        <w:spacing w:line="360" w:lineRule="auto"/>
        <w:ind w:firstLine="420" w:firstLineChars="200"/>
        <w:outlineLvl w:val="1"/>
        <w:rPr>
          <w:rFonts w:asciiTheme="minorEastAsia" w:eastAsiaTheme="minorEastAsia" w:hAnsiTheme="minorEastAsia"/>
          <w:bCs/>
          <w:color w:val="000000" w:themeColor="text1"/>
          <w:szCs w:val="21"/>
        </w:rPr>
      </w:pPr>
      <w:bookmarkStart w:id="3711" w:name="_Toc94172475"/>
      <w:r w:rsidRPr="005A7DE6">
        <w:rPr>
          <w:rFonts w:asciiTheme="minorEastAsia" w:eastAsiaTheme="minorEastAsia" w:hAnsiTheme="minorEastAsia" w:hint="eastAsia"/>
          <w:bCs/>
          <w:color w:val="000000" w:themeColor="text1"/>
          <w:szCs w:val="21"/>
        </w:rPr>
        <w:t>（五）侧袋机制的信息披露</w:t>
      </w:r>
      <w:bookmarkEnd w:id="3711"/>
    </w:p>
    <w:p w:rsidR="00485E3F" w:rsidRPr="005A7DE6" w:rsidP="00485E3F">
      <w:pPr>
        <w:spacing w:line="360" w:lineRule="auto"/>
        <w:ind w:firstLine="420" w:firstLineChars="200"/>
        <w:rPr>
          <w:rFonts w:asciiTheme="minorEastAsia" w:eastAsiaTheme="minorEastAsia" w:hAnsiTheme="minorEastAsia"/>
          <w:bCs/>
          <w:color w:val="000000" w:themeColor="text1"/>
          <w:szCs w:val="21"/>
        </w:rPr>
      </w:pPr>
      <w:r w:rsidRPr="005A7DE6">
        <w:rPr>
          <w:rFonts w:asciiTheme="minorEastAsia" w:eastAsiaTheme="minorEastAsia" w:hAnsiTheme="minorEastAsia"/>
          <w:bCs/>
          <w:color w:val="000000" w:themeColor="text1"/>
          <w:szCs w:val="21"/>
        </w:rPr>
        <w:t>1</w:t>
      </w:r>
      <w:r w:rsidRPr="005A7DE6">
        <w:rPr>
          <w:rFonts w:asciiTheme="minorEastAsia" w:eastAsiaTheme="minorEastAsia" w:hAnsiTheme="minorEastAsia" w:hint="eastAsia"/>
          <w:bCs/>
          <w:color w:val="000000" w:themeColor="text1"/>
          <w:szCs w:val="21"/>
        </w:rPr>
        <w:t>、临时公告</w:t>
      </w:r>
    </w:p>
    <w:p w:rsidR="00485E3F" w:rsidRPr="005A7DE6" w:rsidP="00485E3F">
      <w:pPr>
        <w:spacing w:line="360" w:lineRule="auto"/>
        <w:ind w:firstLine="420" w:firstLineChars="200"/>
        <w:rPr>
          <w:rFonts w:asciiTheme="minorEastAsia" w:eastAsiaTheme="minorEastAsia" w:hAnsiTheme="minorEastAsia"/>
          <w:bCs/>
          <w:color w:val="000000" w:themeColor="text1"/>
          <w:szCs w:val="21"/>
        </w:rPr>
      </w:pPr>
      <w:r w:rsidRPr="005A7DE6">
        <w:rPr>
          <w:rFonts w:asciiTheme="minorEastAsia" w:eastAsiaTheme="minorEastAsia" w:hAnsiTheme="minorEastAsia" w:hint="eastAsia"/>
          <w:bCs/>
          <w:color w:val="000000" w:themeColor="text1"/>
          <w:szCs w:val="21"/>
        </w:rPr>
        <w:t>在启用侧袋机制、处置特定资产、终止侧袋机制以及发生其他可能对投资者利益产生重大影响的事项后，基金管理人应及时发布临时公告。</w:t>
      </w:r>
    </w:p>
    <w:p w:rsidR="00485E3F" w:rsidRPr="005A7DE6" w:rsidP="00485E3F">
      <w:pPr>
        <w:spacing w:line="360" w:lineRule="auto"/>
        <w:ind w:firstLine="420" w:firstLineChars="200"/>
        <w:rPr>
          <w:rFonts w:asciiTheme="minorEastAsia" w:eastAsiaTheme="minorEastAsia" w:hAnsiTheme="minorEastAsia"/>
          <w:bCs/>
          <w:color w:val="000000" w:themeColor="text1"/>
          <w:szCs w:val="21"/>
        </w:rPr>
      </w:pPr>
      <w:r w:rsidRPr="005A7DE6">
        <w:rPr>
          <w:rFonts w:asciiTheme="minorEastAsia" w:eastAsiaTheme="minorEastAsia" w:hAnsiTheme="minorEastAsia"/>
          <w:bCs/>
          <w:color w:val="000000" w:themeColor="text1"/>
          <w:szCs w:val="21"/>
        </w:rPr>
        <w:t>2</w:t>
      </w:r>
      <w:r w:rsidRPr="005A7DE6">
        <w:rPr>
          <w:rFonts w:asciiTheme="minorEastAsia" w:eastAsiaTheme="minorEastAsia" w:hAnsiTheme="minorEastAsia" w:hint="eastAsia"/>
          <w:bCs/>
          <w:color w:val="000000" w:themeColor="text1"/>
          <w:szCs w:val="21"/>
        </w:rPr>
        <w:t>、基金净值信息</w:t>
      </w:r>
    </w:p>
    <w:p w:rsidR="00485E3F" w:rsidRPr="005A7DE6" w:rsidP="00485E3F">
      <w:pPr>
        <w:spacing w:line="360" w:lineRule="auto"/>
        <w:ind w:firstLine="420" w:firstLineChars="200"/>
        <w:rPr>
          <w:rFonts w:asciiTheme="minorEastAsia" w:eastAsiaTheme="minorEastAsia" w:hAnsiTheme="minorEastAsia"/>
          <w:bCs/>
          <w:color w:val="000000" w:themeColor="text1"/>
          <w:szCs w:val="21"/>
        </w:rPr>
      </w:pPr>
      <w:r w:rsidRPr="005A7DE6">
        <w:rPr>
          <w:rFonts w:asciiTheme="minorEastAsia" w:eastAsiaTheme="minorEastAsia" w:hAnsiTheme="minorEastAsia" w:hint="eastAsia"/>
          <w:bCs/>
          <w:color w:val="000000" w:themeColor="text1"/>
          <w:szCs w:val="21"/>
        </w:rPr>
        <w:t>基金管理人应按照招募说明书“基金的信息披露”部分规定的基金</w:t>
      </w:r>
      <w:r w:rsidRPr="005A7DE6">
        <w:rPr>
          <w:rFonts w:asciiTheme="minorEastAsia" w:eastAsiaTheme="minorEastAsia" w:hAnsiTheme="minorEastAsia" w:hint="eastAsia"/>
          <w:bCs/>
          <w:color w:val="000000" w:themeColor="text1"/>
          <w:szCs w:val="21"/>
        </w:rPr>
        <w:t>净值信息披露方式和频率披露主袋账户份额的基金份额净值和基金份额累计净值。实施侧袋机制期间本基金暂停披露侧袋账户份额净值。</w:t>
      </w:r>
    </w:p>
    <w:p w:rsidR="00485E3F" w:rsidRPr="005A7DE6" w:rsidP="00485E3F">
      <w:pPr>
        <w:spacing w:line="360" w:lineRule="auto"/>
        <w:ind w:firstLine="420" w:firstLineChars="200"/>
        <w:rPr>
          <w:rFonts w:asciiTheme="minorEastAsia" w:eastAsiaTheme="minorEastAsia" w:hAnsiTheme="minorEastAsia"/>
          <w:bCs/>
          <w:color w:val="000000" w:themeColor="text1"/>
          <w:szCs w:val="21"/>
        </w:rPr>
      </w:pPr>
      <w:r w:rsidRPr="005A7DE6">
        <w:rPr>
          <w:rFonts w:asciiTheme="minorEastAsia" w:eastAsiaTheme="minorEastAsia" w:hAnsiTheme="minorEastAsia"/>
          <w:bCs/>
          <w:color w:val="000000" w:themeColor="text1"/>
          <w:szCs w:val="21"/>
        </w:rPr>
        <w:t>3</w:t>
      </w:r>
      <w:r w:rsidRPr="005A7DE6">
        <w:rPr>
          <w:rFonts w:asciiTheme="minorEastAsia" w:eastAsiaTheme="minorEastAsia" w:hAnsiTheme="minorEastAsia" w:hint="eastAsia"/>
          <w:bCs/>
          <w:color w:val="000000" w:themeColor="text1"/>
          <w:szCs w:val="21"/>
        </w:rPr>
        <w:t>、定期报告</w:t>
      </w:r>
    </w:p>
    <w:p w:rsidR="00485E3F" w:rsidRPr="005A7DE6" w:rsidP="00485E3F">
      <w:pPr>
        <w:spacing w:line="360" w:lineRule="auto"/>
        <w:ind w:firstLine="420" w:firstLineChars="200"/>
        <w:rPr>
          <w:rFonts w:asciiTheme="minorEastAsia" w:eastAsiaTheme="minorEastAsia" w:hAnsiTheme="minorEastAsia"/>
          <w:color w:val="000000" w:themeColor="text1"/>
          <w:kern w:val="0"/>
          <w:szCs w:val="21"/>
        </w:rPr>
      </w:pPr>
      <w:r w:rsidRPr="005A7DE6">
        <w:rPr>
          <w:rFonts w:asciiTheme="minorEastAsia" w:eastAsiaTheme="minorEastAsia" w:hAnsiTheme="minorEastAsia" w:hint="eastAsia"/>
          <w:bCs/>
          <w:color w:val="000000" w:themeColor="text1"/>
          <w:szCs w:val="21"/>
        </w:rPr>
        <w:t>侧袋机制实施期间，基金管理人应当在基金定期报告中披露报告期内特定资产处置进展情况，披露报告期末特定资产可变现净值或净值区间的，需同时注明不作为特定资产最终变现价格的承诺。</w:t>
      </w:r>
    </w:p>
    <w:p w:rsidR="00BA4B87" w:rsidRPr="005A7DE6" w:rsidP="006B758F">
      <w:pPr>
        <w:snapToGrid w:val="0"/>
        <w:spacing w:line="360" w:lineRule="auto"/>
        <w:ind w:firstLine="480"/>
        <w:rPr>
          <w:rFonts w:asciiTheme="minorEastAsia" w:eastAsiaTheme="minorEastAsia" w:hAnsiTheme="minorEastAsia"/>
          <w:color w:val="000000" w:themeColor="text1"/>
        </w:rPr>
      </w:pPr>
    </w:p>
    <w:p w:rsidR="00BA4B87" w:rsidRPr="005A7DE6" w:rsidP="006B758F">
      <w:pPr>
        <w:pStyle w:val="111"/>
        <w:pageBreakBefore w:val="0"/>
        <w:snapToGrid w:val="0"/>
        <w:spacing w:beforeLines="0" w:afterLines="0" w:line="360" w:lineRule="auto"/>
        <w:ind w:firstLine="600"/>
        <w:rPr>
          <w:rFonts w:asciiTheme="minorEastAsia" w:eastAsiaTheme="minorEastAsia" w:hAnsiTheme="minorEastAsia"/>
          <w:b/>
          <w:color w:val="000000" w:themeColor="text1"/>
          <w:sz w:val="30"/>
        </w:rPr>
      </w:pPr>
      <w:r w:rsidRPr="005A7DE6">
        <w:rPr>
          <w:rFonts w:asciiTheme="minorEastAsia" w:eastAsiaTheme="minorEastAsia" w:hAnsiTheme="minorEastAsia"/>
          <w:color w:val="000000" w:themeColor="text1"/>
          <w:sz w:val="30"/>
        </w:rPr>
        <w:br w:type="column"/>
      </w:r>
      <w:bookmarkStart w:id="3712" w:name="_Toc94172476"/>
      <w:r w:rsidRPr="005A7DE6" w:rsidR="00485E3F">
        <w:rPr>
          <w:rFonts w:asciiTheme="minorEastAsia" w:eastAsiaTheme="minorEastAsia" w:hAnsiTheme="minorEastAsia" w:hint="eastAsia"/>
          <w:b/>
          <w:color w:val="000000" w:themeColor="text1"/>
          <w:sz w:val="30"/>
        </w:rPr>
        <w:t>二十</w:t>
      </w:r>
      <w:r w:rsidRPr="005A7DE6" w:rsidR="00485E3F">
        <w:rPr>
          <w:rFonts w:asciiTheme="minorEastAsia" w:eastAsiaTheme="minorEastAsia" w:hAnsiTheme="minorEastAsia"/>
          <w:b/>
          <w:color w:val="000000" w:themeColor="text1"/>
          <w:sz w:val="30"/>
        </w:rPr>
        <w:t>、风险揭示</w:t>
      </w:r>
      <w:bookmarkEnd w:id="3712"/>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color w:val="000000" w:themeColor="text1"/>
          <w:kern w:val="0"/>
        </w:rPr>
      </w:pPr>
      <w:bookmarkStart w:id="3713" w:name="_Toc94172477"/>
      <w:r w:rsidRPr="005A7DE6">
        <w:rPr>
          <w:rFonts w:asciiTheme="minorEastAsia" w:eastAsiaTheme="minorEastAsia" w:hAnsiTheme="minorEastAsia"/>
          <w:b w:val="0"/>
          <w:color w:val="000000" w:themeColor="text1"/>
        </w:rPr>
        <w:t>（一）市场风险</w:t>
      </w:r>
      <w:bookmarkEnd w:id="3713"/>
    </w:p>
    <w:p w:rsidR="00BA4B87" w:rsidRPr="005A7DE6" w:rsidP="006B758F">
      <w:pPr>
        <w:snapToGrid w:val="0"/>
        <w:spacing w:line="360" w:lineRule="auto"/>
        <w:ind w:firstLine="420"/>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本基金主要投资于证券市场，而证券市场价格因受到经济因素、政治因素、投资者心理和交易制度等各种因素的影响而产生波动，从而导致基金收益水平发生变化，产生风险。主要的风险因素包括：</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w:t>
      </w:r>
      <w:r w:rsidRPr="005A7DE6" w:rsidR="008A168E">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政策风险</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因国家宏观政策</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如货币政策、财政政策、行业政策、地区发展政策等</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发生变化，导致市场价格波动而产生风险。</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w:t>
      </w:r>
      <w:r w:rsidRPr="005A7DE6" w:rsidR="008A168E">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利率风险</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利率风险主要是指因金融市场利率的波动而导致证券市场价格和收益率变动的风险。利率直接影响着债券的价格和收益率，影响着企业的融资成本和利润。本基金主要投资方向包括债券、票据和银行存款，其收益水平直接受到利率变化的影响。</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w:t>
      </w:r>
      <w:r w:rsidRPr="005A7DE6" w:rsidR="008A168E">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再投资风险</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债券、票据偿付本息后以及回购到期后可能由于市场利率的下降面临资金再投资的收益率低于原来利率，由此本基金面临再投资风险。</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w:t>
      </w:r>
      <w:r w:rsidRPr="005A7DE6" w:rsidR="008A168E">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信用风险</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债券发行人不能按期还本付息或回购交易中交易对手在回购到期履行交割责任时，不能偿还全部或部分证券或价款，都可能使本基金面临信用风险。</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w:t>
      </w:r>
      <w:r w:rsidRPr="005A7DE6" w:rsidR="008A168E">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经营风险</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公司的经营状况受多种因素的影响，如管理能力、行业竞争、市场前景、技术更新、新产品研究开发等都会导致公司盈利发生变化。如果基金所投资的公司经营不善，其债券价格可能下跌；同时，其偿债能力也会受到影响。</w:t>
      </w:r>
    </w:p>
    <w:p w:rsidR="00697D0F"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6</w:t>
      </w:r>
      <w:r w:rsidRPr="005A7DE6">
        <w:rPr>
          <w:rFonts w:asciiTheme="minorEastAsia" w:eastAsiaTheme="minorEastAsia" w:hAnsiTheme="minorEastAsia"/>
          <w:color w:val="000000" w:themeColor="text1"/>
        </w:rPr>
        <w:t>、</w:t>
      </w:r>
      <w:r w:rsidRPr="005A7DE6">
        <w:rPr>
          <w:rFonts w:asciiTheme="minorEastAsia" w:eastAsiaTheme="minorEastAsia" w:hAnsiTheme="minorEastAsia" w:hint="eastAsia"/>
          <w:color w:val="000000" w:themeColor="text1"/>
        </w:rPr>
        <w:t>购买力风险</w:t>
      </w:r>
    </w:p>
    <w:p w:rsidR="00697D0F" w:rsidRPr="005A7DE6" w:rsidP="006B758F">
      <w:pPr>
        <w:snapToGrid w:val="0"/>
        <w:spacing w:line="360" w:lineRule="auto"/>
        <w:ind w:firstLine="420" w:firstLineChars="200"/>
        <w:jc w:val="left"/>
        <w:rPr>
          <w:rFonts w:asciiTheme="minorEastAsia" w:eastAsiaTheme="minorEastAsia" w:hAnsiTheme="minorEastAsia" w:cs="宋体"/>
          <w:color w:val="000000" w:themeColor="text1"/>
          <w:kern w:val="0"/>
          <w:szCs w:val="21"/>
        </w:rPr>
      </w:pPr>
      <w:r w:rsidRPr="005A7DE6">
        <w:rPr>
          <w:rFonts w:asciiTheme="minorEastAsia" w:eastAsiaTheme="minorEastAsia" w:hAnsiTheme="minorEastAsia" w:hint="eastAsia"/>
          <w:color w:val="000000" w:themeColor="text1"/>
        </w:rPr>
        <w:t>如果发生通货膨胀，基金投资于证券所获得的收益可能会被通货膨胀抵消，从而影响基</w:t>
      </w:r>
      <w:r w:rsidRPr="005A7DE6">
        <w:rPr>
          <w:rFonts w:asciiTheme="minorEastAsia" w:eastAsiaTheme="minorEastAsia" w:hAnsiTheme="minorEastAsia" w:cs="宋体" w:hint="eastAsia"/>
          <w:color w:val="000000" w:themeColor="text1"/>
          <w:kern w:val="0"/>
          <w:szCs w:val="21"/>
        </w:rPr>
        <w:t>金资产的实际收益率。</w:t>
      </w:r>
    </w:p>
    <w:p w:rsidR="00697D0F"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7</w:t>
      </w:r>
      <w:r w:rsidRPr="005A7DE6">
        <w:rPr>
          <w:rFonts w:asciiTheme="minorEastAsia" w:eastAsiaTheme="minorEastAsia" w:hAnsiTheme="minorEastAsia"/>
          <w:color w:val="000000" w:themeColor="text1"/>
        </w:rPr>
        <w:t>、</w:t>
      </w:r>
      <w:r w:rsidRPr="005A7DE6">
        <w:rPr>
          <w:rFonts w:asciiTheme="minorEastAsia" w:eastAsiaTheme="minorEastAsia" w:hAnsiTheme="minorEastAsia" w:hint="eastAsia"/>
          <w:color w:val="000000" w:themeColor="text1"/>
        </w:rPr>
        <w:t>经济周期风险</w:t>
      </w:r>
    </w:p>
    <w:p w:rsidR="00697D0F" w:rsidRPr="005A7DE6" w:rsidP="006B758F">
      <w:pPr>
        <w:snapToGrid w:val="0"/>
        <w:spacing w:line="360" w:lineRule="auto"/>
        <w:ind w:firstLine="420" w:firstLineChars="200"/>
        <w:rPr>
          <w:rFonts w:asciiTheme="minorEastAsia" w:eastAsiaTheme="minorEastAsia" w:hAnsiTheme="minorEastAsia"/>
          <w:color w:val="000000" w:themeColor="text1"/>
          <w:kern w:val="0"/>
          <w:szCs w:val="21"/>
        </w:rPr>
      </w:pPr>
      <w:r w:rsidRPr="005A7DE6">
        <w:rPr>
          <w:rFonts w:asciiTheme="minorEastAsia" w:eastAsiaTheme="minorEastAsia" w:hAnsiTheme="minorEastAsia" w:hint="eastAsia"/>
          <w:color w:val="000000" w:themeColor="text1"/>
          <w:kern w:val="0"/>
          <w:szCs w:val="21"/>
        </w:rPr>
        <w:t>随着经济运行的周期性变化，证券市场的收益水平也呈周期性变化，基金投资的收益水平也会随之变化，从而产生风险。</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714" w:name="_Toc94172478"/>
      <w:r w:rsidRPr="005A7DE6">
        <w:rPr>
          <w:rFonts w:asciiTheme="minorEastAsia" w:eastAsiaTheme="minorEastAsia" w:hAnsiTheme="minorEastAsia"/>
          <w:b w:val="0"/>
          <w:color w:val="000000" w:themeColor="text1"/>
        </w:rPr>
        <w:t>（二）管理风险</w:t>
      </w:r>
      <w:bookmarkEnd w:id="3714"/>
    </w:p>
    <w:p w:rsidR="00BA4B87" w:rsidRPr="005A7DE6" w:rsidP="006B758F">
      <w:pPr>
        <w:snapToGrid w:val="0"/>
        <w:spacing w:line="360" w:lineRule="auto"/>
        <w:ind w:firstLine="420"/>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1</w:t>
      </w:r>
      <w:r w:rsidRPr="005A7DE6" w:rsidR="008A168E">
        <w:rPr>
          <w:rFonts w:asciiTheme="minorEastAsia" w:eastAsiaTheme="minorEastAsia" w:hAnsiTheme="minorEastAsia"/>
          <w:color w:val="000000" w:themeColor="text1"/>
          <w:kern w:val="0"/>
          <w:szCs w:val="21"/>
        </w:rPr>
        <w:t>、</w:t>
      </w:r>
      <w:r w:rsidRPr="005A7DE6">
        <w:rPr>
          <w:rFonts w:asciiTheme="minorEastAsia" w:eastAsiaTheme="minorEastAsia" w:hAnsiTheme="minorEastAsia"/>
          <w:color w:val="000000" w:themeColor="text1"/>
          <w:kern w:val="0"/>
          <w:szCs w:val="21"/>
        </w:rPr>
        <w:t>在基金管理运作过程中，基金管理人的知识、经验、判断、决策、技能等，会影响其对信息的占有以及对经济形势、证券价格走势的判断，从而影响基金收益水平；</w:t>
      </w:r>
    </w:p>
    <w:p w:rsidR="00BA4B87" w:rsidRPr="005A7DE6" w:rsidP="006B758F">
      <w:pPr>
        <w:snapToGrid w:val="0"/>
        <w:spacing w:line="360" w:lineRule="auto"/>
        <w:ind w:firstLine="420"/>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2</w:t>
      </w:r>
      <w:r w:rsidRPr="005A7DE6" w:rsidR="008A168E">
        <w:rPr>
          <w:rFonts w:asciiTheme="minorEastAsia" w:eastAsiaTheme="minorEastAsia" w:hAnsiTheme="minorEastAsia"/>
          <w:color w:val="000000" w:themeColor="text1"/>
          <w:kern w:val="0"/>
          <w:szCs w:val="21"/>
        </w:rPr>
        <w:t>、</w:t>
      </w:r>
      <w:r w:rsidRPr="005A7DE6">
        <w:rPr>
          <w:rFonts w:asciiTheme="minorEastAsia" w:eastAsiaTheme="minorEastAsia" w:hAnsiTheme="minorEastAsia"/>
          <w:color w:val="000000" w:themeColor="text1"/>
          <w:kern w:val="0"/>
          <w:szCs w:val="21"/>
        </w:rPr>
        <w:t>基金管理人</w:t>
      </w:r>
      <w:r w:rsidRPr="005A7DE6" w:rsidR="005A7DD2">
        <w:rPr>
          <w:rFonts w:asciiTheme="minorEastAsia" w:eastAsiaTheme="minorEastAsia" w:hAnsiTheme="minorEastAsia" w:hint="eastAsia"/>
          <w:color w:val="000000" w:themeColor="text1"/>
        </w:rPr>
        <w:t>和基金托管人</w:t>
      </w:r>
      <w:r w:rsidRPr="005A7DE6">
        <w:rPr>
          <w:rFonts w:asciiTheme="minorEastAsia" w:eastAsiaTheme="minorEastAsia" w:hAnsiTheme="minorEastAsia"/>
          <w:color w:val="000000" w:themeColor="text1"/>
          <w:kern w:val="0"/>
          <w:szCs w:val="21"/>
        </w:rPr>
        <w:t>管理手段和管理技术等因素的变化也会影响基金收益水平。</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715" w:name="_Toc94172479"/>
      <w:r w:rsidRPr="005A7DE6">
        <w:rPr>
          <w:rFonts w:asciiTheme="minorEastAsia" w:eastAsiaTheme="minorEastAsia" w:hAnsiTheme="minorEastAsia"/>
          <w:b w:val="0"/>
          <w:color w:val="000000" w:themeColor="text1"/>
        </w:rPr>
        <w:t>（三）流动性风险</w:t>
      </w:r>
      <w:bookmarkEnd w:id="3715"/>
    </w:p>
    <w:p w:rsidR="00F33FF5" w:rsidRPr="005A7DE6" w:rsidP="00F33FF5">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1</w:t>
      </w:r>
      <w:r w:rsidRPr="005A7DE6">
        <w:rPr>
          <w:rFonts w:asciiTheme="minorEastAsia" w:eastAsiaTheme="minorEastAsia" w:hAnsiTheme="minorEastAsia" w:hint="eastAsia"/>
          <w:color w:val="000000" w:themeColor="text1"/>
        </w:rPr>
        <w:t>、流动性风险评估</w:t>
      </w:r>
    </w:p>
    <w:p w:rsidR="00F33FF5" w:rsidRPr="005A7DE6" w:rsidP="00F33FF5">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本基金为债券型基金，主要投资于债券、</w:t>
      </w:r>
      <w:r w:rsidRPr="005A7DE6">
        <w:rPr>
          <w:rFonts w:asciiTheme="minorEastAsia" w:eastAsiaTheme="minorEastAsia" w:hAnsiTheme="minorEastAsia"/>
          <w:color w:val="000000" w:themeColor="text1"/>
        </w:rPr>
        <w:t>资产支持证券、银行存款</w:t>
      </w:r>
      <w:r w:rsidRPr="005A7DE6">
        <w:rPr>
          <w:rFonts w:asciiTheme="minorEastAsia" w:eastAsiaTheme="minorEastAsia" w:hAnsiTheme="minorEastAsia" w:hint="eastAsia"/>
          <w:color w:val="000000" w:themeColor="text1"/>
        </w:rPr>
        <w:t>，一般情况下，这些资产市场流动性较好，但不排除在特定阶段、特定市场环境下特定投资标的出现流动性较差的情况。因此，本基金投资于上述资产时，可能存在以下流动性风险：一是基金管理人建仓或进行组合调整时，可能由于特定投资标的流动性相对不足而无法按预期的价格买进或卖出；二是为应付投资者的赎回，基金被迫以不适当的价格卖出债券或其他资产。两者均可能使基金净值受到不利影响。</w:t>
      </w:r>
    </w:p>
    <w:p w:rsidR="00F33FF5" w:rsidRPr="005A7DE6" w:rsidP="00F33FF5">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2</w:t>
      </w:r>
      <w:r w:rsidRPr="005A7DE6">
        <w:rPr>
          <w:rFonts w:asciiTheme="minorEastAsia" w:eastAsiaTheme="minorEastAsia" w:hAnsiTheme="minorEastAsia" w:hint="eastAsia"/>
          <w:color w:val="000000" w:themeColor="text1"/>
        </w:rPr>
        <w:t>、巨额赎回情形下的流动性风险管理措施</w:t>
      </w:r>
    </w:p>
    <w:p w:rsidR="00F33FF5" w:rsidRPr="005A7DE6" w:rsidP="00F33FF5">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当本基金出现巨额赎回时，基金管理人可以根据基金当时的资产组合状况决定全额赎回或部分延期赎回；此外，如因市场剧烈波动或其他原因而出现</w:t>
      </w:r>
      <w:r w:rsidRPr="005A7DE6">
        <w:rPr>
          <w:rFonts w:asciiTheme="minorEastAsia" w:eastAsiaTheme="minorEastAsia" w:hAnsiTheme="minorEastAsia"/>
          <w:color w:val="000000" w:themeColor="text1"/>
          <w:szCs w:val="21"/>
        </w:rPr>
        <w:t>连续</w:t>
      </w: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color w:val="000000" w:themeColor="text1"/>
          <w:szCs w:val="21"/>
        </w:rPr>
        <w:t>日以上</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含本数</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发生巨额赎回</w:t>
      </w:r>
      <w:r w:rsidRPr="005A7DE6">
        <w:rPr>
          <w:rFonts w:asciiTheme="minorEastAsia" w:eastAsiaTheme="minorEastAsia" w:hAnsiTheme="minorEastAsia" w:hint="eastAsia"/>
          <w:color w:val="000000" w:themeColor="text1"/>
        </w:rPr>
        <w:t>，基金管理人可暂停接受投资者的赎回申请或延缓支付赎回款项；当本基金发生巨额赎回且单个基金份额持有人的赎回申请超过上一开放日基金总份额</w:t>
      </w:r>
      <w:r w:rsidRPr="005A7DE6">
        <w:rPr>
          <w:rFonts w:asciiTheme="minorEastAsia" w:eastAsiaTheme="minorEastAsia" w:hAnsiTheme="minorEastAsia" w:hint="eastAsia"/>
          <w:color w:val="000000" w:themeColor="text1"/>
        </w:rPr>
        <w:t>10%</w:t>
      </w:r>
      <w:r w:rsidRPr="005A7DE6">
        <w:rPr>
          <w:rFonts w:asciiTheme="minorEastAsia" w:eastAsiaTheme="minorEastAsia" w:hAnsiTheme="minorEastAsia" w:hint="eastAsia"/>
          <w:color w:val="000000" w:themeColor="text1"/>
        </w:rPr>
        <w:t>的，基金管理人有权对该单个基金份额持有人超出该比例的赎回申请实施延期办理。具体情形、程序见招募说明书“八、基金份额的申购、赎回”“</w:t>
      </w:r>
      <w:r w:rsidRPr="005A7DE6">
        <w:rPr>
          <w:rFonts w:asciiTheme="minorEastAsia" w:eastAsiaTheme="minorEastAsia" w:hAnsiTheme="minorEastAsia"/>
          <w:bCs/>
          <w:color w:val="000000" w:themeColor="text1"/>
        </w:rPr>
        <w:t>（十）巨额赎回的认定及处理方式</w:t>
      </w:r>
      <w:r w:rsidRPr="005A7DE6">
        <w:rPr>
          <w:rFonts w:asciiTheme="minorEastAsia" w:eastAsiaTheme="minorEastAsia" w:hAnsiTheme="minorEastAsia" w:hint="eastAsia"/>
          <w:color w:val="000000" w:themeColor="text1"/>
        </w:rPr>
        <w:t>”</w:t>
      </w:r>
    </w:p>
    <w:p w:rsidR="00F33FF5" w:rsidRPr="005A7DE6" w:rsidP="00F33FF5">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发生上述情形时，投资人面临无法全部赎回或无法及</w:t>
      </w:r>
      <w:r w:rsidRPr="005A7DE6">
        <w:rPr>
          <w:rFonts w:asciiTheme="minorEastAsia" w:eastAsiaTheme="minorEastAsia" w:hAnsiTheme="minorEastAsia" w:hint="eastAsia"/>
          <w:color w:val="000000" w:themeColor="text1"/>
        </w:rPr>
        <w:t>时获得赎回资金的风险。在本基金暂停或延期办理投资者赎回申请的情况下，投资者未能赎回的基金份额还将面临净值波动的风险。</w:t>
      </w:r>
    </w:p>
    <w:p w:rsidR="00F33FF5" w:rsidRPr="005A7DE6" w:rsidP="00F33FF5">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3</w:t>
      </w:r>
      <w:r w:rsidRPr="005A7DE6">
        <w:rPr>
          <w:rFonts w:asciiTheme="minorEastAsia" w:eastAsiaTheme="minorEastAsia" w:hAnsiTheme="minorEastAsia" w:hint="eastAsia"/>
          <w:color w:val="000000" w:themeColor="text1"/>
        </w:rPr>
        <w:t>、除巨额赎回情形外实施备用的流动性风险管理工具的情形、程序及对投资者的潜在影响</w:t>
      </w:r>
    </w:p>
    <w:p w:rsidR="00F33FF5" w:rsidRPr="005A7DE6" w:rsidP="00F33FF5">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除巨额赎回情形外，本基金备用流动性风险管理工具包括但不限于暂停接受赎回申请、延缓支付赎回款项、收取短期赎回费、暂停基金估值以及证监会认定的其他措施。</w:t>
      </w:r>
    </w:p>
    <w:p w:rsidR="00F33FF5" w:rsidRPr="005A7DE6" w:rsidP="00F33FF5">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暂停接受赎回申请、延缓支付赎回款项等工具的情形、程序见招募说明书“八、基金份额的申购、赎回”之“</w:t>
      </w:r>
      <w:r w:rsidRPr="005A7DE6">
        <w:rPr>
          <w:rFonts w:asciiTheme="minorEastAsia" w:eastAsiaTheme="minorEastAsia" w:hAnsiTheme="minorEastAsia"/>
          <w:bCs/>
          <w:color w:val="000000" w:themeColor="text1"/>
        </w:rPr>
        <w:t>（十一）拒绝或暂停申购、暂停赎回的情形及处理</w:t>
      </w:r>
      <w:r w:rsidRPr="005A7DE6">
        <w:rPr>
          <w:rFonts w:asciiTheme="minorEastAsia" w:eastAsiaTheme="minorEastAsia" w:hAnsiTheme="minorEastAsia" w:hint="eastAsia"/>
          <w:color w:val="000000" w:themeColor="text1"/>
        </w:rPr>
        <w:t>”的相关规定。若本基金</w:t>
      </w:r>
      <w:r w:rsidRPr="005A7DE6">
        <w:rPr>
          <w:rFonts w:asciiTheme="minorEastAsia" w:eastAsiaTheme="minorEastAsia" w:hAnsiTheme="minorEastAsia" w:hint="eastAsia"/>
          <w:color w:val="000000" w:themeColor="text1"/>
        </w:rPr>
        <w:t>暂停赎回申请，投资者在暂停赎回期间将无法赎回其持有的基金份额。若本基金延缓支付赎回款项，赎回款支付时间将后延，可能对投资者的资金安排带来不利影响。</w:t>
      </w:r>
    </w:p>
    <w:p w:rsidR="00F33FF5" w:rsidRPr="005A7DE6" w:rsidP="00F33FF5">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短期赎回费适用于持续持有期少于</w:t>
      </w:r>
      <w:r w:rsidRPr="005A7DE6">
        <w:rPr>
          <w:rFonts w:asciiTheme="minorEastAsia" w:eastAsiaTheme="minorEastAsia" w:hAnsiTheme="minorEastAsia" w:hint="eastAsia"/>
          <w:color w:val="000000" w:themeColor="text1"/>
        </w:rPr>
        <w:t>7</w:t>
      </w:r>
      <w:r w:rsidRPr="005A7DE6">
        <w:rPr>
          <w:rFonts w:asciiTheme="minorEastAsia" w:eastAsiaTheme="minorEastAsia" w:hAnsiTheme="minorEastAsia" w:hint="eastAsia"/>
          <w:color w:val="000000" w:themeColor="text1"/>
        </w:rPr>
        <w:t>日的投资者，费率为</w:t>
      </w:r>
      <w:r w:rsidRPr="005A7DE6">
        <w:rPr>
          <w:rFonts w:asciiTheme="minorEastAsia" w:eastAsiaTheme="minorEastAsia" w:hAnsiTheme="minorEastAsia" w:hint="eastAsia"/>
          <w:color w:val="000000" w:themeColor="text1"/>
        </w:rPr>
        <w:t>1.5%</w:t>
      </w:r>
      <w:r w:rsidRPr="005A7DE6">
        <w:rPr>
          <w:rFonts w:asciiTheme="minorEastAsia" w:eastAsiaTheme="minorEastAsia" w:hAnsiTheme="minorEastAsia" w:hint="eastAsia"/>
          <w:color w:val="000000" w:themeColor="text1"/>
        </w:rPr>
        <w:t>。短期赎回费由赎回基金份额的基金份额持有人承担，在基金份额持有人赎回基金份额时收取，并全额计入基金财产。短期赎回费的收取将使得投资者在持续持有期限少于</w:t>
      </w:r>
      <w:r w:rsidRPr="005A7DE6">
        <w:rPr>
          <w:rFonts w:asciiTheme="minorEastAsia" w:eastAsiaTheme="minorEastAsia" w:hAnsiTheme="minorEastAsia" w:hint="eastAsia"/>
          <w:color w:val="000000" w:themeColor="text1"/>
        </w:rPr>
        <w:t>7</w:t>
      </w:r>
      <w:r w:rsidRPr="005A7DE6">
        <w:rPr>
          <w:rFonts w:asciiTheme="minorEastAsia" w:eastAsiaTheme="minorEastAsia" w:hAnsiTheme="minorEastAsia" w:hint="eastAsia"/>
          <w:color w:val="000000" w:themeColor="text1"/>
        </w:rPr>
        <w:t>日时会承担较高的赎回费。</w:t>
      </w:r>
    </w:p>
    <w:p w:rsidR="00BA4B87" w:rsidRPr="005A7DE6" w:rsidP="00F33FF5">
      <w:pPr>
        <w:snapToGrid w:val="0"/>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暂停基金估值的情形、程序见招募说明书“十四、基金资产的估值”之“</w:t>
      </w:r>
      <w:r w:rsidRPr="005A7DE6">
        <w:rPr>
          <w:rFonts w:asciiTheme="minorEastAsia" w:eastAsiaTheme="minorEastAsia" w:hAnsiTheme="minorEastAsia"/>
          <w:color w:val="000000" w:themeColor="text1"/>
        </w:rPr>
        <w:t>（七）暂停估值的情形</w:t>
      </w:r>
      <w:r w:rsidRPr="005A7DE6">
        <w:rPr>
          <w:rFonts w:asciiTheme="minorEastAsia" w:eastAsiaTheme="minorEastAsia" w:hAnsiTheme="minorEastAsia" w:hint="eastAsia"/>
          <w:color w:val="000000" w:themeColor="text1"/>
        </w:rPr>
        <w:t>”的相关规定。若本基金暂停基金估值，一方面投</w:t>
      </w:r>
      <w:r w:rsidRPr="005A7DE6">
        <w:rPr>
          <w:rFonts w:asciiTheme="minorEastAsia" w:eastAsiaTheme="minorEastAsia" w:hAnsiTheme="minorEastAsia" w:hint="eastAsia"/>
          <w:color w:val="000000" w:themeColor="text1"/>
        </w:rPr>
        <w:t>资者将无法知晓本基金的基金份额净值，另一方面基金将暂停接受申购赎回申请或延缓支付赎回款项，将导致投资者无法申购或赎回本基金，或赎回款支付时间将后延，可能对投资者的资金安排带来不利影响。</w:t>
      </w:r>
    </w:p>
    <w:p w:rsidR="00C700D2" w:rsidRPr="005A7DE6" w:rsidP="00C700D2">
      <w:pPr>
        <w:snapToGrid w:val="0"/>
        <w:spacing w:line="360" w:lineRule="auto"/>
        <w:ind w:firstLine="420"/>
        <w:rPr>
          <w:rFonts w:asciiTheme="minorEastAsia" w:eastAsiaTheme="minorEastAsia" w:hAnsiTheme="minorEastAsia"/>
          <w:color w:val="000000" w:themeColor="text1"/>
          <w:kern w:val="0"/>
          <w:szCs w:val="21"/>
        </w:rPr>
      </w:pPr>
      <w:r w:rsidRPr="005A7DE6">
        <w:rPr>
          <w:rFonts w:asciiTheme="minorEastAsia" w:eastAsiaTheme="minorEastAsia" w:hAnsiTheme="minorEastAsia" w:hint="eastAsia"/>
          <w:color w:val="000000" w:themeColor="text1"/>
          <w:kern w:val="0"/>
          <w:szCs w:val="21"/>
        </w:rPr>
        <w:t>4</w:t>
      </w:r>
      <w:r w:rsidRPr="005A7DE6">
        <w:rPr>
          <w:rFonts w:asciiTheme="minorEastAsia" w:eastAsiaTheme="minorEastAsia" w:hAnsiTheme="minorEastAsia" w:hint="eastAsia"/>
          <w:color w:val="000000" w:themeColor="text1"/>
          <w:kern w:val="0"/>
          <w:szCs w:val="21"/>
        </w:rPr>
        <w:t>、实施侧袋机制对投资者的影响</w:t>
      </w:r>
    </w:p>
    <w:p w:rsidR="00C700D2" w:rsidRPr="005A7DE6" w:rsidP="00C700D2">
      <w:pPr>
        <w:snapToGrid w:val="0"/>
        <w:spacing w:line="360" w:lineRule="auto"/>
        <w:ind w:firstLine="420"/>
        <w:rPr>
          <w:rFonts w:asciiTheme="minorEastAsia" w:eastAsiaTheme="minorEastAsia" w:hAnsiTheme="minorEastAsia"/>
          <w:color w:val="000000" w:themeColor="text1"/>
          <w:kern w:val="0"/>
          <w:szCs w:val="21"/>
        </w:rPr>
      </w:pPr>
      <w:r w:rsidRPr="005A7DE6">
        <w:rPr>
          <w:rFonts w:asciiTheme="minorEastAsia" w:eastAsiaTheme="minorEastAsia" w:hAnsiTheme="minorEastAsia" w:hint="eastAsia"/>
          <w:color w:val="000000" w:themeColor="text1"/>
          <w:kern w:val="0"/>
          <w:szCs w:val="21"/>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w:t>
      </w:r>
      <w:r w:rsidRPr="005A7DE6">
        <w:rPr>
          <w:rFonts w:asciiTheme="minorEastAsia" w:eastAsiaTheme="minorEastAsia" w:hAnsiTheme="minorEastAsia" w:hint="eastAsia"/>
          <w:color w:val="000000" w:themeColor="text1"/>
          <w:kern w:val="0"/>
          <w:szCs w:val="21"/>
        </w:rPr>
        <w:t>份额的持有人将在启用侧袋机制后同时拥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rsidR="00C700D2" w:rsidRPr="005A7DE6" w:rsidP="00C700D2">
      <w:pPr>
        <w:snapToGrid w:val="0"/>
        <w:spacing w:line="360" w:lineRule="auto"/>
        <w:ind w:firstLine="420"/>
        <w:rPr>
          <w:rFonts w:asciiTheme="minorEastAsia" w:eastAsiaTheme="minorEastAsia" w:hAnsiTheme="minorEastAsia"/>
          <w:color w:val="000000" w:themeColor="text1"/>
          <w:kern w:val="0"/>
          <w:szCs w:val="21"/>
        </w:rPr>
      </w:pPr>
      <w:r w:rsidRPr="005A7DE6">
        <w:rPr>
          <w:rFonts w:asciiTheme="minorEastAsia" w:eastAsiaTheme="minorEastAsia" w:hAnsiTheme="minorEastAsia" w:hint="eastAsia"/>
          <w:color w:val="000000" w:themeColor="text1"/>
          <w:kern w:val="0"/>
          <w:szCs w:val="21"/>
        </w:rPr>
        <w:t>实施侧袋机制期间，基金管理人计算各项投资运作指标和基金业绩指标时以主袋账户资产为基准，不反映侧袋账户特定资产的真实价值及变化情况。本基金不披露侧袋账户份额的净值，即便基金管理人在基金定期报告中披露报告期末特定资产可变现净值或净值区间的，也不作为特定资产最终变现价格的承诺，对于</w:t>
      </w:r>
      <w:r w:rsidRPr="005A7DE6">
        <w:rPr>
          <w:rFonts w:asciiTheme="minorEastAsia" w:eastAsiaTheme="minorEastAsia" w:hAnsiTheme="minorEastAsia" w:hint="eastAsia"/>
          <w:color w:val="000000" w:themeColor="text1"/>
          <w:kern w:val="0"/>
          <w:szCs w:val="21"/>
        </w:rPr>
        <w:t>特定资产的公允价值和最终变现价格，基金管理人不承担任何保证和承诺的责任。</w:t>
      </w:r>
    </w:p>
    <w:p w:rsidR="00C700D2" w:rsidRPr="005A7DE6" w:rsidP="00C700D2">
      <w:pPr>
        <w:snapToGrid w:val="0"/>
        <w:spacing w:line="360" w:lineRule="auto"/>
        <w:ind w:firstLine="420"/>
        <w:rPr>
          <w:rFonts w:asciiTheme="minorEastAsia" w:eastAsiaTheme="minorEastAsia" w:hAnsiTheme="minorEastAsia"/>
          <w:color w:val="000000" w:themeColor="text1"/>
          <w:kern w:val="0"/>
          <w:szCs w:val="21"/>
        </w:rPr>
      </w:pPr>
      <w:r w:rsidRPr="005A7DE6">
        <w:rPr>
          <w:rFonts w:asciiTheme="minorEastAsia" w:eastAsiaTheme="minorEastAsia" w:hAnsiTheme="minorEastAsia" w:hint="eastAsia"/>
          <w:color w:val="000000" w:themeColor="text1"/>
          <w:kern w:val="0"/>
          <w:szCs w:val="21"/>
        </w:rPr>
        <w:t>基金管理人将根据主袋账户运作情况合理确定申购政策，因此实施侧袋机制后主袋账户份额存在暂停申购的可能。</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716" w:name="_Toc94172480"/>
      <w:r w:rsidRPr="005A7DE6">
        <w:rPr>
          <w:rFonts w:asciiTheme="minorEastAsia" w:eastAsiaTheme="minorEastAsia" w:hAnsiTheme="minorEastAsia"/>
          <w:b w:val="0"/>
          <w:color w:val="000000" w:themeColor="text1"/>
        </w:rPr>
        <w:t>（四）特有风险</w:t>
      </w:r>
      <w:bookmarkEnd w:id="3716"/>
    </w:p>
    <w:p w:rsidR="00B44918" w:rsidRPr="005A7DE6" w:rsidP="006B758F">
      <w:pPr>
        <w:snapToGrid w:val="0"/>
        <w:spacing w:line="360" w:lineRule="auto"/>
        <w:ind w:firstLine="420"/>
        <w:rPr>
          <w:rFonts w:asciiTheme="minorEastAsia" w:eastAsiaTheme="minorEastAsia" w:hAnsiTheme="minorEastAsia"/>
          <w:color w:val="000000" w:themeColor="text1"/>
          <w:kern w:val="0"/>
          <w:szCs w:val="21"/>
        </w:rPr>
      </w:pPr>
      <w:r w:rsidRPr="005A7DE6">
        <w:rPr>
          <w:rFonts w:asciiTheme="minorEastAsia" w:eastAsiaTheme="minorEastAsia" w:hAnsiTheme="minorEastAsia" w:hint="eastAsia"/>
          <w:color w:val="000000" w:themeColor="text1"/>
          <w:kern w:val="0"/>
          <w:szCs w:val="21"/>
        </w:rPr>
        <w:t>1</w:t>
      </w:r>
      <w:r w:rsidRPr="005A7DE6">
        <w:rPr>
          <w:rFonts w:asciiTheme="minorEastAsia" w:eastAsiaTheme="minorEastAsia" w:hAnsiTheme="minorEastAsia" w:hint="eastAsia"/>
          <w:color w:val="000000" w:themeColor="text1"/>
          <w:kern w:val="0"/>
          <w:szCs w:val="21"/>
        </w:rPr>
        <w:t>、</w:t>
      </w:r>
      <w:r w:rsidRPr="005A7DE6">
        <w:rPr>
          <w:rFonts w:asciiTheme="minorEastAsia" w:eastAsiaTheme="minorEastAsia" w:hAnsiTheme="minorEastAsia"/>
          <w:color w:val="000000" w:themeColor="text1"/>
          <w:kern w:val="0"/>
          <w:szCs w:val="21"/>
        </w:rPr>
        <w:t>本基金对固定收益类品种的投资比例不低于基金资产的</w:t>
      </w:r>
      <w:r w:rsidRPr="005A7DE6">
        <w:rPr>
          <w:rFonts w:asciiTheme="minorEastAsia" w:eastAsiaTheme="minorEastAsia" w:hAnsiTheme="minorEastAsia"/>
          <w:color w:val="000000" w:themeColor="text1"/>
          <w:kern w:val="0"/>
          <w:szCs w:val="21"/>
        </w:rPr>
        <w:t>80%</w:t>
      </w:r>
      <w:r w:rsidRPr="005A7DE6">
        <w:rPr>
          <w:rFonts w:asciiTheme="minorEastAsia" w:eastAsiaTheme="minorEastAsia" w:hAnsiTheme="minorEastAsia"/>
          <w:color w:val="000000" w:themeColor="text1"/>
          <w:kern w:val="0"/>
          <w:szCs w:val="21"/>
        </w:rPr>
        <w:t>，因此，本基金需要承担由于市场利率波动造成的利率风险以及如企业债、公司债等信用品种的发债主体信用恶化造成的信用风险；如果债券市场出现整体下跌，将无法完全避免债券市场系统性风险</w:t>
      </w:r>
      <w:r w:rsidRPr="005A7DE6" w:rsidR="00E272A5">
        <w:rPr>
          <w:rFonts w:asciiTheme="minorEastAsia" w:eastAsiaTheme="minorEastAsia" w:hAnsiTheme="minorEastAsia" w:hint="eastAsia"/>
          <w:color w:val="000000" w:themeColor="text1"/>
          <w:kern w:val="0"/>
          <w:szCs w:val="21"/>
        </w:rPr>
        <w:t>。</w:t>
      </w:r>
    </w:p>
    <w:p w:rsidR="00EF61A2" w:rsidRPr="005A7DE6" w:rsidP="006B758F">
      <w:pPr>
        <w:snapToGrid w:val="0"/>
        <w:spacing w:line="360" w:lineRule="auto"/>
        <w:ind w:firstLine="420"/>
        <w:rPr>
          <w:rFonts w:asciiTheme="minorEastAsia" w:eastAsiaTheme="minorEastAsia" w:hAnsiTheme="minorEastAsia"/>
          <w:color w:val="000000" w:themeColor="text1"/>
          <w:kern w:val="0"/>
          <w:szCs w:val="21"/>
        </w:rPr>
      </w:pPr>
      <w:r w:rsidRPr="005A7DE6">
        <w:rPr>
          <w:rFonts w:asciiTheme="minorEastAsia" w:eastAsiaTheme="minorEastAsia" w:hAnsiTheme="minorEastAsia" w:hint="eastAsia"/>
          <w:color w:val="000000" w:themeColor="text1"/>
          <w:kern w:val="0"/>
          <w:szCs w:val="21"/>
        </w:rPr>
        <w:t>2</w:t>
      </w:r>
      <w:r w:rsidRPr="005A7DE6">
        <w:rPr>
          <w:rFonts w:asciiTheme="minorEastAsia" w:eastAsiaTheme="minorEastAsia" w:hAnsiTheme="minorEastAsia"/>
          <w:color w:val="000000" w:themeColor="text1"/>
          <w:kern w:val="0"/>
          <w:szCs w:val="21"/>
        </w:rPr>
        <w:t>、</w:t>
      </w:r>
      <w:r w:rsidRPr="005A7DE6">
        <w:rPr>
          <w:rFonts w:asciiTheme="minorEastAsia" w:eastAsiaTheme="minorEastAsia" w:hAnsiTheme="minorEastAsia" w:hint="eastAsia"/>
          <w:color w:val="000000" w:themeColor="text1"/>
          <w:kern w:val="0"/>
          <w:szCs w:val="21"/>
        </w:rPr>
        <w:t>本基金投资范围包括资产支持证券，投资该类型债券除了面临信用风险、利率风险、流动性风险以外，还面临债务人可能由于利率变化等原因进行提前偿付，从而使基金资产面临再投资的风险。</w:t>
      </w:r>
    </w:p>
    <w:p w:rsidR="00BF25C7" w:rsidRPr="005A7DE6" w:rsidP="00BF25C7">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717" w:name="_Toc94172481"/>
      <w:r w:rsidRPr="005A7DE6">
        <w:rPr>
          <w:rFonts w:asciiTheme="minorEastAsia" w:eastAsiaTheme="minorEastAsia" w:hAnsiTheme="minorEastAsia"/>
          <w:b w:val="0"/>
          <w:color w:val="000000" w:themeColor="text1"/>
        </w:rPr>
        <w:t>（五）</w:t>
      </w:r>
      <w:r w:rsidRPr="005A7DE6">
        <w:rPr>
          <w:rFonts w:asciiTheme="minorEastAsia" w:eastAsiaTheme="minorEastAsia" w:hAnsiTheme="minorEastAsia" w:hint="eastAsia"/>
          <w:b w:val="0"/>
          <w:color w:val="000000" w:themeColor="text1"/>
        </w:rPr>
        <w:t>本基金法律文件中涉及基金风险特征的表述与销售机构对基金的风险评级可能不一致的风险</w:t>
      </w:r>
      <w:bookmarkEnd w:id="3717"/>
    </w:p>
    <w:p w:rsidR="00BF25C7" w:rsidRPr="005A7DE6" w:rsidP="006B758F">
      <w:pPr>
        <w:snapToGrid w:val="0"/>
        <w:spacing w:line="360" w:lineRule="auto"/>
        <w:ind w:firstLine="420"/>
        <w:rPr>
          <w:rFonts w:asciiTheme="minorEastAsia" w:eastAsiaTheme="minorEastAsia" w:hAnsiTheme="minorEastAsia"/>
          <w:color w:val="000000" w:themeColor="text1"/>
          <w:kern w:val="0"/>
          <w:szCs w:val="21"/>
        </w:rPr>
      </w:pPr>
      <w:r w:rsidRPr="005A7DE6">
        <w:rPr>
          <w:rFonts w:asciiTheme="minorEastAsia" w:eastAsiaTheme="minorEastAsia" w:hAnsiTheme="minorEastAsia" w:hint="eastAsia"/>
          <w:color w:val="000000" w:themeColor="text1"/>
          <w:kern w:val="0"/>
          <w:szCs w:val="21"/>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w:t>
      </w:r>
      <w:r w:rsidRPr="005A7DE6">
        <w:rPr>
          <w:rFonts w:asciiTheme="minorEastAsia" w:eastAsiaTheme="minorEastAsia" w:hAnsiTheme="minorEastAsia" w:hint="eastAsia"/>
          <w:color w:val="000000" w:themeColor="text1"/>
          <w:kern w:val="0"/>
          <w:szCs w:val="21"/>
        </w:rPr>
        <w:t>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color w:val="000000" w:themeColor="text1"/>
        </w:rPr>
      </w:pPr>
      <w:bookmarkStart w:id="3718" w:name="_Toc94172482"/>
      <w:r w:rsidRPr="005A7DE6">
        <w:rPr>
          <w:rFonts w:asciiTheme="minorEastAsia" w:eastAsiaTheme="minorEastAsia" w:hAnsiTheme="minorEastAsia"/>
          <w:b w:val="0"/>
          <w:color w:val="000000" w:themeColor="text1"/>
        </w:rPr>
        <w:t>（</w:t>
      </w:r>
      <w:r w:rsidRPr="005A7DE6" w:rsidR="00BF25C7">
        <w:rPr>
          <w:rFonts w:asciiTheme="minorEastAsia" w:eastAsiaTheme="minorEastAsia" w:hAnsiTheme="minorEastAsia"/>
          <w:b w:val="0"/>
          <w:color w:val="000000" w:themeColor="text1"/>
        </w:rPr>
        <w:t>六</w:t>
      </w:r>
      <w:r w:rsidRPr="005A7DE6">
        <w:rPr>
          <w:rFonts w:asciiTheme="minorEastAsia" w:eastAsiaTheme="minorEastAsia" w:hAnsiTheme="minorEastAsia"/>
          <w:b w:val="0"/>
          <w:color w:val="000000" w:themeColor="text1"/>
        </w:rPr>
        <w:t>）其他风险</w:t>
      </w:r>
      <w:bookmarkEnd w:id="3718"/>
    </w:p>
    <w:p w:rsidR="007D39FE" w:rsidRPr="005A7DE6" w:rsidP="006B758F">
      <w:pPr>
        <w:snapToGrid w:val="0"/>
        <w:spacing w:line="360" w:lineRule="auto"/>
        <w:ind w:firstLine="420"/>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kern w:val="0"/>
          <w:szCs w:val="21"/>
        </w:rPr>
        <w:t>1</w:t>
      </w:r>
      <w:r w:rsidRPr="005A7DE6">
        <w:rPr>
          <w:rFonts w:asciiTheme="minorEastAsia" w:eastAsiaTheme="minorEastAsia" w:hAnsiTheme="minorEastAsia" w:hint="eastAsia"/>
          <w:color w:val="000000" w:themeColor="text1"/>
          <w:kern w:val="0"/>
          <w:szCs w:val="21"/>
        </w:rPr>
        <w:t>、本基金力争战胜业绩比较基准，但本基金的收益水平有可能不能达到或超过业绩比较基准，基金份额持有人面临无法获得目标收益率甚至本金亏损的风险；</w:t>
      </w:r>
    </w:p>
    <w:p w:rsidR="007D39FE"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w:t>
      </w:r>
      <w:r w:rsidRPr="005A7DE6">
        <w:rPr>
          <w:rFonts w:asciiTheme="minorEastAsia" w:eastAsiaTheme="minorEastAsia" w:hAnsiTheme="minorEastAsia" w:hint="eastAsia"/>
          <w:color w:val="000000" w:themeColor="text1"/>
        </w:rPr>
        <w:t>、因技术因素而产生的风险，如电脑系统不可靠产生的风险；</w:t>
      </w:r>
    </w:p>
    <w:p w:rsidR="007D39FE"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w:t>
      </w:r>
      <w:r w:rsidRPr="005A7DE6">
        <w:rPr>
          <w:rFonts w:asciiTheme="minorEastAsia" w:eastAsiaTheme="minorEastAsia" w:hAnsiTheme="minorEastAsia" w:hint="eastAsia"/>
          <w:color w:val="000000" w:themeColor="text1"/>
        </w:rPr>
        <w:t>、因战争、自然灾害等不可抗力导致的基金管理人、基金托管人、基金</w:t>
      </w:r>
      <w:r w:rsidRPr="005A7DE6" w:rsidR="007C0F95">
        <w:rPr>
          <w:rFonts w:asciiTheme="minorEastAsia" w:eastAsiaTheme="minorEastAsia" w:hAnsiTheme="minorEastAsia" w:hint="eastAsia"/>
          <w:color w:val="000000" w:themeColor="text1"/>
        </w:rPr>
        <w:t>服务</w:t>
      </w:r>
      <w:r w:rsidRPr="005A7DE6">
        <w:rPr>
          <w:rFonts w:asciiTheme="minorEastAsia" w:eastAsiaTheme="minorEastAsia" w:hAnsiTheme="minorEastAsia" w:hint="eastAsia"/>
          <w:color w:val="000000" w:themeColor="text1"/>
        </w:rPr>
        <w:t>机构等机构无法正常工作，从而影响基金运作的风险；</w:t>
      </w:r>
    </w:p>
    <w:p w:rsidR="005D3F55" w:rsidRPr="005A7DE6" w:rsidP="005D3F55">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w:t>
      </w:r>
      <w:r w:rsidRPr="005A7DE6">
        <w:rPr>
          <w:rFonts w:asciiTheme="minorEastAsia" w:eastAsiaTheme="minorEastAsia" w:hAnsiTheme="minorEastAsia" w:hint="eastAsia"/>
          <w:color w:val="000000" w:themeColor="text1"/>
        </w:rPr>
        <w:t>、因金融市场危机、代理商违约、基金托管人违约等超出基金管理人自身控制能力的因素出现，可能导致基金或者基金份额持有人利益受损的风险；</w:t>
      </w:r>
    </w:p>
    <w:p w:rsidR="00E272A5" w:rsidRPr="005A7DE6" w:rsidP="005D3F55">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w:t>
      </w:r>
      <w:r w:rsidRPr="005A7DE6">
        <w:rPr>
          <w:rFonts w:asciiTheme="minorEastAsia" w:eastAsiaTheme="minorEastAsia" w:hAnsiTheme="minorEastAsia"/>
          <w:color w:val="000000" w:themeColor="text1"/>
        </w:rPr>
        <w:t>、</w:t>
      </w:r>
      <w:r w:rsidRPr="005A7DE6">
        <w:rPr>
          <w:rFonts w:asciiTheme="minorEastAsia" w:eastAsiaTheme="minorEastAsia" w:hAnsiTheme="minorEastAsia" w:hint="eastAsia"/>
          <w:color w:val="000000" w:themeColor="text1"/>
        </w:rPr>
        <w:t>因</w:t>
      </w:r>
      <w:r w:rsidRPr="005A7DE6">
        <w:rPr>
          <w:rFonts w:asciiTheme="minorEastAsia" w:eastAsiaTheme="minorEastAsia" w:hAnsiTheme="minorEastAsia"/>
          <w:color w:val="000000" w:themeColor="text1"/>
        </w:rPr>
        <w:t>固定收益类金融工具主要在场外市场进行交易，场外市场交易现阶段自动化程度较场内市场低，本基金在投资运作过程中可能面临操作风险。</w:t>
      </w:r>
    </w:p>
    <w:p w:rsidR="00BA4B87" w:rsidRPr="005A7DE6" w:rsidP="006B758F">
      <w:pPr>
        <w:pStyle w:val="111"/>
        <w:pageBreakBefore w:val="0"/>
        <w:snapToGrid w:val="0"/>
        <w:spacing w:beforeLines="0" w:afterLines="0" w:line="360" w:lineRule="auto"/>
        <w:ind w:firstLine="600"/>
        <w:rPr>
          <w:rFonts w:asciiTheme="minorEastAsia" w:eastAsiaTheme="minorEastAsia" w:hAnsiTheme="minorEastAsia"/>
          <w:b/>
          <w:color w:val="000000" w:themeColor="text1"/>
          <w:sz w:val="30"/>
        </w:rPr>
      </w:pPr>
      <w:r w:rsidRPr="005A7DE6">
        <w:rPr>
          <w:rFonts w:asciiTheme="minorEastAsia" w:eastAsiaTheme="minorEastAsia" w:hAnsiTheme="minorEastAsia"/>
          <w:color w:val="000000" w:themeColor="text1"/>
          <w:sz w:val="30"/>
        </w:rPr>
        <w:br w:type="column"/>
      </w:r>
      <w:bookmarkStart w:id="3719" w:name="_Toc94172483"/>
      <w:r w:rsidRPr="005A7DE6" w:rsidR="008245B1">
        <w:rPr>
          <w:rFonts w:asciiTheme="minorEastAsia" w:eastAsiaTheme="minorEastAsia" w:hAnsiTheme="minorEastAsia" w:hint="eastAsia"/>
          <w:b/>
          <w:color w:val="000000" w:themeColor="text1"/>
          <w:sz w:val="30"/>
        </w:rPr>
        <w:t>二十</w:t>
      </w:r>
      <w:r w:rsidRPr="005A7DE6" w:rsidR="00485E3F">
        <w:rPr>
          <w:rFonts w:asciiTheme="minorEastAsia" w:eastAsiaTheme="minorEastAsia" w:hAnsiTheme="minorEastAsia" w:hint="eastAsia"/>
          <w:b/>
          <w:color w:val="000000" w:themeColor="text1"/>
          <w:sz w:val="30"/>
        </w:rPr>
        <w:t>一</w:t>
      </w:r>
      <w:r w:rsidRPr="005A7DE6">
        <w:rPr>
          <w:rFonts w:asciiTheme="minorEastAsia" w:eastAsiaTheme="minorEastAsia" w:hAnsiTheme="minorEastAsia"/>
          <w:b/>
          <w:color w:val="000000" w:themeColor="text1"/>
          <w:sz w:val="30"/>
        </w:rPr>
        <w:t>、基金合同的变更、终止与基金财产的清算</w:t>
      </w:r>
      <w:bookmarkEnd w:id="3719"/>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720" w:name="_Toc94172484"/>
      <w:r w:rsidRPr="005A7DE6">
        <w:rPr>
          <w:rFonts w:asciiTheme="minorEastAsia" w:eastAsiaTheme="minorEastAsia" w:hAnsiTheme="minorEastAsia"/>
          <w:b w:val="0"/>
          <w:color w:val="000000" w:themeColor="text1"/>
        </w:rPr>
        <w:t>（一）基金合同的变更</w:t>
      </w:r>
      <w:bookmarkEnd w:id="3720"/>
    </w:p>
    <w:p w:rsidR="0055183F"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w:t>
      </w:r>
      <w:r w:rsidRPr="005A7DE6" w:rsidR="008A168E">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基金合同变更内容对基金合同当事人权利、义务产生重大影响的，应召开基金份额持有人大会，基金合同变更的内容应经基金份额持有人大会决议同意。</w:t>
      </w:r>
    </w:p>
    <w:p w:rsidR="0055183F"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）转换基金运作方式；</w:t>
      </w:r>
    </w:p>
    <w:p w:rsidR="0055183F"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color w:val="000000" w:themeColor="text1"/>
          <w:szCs w:val="21"/>
        </w:rPr>
        <w:t>）变更基金类别；</w:t>
      </w:r>
    </w:p>
    <w:p w:rsidR="0055183F"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3</w:t>
      </w:r>
      <w:r w:rsidRPr="005A7DE6">
        <w:rPr>
          <w:rFonts w:asciiTheme="minorEastAsia" w:eastAsiaTheme="minorEastAsia" w:hAnsiTheme="minorEastAsia"/>
          <w:color w:val="000000" w:themeColor="text1"/>
          <w:szCs w:val="21"/>
        </w:rPr>
        <w:t>）变更基金投资目标、投资范围或投资策略（法律法规、中国证监会和基金合同中国证监会另有规定的除外）；</w:t>
      </w:r>
    </w:p>
    <w:p w:rsidR="0055183F"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4</w:t>
      </w:r>
      <w:r w:rsidRPr="005A7DE6">
        <w:rPr>
          <w:rFonts w:asciiTheme="minorEastAsia" w:eastAsiaTheme="minorEastAsia" w:hAnsiTheme="minorEastAsia"/>
          <w:color w:val="000000" w:themeColor="text1"/>
          <w:szCs w:val="21"/>
        </w:rPr>
        <w:t>）变更基金份额持有人大会程序；</w:t>
      </w:r>
    </w:p>
    <w:p w:rsidR="0055183F"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5</w:t>
      </w:r>
      <w:r w:rsidRPr="005A7DE6">
        <w:rPr>
          <w:rFonts w:asciiTheme="minorEastAsia" w:eastAsiaTheme="minorEastAsia" w:hAnsiTheme="minorEastAsia"/>
          <w:color w:val="000000" w:themeColor="text1"/>
          <w:szCs w:val="21"/>
        </w:rPr>
        <w:t>）更换基金管理人、基金托管人；</w:t>
      </w:r>
    </w:p>
    <w:p w:rsidR="0055183F"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6</w:t>
      </w:r>
      <w:r w:rsidRPr="005A7DE6">
        <w:rPr>
          <w:rFonts w:asciiTheme="minorEastAsia" w:eastAsiaTheme="minorEastAsia" w:hAnsiTheme="minorEastAsia"/>
          <w:color w:val="000000" w:themeColor="text1"/>
          <w:szCs w:val="21"/>
        </w:rPr>
        <w:t>）提高基金管理人、基金托管人的报酬标准。但根据适用的相关规定提高该等报酬标准的除外；</w:t>
      </w:r>
    </w:p>
    <w:p w:rsidR="0055183F"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7</w:t>
      </w:r>
      <w:r w:rsidRPr="005A7DE6">
        <w:rPr>
          <w:rFonts w:asciiTheme="minorEastAsia" w:eastAsiaTheme="minorEastAsia" w:hAnsiTheme="minorEastAsia"/>
          <w:color w:val="000000" w:themeColor="text1"/>
        </w:rPr>
        <w:t>）本基金与其他基金的合并；</w:t>
      </w:r>
    </w:p>
    <w:p w:rsidR="0055183F"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8</w:t>
      </w:r>
      <w:r w:rsidRPr="005A7DE6">
        <w:rPr>
          <w:rFonts w:asciiTheme="minorEastAsia" w:eastAsiaTheme="minorEastAsia" w:hAnsiTheme="minorEastAsia"/>
          <w:color w:val="000000" w:themeColor="text1"/>
        </w:rPr>
        <w:t>）对基金合同当事人权利、义务产生重大影响的其他事项；</w:t>
      </w:r>
    </w:p>
    <w:p w:rsidR="0055183F"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9</w:t>
      </w:r>
      <w:r w:rsidRPr="005A7DE6">
        <w:rPr>
          <w:rFonts w:asciiTheme="minorEastAsia" w:eastAsiaTheme="minorEastAsia" w:hAnsiTheme="minorEastAsia"/>
          <w:color w:val="000000" w:themeColor="text1"/>
        </w:rPr>
        <w:t>）法律法规、基金合同或中国证监会规定的其他情形。</w:t>
      </w:r>
    </w:p>
    <w:p w:rsidR="0055183F"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但出现下列情况时，可不经基金份额持有人大会决议，由基金管理人和基金托管人同意变更后公布，并报中国证监会备案：</w:t>
      </w:r>
    </w:p>
    <w:p w:rsidR="0055183F"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1</w:t>
      </w:r>
      <w:r w:rsidRPr="005A7DE6">
        <w:rPr>
          <w:rFonts w:asciiTheme="minorEastAsia" w:eastAsiaTheme="minorEastAsia" w:hAnsiTheme="minorEastAsia"/>
          <w:color w:val="000000" w:themeColor="text1"/>
        </w:rPr>
        <w:t>）调低基金管理费、基金托管费和其他应由基金承担的费用；</w:t>
      </w:r>
    </w:p>
    <w:p w:rsidR="0055183F"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2</w:t>
      </w:r>
      <w:r w:rsidRPr="005A7DE6">
        <w:rPr>
          <w:rFonts w:asciiTheme="minorEastAsia" w:eastAsiaTheme="minorEastAsia" w:hAnsiTheme="minorEastAsia"/>
          <w:color w:val="000000" w:themeColor="text1"/>
        </w:rPr>
        <w:t>）在法律法规和基金合同规定的范围内变更基金的申购费率或收费方式、调低赎回费率；</w:t>
      </w:r>
    </w:p>
    <w:p w:rsidR="0055183F"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3</w:t>
      </w:r>
      <w:r w:rsidRPr="005A7DE6">
        <w:rPr>
          <w:rFonts w:asciiTheme="minorEastAsia" w:eastAsiaTheme="minorEastAsia" w:hAnsiTheme="minorEastAsia"/>
          <w:color w:val="000000" w:themeColor="text1"/>
        </w:rPr>
        <w:t>）因相应的法律法规发生变动必须对基金合同进行修改；</w:t>
      </w:r>
    </w:p>
    <w:p w:rsidR="0055183F"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4</w:t>
      </w:r>
      <w:r w:rsidRPr="005A7DE6">
        <w:rPr>
          <w:rFonts w:asciiTheme="minorEastAsia" w:eastAsiaTheme="minorEastAsia" w:hAnsiTheme="minorEastAsia"/>
          <w:color w:val="000000" w:themeColor="text1"/>
        </w:rPr>
        <w:t>）对基金合同的修改</w:t>
      </w:r>
      <w:r w:rsidRPr="005A7DE6" w:rsidR="00D019DA">
        <w:rPr>
          <w:rFonts w:asciiTheme="minorEastAsia" w:eastAsiaTheme="minorEastAsia" w:hAnsiTheme="minorEastAsia"/>
          <w:color w:val="000000" w:themeColor="text1"/>
        </w:rPr>
        <w:t>不涉及</w:t>
      </w:r>
      <w:r w:rsidRPr="005A7DE6">
        <w:rPr>
          <w:rFonts w:asciiTheme="minorEastAsia" w:eastAsiaTheme="minorEastAsia" w:hAnsiTheme="minorEastAsia"/>
          <w:color w:val="000000" w:themeColor="text1"/>
        </w:rPr>
        <w:t>基金合同当事人权利义务关系发生变化；</w:t>
      </w:r>
    </w:p>
    <w:p w:rsidR="0055183F"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5</w:t>
      </w:r>
      <w:r w:rsidRPr="005A7DE6">
        <w:rPr>
          <w:rFonts w:asciiTheme="minorEastAsia" w:eastAsiaTheme="minorEastAsia" w:hAnsiTheme="minorEastAsia"/>
          <w:color w:val="000000" w:themeColor="text1"/>
        </w:rPr>
        <w:t>）基金合同的修改对基金份额持有人利益无实质性不利影响；</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sidR="0055183F">
        <w:rPr>
          <w:rFonts w:asciiTheme="minorEastAsia" w:eastAsiaTheme="minorEastAsia" w:hAnsiTheme="minorEastAsia"/>
          <w:color w:val="000000" w:themeColor="text1"/>
        </w:rPr>
        <w:t>6</w:t>
      </w:r>
      <w:r w:rsidRPr="005A7DE6">
        <w:rPr>
          <w:rFonts w:asciiTheme="minorEastAsia" w:eastAsiaTheme="minorEastAsia" w:hAnsiTheme="minorEastAsia"/>
          <w:color w:val="000000" w:themeColor="text1"/>
        </w:rPr>
        <w:t>）</w:t>
      </w:r>
      <w:r w:rsidRPr="005A7DE6" w:rsidR="00D019DA">
        <w:rPr>
          <w:rFonts w:asciiTheme="minorEastAsia" w:eastAsiaTheme="minorEastAsia" w:hAnsiTheme="minorEastAsia"/>
          <w:color w:val="000000" w:themeColor="text1"/>
        </w:rPr>
        <w:t>按照法律法规或</w:t>
      </w:r>
      <w:r w:rsidRPr="005A7DE6" w:rsidR="0055183F">
        <w:rPr>
          <w:rFonts w:asciiTheme="minorEastAsia" w:eastAsiaTheme="minorEastAsia" w:hAnsiTheme="minorEastAsia"/>
          <w:color w:val="000000" w:themeColor="text1"/>
        </w:rPr>
        <w:t>基金合同规定不需召开基金份额持有人大会的其他情形。</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rPr>
        <w:t>2</w:t>
      </w:r>
      <w:r w:rsidRPr="005A7DE6" w:rsidR="008A168E">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关于变更基金合同的基金份额持有人大会决议应报中国证监会核准或备案，并于中</w:t>
      </w:r>
      <w:r w:rsidRPr="005A7DE6">
        <w:rPr>
          <w:rFonts w:asciiTheme="minorEastAsia" w:eastAsiaTheme="minorEastAsia" w:hAnsiTheme="minorEastAsia"/>
          <w:color w:val="000000" w:themeColor="text1"/>
          <w:szCs w:val="21"/>
        </w:rPr>
        <w:t>国证监会核准或出具无异议意见后生效执行，并自生效之日起</w:t>
      </w: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color w:val="000000" w:themeColor="text1"/>
          <w:szCs w:val="21"/>
        </w:rPr>
        <w:t>日内在</w:t>
      </w:r>
      <w:r w:rsidRPr="005A7DE6" w:rsidR="006E73AA">
        <w:rPr>
          <w:rFonts w:asciiTheme="minorEastAsia" w:eastAsiaTheme="minorEastAsia" w:hAnsiTheme="minorEastAsia"/>
          <w:color w:val="000000" w:themeColor="text1"/>
          <w:szCs w:val="21"/>
        </w:rPr>
        <w:t>指定媒介</w:t>
      </w:r>
      <w:r w:rsidRPr="005A7DE6">
        <w:rPr>
          <w:rFonts w:asciiTheme="minorEastAsia" w:eastAsiaTheme="minorEastAsia" w:hAnsiTheme="minorEastAsia"/>
          <w:color w:val="000000" w:themeColor="text1"/>
          <w:szCs w:val="21"/>
        </w:rPr>
        <w:t>公告。</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color w:val="000000" w:themeColor="text1"/>
        </w:rPr>
      </w:pPr>
      <w:bookmarkStart w:id="3721" w:name="_Toc94172485"/>
      <w:r w:rsidRPr="005A7DE6">
        <w:rPr>
          <w:rFonts w:asciiTheme="minorEastAsia" w:eastAsiaTheme="minorEastAsia" w:hAnsiTheme="minorEastAsia"/>
          <w:b w:val="0"/>
          <w:color w:val="000000" w:themeColor="text1"/>
        </w:rPr>
        <w:t>（二）基金合同的终止</w:t>
      </w:r>
      <w:bookmarkEnd w:id="3721"/>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有下列情形之一的，基金合同将终止：</w:t>
      </w:r>
    </w:p>
    <w:p w:rsidR="0055183F"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w:t>
      </w:r>
      <w:r w:rsidRPr="005A7DE6">
        <w:rPr>
          <w:rFonts w:asciiTheme="minorEastAsia" w:eastAsiaTheme="minorEastAsia" w:hAnsiTheme="minorEastAsia"/>
          <w:color w:val="000000" w:themeColor="text1"/>
        </w:rPr>
        <w:t>、基金份额持有人大会决定终止的；</w:t>
      </w:r>
    </w:p>
    <w:p w:rsidR="0055183F"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w:t>
      </w:r>
      <w:r w:rsidRPr="005A7DE6">
        <w:rPr>
          <w:rFonts w:asciiTheme="minorEastAsia" w:eastAsiaTheme="minorEastAsia" w:hAnsiTheme="minorEastAsia"/>
          <w:color w:val="000000" w:themeColor="text1"/>
        </w:rPr>
        <w:t>、基金管理人因解散、破产、撤销等事由，不能继续担任基金管理人的职务，而在</w:t>
      </w:r>
      <w:r w:rsidRPr="005A7DE6">
        <w:rPr>
          <w:rFonts w:asciiTheme="minorEastAsia" w:eastAsiaTheme="minorEastAsia" w:hAnsiTheme="minorEastAsia"/>
          <w:color w:val="000000" w:themeColor="text1"/>
        </w:rPr>
        <w:t>6</w:t>
      </w:r>
      <w:r w:rsidRPr="005A7DE6">
        <w:rPr>
          <w:rFonts w:asciiTheme="minorEastAsia" w:eastAsiaTheme="minorEastAsia" w:hAnsiTheme="minorEastAsia"/>
          <w:color w:val="000000" w:themeColor="text1"/>
        </w:rPr>
        <w:t>个月内无其他适当的基金管理公司承接其原有权利义务；</w:t>
      </w:r>
    </w:p>
    <w:p w:rsidR="0055183F"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w:t>
      </w:r>
      <w:r w:rsidRPr="005A7DE6">
        <w:rPr>
          <w:rFonts w:asciiTheme="minorEastAsia" w:eastAsiaTheme="minorEastAsia" w:hAnsiTheme="minorEastAsia"/>
          <w:color w:val="000000" w:themeColor="text1"/>
        </w:rPr>
        <w:t>、基金托管人因解散、破产、撤销等事由，不能继续担任基金托管人的职务，而在</w:t>
      </w:r>
      <w:r w:rsidRPr="005A7DE6">
        <w:rPr>
          <w:rFonts w:asciiTheme="minorEastAsia" w:eastAsiaTheme="minorEastAsia" w:hAnsiTheme="minorEastAsia"/>
          <w:color w:val="000000" w:themeColor="text1"/>
        </w:rPr>
        <w:t>6</w:t>
      </w:r>
      <w:r w:rsidRPr="005A7DE6">
        <w:rPr>
          <w:rFonts w:asciiTheme="minorEastAsia" w:eastAsiaTheme="minorEastAsia" w:hAnsiTheme="minorEastAsia"/>
          <w:color w:val="000000" w:themeColor="text1"/>
        </w:rPr>
        <w:t>个月内无其他适当的托管机构承接其原有权利义务；</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4</w:t>
      </w:r>
      <w:r w:rsidRPr="005A7DE6">
        <w:rPr>
          <w:rFonts w:asciiTheme="minorEastAsia" w:eastAsiaTheme="minorEastAsia" w:hAnsiTheme="minorEastAsia"/>
          <w:color w:val="000000" w:themeColor="text1"/>
          <w:szCs w:val="21"/>
        </w:rPr>
        <w:t>、中国证监会规定的其他情况。</w:t>
      </w:r>
    </w:p>
    <w:p w:rsidR="00BA4B87"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722" w:name="_Toc94172486"/>
      <w:r w:rsidRPr="005A7DE6">
        <w:rPr>
          <w:rFonts w:asciiTheme="minorEastAsia" w:eastAsiaTheme="minorEastAsia" w:hAnsiTheme="minorEastAsia"/>
          <w:b w:val="0"/>
          <w:color w:val="000000" w:themeColor="text1"/>
        </w:rPr>
        <w:t>（三）基金财产的清算</w:t>
      </w:r>
      <w:bookmarkEnd w:id="3722"/>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w:t>
      </w:r>
      <w:r w:rsidRPr="005A7DE6" w:rsidR="008A168E">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基金财产清算组</w:t>
      </w:r>
    </w:p>
    <w:p w:rsidR="000C2D98"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）基金合同终止情形发生时，成立基金财产清算组，基金财产清算组在中国证监会的监督下进行基金清算。</w:t>
      </w:r>
    </w:p>
    <w:p w:rsidR="000C2D98"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color w:val="000000" w:themeColor="text1"/>
          <w:szCs w:val="21"/>
        </w:rPr>
        <w:t>）基金财产清算组成员由基金管理人、基金托管人、具有从事证券相关业务资格的注册会计师、律师以及中国证监会指定的人员组成。基金财产清算组可以聘用必要的工作人员。</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sidR="000C2D98">
        <w:rPr>
          <w:rFonts w:asciiTheme="minorEastAsia" w:eastAsiaTheme="minorEastAsia" w:hAnsiTheme="minorEastAsia"/>
          <w:color w:val="000000" w:themeColor="text1"/>
          <w:szCs w:val="21"/>
        </w:rPr>
        <w:t>3</w:t>
      </w:r>
      <w:r w:rsidRPr="005A7DE6">
        <w:rPr>
          <w:rFonts w:asciiTheme="minorEastAsia" w:eastAsiaTheme="minorEastAsia" w:hAnsiTheme="minorEastAsia"/>
          <w:color w:val="000000" w:themeColor="text1"/>
          <w:szCs w:val="21"/>
        </w:rPr>
        <w:t>）</w:t>
      </w:r>
      <w:r w:rsidRPr="005A7DE6" w:rsidR="000C2D98">
        <w:rPr>
          <w:rFonts w:asciiTheme="minorEastAsia" w:eastAsiaTheme="minorEastAsia" w:hAnsiTheme="minorEastAsia"/>
          <w:color w:val="000000" w:themeColor="text1"/>
          <w:szCs w:val="21"/>
        </w:rPr>
        <w:t>基金财产清算组负责基金财产的保管、清理、估价、变现和分配。基金财产清算组可以依法进行必要的民事活动。</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w:t>
      </w:r>
      <w:r w:rsidRPr="005A7DE6" w:rsidR="008A168E">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基金财产清算程序</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基金合同终止，应当按法律法规和基金合同的有关规定对基金财产进行清算。基金财产清算程序主要包括：</w:t>
      </w:r>
    </w:p>
    <w:p w:rsidR="000C2D98"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1</w:t>
      </w:r>
      <w:r w:rsidRPr="005A7DE6">
        <w:rPr>
          <w:rFonts w:asciiTheme="minorEastAsia" w:eastAsiaTheme="minorEastAsia" w:hAnsiTheme="minorEastAsia"/>
          <w:color w:val="000000" w:themeColor="text1"/>
        </w:rPr>
        <w:t>）基金合同终止情形发生后，发布基金财产清算公告；</w:t>
      </w:r>
    </w:p>
    <w:p w:rsidR="000C2D98"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2</w:t>
      </w:r>
      <w:r w:rsidRPr="005A7DE6">
        <w:rPr>
          <w:rFonts w:asciiTheme="minorEastAsia" w:eastAsiaTheme="minorEastAsia" w:hAnsiTheme="minorEastAsia"/>
          <w:color w:val="000000" w:themeColor="text1"/>
        </w:rPr>
        <w:t>）基金合同终止情形发生时，由基金财产清算组统一接管基金财产；</w:t>
      </w:r>
    </w:p>
    <w:p w:rsidR="000C2D98"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3</w:t>
      </w:r>
      <w:r w:rsidRPr="005A7DE6">
        <w:rPr>
          <w:rFonts w:asciiTheme="minorEastAsia" w:eastAsiaTheme="minorEastAsia" w:hAnsiTheme="minorEastAsia"/>
          <w:color w:val="000000" w:themeColor="text1"/>
        </w:rPr>
        <w:t>）对基金财产进行清理和确认；</w:t>
      </w:r>
    </w:p>
    <w:p w:rsidR="000C2D98"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4</w:t>
      </w:r>
      <w:r w:rsidRPr="005A7DE6">
        <w:rPr>
          <w:rFonts w:asciiTheme="minorEastAsia" w:eastAsiaTheme="minorEastAsia" w:hAnsiTheme="minorEastAsia"/>
          <w:color w:val="000000" w:themeColor="text1"/>
        </w:rPr>
        <w:t>）对基金财产进行估价和变现；</w:t>
      </w:r>
    </w:p>
    <w:p w:rsidR="000C2D98"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5</w:t>
      </w:r>
      <w:r w:rsidRPr="005A7DE6">
        <w:rPr>
          <w:rFonts w:asciiTheme="minorEastAsia" w:eastAsiaTheme="minorEastAsia" w:hAnsiTheme="minorEastAsia"/>
          <w:color w:val="000000" w:themeColor="text1"/>
        </w:rPr>
        <w:t>）聘请会计师事务所对清算报告进行审计；</w:t>
      </w:r>
    </w:p>
    <w:p w:rsidR="000C2D98"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6</w:t>
      </w:r>
      <w:r w:rsidRPr="005A7DE6">
        <w:rPr>
          <w:rFonts w:asciiTheme="minorEastAsia" w:eastAsiaTheme="minorEastAsia" w:hAnsiTheme="minorEastAsia"/>
          <w:color w:val="000000" w:themeColor="text1"/>
        </w:rPr>
        <w:t>）聘请律师事务所出具法律意见书；</w:t>
      </w:r>
    </w:p>
    <w:p w:rsidR="000C2D98"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7</w:t>
      </w:r>
      <w:r w:rsidRPr="005A7DE6">
        <w:rPr>
          <w:rFonts w:asciiTheme="minorEastAsia" w:eastAsiaTheme="minorEastAsia" w:hAnsiTheme="minorEastAsia"/>
          <w:color w:val="000000" w:themeColor="text1"/>
          <w:szCs w:val="21"/>
        </w:rPr>
        <w:t>）将基金财产清算结果报告中国证监会；</w:t>
      </w:r>
    </w:p>
    <w:p w:rsidR="000C2D98"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8</w:t>
      </w:r>
      <w:r w:rsidRPr="005A7DE6">
        <w:rPr>
          <w:rFonts w:asciiTheme="minorEastAsia" w:eastAsiaTheme="minorEastAsia" w:hAnsiTheme="minorEastAsia"/>
          <w:color w:val="000000" w:themeColor="text1"/>
          <w:szCs w:val="21"/>
        </w:rPr>
        <w:t>）参加与基金财产有关的民事诉讼；</w:t>
      </w:r>
    </w:p>
    <w:p w:rsidR="000C2D98"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9</w:t>
      </w:r>
      <w:r w:rsidRPr="005A7DE6">
        <w:rPr>
          <w:rFonts w:asciiTheme="minorEastAsia" w:eastAsiaTheme="minorEastAsia" w:hAnsiTheme="minorEastAsia"/>
          <w:color w:val="000000" w:themeColor="text1"/>
          <w:szCs w:val="21"/>
        </w:rPr>
        <w:t>）公布基金财产清算结果；</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sidR="000C2D98">
        <w:rPr>
          <w:rFonts w:asciiTheme="minorEastAsia" w:eastAsiaTheme="minorEastAsia" w:hAnsiTheme="minorEastAsia"/>
          <w:color w:val="000000" w:themeColor="text1"/>
          <w:szCs w:val="21"/>
        </w:rPr>
        <w:t>10</w:t>
      </w:r>
      <w:r w:rsidRPr="005A7DE6">
        <w:rPr>
          <w:rFonts w:asciiTheme="minorEastAsia" w:eastAsiaTheme="minorEastAsia" w:hAnsiTheme="minorEastAsia"/>
          <w:color w:val="000000" w:themeColor="text1"/>
          <w:szCs w:val="21"/>
        </w:rPr>
        <w:t>）</w:t>
      </w:r>
      <w:r w:rsidRPr="005A7DE6" w:rsidR="000C2D98">
        <w:rPr>
          <w:rFonts w:asciiTheme="minorEastAsia" w:eastAsiaTheme="minorEastAsia" w:hAnsiTheme="minorEastAsia"/>
          <w:color w:val="000000" w:themeColor="text1"/>
          <w:szCs w:val="21"/>
        </w:rPr>
        <w:t>对基金剩余财产进行分配。</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w:t>
      </w:r>
      <w:r w:rsidRPr="005A7DE6" w:rsidR="008A168E">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清算费用</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清算费用是指基金财产清算组在进行基金财产清算过程中发生的所有合理费用，清算费用由基金财产清算组优先从基金财产中支付。</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4</w:t>
      </w:r>
      <w:r w:rsidRPr="005A7DE6" w:rsidR="008A168E">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基金财产按下列顺序清偿：</w:t>
      </w:r>
    </w:p>
    <w:p w:rsidR="000C2D98"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）支付清算费用；</w:t>
      </w:r>
    </w:p>
    <w:p w:rsidR="000C2D98"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color w:val="000000" w:themeColor="text1"/>
          <w:szCs w:val="21"/>
        </w:rPr>
        <w:t>）交纳所欠税款；</w:t>
      </w:r>
    </w:p>
    <w:p w:rsidR="000C2D98"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3</w:t>
      </w:r>
      <w:r w:rsidRPr="005A7DE6">
        <w:rPr>
          <w:rFonts w:asciiTheme="minorEastAsia" w:eastAsiaTheme="minorEastAsia" w:hAnsiTheme="minorEastAsia"/>
          <w:color w:val="000000" w:themeColor="text1"/>
          <w:szCs w:val="21"/>
        </w:rPr>
        <w:t>）清偿基金债务；</w:t>
      </w:r>
    </w:p>
    <w:p w:rsidR="000C2D98"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4</w:t>
      </w:r>
      <w:r w:rsidRPr="005A7DE6">
        <w:rPr>
          <w:rFonts w:asciiTheme="minorEastAsia" w:eastAsiaTheme="minorEastAsia" w:hAnsiTheme="minorEastAsia"/>
          <w:color w:val="000000" w:themeColor="text1"/>
          <w:szCs w:val="21"/>
        </w:rPr>
        <w:t>）按基金份额持有人持有的基金份额比例进行分配。</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基金财产未按前款</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w:t>
      </w:r>
      <w:r w:rsidRPr="005A7DE6" w:rsidR="005B19FC">
        <w:rPr>
          <w:rFonts w:asciiTheme="minorEastAsia" w:eastAsiaTheme="minorEastAsia" w:hAnsiTheme="minorEastAsia"/>
          <w:color w:val="000000" w:themeColor="text1"/>
          <w:szCs w:val="21"/>
        </w:rPr>
        <w:t>）</w:t>
      </w:r>
      <w:r w:rsidRPr="005A7DE6" w:rsidR="00F00F6D">
        <w:rPr>
          <w:rFonts w:asciiTheme="minorEastAsia" w:eastAsiaTheme="minorEastAsia" w:hAnsiTheme="minorEastAsia" w:hint="eastAsia"/>
          <w:color w:val="000000" w:themeColor="text1"/>
          <w:szCs w:val="21"/>
        </w:rPr>
        <w:t>-</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3</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项规定清偿前，不分配给基金份额持有人。</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w:t>
      </w:r>
      <w:r w:rsidRPr="005A7DE6" w:rsidR="008A168E">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基金财产清算的公告</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基金财产清算公告于基金合同终止情形发生并报中国证监会备案后</w:t>
      </w:r>
      <w:r w:rsidRPr="005A7DE6">
        <w:rPr>
          <w:rFonts w:asciiTheme="minorEastAsia" w:eastAsiaTheme="minorEastAsia" w:hAnsiTheme="minorEastAsia"/>
          <w:color w:val="000000" w:themeColor="text1"/>
        </w:rPr>
        <w:t>5</w:t>
      </w:r>
      <w:r w:rsidRPr="005A7DE6">
        <w:rPr>
          <w:rFonts w:asciiTheme="minorEastAsia" w:eastAsiaTheme="minorEastAsia" w:hAnsiTheme="minorEastAsia"/>
          <w:color w:val="000000" w:themeColor="text1"/>
        </w:rPr>
        <w:t>个工作日内由基</w:t>
      </w:r>
      <w:r w:rsidRPr="005A7DE6">
        <w:rPr>
          <w:rFonts w:asciiTheme="minorEastAsia" w:eastAsiaTheme="minorEastAsia" w:hAnsiTheme="minorEastAsia"/>
          <w:color w:val="000000" w:themeColor="text1"/>
        </w:rPr>
        <w:t>金财产清算组公告；清算过程中的有关重大事项须及时公告；基金财产清算结果经会计师事务所审计，律师事务所出具法律意见书后，由基金财产清算组报中国证监会备案并公告。</w:t>
      </w:r>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6</w:t>
      </w:r>
      <w:r w:rsidRPr="005A7DE6" w:rsidR="008A168E">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基金财产清算账册及文件的保存</w:t>
      </w:r>
    </w:p>
    <w:p w:rsidR="00BA4B8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基金财产清算账册及有关文件由基金托管人按照法律法规的规定保存</w:t>
      </w:r>
      <w:r w:rsidRPr="005A7DE6">
        <w:rPr>
          <w:rFonts w:asciiTheme="minorEastAsia" w:eastAsiaTheme="minorEastAsia" w:hAnsiTheme="minorEastAsia"/>
          <w:color w:val="000000" w:themeColor="text1"/>
          <w:szCs w:val="21"/>
        </w:rPr>
        <w:t>15</w:t>
      </w:r>
      <w:r w:rsidRPr="005A7DE6">
        <w:rPr>
          <w:rFonts w:asciiTheme="minorEastAsia" w:eastAsiaTheme="minorEastAsia" w:hAnsiTheme="minorEastAsia"/>
          <w:color w:val="000000" w:themeColor="text1"/>
          <w:szCs w:val="21"/>
        </w:rPr>
        <w:t>年。</w:t>
      </w:r>
    </w:p>
    <w:p w:rsidR="00BA4B87" w:rsidRPr="005A7DE6" w:rsidP="006B758F">
      <w:pPr>
        <w:snapToGrid w:val="0"/>
        <w:spacing w:line="360" w:lineRule="auto"/>
        <w:ind w:firstLine="420"/>
        <w:rPr>
          <w:rFonts w:asciiTheme="minorEastAsia" w:eastAsiaTheme="minorEastAsia" w:hAnsiTheme="minorEastAsia"/>
          <w:color w:val="000000" w:themeColor="text1"/>
          <w:kern w:val="0"/>
          <w:szCs w:val="21"/>
        </w:rPr>
      </w:pPr>
    </w:p>
    <w:p w:rsidR="00BA4B87" w:rsidRPr="005A7DE6" w:rsidP="006B758F">
      <w:pPr>
        <w:snapToGrid w:val="0"/>
        <w:spacing w:line="360" w:lineRule="auto"/>
        <w:rPr>
          <w:rFonts w:asciiTheme="minorEastAsia" w:eastAsiaTheme="minorEastAsia" w:hAnsiTheme="minorEastAsia"/>
          <w:color w:val="000000" w:themeColor="text1"/>
        </w:rPr>
      </w:pPr>
    </w:p>
    <w:p w:rsidR="00BA4B87" w:rsidRPr="005A7DE6" w:rsidP="006B758F">
      <w:pPr>
        <w:snapToGrid w:val="0"/>
        <w:spacing w:line="360" w:lineRule="auto"/>
        <w:rPr>
          <w:rFonts w:asciiTheme="minorEastAsia" w:eastAsiaTheme="minorEastAsia" w:hAnsiTheme="minorEastAsia"/>
          <w:color w:val="000000" w:themeColor="text1"/>
        </w:rPr>
      </w:pPr>
    </w:p>
    <w:p w:rsidR="00BA4B87" w:rsidRPr="005A7DE6" w:rsidP="006B758F">
      <w:pPr>
        <w:pStyle w:val="111"/>
        <w:pageBreakBefore w:val="0"/>
        <w:snapToGrid w:val="0"/>
        <w:spacing w:beforeLines="0" w:afterLines="0" w:line="360" w:lineRule="auto"/>
        <w:ind w:firstLine="600"/>
        <w:rPr>
          <w:rFonts w:asciiTheme="minorEastAsia" w:eastAsiaTheme="minorEastAsia" w:hAnsiTheme="minorEastAsia"/>
          <w:b/>
          <w:color w:val="000000" w:themeColor="text1"/>
          <w:sz w:val="30"/>
        </w:rPr>
      </w:pPr>
      <w:r w:rsidRPr="005A7DE6">
        <w:rPr>
          <w:rFonts w:asciiTheme="minorEastAsia" w:eastAsiaTheme="minorEastAsia" w:hAnsiTheme="minorEastAsia"/>
          <w:color w:val="000000" w:themeColor="text1"/>
          <w:sz w:val="30"/>
        </w:rPr>
        <w:br w:type="column"/>
      </w:r>
      <w:bookmarkStart w:id="3723" w:name="_Toc94172487"/>
      <w:r w:rsidRPr="005A7DE6">
        <w:rPr>
          <w:rFonts w:asciiTheme="minorEastAsia" w:eastAsiaTheme="minorEastAsia" w:hAnsiTheme="minorEastAsia"/>
          <w:b/>
          <w:color w:val="000000" w:themeColor="text1"/>
          <w:sz w:val="30"/>
        </w:rPr>
        <w:t>二十</w:t>
      </w:r>
      <w:r w:rsidRPr="005A7DE6" w:rsidR="00485E3F">
        <w:rPr>
          <w:rFonts w:asciiTheme="minorEastAsia" w:eastAsiaTheme="minorEastAsia" w:hAnsiTheme="minorEastAsia" w:hint="eastAsia"/>
          <w:b/>
          <w:color w:val="000000" w:themeColor="text1"/>
          <w:sz w:val="30"/>
        </w:rPr>
        <w:t>二</w:t>
      </w:r>
      <w:r w:rsidRPr="005A7DE6">
        <w:rPr>
          <w:rFonts w:asciiTheme="minorEastAsia" w:eastAsiaTheme="minorEastAsia" w:hAnsiTheme="minorEastAsia"/>
          <w:b/>
          <w:color w:val="000000" w:themeColor="text1"/>
          <w:sz w:val="30"/>
        </w:rPr>
        <w:t>、基金合同的内容摘要</w:t>
      </w:r>
      <w:bookmarkEnd w:id="3723"/>
    </w:p>
    <w:p w:rsidR="00A173D2"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724" w:name="_Toc94172488"/>
      <w:r w:rsidRPr="005A7DE6">
        <w:rPr>
          <w:rFonts w:asciiTheme="minorEastAsia" w:eastAsiaTheme="minorEastAsia" w:hAnsiTheme="minorEastAsia"/>
          <w:b w:val="0"/>
          <w:bCs/>
          <w:color w:val="000000" w:themeColor="text1"/>
        </w:rPr>
        <w:t>（一）基金管理人的权利和义务</w:t>
      </w:r>
      <w:bookmarkEnd w:id="3724"/>
    </w:p>
    <w:p w:rsidR="00A173D2" w:rsidRPr="005A7DE6" w:rsidP="006B758F">
      <w:pPr>
        <w:pStyle w:val="NormalIndent"/>
        <w:tabs>
          <w:tab w:val="left" w:pos="735"/>
        </w:tabs>
        <w:snapToGrid w:val="0"/>
        <w:spacing w:line="360" w:lineRule="auto"/>
        <w:ind w:left="420" w:firstLine="0"/>
        <w:rPr>
          <w:rFonts w:asciiTheme="minorEastAsia" w:eastAsiaTheme="minorEastAsia" w:hAnsiTheme="minorEastAsia"/>
          <w:bCs/>
          <w:color w:val="000000" w:themeColor="text1"/>
        </w:rPr>
      </w:pPr>
      <w:r w:rsidRPr="005A7DE6">
        <w:rPr>
          <w:rFonts w:asciiTheme="minorEastAsia" w:eastAsiaTheme="minorEastAsia" w:hAnsiTheme="minorEastAsia" w:hint="eastAsia"/>
          <w:bCs/>
          <w:color w:val="000000" w:themeColor="text1"/>
        </w:rPr>
        <w:t>1</w:t>
      </w:r>
      <w:r w:rsidRPr="005A7DE6">
        <w:rPr>
          <w:rFonts w:asciiTheme="minorEastAsia" w:eastAsiaTheme="minorEastAsia" w:hAnsiTheme="minorEastAsia" w:hint="eastAsia"/>
          <w:bCs/>
          <w:color w:val="000000" w:themeColor="text1"/>
        </w:rPr>
        <w:t>、</w:t>
      </w:r>
      <w:r w:rsidRPr="005A7DE6">
        <w:rPr>
          <w:rFonts w:asciiTheme="minorEastAsia" w:eastAsiaTheme="minorEastAsia" w:hAnsiTheme="minorEastAsia"/>
          <w:bCs/>
          <w:color w:val="000000" w:themeColor="text1"/>
        </w:rPr>
        <w:t>基金管理人的权利</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根据《基金法》及其他有关法律法规，基金管理人的权利为：</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）自本基金合同生效之日起，依照有关法律法规和本基金合同的规定独立运用基金财产；</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color w:val="000000" w:themeColor="text1"/>
          <w:szCs w:val="21"/>
        </w:rPr>
        <w:t>）依照基金合同获得基金管理费以及法律法规规定或监管部门批准的其他收入；</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3</w:t>
      </w:r>
      <w:r w:rsidRPr="005A7DE6">
        <w:rPr>
          <w:rFonts w:asciiTheme="minorEastAsia" w:eastAsiaTheme="minorEastAsia" w:hAnsiTheme="minorEastAsia"/>
          <w:color w:val="000000" w:themeColor="text1"/>
        </w:rPr>
        <w:t>）发售基金份额；</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4</w:t>
      </w:r>
      <w:r w:rsidRPr="005A7DE6">
        <w:rPr>
          <w:rFonts w:asciiTheme="minorEastAsia" w:eastAsiaTheme="minorEastAsia" w:hAnsiTheme="minorEastAsia"/>
          <w:color w:val="000000" w:themeColor="text1"/>
        </w:rPr>
        <w:t>）依照有关规定行使因基金财产投资于证券所产生的权利；</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5</w:t>
      </w:r>
      <w:r w:rsidRPr="005A7DE6">
        <w:rPr>
          <w:rFonts w:asciiTheme="minorEastAsia" w:eastAsiaTheme="minorEastAsia" w:hAnsiTheme="minorEastAsia"/>
          <w:color w:val="000000" w:themeColor="text1"/>
        </w:rPr>
        <w:t>）在符合有关法律法规的前提下，制订和调整有关基金认购、申购、赎回、转换、非交易过户、转托管等业务的规则，在法律法规和本基金合同规定的范围内决定和调整基金的除调高托管费率和管理费率之外的相关费率结构和收费方式；</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6</w:t>
      </w:r>
      <w:r w:rsidRPr="005A7DE6">
        <w:rPr>
          <w:rFonts w:asciiTheme="minorEastAsia" w:eastAsiaTheme="minorEastAsia" w:hAnsiTheme="minorEastAsia"/>
          <w:color w:val="000000" w:themeColor="text1"/>
        </w:rPr>
        <w:t>）根据本基金合同及有关规定监督基金托管人，对于基金托管人违反了本基金合同或有关法律法规规定的行为，对基金财产、其他当事人的利益造成重大损失的情形，应及时呈报中国证监会，并采取必要措施保护基金及相关当事人的利益；</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7</w:t>
      </w:r>
      <w:r w:rsidRPr="005A7DE6">
        <w:rPr>
          <w:rFonts w:asciiTheme="minorEastAsia" w:eastAsiaTheme="minorEastAsia" w:hAnsiTheme="minorEastAsia"/>
          <w:color w:val="000000" w:themeColor="text1"/>
        </w:rPr>
        <w:t>）在基金合同约定的范围内，拒绝或暂停受理申购和赎回申请；</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8</w:t>
      </w:r>
      <w:r w:rsidRPr="005A7DE6">
        <w:rPr>
          <w:rFonts w:asciiTheme="minorEastAsia" w:eastAsiaTheme="minorEastAsia" w:hAnsiTheme="minorEastAsia"/>
          <w:color w:val="000000" w:themeColor="text1"/>
        </w:rPr>
        <w:t>）在法律法规允许的前提下，为基金的利益依法为基金进行融资、融券；</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9</w:t>
      </w:r>
      <w:r w:rsidRPr="005A7DE6">
        <w:rPr>
          <w:rFonts w:asciiTheme="minorEastAsia" w:eastAsiaTheme="minorEastAsia" w:hAnsiTheme="minorEastAsia"/>
          <w:color w:val="000000" w:themeColor="text1"/>
        </w:rPr>
        <w:t>）自行担任或选择、更换注册登记机构，获取基金份额持有人名册，并对注册登记机构的代理行为进行必要的监督和检查；</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10</w:t>
      </w:r>
      <w:r w:rsidRPr="005A7DE6">
        <w:rPr>
          <w:rFonts w:asciiTheme="minorEastAsia" w:eastAsiaTheme="minorEastAsia" w:hAnsiTheme="minorEastAsia"/>
          <w:color w:val="000000" w:themeColor="text1"/>
        </w:rPr>
        <w:t>）选择、更换代销机构，并依据基金销售服务代理协议和有关法律法规，对其行为进行必要的监督和检查；</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11</w:t>
      </w:r>
      <w:r w:rsidRPr="005A7DE6">
        <w:rPr>
          <w:rFonts w:asciiTheme="minorEastAsia" w:eastAsiaTheme="minorEastAsia" w:hAnsiTheme="minorEastAsia"/>
          <w:color w:val="000000" w:themeColor="text1"/>
        </w:rPr>
        <w:t>）选择、更换律师事务所、会计师事务所、证券经纪商或其他为基金提供服务的外部机构；</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12</w:t>
      </w:r>
      <w:r w:rsidRPr="005A7DE6">
        <w:rPr>
          <w:rFonts w:asciiTheme="minorEastAsia" w:eastAsiaTheme="minorEastAsia" w:hAnsiTheme="minorEastAsia"/>
          <w:color w:val="000000" w:themeColor="text1"/>
        </w:rPr>
        <w:t>）在基金托管人更换时，提名新的基金托管人；</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13</w:t>
      </w:r>
      <w:r w:rsidRPr="005A7DE6">
        <w:rPr>
          <w:rFonts w:asciiTheme="minorEastAsia" w:eastAsiaTheme="minorEastAsia" w:hAnsiTheme="minorEastAsia"/>
          <w:color w:val="000000" w:themeColor="text1"/>
        </w:rPr>
        <w:t>）依法召集基金份额持有人大会；</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14</w:t>
      </w:r>
      <w:r w:rsidRPr="005A7DE6">
        <w:rPr>
          <w:rFonts w:asciiTheme="minorEastAsia" w:eastAsiaTheme="minorEastAsia" w:hAnsiTheme="minorEastAsia"/>
          <w:color w:val="000000" w:themeColor="text1"/>
        </w:rPr>
        <w:t>）法律法规和基金合同规定的其他权利。</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2</w:t>
      </w: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color w:val="000000" w:themeColor="text1"/>
        </w:rPr>
        <w:t>基</w:t>
      </w:r>
      <w:r w:rsidRPr="005A7DE6">
        <w:rPr>
          <w:rFonts w:asciiTheme="minorEastAsia" w:eastAsiaTheme="minorEastAsia" w:hAnsiTheme="minorEastAsia"/>
          <w:color w:val="000000" w:themeColor="text1"/>
        </w:rPr>
        <w:t>金管理人的义务</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根据《基金法》及其他有关法律法规，基金管理人的义务为：</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）依法募集基金，办理或者委托经中国证监会认定的其他机构代为办理基金份额的发售、申购、赎回和登记事宜；</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2</w:t>
      </w:r>
      <w:r w:rsidRPr="005A7DE6">
        <w:rPr>
          <w:rFonts w:asciiTheme="minorEastAsia" w:eastAsiaTheme="minorEastAsia" w:hAnsiTheme="minorEastAsia"/>
          <w:color w:val="000000" w:themeColor="text1"/>
        </w:rPr>
        <w:t>）办理基金备案手续；</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3</w:t>
      </w:r>
      <w:r w:rsidRPr="005A7DE6">
        <w:rPr>
          <w:rFonts w:asciiTheme="minorEastAsia" w:eastAsiaTheme="minorEastAsia" w:hAnsiTheme="minorEastAsia"/>
          <w:color w:val="000000" w:themeColor="text1"/>
        </w:rPr>
        <w:t>）自基金合同生效之日起，以诚实信用、勤勉尽责的原则管理和运用基金财产；</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4</w:t>
      </w:r>
      <w:r w:rsidRPr="005A7DE6">
        <w:rPr>
          <w:rFonts w:asciiTheme="minorEastAsia" w:eastAsiaTheme="minorEastAsia" w:hAnsiTheme="minorEastAsia"/>
          <w:color w:val="000000" w:themeColor="text1"/>
        </w:rPr>
        <w:t>）配备足够的具有专业资格的人员进行基金投资分析、决策，以专业化的经营方式</w:t>
      </w:r>
      <w:r w:rsidRPr="005A7DE6">
        <w:rPr>
          <w:rFonts w:asciiTheme="minorEastAsia" w:eastAsiaTheme="minorEastAsia" w:hAnsiTheme="minorEastAsia"/>
          <w:color w:val="000000" w:themeColor="text1"/>
        </w:rPr>
        <w:t>管理和运作基金财产；</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5</w:t>
      </w:r>
      <w:r w:rsidRPr="005A7DE6">
        <w:rPr>
          <w:rFonts w:asciiTheme="minorEastAsia" w:eastAsiaTheme="minorEastAsia" w:hAnsiTheme="minorEastAsia"/>
          <w:color w:val="000000" w:themeColor="text1"/>
        </w:rPr>
        <w:t>）建立健全内部风险控制、监察与稽核、财务管理及人事管理等制度，保证所管理的基金财产和管理人的财产相互独立，对所管理的不同基金分别管理，分别记账，进行证券投资；</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6</w:t>
      </w:r>
      <w:r w:rsidRPr="005A7DE6">
        <w:rPr>
          <w:rFonts w:asciiTheme="minorEastAsia" w:eastAsiaTheme="minorEastAsia" w:hAnsiTheme="minorEastAsia"/>
          <w:color w:val="000000" w:themeColor="text1"/>
        </w:rPr>
        <w:t>）除依据《基金法》、基金合同及其他有关规定外，不得为自己及任何第三人谋取利益，不得委托第三人运作基金财产；</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7</w:t>
      </w:r>
      <w:r w:rsidRPr="005A7DE6">
        <w:rPr>
          <w:rFonts w:asciiTheme="minorEastAsia" w:eastAsiaTheme="minorEastAsia" w:hAnsiTheme="minorEastAsia"/>
          <w:color w:val="000000" w:themeColor="text1"/>
        </w:rPr>
        <w:t>）依法接受基金托管人的监督；</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8</w:t>
      </w:r>
      <w:r w:rsidRPr="005A7DE6">
        <w:rPr>
          <w:rFonts w:asciiTheme="minorEastAsia" w:eastAsiaTheme="minorEastAsia" w:hAnsiTheme="minorEastAsia"/>
          <w:color w:val="000000" w:themeColor="text1"/>
        </w:rPr>
        <w:t>）计算并公告基金</w:t>
      </w:r>
      <w:r w:rsidRPr="005A7DE6" w:rsidR="00A83831">
        <w:rPr>
          <w:rFonts w:asciiTheme="minorEastAsia" w:eastAsiaTheme="minorEastAsia" w:hAnsiTheme="minorEastAsia" w:hint="eastAsia"/>
          <w:color w:val="000000" w:themeColor="text1"/>
        </w:rPr>
        <w:t>净值</w:t>
      </w:r>
      <w:r w:rsidRPr="005A7DE6" w:rsidR="00A83831">
        <w:rPr>
          <w:rFonts w:asciiTheme="minorEastAsia" w:eastAsiaTheme="minorEastAsia" w:hAnsiTheme="minorEastAsia"/>
          <w:color w:val="000000" w:themeColor="text1"/>
        </w:rPr>
        <w:t>信息</w:t>
      </w:r>
      <w:r w:rsidRPr="005A7DE6">
        <w:rPr>
          <w:rFonts w:asciiTheme="minorEastAsia" w:eastAsiaTheme="minorEastAsia" w:hAnsiTheme="minorEastAsia"/>
          <w:color w:val="000000" w:themeColor="text1"/>
        </w:rPr>
        <w:t>，确定基金份额申购、赎回价格；</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9</w:t>
      </w:r>
      <w:r w:rsidRPr="005A7DE6">
        <w:rPr>
          <w:rFonts w:asciiTheme="minorEastAsia" w:eastAsiaTheme="minorEastAsia" w:hAnsiTheme="minorEastAsia"/>
          <w:color w:val="000000" w:themeColor="text1"/>
        </w:rPr>
        <w:t>）采取适当合理的措施使计算基金份额认购、申购、赎回和注销价格的方法符合基金合同等法律文件的规定；</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10</w:t>
      </w:r>
      <w:r w:rsidRPr="005A7DE6">
        <w:rPr>
          <w:rFonts w:asciiTheme="minorEastAsia" w:eastAsiaTheme="minorEastAsia" w:hAnsiTheme="minorEastAsia"/>
          <w:color w:val="000000" w:themeColor="text1"/>
        </w:rPr>
        <w:t>）按规定受理申购和赎回申请，及时、</w:t>
      </w:r>
      <w:r w:rsidRPr="005A7DE6">
        <w:rPr>
          <w:rFonts w:asciiTheme="minorEastAsia" w:eastAsiaTheme="minorEastAsia" w:hAnsiTheme="minorEastAsia"/>
          <w:color w:val="000000" w:themeColor="text1"/>
        </w:rPr>
        <w:t>足额支付赎回款项；</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11</w:t>
      </w:r>
      <w:r w:rsidRPr="005A7DE6">
        <w:rPr>
          <w:rFonts w:asciiTheme="minorEastAsia" w:eastAsiaTheme="minorEastAsia" w:hAnsiTheme="minorEastAsia"/>
          <w:color w:val="000000" w:themeColor="text1"/>
        </w:rPr>
        <w:t>）进行基金会计核算并编制基金财务会计报告；</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12</w:t>
      </w:r>
      <w:r w:rsidRPr="005A7DE6">
        <w:rPr>
          <w:rFonts w:asciiTheme="minorEastAsia" w:eastAsiaTheme="minorEastAsia" w:hAnsiTheme="minorEastAsia"/>
          <w:color w:val="000000" w:themeColor="text1"/>
        </w:rPr>
        <w:t>）</w:t>
      </w:r>
      <w:r w:rsidRPr="005A7DE6" w:rsidR="00A83831">
        <w:rPr>
          <w:rFonts w:asciiTheme="minorEastAsia" w:eastAsiaTheme="minorEastAsia" w:hAnsiTheme="minorEastAsia" w:hint="eastAsia"/>
          <w:color w:val="000000" w:themeColor="text1"/>
        </w:rPr>
        <w:t>编制季度报告、中期</w:t>
      </w:r>
      <w:r w:rsidRPr="005A7DE6" w:rsidR="00A83831">
        <w:rPr>
          <w:rFonts w:asciiTheme="minorEastAsia" w:eastAsiaTheme="minorEastAsia" w:hAnsiTheme="minorEastAsia"/>
          <w:color w:val="000000" w:themeColor="text1"/>
        </w:rPr>
        <w:t>报告</w:t>
      </w:r>
      <w:r w:rsidRPr="005A7DE6" w:rsidR="00A83831">
        <w:rPr>
          <w:rFonts w:asciiTheme="minorEastAsia" w:eastAsiaTheme="minorEastAsia" w:hAnsiTheme="minorEastAsia" w:hint="eastAsia"/>
          <w:color w:val="000000" w:themeColor="text1"/>
        </w:rPr>
        <w:t>和年度报告</w:t>
      </w:r>
      <w:r w:rsidRPr="005A7DE6">
        <w:rPr>
          <w:rFonts w:asciiTheme="minorEastAsia" w:eastAsiaTheme="minorEastAsia" w:hAnsiTheme="minorEastAsia"/>
          <w:color w:val="000000" w:themeColor="text1"/>
        </w:rPr>
        <w:t>；</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13</w:t>
      </w:r>
      <w:r w:rsidRPr="005A7DE6">
        <w:rPr>
          <w:rFonts w:asciiTheme="minorEastAsia" w:eastAsiaTheme="minorEastAsia" w:hAnsiTheme="minorEastAsia"/>
          <w:color w:val="000000" w:themeColor="text1"/>
        </w:rPr>
        <w:t>）严格按照《基金法》、基金合同及其他有关规定，履行信息披露及报告义务；</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14</w:t>
      </w:r>
      <w:r w:rsidRPr="005A7DE6">
        <w:rPr>
          <w:rFonts w:asciiTheme="minorEastAsia" w:eastAsiaTheme="minorEastAsia" w:hAnsiTheme="minorEastAsia"/>
          <w:color w:val="000000" w:themeColor="text1"/>
        </w:rPr>
        <w:t>）保守基金商业秘密，不得泄露基金投资计划、投资意向等，除《基金法》、基金合同及其他有关规定另有规定外，在基金信息公开披露前应予保密，不得向他人泄露；</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15</w:t>
      </w:r>
      <w:r w:rsidRPr="005A7DE6">
        <w:rPr>
          <w:rFonts w:asciiTheme="minorEastAsia" w:eastAsiaTheme="minorEastAsia" w:hAnsiTheme="minorEastAsia"/>
          <w:color w:val="000000" w:themeColor="text1"/>
        </w:rPr>
        <w:t>）按照基金合同的约定确定基金收益分配方案，及时向基金份额持有人分配收益；</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16</w:t>
      </w:r>
      <w:r w:rsidRPr="005A7DE6">
        <w:rPr>
          <w:rFonts w:asciiTheme="minorEastAsia" w:eastAsiaTheme="minorEastAsia" w:hAnsiTheme="minorEastAsia"/>
          <w:color w:val="000000" w:themeColor="text1"/>
        </w:rPr>
        <w:t>）依据《基金法》、基金合同及其他有关规定召集基金份额持有人大会或配合基金托管人、基金份额持有人依法召集基金份额持有人大会；</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17</w:t>
      </w:r>
      <w:r w:rsidRPr="005A7DE6">
        <w:rPr>
          <w:rFonts w:asciiTheme="minorEastAsia" w:eastAsiaTheme="minorEastAsia" w:hAnsiTheme="minorEastAsia"/>
          <w:color w:val="000000" w:themeColor="text1"/>
        </w:rPr>
        <w:t>）保存基金财产管理业务活动的记录、账册、报表和其他相关资料；</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18</w:t>
      </w:r>
      <w:r w:rsidRPr="005A7DE6">
        <w:rPr>
          <w:rFonts w:asciiTheme="minorEastAsia" w:eastAsiaTheme="minorEastAsia" w:hAnsiTheme="minorEastAsia"/>
          <w:color w:val="000000" w:themeColor="text1"/>
        </w:rPr>
        <w:t>）以基金管理人名义，代表基金份额持有人利益行使诉讼权利或者实施其他法律行为；</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19</w:t>
      </w:r>
      <w:r w:rsidRPr="005A7DE6">
        <w:rPr>
          <w:rFonts w:asciiTheme="minorEastAsia" w:eastAsiaTheme="minorEastAsia" w:hAnsiTheme="minorEastAsia"/>
          <w:color w:val="000000" w:themeColor="text1"/>
        </w:rPr>
        <w:t>）组织并参加基金财产清算小组，参与基金财产的保管、清理、估价、变现和分配；</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20</w:t>
      </w:r>
      <w:r w:rsidRPr="005A7DE6">
        <w:rPr>
          <w:rFonts w:asciiTheme="minorEastAsia" w:eastAsiaTheme="minorEastAsia" w:hAnsiTheme="minorEastAsia"/>
          <w:color w:val="000000" w:themeColor="text1"/>
        </w:rPr>
        <w:t>）因违反基金合同导致基金财产的损失或损害基金份额持有人合法权益，应当承担赔偿责任，其赔偿责任不因其退任而免除；</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21</w:t>
      </w:r>
      <w:r w:rsidRPr="005A7DE6">
        <w:rPr>
          <w:rFonts w:asciiTheme="minorEastAsia" w:eastAsiaTheme="minorEastAsia" w:hAnsiTheme="minorEastAsia"/>
          <w:color w:val="000000" w:themeColor="text1"/>
        </w:rPr>
        <w:t>）基金托管人违反基金合同</w:t>
      </w:r>
      <w:r w:rsidRPr="005A7DE6">
        <w:rPr>
          <w:rFonts w:asciiTheme="minorEastAsia" w:eastAsiaTheme="minorEastAsia" w:hAnsiTheme="minorEastAsia"/>
          <w:color w:val="000000" w:themeColor="text1"/>
        </w:rPr>
        <w:t>造成基金财产损失时，应为基金份额持有人利益向基金托管人追偿；</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22</w:t>
      </w:r>
      <w:r w:rsidRPr="005A7DE6">
        <w:rPr>
          <w:rFonts w:asciiTheme="minorEastAsia" w:eastAsiaTheme="minorEastAsia" w:hAnsiTheme="minorEastAsia"/>
          <w:color w:val="000000" w:themeColor="text1"/>
        </w:rPr>
        <w:t>）按规定向基金托管人提供基金份额持有人名册资料；</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23</w:t>
      </w:r>
      <w:r w:rsidRPr="005A7DE6">
        <w:rPr>
          <w:rFonts w:asciiTheme="minorEastAsia" w:eastAsiaTheme="minorEastAsia" w:hAnsiTheme="minorEastAsia"/>
          <w:color w:val="000000" w:themeColor="text1"/>
        </w:rPr>
        <w:t>）面临解散、依法被撤销或者被依法宣告破产时，及时报告中国证监会并通知基金托管人；</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24</w:t>
      </w:r>
      <w:r w:rsidRPr="005A7DE6">
        <w:rPr>
          <w:rFonts w:asciiTheme="minorEastAsia" w:eastAsiaTheme="minorEastAsia" w:hAnsiTheme="minorEastAsia"/>
          <w:color w:val="000000" w:themeColor="text1"/>
        </w:rPr>
        <w:t>）执行生效的基金份额持有人大会决议；</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25</w:t>
      </w:r>
      <w:r w:rsidRPr="005A7DE6">
        <w:rPr>
          <w:rFonts w:asciiTheme="minorEastAsia" w:eastAsiaTheme="minorEastAsia" w:hAnsiTheme="minorEastAsia"/>
          <w:color w:val="000000" w:themeColor="text1"/>
          <w:szCs w:val="21"/>
        </w:rPr>
        <w:t>）不从事任何有损基金及其他基金当事人利益的活动；</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26</w:t>
      </w:r>
      <w:r w:rsidRPr="005A7DE6">
        <w:rPr>
          <w:rFonts w:asciiTheme="minorEastAsia" w:eastAsiaTheme="minorEastAsia" w:hAnsiTheme="minorEastAsia"/>
          <w:color w:val="000000" w:themeColor="text1"/>
          <w:szCs w:val="21"/>
        </w:rPr>
        <w:t>）依照法律法规为基金的利益对被投资公司行使股东权利，为基金的利益行使因基金财产投资于证券所产生的权利，不谋求对上市公司的控股和直接管理；</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27</w:t>
      </w:r>
      <w:r w:rsidRPr="005A7DE6">
        <w:rPr>
          <w:rFonts w:asciiTheme="minorEastAsia" w:eastAsiaTheme="minorEastAsia" w:hAnsiTheme="minorEastAsia"/>
          <w:color w:val="000000" w:themeColor="text1"/>
          <w:szCs w:val="21"/>
        </w:rPr>
        <w:t>）法律法规、中国证监会和基金合同规定的其他义务。</w:t>
      </w:r>
    </w:p>
    <w:p w:rsidR="00A173D2"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725" w:name="_Toc94172489"/>
      <w:r w:rsidRPr="005A7DE6">
        <w:rPr>
          <w:rFonts w:asciiTheme="minorEastAsia" w:eastAsiaTheme="minorEastAsia" w:hAnsiTheme="minorEastAsia"/>
          <w:b w:val="0"/>
          <w:bCs/>
          <w:color w:val="000000" w:themeColor="text1"/>
        </w:rPr>
        <w:t>（二）基金托管人的权利和义务</w:t>
      </w:r>
      <w:bookmarkEnd w:id="3725"/>
    </w:p>
    <w:p w:rsidR="00A173D2" w:rsidRPr="005A7DE6" w:rsidP="006B758F">
      <w:pPr>
        <w:pStyle w:val="NormalIndent"/>
        <w:tabs>
          <w:tab w:val="left" w:pos="735"/>
        </w:tabs>
        <w:snapToGrid w:val="0"/>
        <w:spacing w:line="360" w:lineRule="auto"/>
        <w:ind w:firstLine="420" w:firstLineChars="200"/>
        <w:rPr>
          <w:rFonts w:asciiTheme="minorEastAsia" w:eastAsiaTheme="minorEastAsia" w:hAnsiTheme="minorEastAsia"/>
          <w:bCs/>
          <w:color w:val="000000" w:themeColor="text1"/>
        </w:rPr>
      </w:pPr>
      <w:r w:rsidRPr="005A7DE6">
        <w:rPr>
          <w:rFonts w:asciiTheme="minorEastAsia" w:eastAsiaTheme="minorEastAsia" w:hAnsiTheme="minorEastAsia"/>
          <w:bCs/>
          <w:color w:val="000000" w:themeColor="text1"/>
        </w:rPr>
        <w:t>1</w:t>
      </w:r>
      <w:r w:rsidRPr="005A7DE6" w:rsidR="000F587B">
        <w:rPr>
          <w:rFonts w:asciiTheme="minorEastAsia" w:eastAsiaTheme="minorEastAsia" w:hAnsiTheme="minorEastAsia" w:hint="eastAsia"/>
          <w:bCs/>
          <w:color w:val="000000" w:themeColor="text1"/>
        </w:rPr>
        <w:t>、</w:t>
      </w:r>
      <w:r w:rsidRPr="005A7DE6">
        <w:rPr>
          <w:rFonts w:asciiTheme="minorEastAsia" w:eastAsiaTheme="minorEastAsia" w:hAnsiTheme="minorEastAsia"/>
          <w:bCs/>
          <w:color w:val="000000" w:themeColor="text1"/>
        </w:rPr>
        <w:t>基金托管人的权利</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根据《基金法》及其他有关法律法规，基金托管人的权利为：</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）依基金合同约定获得基金托管费以及法律法规规定或监管部门批准的其他收入；</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2</w:t>
      </w:r>
      <w:r w:rsidRPr="005A7DE6">
        <w:rPr>
          <w:rFonts w:asciiTheme="minorEastAsia" w:eastAsiaTheme="minorEastAsia" w:hAnsiTheme="minorEastAsia"/>
          <w:color w:val="000000" w:themeColor="text1"/>
        </w:rPr>
        <w:t>）监督基金管理人对本基金的投资运作；</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3</w:t>
      </w:r>
      <w:r w:rsidRPr="005A7DE6">
        <w:rPr>
          <w:rFonts w:asciiTheme="minorEastAsia" w:eastAsiaTheme="minorEastAsia" w:hAnsiTheme="minorEastAsia"/>
          <w:color w:val="000000" w:themeColor="text1"/>
        </w:rPr>
        <w:t>）自本基金合同生效之日起，依法保管基金资产；</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4</w:t>
      </w:r>
      <w:r w:rsidRPr="005A7DE6">
        <w:rPr>
          <w:rFonts w:asciiTheme="minorEastAsia" w:eastAsiaTheme="minorEastAsia" w:hAnsiTheme="minorEastAsia"/>
          <w:color w:val="000000" w:themeColor="text1"/>
        </w:rPr>
        <w:t>）在基金管理人更换时，提名新任基金管理人；</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5</w:t>
      </w:r>
      <w:r w:rsidRPr="005A7DE6">
        <w:rPr>
          <w:rFonts w:asciiTheme="minorEastAsia" w:eastAsiaTheme="minorEastAsia" w:hAnsiTheme="minorEastAsia"/>
          <w:color w:val="000000" w:themeColor="text1"/>
        </w:rPr>
        <w:t>）根据本基金合同及有关规定监督基金管理人，对于基金管理人违反本基金合同或有关法律法规规定的行为，对基金资产、其他当事人的利益造成重大损失的情形，应及时呈报中国证监会；</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6</w:t>
      </w:r>
      <w:r w:rsidRPr="005A7DE6">
        <w:rPr>
          <w:rFonts w:asciiTheme="minorEastAsia" w:eastAsiaTheme="minorEastAsia" w:hAnsiTheme="minorEastAsia"/>
          <w:color w:val="000000" w:themeColor="text1"/>
        </w:rPr>
        <w:t>）依法召集基金份额持有人大会；</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7</w:t>
      </w:r>
      <w:r w:rsidRPr="005A7DE6">
        <w:rPr>
          <w:rFonts w:asciiTheme="minorEastAsia" w:eastAsiaTheme="minorEastAsia" w:hAnsiTheme="minorEastAsia"/>
          <w:color w:val="000000" w:themeColor="text1"/>
        </w:rPr>
        <w:t>）按规定取得基金份额持有人名册资料；</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8</w:t>
      </w:r>
      <w:r w:rsidRPr="005A7DE6">
        <w:rPr>
          <w:rFonts w:asciiTheme="minorEastAsia" w:eastAsiaTheme="minorEastAsia" w:hAnsiTheme="minorEastAsia"/>
          <w:color w:val="000000" w:themeColor="text1"/>
        </w:rPr>
        <w:t>）法律法规和基金合同规定的其他权利。</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w:t>
      </w:r>
      <w:r w:rsidRPr="005A7DE6" w:rsidR="000F587B">
        <w:rPr>
          <w:rFonts w:asciiTheme="minorEastAsia" w:eastAsiaTheme="minorEastAsia" w:hAnsiTheme="minorEastAsia" w:hint="eastAsia"/>
          <w:color w:val="000000" w:themeColor="text1"/>
        </w:rPr>
        <w:t>、</w:t>
      </w:r>
      <w:r w:rsidRPr="005A7DE6">
        <w:rPr>
          <w:rFonts w:asciiTheme="minorEastAsia" w:eastAsiaTheme="minorEastAsia" w:hAnsiTheme="minorEastAsia"/>
          <w:color w:val="000000" w:themeColor="text1"/>
        </w:rPr>
        <w:t>基金托管人的义务</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根据《基金法》及其他有关法律法规，基金托管人的义务为：</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1</w:t>
      </w:r>
      <w:r w:rsidRPr="005A7DE6">
        <w:rPr>
          <w:rFonts w:asciiTheme="minorEastAsia" w:eastAsiaTheme="minorEastAsia" w:hAnsiTheme="minorEastAsia"/>
          <w:color w:val="000000" w:themeColor="text1"/>
        </w:rPr>
        <w:t>）安全保管基金财产；</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2</w:t>
      </w:r>
      <w:r w:rsidRPr="005A7DE6">
        <w:rPr>
          <w:rFonts w:asciiTheme="minorEastAsia" w:eastAsiaTheme="minorEastAsia" w:hAnsiTheme="minorEastAsia"/>
          <w:color w:val="000000" w:themeColor="text1"/>
        </w:rPr>
        <w:t>）设立专门的基金托管部，具有符合要求的营业场所，配备足够的、合格的熟悉基金托管业务的专职人员，负责基金财产托管事宜；</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3</w:t>
      </w:r>
      <w:r w:rsidRPr="005A7DE6">
        <w:rPr>
          <w:rFonts w:asciiTheme="minorEastAsia" w:eastAsiaTheme="minorEastAsia" w:hAnsiTheme="minorEastAsia"/>
          <w:color w:val="000000" w:themeColor="text1"/>
        </w:rPr>
        <w:t>）对所托管的不同基金财产分别设置账户，确保基金财产的完整与独立；</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4</w:t>
      </w:r>
      <w:r w:rsidRPr="005A7DE6">
        <w:rPr>
          <w:rFonts w:asciiTheme="minorEastAsia" w:eastAsiaTheme="minorEastAsia" w:hAnsiTheme="minorEastAsia"/>
          <w:color w:val="000000" w:themeColor="text1"/>
        </w:rPr>
        <w:t>）除依据《基金法》、基金合同及其他有关规定外，不得为自己及任何第三人谋取利益，不得委托第三人</w:t>
      </w:r>
      <w:r w:rsidRPr="005A7DE6">
        <w:rPr>
          <w:rFonts w:asciiTheme="minorEastAsia" w:eastAsiaTheme="minorEastAsia" w:hAnsiTheme="minorEastAsia"/>
          <w:color w:val="000000" w:themeColor="text1"/>
        </w:rPr>
        <w:t>托管基金财产；</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5</w:t>
      </w:r>
      <w:r w:rsidRPr="005A7DE6">
        <w:rPr>
          <w:rFonts w:asciiTheme="minorEastAsia" w:eastAsiaTheme="minorEastAsia" w:hAnsiTheme="minorEastAsia"/>
          <w:color w:val="000000" w:themeColor="text1"/>
        </w:rPr>
        <w:t>）保管由基金管理人代表基金签订的与基金有关的重大合同及有关凭证；</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6</w:t>
      </w:r>
      <w:r w:rsidRPr="005A7DE6">
        <w:rPr>
          <w:rFonts w:asciiTheme="minorEastAsia" w:eastAsiaTheme="minorEastAsia" w:hAnsiTheme="minorEastAsia"/>
          <w:color w:val="000000" w:themeColor="text1"/>
        </w:rPr>
        <w:t>）按规定开设基金财产的资金账户和证券账户；</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7</w:t>
      </w:r>
      <w:r w:rsidRPr="005A7DE6">
        <w:rPr>
          <w:rFonts w:asciiTheme="minorEastAsia" w:eastAsiaTheme="minorEastAsia" w:hAnsiTheme="minorEastAsia"/>
          <w:color w:val="000000" w:themeColor="text1"/>
        </w:rPr>
        <w:t>）保守基金商业秘密，除《基金法》、基金合同及其他有关规定另有规定外，在基金信息公开披露前应予保密，不得向他人泄露；</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8</w:t>
      </w:r>
      <w:r w:rsidRPr="005A7DE6">
        <w:rPr>
          <w:rFonts w:asciiTheme="minorEastAsia" w:eastAsiaTheme="minorEastAsia" w:hAnsiTheme="minorEastAsia"/>
          <w:color w:val="000000" w:themeColor="text1"/>
          <w:szCs w:val="21"/>
        </w:rPr>
        <w:t>）对基金财务会计报告、</w:t>
      </w:r>
      <w:r w:rsidRPr="005A7DE6" w:rsidR="00A83831">
        <w:rPr>
          <w:rFonts w:asciiTheme="minorEastAsia" w:eastAsiaTheme="minorEastAsia" w:hAnsiTheme="minorEastAsia"/>
          <w:color w:val="000000" w:themeColor="text1"/>
          <w:szCs w:val="21"/>
        </w:rPr>
        <w:t>季度报告、中期报告</w:t>
      </w:r>
      <w:r w:rsidRPr="005A7DE6">
        <w:rPr>
          <w:rFonts w:asciiTheme="minorEastAsia" w:eastAsiaTheme="minorEastAsia" w:hAnsiTheme="minorEastAsia"/>
          <w:color w:val="000000" w:themeColor="text1"/>
          <w:szCs w:val="21"/>
        </w:rPr>
        <w:t>和年度报告出具意见，说明基金管理人在各重要方面的运作是否严格按照基金合同的规定进行；如果基金管理人有未执行基金合同规定的行为，还应当说明基金托管人是否采取了适当的措施；</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9</w:t>
      </w:r>
      <w:r w:rsidRPr="005A7DE6">
        <w:rPr>
          <w:rFonts w:asciiTheme="minorEastAsia" w:eastAsiaTheme="minorEastAsia" w:hAnsiTheme="minorEastAsia"/>
          <w:color w:val="000000" w:themeColor="text1"/>
        </w:rPr>
        <w:t>）保存基金托管业务活动的记录、账册、报表和其他相关资料；</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10</w:t>
      </w:r>
      <w:r w:rsidRPr="005A7DE6">
        <w:rPr>
          <w:rFonts w:asciiTheme="minorEastAsia" w:eastAsiaTheme="minorEastAsia" w:hAnsiTheme="minorEastAsia"/>
          <w:color w:val="000000" w:themeColor="text1"/>
        </w:rPr>
        <w:t>）按照基金合同的约定，根据基金管理人的投资指令，及时办理清算、交割事宜；</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11</w:t>
      </w:r>
      <w:r w:rsidRPr="005A7DE6">
        <w:rPr>
          <w:rFonts w:asciiTheme="minorEastAsia" w:eastAsiaTheme="minorEastAsia" w:hAnsiTheme="minorEastAsia"/>
          <w:color w:val="000000" w:themeColor="text1"/>
        </w:rPr>
        <w:t>）办理与基金托管业务活动有关的信息披露事项；</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12</w:t>
      </w:r>
      <w:r w:rsidRPr="005A7DE6">
        <w:rPr>
          <w:rFonts w:asciiTheme="minorEastAsia" w:eastAsiaTheme="minorEastAsia" w:hAnsiTheme="minorEastAsia"/>
          <w:color w:val="000000" w:themeColor="text1"/>
        </w:rPr>
        <w:t>）复核、审查基金管理人计算的基金资产净值</w:t>
      </w:r>
      <w:r w:rsidRPr="005A7DE6" w:rsidR="00A83831">
        <w:rPr>
          <w:rFonts w:asciiTheme="minorEastAsia" w:eastAsiaTheme="minorEastAsia" w:hAnsiTheme="minorEastAsia"/>
          <w:color w:val="000000" w:themeColor="text1"/>
        </w:rPr>
        <w:t>、</w:t>
      </w:r>
      <w:r w:rsidRPr="005A7DE6" w:rsidR="00A83831">
        <w:rPr>
          <w:rFonts w:asciiTheme="minorEastAsia" w:eastAsiaTheme="minorEastAsia" w:hAnsiTheme="minorEastAsia" w:hint="eastAsia"/>
          <w:color w:val="000000" w:themeColor="text1"/>
        </w:rPr>
        <w:t>基金份额净值</w:t>
      </w:r>
      <w:r w:rsidRPr="005A7DE6">
        <w:rPr>
          <w:rFonts w:asciiTheme="minorEastAsia" w:eastAsiaTheme="minorEastAsia" w:hAnsiTheme="minorEastAsia"/>
          <w:color w:val="000000" w:themeColor="text1"/>
        </w:rPr>
        <w:t>和基金份额申购、赎回价格；</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13</w:t>
      </w:r>
      <w:r w:rsidRPr="005A7DE6">
        <w:rPr>
          <w:rFonts w:asciiTheme="minorEastAsia" w:eastAsiaTheme="minorEastAsia" w:hAnsiTheme="minorEastAsia"/>
          <w:color w:val="000000" w:themeColor="text1"/>
        </w:rPr>
        <w:t>）按照规定监督基金管理人的投资运作；</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14</w:t>
      </w:r>
      <w:r w:rsidRPr="005A7DE6">
        <w:rPr>
          <w:rFonts w:asciiTheme="minorEastAsia" w:eastAsiaTheme="minorEastAsia" w:hAnsiTheme="minorEastAsia"/>
          <w:color w:val="000000" w:themeColor="text1"/>
        </w:rPr>
        <w:t>）按规定制作相关账册并与基金管理人核对；</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15</w:t>
      </w:r>
      <w:r w:rsidRPr="005A7DE6">
        <w:rPr>
          <w:rFonts w:asciiTheme="minorEastAsia" w:eastAsiaTheme="minorEastAsia" w:hAnsiTheme="minorEastAsia"/>
          <w:color w:val="000000" w:themeColor="text1"/>
        </w:rPr>
        <w:t>）依据基金管理人的指令或有关规定向基金份额持有人支付基金收益和赎回款项；</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16</w:t>
      </w:r>
      <w:r w:rsidRPr="005A7DE6">
        <w:rPr>
          <w:rFonts w:asciiTheme="minorEastAsia" w:eastAsiaTheme="minorEastAsia" w:hAnsiTheme="minorEastAsia"/>
          <w:color w:val="000000" w:themeColor="text1"/>
        </w:rPr>
        <w:t>）按照规定召集基金份额持有人大会或配合基金份额持有人依法自行召集基金份额持有人大会；</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17</w:t>
      </w:r>
      <w:r w:rsidRPr="005A7DE6">
        <w:rPr>
          <w:rFonts w:asciiTheme="minorEastAsia" w:eastAsiaTheme="minorEastAsia" w:hAnsiTheme="minorEastAsia"/>
          <w:color w:val="000000" w:themeColor="text1"/>
        </w:rPr>
        <w:t>）因违反基金合同导致基金财产损失，应承担赔偿责任，其赔偿责任不因其退任而免除；</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18</w:t>
      </w:r>
      <w:r w:rsidRPr="005A7DE6">
        <w:rPr>
          <w:rFonts w:asciiTheme="minorEastAsia" w:eastAsiaTheme="minorEastAsia" w:hAnsiTheme="minorEastAsia"/>
          <w:color w:val="000000" w:themeColor="text1"/>
        </w:rPr>
        <w:t>）基金管理人因违反基金合同造成基金财产损失时，应为基金向基金管理人追偿；</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19</w:t>
      </w:r>
      <w:r w:rsidRPr="005A7DE6">
        <w:rPr>
          <w:rFonts w:asciiTheme="minorEastAsia" w:eastAsiaTheme="minorEastAsia" w:hAnsiTheme="minorEastAsia"/>
          <w:color w:val="000000" w:themeColor="text1"/>
        </w:rPr>
        <w:t>）参加基金财产清算小组，参与基金财产的保管、清理、估价、变现和分配；</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20</w:t>
      </w:r>
      <w:r w:rsidRPr="005A7DE6">
        <w:rPr>
          <w:rFonts w:asciiTheme="minorEastAsia" w:eastAsiaTheme="minorEastAsia" w:hAnsiTheme="minorEastAsia"/>
          <w:color w:val="000000" w:themeColor="text1"/>
        </w:rPr>
        <w:t>）面临解散、依法被撤销或者被依法宣告破产时，及时报告中国证监会和银行业监</w:t>
      </w:r>
      <w:r w:rsidRPr="005A7DE6">
        <w:rPr>
          <w:rFonts w:asciiTheme="minorEastAsia" w:eastAsiaTheme="minorEastAsia" w:hAnsiTheme="minorEastAsia"/>
          <w:color w:val="000000" w:themeColor="text1"/>
          <w:szCs w:val="21"/>
        </w:rPr>
        <w:t>督管理机构，并通知基金管理人；</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21</w:t>
      </w:r>
      <w:r w:rsidRPr="005A7DE6">
        <w:rPr>
          <w:rFonts w:asciiTheme="minorEastAsia" w:eastAsiaTheme="minorEastAsia" w:hAnsiTheme="minorEastAsia"/>
          <w:color w:val="000000" w:themeColor="text1"/>
        </w:rPr>
        <w:t>）执行生效的基金份额持有人大会决议；</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22</w:t>
      </w:r>
      <w:r w:rsidRPr="005A7DE6">
        <w:rPr>
          <w:rFonts w:asciiTheme="minorEastAsia" w:eastAsiaTheme="minorEastAsia" w:hAnsiTheme="minorEastAsia"/>
          <w:color w:val="000000" w:themeColor="text1"/>
        </w:rPr>
        <w:t>）不从事任何有损基</w:t>
      </w:r>
      <w:r w:rsidRPr="005A7DE6">
        <w:rPr>
          <w:rFonts w:asciiTheme="minorEastAsia" w:eastAsiaTheme="minorEastAsia" w:hAnsiTheme="minorEastAsia"/>
          <w:color w:val="000000" w:themeColor="text1"/>
        </w:rPr>
        <w:t>金及其他基金当事人利益的活动；</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23</w:t>
      </w:r>
      <w:r w:rsidRPr="005A7DE6">
        <w:rPr>
          <w:rFonts w:asciiTheme="minorEastAsia" w:eastAsiaTheme="minorEastAsia" w:hAnsiTheme="minorEastAsia"/>
          <w:color w:val="000000" w:themeColor="text1"/>
        </w:rPr>
        <w:t>）建立并保存基金份额持有人名册；</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24</w:t>
      </w:r>
      <w:r w:rsidRPr="005A7DE6">
        <w:rPr>
          <w:rFonts w:asciiTheme="minorEastAsia" w:eastAsiaTheme="minorEastAsia" w:hAnsiTheme="minorEastAsia"/>
          <w:color w:val="000000" w:themeColor="text1"/>
          <w:szCs w:val="21"/>
        </w:rPr>
        <w:t>）法律法规、中国证监会和基金合同规定的其他义务。</w:t>
      </w:r>
    </w:p>
    <w:p w:rsidR="00A173D2"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726" w:name="_Toc94172490"/>
      <w:r w:rsidRPr="005A7DE6">
        <w:rPr>
          <w:rFonts w:asciiTheme="minorEastAsia" w:eastAsiaTheme="minorEastAsia" w:hAnsiTheme="minorEastAsia"/>
          <w:b w:val="0"/>
          <w:bCs/>
          <w:color w:val="000000" w:themeColor="text1"/>
        </w:rPr>
        <w:t>（三）基金份额持有人的权利和义务</w:t>
      </w:r>
      <w:bookmarkEnd w:id="3726"/>
    </w:p>
    <w:p w:rsidR="00A173D2" w:rsidRPr="005A7DE6" w:rsidP="006B758F">
      <w:pPr>
        <w:pStyle w:val="NormalIndent"/>
        <w:tabs>
          <w:tab w:val="left" w:pos="735"/>
        </w:tabs>
        <w:snapToGrid w:val="0"/>
        <w:spacing w:line="360" w:lineRule="auto"/>
        <w:ind w:left="420" w:firstLine="0"/>
        <w:rPr>
          <w:rFonts w:asciiTheme="minorEastAsia" w:eastAsiaTheme="minorEastAsia" w:hAnsiTheme="minorEastAsia"/>
          <w:bCs/>
          <w:color w:val="000000" w:themeColor="text1"/>
        </w:rPr>
      </w:pPr>
      <w:r w:rsidRPr="005A7DE6">
        <w:rPr>
          <w:rFonts w:asciiTheme="minorEastAsia" w:eastAsiaTheme="minorEastAsia" w:hAnsiTheme="minorEastAsia" w:hint="eastAsia"/>
          <w:bCs/>
          <w:color w:val="000000" w:themeColor="text1"/>
        </w:rPr>
        <w:t>1</w:t>
      </w:r>
      <w:r w:rsidRPr="005A7DE6">
        <w:rPr>
          <w:rFonts w:asciiTheme="minorEastAsia" w:eastAsiaTheme="minorEastAsia" w:hAnsiTheme="minorEastAsia" w:hint="eastAsia"/>
          <w:bCs/>
          <w:color w:val="000000" w:themeColor="text1"/>
        </w:rPr>
        <w:t>、</w:t>
      </w:r>
      <w:r w:rsidRPr="005A7DE6">
        <w:rPr>
          <w:rFonts w:asciiTheme="minorEastAsia" w:eastAsiaTheme="minorEastAsia" w:hAnsiTheme="minorEastAsia"/>
          <w:bCs/>
          <w:color w:val="000000" w:themeColor="text1"/>
        </w:rPr>
        <w:t>基金份额持有人权利</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根据《基金法》及其他有关法律法规，基金份额持有人的权利为：</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）分享基金财产收益；</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color w:val="000000" w:themeColor="text1"/>
          <w:szCs w:val="21"/>
        </w:rPr>
        <w:t>）参与分配清算后的剩余基金财产；</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3</w:t>
      </w:r>
      <w:r w:rsidRPr="005A7DE6">
        <w:rPr>
          <w:rFonts w:asciiTheme="minorEastAsia" w:eastAsiaTheme="minorEastAsia" w:hAnsiTheme="minorEastAsia"/>
          <w:color w:val="000000" w:themeColor="text1"/>
          <w:szCs w:val="21"/>
        </w:rPr>
        <w:t>）依法申请赎回其持有的基金份额；</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4</w:t>
      </w:r>
      <w:r w:rsidRPr="005A7DE6">
        <w:rPr>
          <w:rFonts w:asciiTheme="minorEastAsia" w:eastAsiaTheme="minorEastAsia" w:hAnsiTheme="minorEastAsia"/>
          <w:color w:val="000000" w:themeColor="text1"/>
          <w:szCs w:val="21"/>
        </w:rPr>
        <w:t>）按照规定要求召开基金份额持有人大会；</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5</w:t>
      </w:r>
      <w:r w:rsidRPr="005A7DE6">
        <w:rPr>
          <w:rFonts w:asciiTheme="minorEastAsia" w:eastAsiaTheme="minorEastAsia" w:hAnsiTheme="minorEastAsia"/>
          <w:color w:val="000000" w:themeColor="text1"/>
          <w:szCs w:val="21"/>
        </w:rPr>
        <w:t>）出席或者委派代表出席基金份额持有人大会，对基金份额持有人大会审议事项行使表决权；</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6</w:t>
      </w:r>
      <w:r w:rsidRPr="005A7DE6">
        <w:rPr>
          <w:rFonts w:asciiTheme="minorEastAsia" w:eastAsiaTheme="minorEastAsia" w:hAnsiTheme="minorEastAsia"/>
          <w:color w:val="000000" w:themeColor="text1"/>
          <w:szCs w:val="21"/>
        </w:rPr>
        <w:t>）查阅或者复制公开披露的基金信息资料；</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7</w:t>
      </w:r>
      <w:r w:rsidRPr="005A7DE6">
        <w:rPr>
          <w:rFonts w:asciiTheme="minorEastAsia" w:eastAsiaTheme="minorEastAsia" w:hAnsiTheme="minorEastAsia"/>
          <w:color w:val="000000" w:themeColor="text1"/>
          <w:szCs w:val="21"/>
        </w:rPr>
        <w:t>）监督基金管理人的投资运作；</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t>（</w:t>
      </w:r>
      <w:r>
        <w:t>8</w:t>
      </w:r>
      <w:r>
        <w:t>）对基金管理人、基金托管人、基金份额销售机构损害其合法权益的行为依法提起诉讼；</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9</w:t>
      </w:r>
      <w:r w:rsidRPr="005A7DE6">
        <w:rPr>
          <w:rFonts w:asciiTheme="minorEastAsia" w:eastAsiaTheme="minorEastAsia" w:hAnsiTheme="minorEastAsia"/>
          <w:color w:val="000000" w:themeColor="text1"/>
          <w:szCs w:val="21"/>
        </w:rPr>
        <w:t>）法律法规和基金合同规定的其他权利。</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同一类别的每份基金份额具有同等的合法权益。</w:t>
      </w:r>
    </w:p>
    <w:p w:rsidR="00A173D2" w:rsidRPr="005A7DE6" w:rsidP="006B758F">
      <w:pPr>
        <w:pStyle w:val="NormalIndent"/>
        <w:tabs>
          <w:tab w:val="left" w:pos="735"/>
        </w:tabs>
        <w:snapToGrid w:val="0"/>
        <w:spacing w:line="360" w:lineRule="auto"/>
        <w:ind w:left="420" w:firstLine="0"/>
        <w:rPr>
          <w:rFonts w:asciiTheme="minorEastAsia" w:eastAsiaTheme="minorEastAsia" w:hAnsiTheme="minorEastAsia"/>
          <w:bCs/>
          <w:color w:val="000000" w:themeColor="text1"/>
        </w:rPr>
      </w:pPr>
      <w:r w:rsidRPr="005A7DE6">
        <w:rPr>
          <w:rFonts w:asciiTheme="minorEastAsia" w:eastAsiaTheme="minorEastAsia" w:hAnsiTheme="minorEastAsia" w:hint="eastAsia"/>
          <w:bCs/>
          <w:color w:val="000000" w:themeColor="text1"/>
        </w:rPr>
        <w:t>2</w:t>
      </w:r>
      <w:r w:rsidRPr="005A7DE6">
        <w:rPr>
          <w:rFonts w:asciiTheme="minorEastAsia" w:eastAsiaTheme="minorEastAsia" w:hAnsiTheme="minorEastAsia" w:hint="eastAsia"/>
          <w:bCs/>
          <w:color w:val="000000" w:themeColor="text1"/>
        </w:rPr>
        <w:t>、</w:t>
      </w:r>
      <w:r w:rsidRPr="005A7DE6">
        <w:rPr>
          <w:rFonts w:asciiTheme="minorEastAsia" w:eastAsiaTheme="minorEastAsia" w:hAnsiTheme="minorEastAsia"/>
          <w:bCs/>
          <w:color w:val="000000" w:themeColor="text1"/>
        </w:rPr>
        <w:t>基金份额持有人义务</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根据《基金法》及其他有关法律法规，基金份额持有人的义务为：</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1</w:t>
      </w:r>
      <w:r w:rsidRPr="005A7DE6">
        <w:rPr>
          <w:rFonts w:asciiTheme="minorEastAsia" w:eastAsiaTheme="minorEastAsia" w:hAnsiTheme="minorEastAsia"/>
          <w:color w:val="000000" w:themeColor="text1"/>
        </w:rPr>
        <w:t>）遵守法律法规、基金合同及其他有关规定；</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2</w:t>
      </w:r>
      <w:r w:rsidRPr="005A7DE6">
        <w:rPr>
          <w:rFonts w:asciiTheme="minorEastAsia" w:eastAsiaTheme="minorEastAsia" w:hAnsiTheme="minorEastAsia"/>
          <w:color w:val="000000" w:themeColor="text1"/>
        </w:rPr>
        <w:t>）交纳基金认购、申购款项及法律法规和基金合同所规定的费用；</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3</w:t>
      </w:r>
      <w:r w:rsidRPr="005A7DE6">
        <w:rPr>
          <w:rFonts w:asciiTheme="minorEastAsia" w:eastAsiaTheme="minorEastAsia" w:hAnsiTheme="minorEastAsia"/>
          <w:color w:val="000000" w:themeColor="text1"/>
        </w:rPr>
        <w:t>）在持有的基金份额范围内，承担基金亏损或者基金合同终止的有限责任；</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4</w:t>
      </w:r>
      <w:r w:rsidRPr="005A7DE6">
        <w:rPr>
          <w:rFonts w:asciiTheme="minorEastAsia" w:eastAsiaTheme="minorEastAsia" w:hAnsiTheme="minorEastAsia"/>
          <w:color w:val="000000" w:themeColor="text1"/>
        </w:rPr>
        <w:t>）不从事任何有损基金及其他基金份额持有人合法权益的活动；</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5</w:t>
      </w:r>
      <w:r w:rsidRPr="005A7DE6">
        <w:rPr>
          <w:rFonts w:asciiTheme="minorEastAsia" w:eastAsiaTheme="minorEastAsia" w:hAnsiTheme="minorEastAsia"/>
          <w:color w:val="000000" w:themeColor="text1"/>
          <w:szCs w:val="21"/>
        </w:rPr>
        <w:t>）执行生效的基金份额持有人大会决议；</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6</w:t>
      </w:r>
      <w:r w:rsidRPr="005A7DE6">
        <w:rPr>
          <w:rFonts w:asciiTheme="minorEastAsia" w:eastAsiaTheme="minorEastAsia" w:hAnsiTheme="minorEastAsia"/>
          <w:color w:val="000000" w:themeColor="text1"/>
          <w:szCs w:val="21"/>
        </w:rPr>
        <w:t>）返还在基金交易过程中因任何原因，自基金管理人及基金管理人的代理人、基金托管人、代销机构、其他基金份额持有人处获得的不当得利；</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7</w:t>
      </w:r>
      <w:r w:rsidRPr="005A7DE6">
        <w:rPr>
          <w:rFonts w:asciiTheme="minorEastAsia" w:eastAsiaTheme="minorEastAsia" w:hAnsiTheme="minorEastAsia"/>
          <w:color w:val="000000" w:themeColor="text1"/>
          <w:szCs w:val="21"/>
        </w:rPr>
        <w:t>）法律法规和基金合同规定的其他义务。</w:t>
      </w:r>
    </w:p>
    <w:p w:rsidR="00A173D2"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727" w:name="_Toc94172491"/>
      <w:r w:rsidRPr="005A7DE6">
        <w:rPr>
          <w:rFonts w:asciiTheme="minorEastAsia" w:eastAsiaTheme="minorEastAsia" w:hAnsiTheme="minorEastAsia"/>
          <w:b w:val="0"/>
          <w:bCs/>
          <w:color w:val="000000" w:themeColor="text1"/>
        </w:rPr>
        <w:t>（四）基金份额持有人大会</w:t>
      </w:r>
      <w:bookmarkEnd w:id="3727"/>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基金份额持有人大会由基金份额持有人组成，基金份额持有人的合法授权代表有权代表基金份额持有人出席会议并表决。基金份额持有人持有的每一基金份额具有同等的投票权。</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w:t>
      </w: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color w:val="000000" w:themeColor="text1"/>
        </w:rPr>
        <w:t>召开事由</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1</w:t>
      </w:r>
      <w:r w:rsidRPr="005A7DE6">
        <w:rPr>
          <w:rFonts w:asciiTheme="minorEastAsia" w:eastAsiaTheme="minorEastAsia" w:hAnsiTheme="minorEastAsia"/>
          <w:color w:val="000000" w:themeColor="text1"/>
        </w:rPr>
        <w:t>）当出现或需要决定下列事由之一的，经基金管理人、基金托管人或持有基金份额</w:t>
      </w:r>
      <w:r w:rsidRPr="005A7DE6">
        <w:rPr>
          <w:rFonts w:asciiTheme="minorEastAsia" w:eastAsiaTheme="minorEastAsia" w:hAnsiTheme="minorEastAsia"/>
          <w:color w:val="000000" w:themeColor="text1"/>
        </w:rPr>
        <w:t>10%</w:t>
      </w:r>
      <w:r w:rsidRPr="005A7DE6">
        <w:rPr>
          <w:rFonts w:asciiTheme="minorEastAsia" w:eastAsiaTheme="minorEastAsia" w:hAnsiTheme="minorEastAsia"/>
          <w:color w:val="000000" w:themeColor="text1"/>
        </w:rPr>
        <w:t>以上（含</w:t>
      </w:r>
      <w:r w:rsidRPr="005A7DE6">
        <w:rPr>
          <w:rFonts w:asciiTheme="minorEastAsia" w:eastAsiaTheme="minorEastAsia" w:hAnsiTheme="minorEastAsia"/>
          <w:color w:val="000000" w:themeColor="text1"/>
        </w:rPr>
        <w:t>10%</w:t>
      </w:r>
      <w:r w:rsidRPr="005A7DE6">
        <w:rPr>
          <w:rFonts w:asciiTheme="minorEastAsia" w:eastAsiaTheme="minorEastAsia" w:hAnsiTheme="minorEastAsia"/>
          <w:color w:val="000000" w:themeColor="text1"/>
        </w:rPr>
        <w:t>，下同）的基金份额持有人（以基金管理人收到提议当日的基金份额计算，下同）提议时，应当召开基金份额持有人大会：</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终止基金合同；</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转换基金运作方式；</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变更基金类别；</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变更基金投资目标、投资范围或投资策略</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法律法规、中国证监会和基金合同另有规定的除外</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变更基金份额持有人大会程序；</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6</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更换基金管理人、基金托管人；</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7</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提高基金管理人、基金托管人的报酬标准，但法律法规要求提高该等报酬标准的除外；</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8</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本基金与其他基金的合并；</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9</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对基金合同当事人权利、义务产生重大影响的其他事项；</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10</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法律法规、基金合同或中国证监会规定的其他情形。</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2</w:t>
      </w:r>
      <w:r w:rsidRPr="005A7DE6">
        <w:rPr>
          <w:rFonts w:asciiTheme="minorEastAsia" w:eastAsiaTheme="minorEastAsia" w:hAnsiTheme="minorEastAsia"/>
          <w:color w:val="000000" w:themeColor="text1"/>
        </w:rPr>
        <w:t>）出现以下情形之一的，可由基金管理人和基金托管人协商后修改基金合同，不需召开基金份额持有人大会：</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调低基金管理费、基金托管费和其他应由基金承担的费用；</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在法律法规和本基金合同规定的范围内变更基金的申购费率或收费方式、调低赎回费率；</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因相应的法律法规发生变动必须对基金合同进行修改；</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对基金合同的修改不涉及本基金合同当事人权利义务关系发生变化；</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基金合同的修改对基金份额持有人利益无实质性不利影响；</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6</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按照法律法规或本基金合同规定不需召开基金份额持有人大会的其他情形。</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w:t>
      </w: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color w:val="000000" w:themeColor="text1"/>
        </w:rPr>
        <w:t>召集人和召集方式</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1</w:t>
      </w:r>
      <w:r w:rsidRPr="005A7DE6">
        <w:rPr>
          <w:rFonts w:asciiTheme="minorEastAsia" w:eastAsiaTheme="minorEastAsia" w:hAnsiTheme="minorEastAsia"/>
          <w:color w:val="000000" w:themeColor="text1"/>
        </w:rPr>
        <w:t>）除法律法规或本基金合同另有约定外，基金份额持有人大会由基金管理人召集，会议时间、地点、方式和权益登记日由基金管理人选择确定。基金管理人未按规定召集或者不能召集时，由基金托管人召集。</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2</w:t>
      </w:r>
      <w:r w:rsidRPr="005A7DE6">
        <w:rPr>
          <w:rFonts w:asciiTheme="minorEastAsia" w:eastAsiaTheme="minorEastAsia" w:hAnsiTheme="minorEastAsia"/>
          <w:color w:val="000000" w:themeColor="text1"/>
        </w:rPr>
        <w:t>）基金托管人认为有必要召开基金份额持有人大会的，应当向基金管理人提出书面提议。基金管理人应当自收到书面提议之日起</w:t>
      </w:r>
      <w:r w:rsidRPr="005A7DE6">
        <w:rPr>
          <w:rFonts w:asciiTheme="minorEastAsia" w:eastAsiaTheme="minorEastAsia" w:hAnsiTheme="minorEastAsia"/>
          <w:color w:val="000000" w:themeColor="text1"/>
        </w:rPr>
        <w:t>10</w:t>
      </w:r>
      <w:r w:rsidRPr="005A7DE6">
        <w:rPr>
          <w:rFonts w:asciiTheme="minorEastAsia" w:eastAsiaTheme="minorEastAsia" w:hAnsiTheme="minorEastAsia"/>
          <w:color w:val="000000" w:themeColor="text1"/>
        </w:rPr>
        <w:t>日内决定是否召集，并书面告知基金托管人。基金管理人决定召</w:t>
      </w:r>
      <w:r w:rsidRPr="005A7DE6">
        <w:rPr>
          <w:rFonts w:asciiTheme="minorEastAsia" w:eastAsiaTheme="minorEastAsia" w:hAnsiTheme="minorEastAsia"/>
          <w:color w:val="000000" w:themeColor="text1"/>
        </w:rPr>
        <w:t>集的，应当自出具书面决定之日起</w:t>
      </w:r>
      <w:r w:rsidRPr="005A7DE6">
        <w:rPr>
          <w:rFonts w:asciiTheme="minorEastAsia" w:eastAsiaTheme="minorEastAsia" w:hAnsiTheme="minorEastAsia"/>
          <w:color w:val="000000" w:themeColor="text1"/>
        </w:rPr>
        <w:t>60</w:t>
      </w:r>
      <w:r w:rsidRPr="005A7DE6">
        <w:rPr>
          <w:rFonts w:asciiTheme="minorEastAsia" w:eastAsiaTheme="minorEastAsia" w:hAnsiTheme="minorEastAsia"/>
          <w:color w:val="000000" w:themeColor="text1"/>
        </w:rPr>
        <w:t>日内召开；基金管理人决定不</w:t>
      </w:r>
      <w:r w:rsidRPr="005A7DE6">
        <w:rPr>
          <w:rFonts w:asciiTheme="minorEastAsia" w:eastAsiaTheme="minorEastAsia" w:hAnsiTheme="minorEastAsia"/>
          <w:color w:val="000000" w:themeColor="text1"/>
          <w:szCs w:val="21"/>
        </w:rPr>
        <w:t>召集，基金托管人仍认为有必要召开的，应当自行召集并确定会议时间、地点、方式和权益登记日。</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3</w:t>
      </w:r>
      <w:r w:rsidRPr="005A7DE6">
        <w:rPr>
          <w:rFonts w:asciiTheme="minorEastAsia" w:eastAsiaTheme="minorEastAsia" w:hAnsiTheme="minorEastAsia"/>
          <w:color w:val="000000" w:themeColor="text1"/>
          <w:szCs w:val="21"/>
        </w:rPr>
        <w:t>）代表基金份额</w:t>
      </w:r>
      <w:r w:rsidRPr="005A7DE6">
        <w:rPr>
          <w:rFonts w:asciiTheme="minorEastAsia" w:eastAsiaTheme="minorEastAsia" w:hAnsiTheme="minorEastAsia"/>
          <w:color w:val="000000" w:themeColor="text1"/>
          <w:szCs w:val="21"/>
        </w:rPr>
        <w:t>10%</w:t>
      </w:r>
      <w:r w:rsidRPr="005A7DE6">
        <w:rPr>
          <w:rFonts w:asciiTheme="minorEastAsia" w:eastAsiaTheme="minorEastAsia" w:hAnsiTheme="minorEastAsia"/>
          <w:color w:val="000000" w:themeColor="text1"/>
          <w:szCs w:val="21"/>
        </w:rPr>
        <w:t>以上的基金份额持有人认为有必要召开基金份额持有人大会的，应当向基金管理人提出书面提议。基金管理人应当自收到书面提议之日起</w:t>
      </w:r>
      <w:r w:rsidRPr="005A7DE6">
        <w:rPr>
          <w:rFonts w:asciiTheme="minorEastAsia" w:eastAsiaTheme="minorEastAsia" w:hAnsiTheme="minorEastAsia"/>
          <w:color w:val="000000" w:themeColor="text1"/>
          <w:szCs w:val="21"/>
        </w:rPr>
        <w:t>10</w:t>
      </w:r>
      <w:r w:rsidRPr="005A7DE6">
        <w:rPr>
          <w:rFonts w:asciiTheme="minorEastAsia" w:eastAsiaTheme="minorEastAsia" w:hAnsiTheme="minorEastAsia"/>
          <w:color w:val="000000" w:themeColor="text1"/>
          <w:szCs w:val="21"/>
        </w:rPr>
        <w:t>日内决定是否召集，并书面告知提出提议的基金份额持有人代表和基金托管人。基金管理人决定召集的，应当自出具书面决定之日起</w:t>
      </w:r>
      <w:r w:rsidRPr="005A7DE6">
        <w:rPr>
          <w:rFonts w:asciiTheme="minorEastAsia" w:eastAsiaTheme="minorEastAsia" w:hAnsiTheme="minorEastAsia"/>
          <w:color w:val="000000" w:themeColor="text1"/>
          <w:szCs w:val="21"/>
        </w:rPr>
        <w:t>60</w:t>
      </w:r>
      <w:r w:rsidRPr="005A7DE6">
        <w:rPr>
          <w:rFonts w:asciiTheme="minorEastAsia" w:eastAsiaTheme="minorEastAsia" w:hAnsiTheme="minorEastAsia"/>
          <w:color w:val="000000" w:themeColor="text1"/>
          <w:szCs w:val="21"/>
        </w:rPr>
        <w:t>日内召开；基金管理人决定不召集，代表基金份额</w:t>
      </w:r>
      <w:r w:rsidRPr="005A7DE6">
        <w:rPr>
          <w:rFonts w:asciiTheme="minorEastAsia" w:eastAsiaTheme="minorEastAsia" w:hAnsiTheme="minorEastAsia"/>
          <w:color w:val="000000" w:themeColor="text1"/>
          <w:szCs w:val="21"/>
        </w:rPr>
        <w:t>10%</w:t>
      </w:r>
      <w:r w:rsidRPr="005A7DE6">
        <w:rPr>
          <w:rFonts w:asciiTheme="minorEastAsia" w:eastAsiaTheme="minorEastAsia" w:hAnsiTheme="minorEastAsia"/>
          <w:color w:val="000000" w:themeColor="text1"/>
          <w:szCs w:val="21"/>
        </w:rPr>
        <w:t>以上的基金份额持有人仍认为有必要召开的，应当</w:t>
      </w:r>
      <w:r w:rsidRPr="005A7DE6">
        <w:rPr>
          <w:rFonts w:asciiTheme="minorEastAsia" w:eastAsiaTheme="minorEastAsia" w:hAnsiTheme="minorEastAsia"/>
          <w:color w:val="000000" w:themeColor="text1"/>
          <w:szCs w:val="21"/>
        </w:rPr>
        <w:t>向基金托管人提出书面提议。基金托管人应当自收到书面提议之日起</w:t>
      </w:r>
      <w:r w:rsidRPr="005A7DE6">
        <w:rPr>
          <w:rFonts w:asciiTheme="minorEastAsia" w:eastAsiaTheme="minorEastAsia" w:hAnsiTheme="minorEastAsia"/>
          <w:color w:val="000000" w:themeColor="text1"/>
          <w:szCs w:val="21"/>
        </w:rPr>
        <w:t>10</w:t>
      </w:r>
      <w:r w:rsidRPr="005A7DE6">
        <w:rPr>
          <w:rFonts w:asciiTheme="minorEastAsia" w:eastAsiaTheme="minorEastAsia" w:hAnsiTheme="minorEastAsia"/>
          <w:color w:val="000000" w:themeColor="text1"/>
          <w:szCs w:val="21"/>
        </w:rPr>
        <w:t>日内决定是否召集，并书面告知提出提议的基金份额持有人代表和基金管理人；基金托管人决定召集的，应当自出具书面决定之日起</w:t>
      </w:r>
      <w:r w:rsidRPr="005A7DE6">
        <w:rPr>
          <w:rFonts w:asciiTheme="minorEastAsia" w:eastAsiaTheme="minorEastAsia" w:hAnsiTheme="minorEastAsia"/>
          <w:color w:val="000000" w:themeColor="text1"/>
          <w:szCs w:val="21"/>
        </w:rPr>
        <w:t>60</w:t>
      </w:r>
      <w:r w:rsidRPr="005A7DE6">
        <w:rPr>
          <w:rFonts w:asciiTheme="minorEastAsia" w:eastAsiaTheme="minorEastAsia" w:hAnsiTheme="minorEastAsia"/>
          <w:color w:val="000000" w:themeColor="text1"/>
          <w:szCs w:val="21"/>
        </w:rPr>
        <w:t>日内召开。</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4</w:t>
      </w:r>
      <w:r w:rsidRPr="005A7DE6">
        <w:rPr>
          <w:rFonts w:asciiTheme="minorEastAsia" w:eastAsiaTheme="minorEastAsia" w:hAnsiTheme="minorEastAsia"/>
          <w:color w:val="000000" w:themeColor="text1"/>
          <w:szCs w:val="21"/>
        </w:rPr>
        <w:t>）代表基金份额</w:t>
      </w:r>
      <w:r w:rsidRPr="005A7DE6">
        <w:rPr>
          <w:rFonts w:asciiTheme="minorEastAsia" w:eastAsiaTheme="minorEastAsia" w:hAnsiTheme="minorEastAsia"/>
          <w:color w:val="000000" w:themeColor="text1"/>
          <w:szCs w:val="21"/>
        </w:rPr>
        <w:t>10%</w:t>
      </w:r>
      <w:r w:rsidRPr="005A7DE6">
        <w:rPr>
          <w:rFonts w:asciiTheme="minorEastAsia" w:eastAsiaTheme="minorEastAsia" w:hAnsiTheme="minorEastAsia"/>
          <w:color w:val="000000" w:themeColor="text1"/>
          <w:szCs w:val="21"/>
        </w:rPr>
        <w:t>以上的基金份额持有人就同一事项要求召开基金份额持有人大会，而基金管理人、基金托管人都不召集的，代表基金份额</w:t>
      </w:r>
      <w:r w:rsidRPr="005A7DE6">
        <w:rPr>
          <w:rFonts w:asciiTheme="minorEastAsia" w:eastAsiaTheme="minorEastAsia" w:hAnsiTheme="minorEastAsia"/>
          <w:color w:val="000000" w:themeColor="text1"/>
          <w:szCs w:val="21"/>
        </w:rPr>
        <w:t>10%</w:t>
      </w:r>
      <w:r w:rsidRPr="005A7DE6">
        <w:rPr>
          <w:rFonts w:asciiTheme="minorEastAsia" w:eastAsiaTheme="minorEastAsia" w:hAnsiTheme="minorEastAsia"/>
          <w:color w:val="000000" w:themeColor="text1"/>
          <w:szCs w:val="21"/>
        </w:rPr>
        <w:t>以上的基金份额持有人有权自行召集基金份额持有人大会，但应当至少提前</w:t>
      </w:r>
      <w:r w:rsidRPr="005A7DE6">
        <w:rPr>
          <w:rFonts w:asciiTheme="minorEastAsia" w:eastAsiaTheme="minorEastAsia" w:hAnsiTheme="minorEastAsia"/>
          <w:color w:val="000000" w:themeColor="text1"/>
          <w:szCs w:val="21"/>
        </w:rPr>
        <w:t>30</w:t>
      </w:r>
      <w:r w:rsidRPr="005A7DE6">
        <w:rPr>
          <w:rFonts w:asciiTheme="minorEastAsia" w:eastAsiaTheme="minorEastAsia" w:hAnsiTheme="minorEastAsia"/>
          <w:color w:val="000000" w:themeColor="text1"/>
          <w:szCs w:val="21"/>
        </w:rPr>
        <w:t>日向中国证监会备案。</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5</w:t>
      </w:r>
      <w:r w:rsidRPr="005A7DE6">
        <w:rPr>
          <w:rFonts w:asciiTheme="minorEastAsia" w:eastAsiaTheme="minorEastAsia" w:hAnsiTheme="minorEastAsia"/>
          <w:color w:val="000000" w:themeColor="text1"/>
          <w:szCs w:val="21"/>
        </w:rPr>
        <w:t>）基金份额持有人依法自行召集基金份额持有人大会的，基金管理人、基金托管人应当配合，不</w:t>
      </w:r>
      <w:r w:rsidRPr="005A7DE6">
        <w:rPr>
          <w:rFonts w:asciiTheme="minorEastAsia" w:eastAsiaTheme="minorEastAsia" w:hAnsiTheme="minorEastAsia"/>
          <w:color w:val="000000" w:themeColor="text1"/>
          <w:szCs w:val="21"/>
        </w:rPr>
        <w:t>得阻碍、干扰。</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w:t>
      </w: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color w:val="000000" w:themeColor="text1"/>
        </w:rPr>
        <w:t>召开基金份额持有人大会的通知时间、通知内容、通知方式</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1</w:t>
      </w:r>
      <w:r w:rsidRPr="005A7DE6">
        <w:rPr>
          <w:rFonts w:asciiTheme="minorEastAsia" w:eastAsiaTheme="minorEastAsia" w:hAnsiTheme="minorEastAsia"/>
          <w:color w:val="000000" w:themeColor="text1"/>
        </w:rPr>
        <w:t>）基金份额持有人大会的召集人（以下简称</w:t>
      </w: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召集人</w:t>
      </w: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）负责选择确定开会时间、地点、方式和权益登记日。召开基金份额持有人大会，召集人必须于会议召开日前</w:t>
      </w:r>
      <w:r w:rsidRPr="005A7DE6">
        <w:rPr>
          <w:rFonts w:asciiTheme="minorEastAsia" w:eastAsiaTheme="minorEastAsia" w:hAnsiTheme="minorEastAsia"/>
          <w:color w:val="000000" w:themeColor="text1"/>
        </w:rPr>
        <w:t>30</w:t>
      </w:r>
      <w:r w:rsidRPr="005A7DE6">
        <w:rPr>
          <w:rFonts w:asciiTheme="minorEastAsia" w:eastAsiaTheme="minorEastAsia" w:hAnsiTheme="minorEastAsia"/>
          <w:color w:val="000000" w:themeColor="text1"/>
        </w:rPr>
        <w:t>日在</w:t>
      </w:r>
      <w:r w:rsidRPr="005A7DE6" w:rsidR="006E73AA">
        <w:rPr>
          <w:rFonts w:asciiTheme="minorEastAsia" w:eastAsiaTheme="minorEastAsia" w:hAnsiTheme="minorEastAsia"/>
          <w:color w:val="000000" w:themeColor="text1"/>
        </w:rPr>
        <w:t>指定媒介</w:t>
      </w:r>
      <w:r w:rsidRPr="005A7DE6">
        <w:rPr>
          <w:rFonts w:asciiTheme="minorEastAsia" w:eastAsiaTheme="minorEastAsia" w:hAnsiTheme="minorEastAsia"/>
          <w:color w:val="000000" w:themeColor="text1"/>
        </w:rPr>
        <w:t>公告。基金份额持有人大会不得就未经公告的事项进行表决。基金份额持有人大会通知须至少载明以下内容：</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会议召开的时间、地点和出席方式；</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会议拟审议的主要事项；</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会议形式；</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议事程序；</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有权出席基金份额持有人大会的基金份额持有人权益登记日；</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6</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代理投票的授权委托书的内容要求</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包括但不限于代理人身份、代理权限和代理有效期限等</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、送达时间和地点；</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7</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表决方式；</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8</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会务常设联系人姓名、电话；</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9</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出席会议者必须准备的文件和必须履行的手续；</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10</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召集人需要通知的其他事项。</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color w:val="000000" w:themeColor="text1"/>
          <w:szCs w:val="21"/>
        </w:rPr>
        <w:t>）采用通讯方式开会并进行表决的情况下，由召集人决定通讯方式和书面表决方式，并在会议通知中说明本次基金份额持有人大会所采取的具体通讯方式、委托的公证机关及其联系方式和联系人、书面表决意见寄交的截止时间和收取方式。</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3</w:t>
      </w:r>
      <w:r w:rsidRPr="005A7DE6">
        <w:rPr>
          <w:rFonts w:asciiTheme="minorEastAsia" w:eastAsiaTheme="minorEastAsia" w:hAnsiTheme="minorEastAsia"/>
          <w:color w:val="000000" w:themeColor="text1"/>
          <w:szCs w:val="21"/>
        </w:rPr>
        <w:t>）如召集人为基金管理人，还应另行书面通知基金托管人到指定地点</w:t>
      </w:r>
      <w:r w:rsidRPr="005A7DE6">
        <w:rPr>
          <w:rFonts w:asciiTheme="minorEastAsia" w:eastAsiaTheme="minorEastAsia" w:hAnsiTheme="minorEastAsia"/>
          <w:color w:val="000000" w:themeColor="text1"/>
          <w:szCs w:val="21"/>
        </w:rPr>
        <w:t>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5</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基金份额持有人出席会议的方式</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）会议方式</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基金份额持有人大会的召开方式包括现场开会、通讯方式开会或法律法规和监管机关允许的其他方式。</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现场开会由基金份额持有人本人出席或通过授权委托书委派其代理人出席，现场开会时基金管理人和基金托管人的授权代表应当出席，如基金管理人或基金托管人拒不派代表出席的，不影响表决效力。</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通讯方式开会指按照本基金合同的相关规定以通讯的书面方式进行表决。</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4</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会议的召开方式由召集人确定。</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color w:val="000000" w:themeColor="text1"/>
          <w:szCs w:val="21"/>
        </w:rPr>
        <w:t>）召开基金份额持有人大会的条件</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现场开会方式</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在同时符合以下条件时，现场会议方可举行：</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a.</w:t>
      </w:r>
      <w:r w:rsidRPr="005A7DE6">
        <w:rPr>
          <w:rFonts w:asciiTheme="minorEastAsia" w:eastAsiaTheme="minorEastAsia" w:hAnsiTheme="minorEastAsia"/>
          <w:color w:val="000000" w:themeColor="text1"/>
          <w:szCs w:val="21"/>
        </w:rPr>
        <w:t>对到会者在权益登记日持有基金份额的统计显示，全部有效凭证所对应的基金份额应占权益登记日基金总份额的</w:t>
      </w:r>
      <w:r w:rsidRPr="005A7DE6">
        <w:rPr>
          <w:rFonts w:asciiTheme="minorEastAsia" w:eastAsiaTheme="minorEastAsia" w:hAnsiTheme="minorEastAsia"/>
          <w:color w:val="000000" w:themeColor="text1"/>
          <w:szCs w:val="21"/>
        </w:rPr>
        <w:t>50%</w:t>
      </w:r>
      <w:r w:rsidRPr="005A7DE6">
        <w:rPr>
          <w:rFonts w:asciiTheme="minorEastAsia" w:eastAsiaTheme="minorEastAsia" w:hAnsiTheme="minorEastAsia"/>
          <w:color w:val="000000" w:themeColor="text1"/>
          <w:szCs w:val="21"/>
        </w:rPr>
        <w:t>以上</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含</w:t>
      </w:r>
      <w:r w:rsidRPr="005A7DE6">
        <w:rPr>
          <w:rFonts w:asciiTheme="minorEastAsia" w:eastAsiaTheme="minorEastAsia" w:hAnsiTheme="minorEastAsia"/>
          <w:color w:val="000000" w:themeColor="text1"/>
          <w:szCs w:val="21"/>
        </w:rPr>
        <w:t>50%</w:t>
      </w:r>
      <w:r w:rsidRPr="005A7DE6">
        <w:rPr>
          <w:rFonts w:asciiTheme="minorEastAsia" w:eastAsiaTheme="minorEastAsia" w:hAnsiTheme="minorEastAsia"/>
          <w:color w:val="000000" w:themeColor="text1"/>
          <w:szCs w:val="21"/>
        </w:rPr>
        <w:t>，下同</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b.</w:t>
      </w:r>
      <w:r w:rsidRPr="005A7DE6">
        <w:rPr>
          <w:rFonts w:asciiTheme="minorEastAsia" w:eastAsiaTheme="minorEastAsia" w:hAnsiTheme="minorEastAsia"/>
          <w:color w:val="000000" w:themeColor="text1"/>
          <w:szCs w:val="21"/>
        </w:rPr>
        <w:t>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注册登记机构提供的注册登记资料相符。</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未能满足上述条件的情况下，则召集人可另行确定并公告重新开会的时间</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至少应在</w:t>
      </w:r>
      <w:r w:rsidRPr="005A7DE6">
        <w:rPr>
          <w:rFonts w:asciiTheme="minorEastAsia" w:eastAsiaTheme="minorEastAsia" w:hAnsiTheme="minorEastAsia"/>
          <w:color w:val="000000" w:themeColor="text1"/>
          <w:szCs w:val="21"/>
        </w:rPr>
        <w:t>25</w:t>
      </w:r>
      <w:r w:rsidRPr="005A7DE6">
        <w:rPr>
          <w:rFonts w:asciiTheme="minorEastAsia" w:eastAsiaTheme="minorEastAsia" w:hAnsiTheme="minorEastAsia"/>
          <w:color w:val="000000" w:themeColor="text1"/>
          <w:szCs w:val="21"/>
        </w:rPr>
        <w:t>个工作日后</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和地点，但确定有权出席会议的基金份额持有人资格的权益登记日不变。</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通讯开会方式</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在同时符合以下条件时，通讯会议方可举行：</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a.</w:t>
      </w:r>
      <w:r w:rsidRPr="005A7DE6">
        <w:rPr>
          <w:rFonts w:asciiTheme="minorEastAsia" w:eastAsiaTheme="minorEastAsia" w:hAnsiTheme="minorEastAsia"/>
          <w:color w:val="000000" w:themeColor="text1"/>
          <w:szCs w:val="21"/>
        </w:rPr>
        <w:t>召集人按本基金合同规定公布会议通知后，在</w:t>
      </w: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color w:val="000000" w:themeColor="text1"/>
          <w:szCs w:val="21"/>
        </w:rPr>
        <w:t>个工作日内连续公布相关提示性公告；</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b.</w:t>
      </w:r>
      <w:r w:rsidRPr="005A7DE6">
        <w:rPr>
          <w:rFonts w:asciiTheme="minorEastAsia" w:eastAsiaTheme="minorEastAsia" w:hAnsiTheme="minorEastAsia"/>
          <w:color w:val="000000" w:themeColor="text1"/>
          <w:szCs w:val="21"/>
        </w:rPr>
        <w:t>召集人按基金合同规定通知基金托管人或</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和基金管理人</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分别或共同称为</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监督人</w:t>
      </w:r>
      <w:r w:rsidRPr="005A7DE6">
        <w:rPr>
          <w:rFonts w:asciiTheme="minorEastAsia" w:eastAsiaTheme="minorEastAsia" w:hAnsiTheme="minorEastAsia"/>
          <w:color w:val="000000" w:themeColor="text1"/>
          <w:szCs w:val="21"/>
        </w:rPr>
        <w:t>”</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到指定地点对书面表决意见的计票进行监督；</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c.</w:t>
      </w:r>
      <w:r w:rsidRPr="005A7DE6">
        <w:rPr>
          <w:rFonts w:asciiTheme="minorEastAsia" w:eastAsiaTheme="minorEastAsia" w:hAnsiTheme="minorEastAsia"/>
          <w:color w:val="000000" w:themeColor="text1"/>
          <w:szCs w:val="21"/>
        </w:rPr>
        <w:t>召集人在监督人和公证机关的监督下按照会议通知规定的方式收取和统计基金份额持有人的书面表决意见，如基金管理人或基金托管人经通知拒不到场监督的，不影响表决效力；</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d.</w:t>
      </w:r>
      <w:r w:rsidRPr="005A7DE6">
        <w:rPr>
          <w:rFonts w:asciiTheme="minorEastAsia" w:eastAsiaTheme="minorEastAsia" w:hAnsiTheme="minorEastAsia"/>
          <w:color w:val="000000" w:themeColor="text1"/>
          <w:szCs w:val="21"/>
        </w:rPr>
        <w:t>本人直接出具书面意见和授权他人代表出具书面意见的基金份额持有人所代表的基金份额占权益登记日基金总份额的</w:t>
      </w:r>
      <w:r w:rsidRPr="005A7DE6">
        <w:rPr>
          <w:rFonts w:asciiTheme="minorEastAsia" w:eastAsiaTheme="minorEastAsia" w:hAnsiTheme="minorEastAsia"/>
          <w:color w:val="000000" w:themeColor="text1"/>
          <w:szCs w:val="21"/>
        </w:rPr>
        <w:t>50%</w:t>
      </w:r>
      <w:r w:rsidRPr="005A7DE6">
        <w:rPr>
          <w:rFonts w:asciiTheme="minorEastAsia" w:eastAsiaTheme="minorEastAsia" w:hAnsiTheme="minorEastAsia"/>
          <w:color w:val="000000" w:themeColor="text1"/>
          <w:szCs w:val="21"/>
        </w:rPr>
        <w:t>以上；</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e.</w:t>
      </w:r>
      <w:r w:rsidRPr="005A7DE6">
        <w:rPr>
          <w:rFonts w:asciiTheme="minorEastAsia" w:eastAsiaTheme="minorEastAsia" w:hAnsiTheme="minorEastAsia"/>
          <w:color w:val="000000" w:themeColor="text1"/>
          <w:szCs w:val="21"/>
        </w:rPr>
        <w:t>直接出具书面意见的基</w:t>
      </w:r>
      <w:r w:rsidRPr="005A7DE6">
        <w:rPr>
          <w:rFonts w:asciiTheme="minorEastAsia" w:eastAsiaTheme="minorEastAsia" w:hAnsiTheme="minorEastAsia"/>
          <w:color w:val="000000" w:themeColor="text1"/>
          <w:szCs w:val="21"/>
        </w:rPr>
        <w:t>金份额持有人或受托代表他人出具书面意见的代理人提交的持有基金份额的凭证、授权委托书等文件符合法律法规、基金合同和会议通知的规定，并与注册登记机构记录相符。</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如果开会条件达不到上述的条件，则召集人可另行确定并公告重新表决的时间</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至少应在</w:t>
      </w:r>
      <w:r w:rsidRPr="005A7DE6">
        <w:rPr>
          <w:rFonts w:asciiTheme="minorEastAsia" w:eastAsiaTheme="minorEastAsia" w:hAnsiTheme="minorEastAsia"/>
          <w:color w:val="000000" w:themeColor="text1"/>
          <w:szCs w:val="21"/>
        </w:rPr>
        <w:t>25</w:t>
      </w:r>
      <w:r w:rsidRPr="005A7DE6">
        <w:rPr>
          <w:rFonts w:asciiTheme="minorEastAsia" w:eastAsiaTheme="minorEastAsia" w:hAnsiTheme="minorEastAsia"/>
          <w:color w:val="000000" w:themeColor="text1"/>
          <w:szCs w:val="21"/>
        </w:rPr>
        <w:t>个工作日后</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，且确定有权出席会议的基金份额持有人资格的权益登记日不变。</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在法律法规或监管机构允许的情况下，经会议通知载明，基金份额持有人也可以采用网络、电话或其他方式进行表决，或者采用网络、电话或其他方式授权他人代为出席会议并表决。</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6</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议事内容与程序</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）议事内容及提案权</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议事内容为本基金合同规定的召开基金份额持有人大会事由所涉及的内容以及会议召集人认为需提交基金份额持有人大会讨论的其他事项。</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基金管理人、基金托管人、单独或合并持有权益登记日本基金总份额</w:t>
      </w:r>
      <w:r w:rsidRPr="005A7DE6">
        <w:rPr>
          <w:rFonts w:asciiTheme="minorEastAsia" w:eastAsiaTheme="minorEastAsia" w:hAnsiTheme="minorEastAsia"/>
          <w:color w:val="000000" w:themeColor="text1"/>
          <w:szCs w:val="21"/>
        </w:rPr>
        <w:t>10%</w:t>
      </w:r>
      <w:r w:rsidRPr="005A7DE6">
        <w:rPr>
          <w:rFonts w:asciiTheme="minorEastAsia" w:eastAsiaTheme="minorEastAsia" w:hAnsiTheme="minorEastAsia"/>
          <w:color w:val="000000" w:themeColor="text1"/>
          <w:szCs w:val="21"/>
        </w:rPr>
        <w:t>以上的基金份额持有人可以在大会召集人发出会议通知前就召开事由向大会召集人提交需由基金份额持有人大会审议表决的提案；也可以在会议通知发出后向大会召集人提交临时提案，临时提案应当在大会召开日前</w:t>
      </w:r>
      <w:r w:rsidRPr="005A7DE6">
        <w:rPr>
          <w:rFonts w:asciiTheme="minorEastAsia" w:eastAsiaTheme="minorEastAsia" w:hAnsiTheme="minorEastAsia"/>
          <w:color w:val="000000" w:themeColor="text1"/>
          <w:szCs w:val="21"/>
        </w:rPr>
        <w:t>35</w:t>
      </w:r>
      <w:r w:rsidRPr="005A7DE6">
        <w:rPr>
          <w:rFonts w:asciiTheme="minorEastAsia" w:eastAsiaTheme="minorEastAsia" w:hAnsiTheme="minorEastAsia"/>
          <w:color w:val="000000" w:themeColor="text1"/>
          <w:szCs w:val="21"/>
        </w:rPr>
        <w:t>日提交召集人。召集人对于临时提案应当在大会召开日前</w:t>
      </w:r>
      <w:r w:rsidRPr="005A7DE6">
        <w:rPr>
          <w:rFonts w:asciiTheme="minorEastAsia" w:eastAsiaTheme="minorEastAsia" w:hAnsiTheme="minorEastAsia"/>
          <w:color w:val="000000" w:themeColor="text1"/>
          <w:szCs w:val="21"/>
        </w:rPr>
        <w:t>30</w:t>
      </w:r>
      <w:r w:rsidRPr="005A7DE6">
        <w:rPr>
          <w:rFonts w:asciiTheme="minorEastAsia" w:eastAsiaTheme="minorEastAsia" w:hAnsiTheme="minorEastAsia"/>
          <w:color w:val="000000" w:themeColor="text1"/>
          <w:szCs w:val="21"/>
        </w:rPr>
        <w:t>日公告。否则，会议的召开日期应当顺延并保证至</w:t>
      </w:r>
      <w:r w:rsidRPr="005A7DE6">
        <w:rPr>
          <w:rFonts w:asciiTheme="minorEastAsia" w:eastAsiaTheme="minorEastAsia" w:hAnsiTheme="minorEastAsia"/>
          <w:color w:val="000000" w:themeColor="text1"/>
          <w:szCs w:val="21"/>
        </w:rPr>
        <w:t>少与临时提案公告日期有</w:t>
      </w:r>
      <w:r w:rsidRPr="005A7DE6">
        <w:rPr>
          <w:rFonts w:asciiTheme="minorEastAsia" w:eastAsiaTheme="minorEastAsia" w:hAnsiTheme="minorEastAsia"/>
          <w:color w:val="000000" w:themeColor="text1"/>
          <w:szCs w:val="21"/>
        </w:rPr>
        <w:t>30</w:t>
      </w:r>
      <w:r w:rsidRPr="005A7DE6">
        <w:rPr>
          <w:rFonts w:asciiTheme="minorEastAsia" w:eastAsiaTheme="minorEastAsia" w:hAnsiTheme="minorEastAsia"/>
          <w:color w:val="000000" w:themeColor="text1"/>
          <w:szCs w:val="21"/>
        </w:rPr>
        <w:t>日的间隔期。</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对于基金份额持有人提交的提案，大会召集人应当按照以下原则对提案进行审核：</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程序性。大会召集人可以对基金份额持有人的提案涉及的程序性问题做出决定。如将其提案进行分拆或合并表决</w:t>
      </w:r>
      <w:r w:rsidRPr="005A7DE6">
        <w:rPr>
          <w:rFonts w:asciiTheme="minorEastAsia" w:eastAsiaTheme="minorEastAsia" w:hAnsiTheme="minorEastAsia"/>
          <w:color w:val="000000" w:themeColor="text1"/>
          <w:szCs w:val="21"/>
        </w:rPr>
        <w:t>，需征得原提案人同意；原提案人不同意变更的，大会主持人可以就程序性问题提请基金份额持有人大会做出决定，并按照基金份额持有人大会决定的程序进行审议。</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4</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单独或合并持有权益登记日基金总份额</w:t>
      </w:r>
      <w:r w:rsidRPr="005A7DE6">
        <w:rPr>
          <w:rFonts w:asciiTheme="minorEastAsia" w:eastAsiaTheme="minorEastAsia" w:hAnsiTheme="minorEastAsia"/>
          <w:color w:val="000000" w:themeColor="text1"/>
          <w:szCs w:val="21"/>
        </w:rPr>
        <w:t>10</w:t>
      </w:r>
      <w:r w:rsidRPr="005A7DE6">
        <w:rPr>
          <w:rFonts w:asciiTheme="minorEastAsia" w:eastAsiaTheme="minorEastAsia" w:hAnsiTheme="minorEastAsia"/>
          <w:color w:val="000000" w:themeColor="text1"/>
          <w:szCs w:val="21"/>
        </w:rPr>
        <w:t>％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w:t>
      </w:r>
      <w:r w:rsidRPr="005A7DE6">
        <w:rPr>
          <w:rFonts w:asciiTheme="minorEastAsia" w:eastAsiaTheme="minorEastAsia" w:hAnsiTheme="minorEastAsia"/>
          <w:color w:val="000000" w:themeColor="text1"/>
          <w:szCs w:val="21"/>
        </w:rPr>
        <w:t>6</w:t>
      </w:r>
      <w:r w:rsidRPr="005A7DE6">
        <w:rPr>
          <w:rFonts w:asciiTheme="minorEastAsia" w:eastAsiaTheme="minorEastAsia" w:hAnsiTheme="minorEastAsia"/>
          <w:color w:val="000000" w:themeColor="text1"/>
          <w:szCs w:val="21"/>
        </w:rPr>
        <w:t>个月。法律法规另有规定的除外。</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5</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基金份额持有人大会的召集人发出召开会议的通知后，如果需要对原有提案进行修改</w:t>
      </w:r>
      <w:r w:rsidRPr="005A7DE6">
        <w:rPr>
          <w:rFonts w:asciiTheme="minorEastAsia" w:eastAsiaTheme="minorEastAsia" w:hAnsiTheme="minorEastAsia"/>
          <w:color w:val="000000" w:themeColor="text1"/>
          <w:szCs w:val="21"/>
        </w:rPr>
        <w:t>，应当在基金份额持有人大会召开前</w:t>
      </w:r>
      <w:r w:rsidRPr="005A7DE6">
        <w:rPr>
          <w:rFonts w:asciiTheme="minorEastAsia" w:eastAsiaTheme="minorEastAsia" w:hAnsiTheme="minorEastAsia"/>
          <w:color w:val="000000" w:themeColor="text1"/>
          <w:szCs w:val="21"/>
        </w:rPr>
        <w:t>30</w:t>
      </w:r>
      <w:r w:rsidRPr="005A7DE6">
        <w:rPr>
          <w:rFonts w:asciiTheme="minorEastAsia" w:eastAsiaTheme="minorEastAsia" w:hAnsiTheme="minorEastAsia"/>
          <w:color w:val="000000" w:themeColor="text1"/>
          <w:szCs w:val="21"/>
        </w:rPr>
        <w:t>日及时公告。否则，会议的召开日期应当顺延并保证至少与公告日期有</w:t>
      </w:r>
      <w:r w:rsidRPr="005A7DE6">
        <w:rPr>
          <w:rFonts w:asciiTheme="minorEastAsia" w:eastAsiaTheme="minorEastAsia" w:hAnsiTheme="minorEastAsia"/>
          <w:color w:val="000000" w:themeColor="text1"/>
          <w:szCs w:val="21"/>
        </w:rPr>
        <w:t>30</w:t>
      </w:r>
      <w:r w:rsidRPr="005A7DE6">
        <w:rPr>
          <w:rFonts w:asciiTheme="minorEastAsia" w:eastAsiaTheme="minorEastAsia" w:hAnsiTheme="minorEastAsia"/>
          <w:color w:val="000000" w:themeColor="text1"/>
          <w:szCs w:val="21"/>
        </w:rPr>
        <w:t>日的间隔期。</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color w:val="000000" w:themeColor="text1"/>
          <w:szCs w:val="21"/>
        </w:rPr>
        <w:t>）议事程序</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现场开会</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在现场开会的方式下，首先由大会主持人按照规定程序宣布会议议事程序及注意事项，确定和公布监票人，然后由大会主持人宣读提案，经讨论后进行表决，经合法执业的律师见证后形成大会决议。</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大会由召集人授权代表主持。基金管理人为召集人的，其授权代表未能主持大会的情况下，由基金托管人授权代表主持；如果基金管理人和基金托管人授权代表均未能主持大会，则由出席大会的基金份额持有人和代理</w:t>
      </w:r>
      <w:r w:rsidRPr="005A7DE6">
        <w:rPr>
          <w:rFonts w:asciiTheme="minorEastAsia" w:eastAsiaTheme="minorEastAsia" w:hAnsiTheme="minorEastAsia"/>
          <w:color w:val="000000" w:themeColor="text1"/>
          <w:szCs w:val="21"/>
        </w:rPr>
        <w:t>人以所代表的基金份额</w:t>
      </w:r>
      <w:r w:rsidRPr="005A7DE6">
        <w:rPr>
          <w:rFonts w:asciiTheme="minorEastAsia" w:eastAsiaTheme="minorEastAsia" w:hAnsiTheme="minorEastAsia"/>
          <w:color w:val="000000" w:themeColor="text1"/>
          <w:szCs w:val="21"/>
        </w:rPr>
        <w:t>50%</w:t>
      </w:r>
      <w:r w:rsidRPr="005A7DE6">
        <w:rPr>
          <w:rFonts w:asciiTheme="minorEastAsia" w:eastAsiaTheme="minorEastAsia" w:hAnsiTheme="minorEastAsia"/>
          <w:color w:val="000000" w:themeColor="text1"/>
          <w:szCs w:val="21"/>
        </w:rPr>
        <w:t>以上多数选举产生一名代表作为该次基金份额持有人大会的主持人。基金管理人和基金托管人不出席或主持基金份额持有人大会，不影响基金份额持有人大会做出的决议的效力。</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召集人应当制作出席会议人员的签名册。签名册载明参加会议人员姓名</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或单位名称</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、身份证号码、持有或代表有表决权的基金份额数量、委托人姓名</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或单位名称</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等事项。</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通讯方式开会</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在通讯表决开会的方式下，首先由召集人提前</w:t>
      </w:r>
      <w:r w:rsidRPr="005A7DE6">
        <w:rPr>
          <w:rFonts w:asciiTheme="minorEastAsia" w:eastAsiaTheme="minorEastAsia" w:hAnsiTheme="minorEastAsia"/>
          <w:color w:val="000000" w:themeColor="text1"/>
        </w:rPr>
        <w:t>30</w:t>
      </w:r>
      <w:r w:rsidRPr="005A7DE6">
        <w:rPr>
          <w:rFonts w:asciiTheme="minorEastAsia" w:eastAsiaTheme="minorEastAsia" w:hAnsiTheme="minorEastAsia"/>
          <w:color w:val="000000" w:themeColor="text1"/>
        </w:rPr>
        <w:t>日公布提案，在所通知的表决截止日期后第</w:t>
      </w:r>
      <w:r w:rsidRPr="005A7DE6">
        <w:rPr>
          <w:rFonts w:asciiTheme="minorEastAsia" w:eastAsiaTheme="minorEastAsia" w:hAnsiTheme="minorEastAsia"/>
          <w:color w:val="000000" w:themeColor="text1"/>
        </w:rPr>
        <w:t>2</w:t>
      </w:r>
      <w:r w:rsidRPr="005A7DE6">
        <w:rPr>
          <w:rFonts w:asciiTheme="minorEastAsia" w:eastAsiaTheme="minorEastAsia" w:hAnsiTheme="minorEastAsia"/>
          <w:color w:val="000000" w:themeColor="text1"/>
        </w:rPr>
        <w:t>个工作日在公证机关及监督人的监督下由召集人统计全部有效表决并形成决议</w:t>
      </w:r>
      <w:r w:rsidRPr="005A7DE6">
        <w:rPr>
          <w:rFonts w:asciiTheme="minorEastAsia" w:eastAsiaTheme="minorEastAsia" w:hAnsiTheme="minorEastAsia"/>
          <w:color w:val="000000" w:themeColor="text1"/>
        </w:rPr>
        <w:t>。如监督人经通知但拒绝到场监督，则在公证机关监督下形成的决议有效。</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3</w:t>
      </w:r>
      <w:r w:rsidRPr="005A7DE6">
        <w:rPr>
          <w:rFonts w:asciiTheme="minorEastAsia" w:eastAsiaTheme="minorEastAsia" w:hAnsiTheme="minorEastAsia"/>
          <w:color w:val="000000" w:themeColor="text1"/>
        </w:rPr>
        <w:t>）基金份额持有人大会不得对未事先公告的议事内容进行表决。</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7</w:t>
      </w:r>
      <w:r w:rsidRPr="005A7DE6" w:rsidR="004D6973">
        <w:rPr>
          <w:rFonts w:asciiTheme="minorEastAsia" w:eastAsiaTheme="minorEastAsia" w:hAnsiTheme="minorEastAsia" w:hint="eastAsia"/>
          <w:color w:val="000000" w:themeColor="text1"/>
        </w:rPr>
        <w:t>、</w:t>
      </w:r>
      <w:r w:rsidRPr="005A7DE6">
        <w:rPr>
          <w:rFonts w:asciiTheme="minorEastAsia" w:eastAsiaTheme="minorEastAsia" w:hAnsiTheme="minorEastAsia"/>
          <w:color w:val="000000" w:themeColor="text1"/>
        </w:rPr>
        <w:t>决议形成的条件、表决方式、程序</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1</w:t>
      </w:r>
      <w:r w:rsidRPr="005A7DE6">
        <w:rPr>
          <w:rFonts w:asciiTheme="minorEastAsia" w:eastAsiaTheme="minorEastAsia" w:hAnsiTheme="minorEastAsia"/>
          <w:color w:val="000000" w:themeColor="text1"/>
        </w:rPr>
        <w:t>）基金份额持有人所持每一基金份额享有平等的表决权。</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2</w:t>
      </w:r>
      <w:r w:rsidRPr="005A7DE6">
        <w:rPr>
          <w:rFonts w:asciiTheme="minorEastAsia" w:eastAsiaTheme="minorEastAsia" w:hAnsiTheme="minorEastAsia"/>
          <w:color w:val="000000" w:themeColor="text1"/>
        </w:rPr>
        <w:t>）基金份额持有人大会决议分为一般决议和特别决议：</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一般决议</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一般决议须经出席会议的基金份额持有人</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或其代理人</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所持表决权的</w:t>
      </w:r>
      <w:r w:rsidRPr="005A7DE6">
        <w:rPr>
          <w:rFonts w:asciiTheme="minorEastAsia" w:eastAsiaTheme="minorEastAsia" w:hAnsiTheme="minorEastAsia"/>
          <w:color w:val="000000" w:themeColor="text1"/>
        </w:rPr>
        <w:t>50%</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含本数</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以上通过方为有效，除下列</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2</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所规定的须以特别决议通过事项以外的其他事项均以一般决议的方式通过；</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特别决议</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特别决议须经出席会议的基金份额持有人</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或其代理人</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所持表决权的三分之二以上</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含三分之二</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通过方为有效；涉及更换基金管理人、更换基金托管人、转换基金运作方式、终</w:t>
      </w:r>
      <w:r w:rsidRPr="005A7DE6">
        <w:rPr>
          <w:rFonts w:asciiTheme="minorEastAsia" w:eastAsiaTheme="minorEastAsia" w:hAnsiTheme="minorEastAsia"/>
          <w:color w:val="000000" w:themeColor="text1"/>
        </w:rPr>
        <w:t>止基金合同必须以特别决议通过方为有效。</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3</w:t>
      </w:r>
      <w:r w:rsidRPr="005A7DE6">
        <w:rPr>
          <w:rFonts w:asciiTheme="minorEastAsia" w:eastAsiaTheme="minorEastAsia" w:hAnsiTheme="minorEastAsia"/>
          <w:color w:val="000000" w:themeColor="text1"/>
          <w:szCs w:val="21"/>
        </w:rPr>
        <w:t>）基金份额持有人大会决定的事项，应当依法报中国证监会核准或者备案，并予以公告。</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4</w:t>
      </w:r>
      <w:r w:rsidRPr="005A7DE6">
        <w:rPr>
          <w:rFonts w:asciiTheme="minorEastAsia" w:eastAsiaTheme="minorEastAsia" w:hAnsiTheme="minorEastAsia"/>
          <w:color w:val="000000" w:themeColor="text1"/>
          <w:szCs w:val="21"/>
        </w:rPr>
        <w:t>）采取通讯方式进行表决时，除非在计票时有充分的相反证据证明，否则表面符合法律法规和会议通知规定的书面表决意见即视为有效的表决，表决意见模糊不清或相互矛盾的视为弃权表决，</w:t>
      </w:r>
      <w:r w:rsidRPr="005A7DE6">
        <w:rPr>
          <w:rStyle w:val="read"/>
          <w:rFonts w:asciiTheme="minorEastAsia" w:eastAsiaTheme="minorEastAsia" w:hAnsiTheme="minorEastAsia"/>
          <w:color w:val="000000" w:themeColor="text1"/>
          <w:szCs w:val="21"/>
        </w:rPr>
        <w:t>但应当计入出具书面意见的基金份额持有人所代表的基金份额总数</w:t>
      </w:r>
      <w:r w:rsidRPr="005A7DE6">
        <w:rPr>
          <w:rFonts w:asciiTheme="minorEastAsia" w:eastAsiaTheme="minorEastAsia" w:hAnsiTheme="minorEastAsia"/>
          <w:color w:val="000000" w:themeColor="text1"/>
          <w:szCs w:val="21"/>
        </w:rPr>
        <w:t>。</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5</w:t>
      </w:r>
      <w:r w:rsidRPr="005A7DE6">
        <w:rPr>
          <w:rFonts w:asciiTheme="minorEastAsia" w:eastAsiaTheme="minorEastAsia" w:hAnsiTheme="minorEastAsia"/>
          <w:color w:val="000000" w:themeColor="text1"/>
          <w:szCs w:val="21"/>
        </w:rPr>
        <w:t>）基金份额持有人大会采取记名方式进行投票表决。</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6</w:t>
      </w:r>
      <w:r w:rsidRPr="005A7DE6">
        <w:rPr>
          <w:rFonts w:asciiTheme="minorEastAsia" w:eastAsiaTheme="minorEastAsia" w:hAnsiTheme="minorEastAsia"/>
          <w:color w:val="000000" w:themeColor="text1"/>
          <w:szCs w:val="21"/>
        </w:rPr>
        <w:t>）基金份额持有人大会的各项提案或同一项提案内并列的各项议题应当分开审议、逐项表决。</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8</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计票</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）现场开会</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监票</w:t>
      </w:r>
      <w:r w:rsidRPr="005A7DE6">
        <w:rPr>
          <w:rFonts w:asciiTheme="minorEastAsia" w:eastAsiaTheme="minorEastAsia" w:hAnsiTheme="minorEastAsia"/>
          <w:color w:val="000000" w:themeColor="text1"/>
          <w:szCs w:val="21"/>
        </w:rPr>
        <w:t>人应当在基金份额持有人表决后立即进行清点，由大会主持人当场公布计票结果。</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2</w:t>
      </w:r>
      <w:r w:rsidRPr="005A7DE6">
        <w:rPr>
          <w:rFonts w:asciiTheme="minorEastAsia" w:eastAsiaTheme="minorEastAsia" w:hAnsiTheme="minorEastAsia"/>
          <w:color w:val="000000" w:themeColor="text1"/>
        </w:rPr>
        <w:t>）通讯方式开会</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在通讯方式开会的情况下，计票方式为：由大会召集人授权的两名监票人在监督人派出的授权代表的监督下进行计票，并由公证机关对其计票过程予以公证；如监督人经</w:t>
      </w:r>
      <w:r w:rsidRPr="005A7DE6">
        <w:rPr>
          <w:rFonts w:asciiTheme="minorEastAsia" w:eastAsiaTheme="minorEastAsia" w:hAnsiTheme="minorEastAsia"/>
          <w:color w:val="000000" w:themeColor="text1"/>
          <w:szCs w:val="21"/>
        </w:rPr>
        <w:t>通知但拒绝到场监督，则大会召集人可自行授权</w:t>
      </w:r>
      <w:r w:rsidRPr="005A7DE6">
        <w:rPr>
          <w:rFonts w:asciiTheme="minorEastAsia" w:eastAsiaTheme="minorEastAsia" w:hAnsiTheme="minorEastAsia"/>
          <w:color w:val="000000" w:themeColor="text1"/>
          <w:szCs w:val="21"/>
        </w:rPr>
        <w:t>3</w:t>
      </w:r>
      <w:r w:rsidRPr="005A7DE6">
        <w:rPr>
          <w:rFonts w:asciiTheme="minorEastAsia" w:eastAsiaTheme="minorEastAsia" w:hAnsiTheme="minorEastAsia"/>
          <w:color w:val="000000" w:themeColor="text1"/>
          <w:szCs w:val="21"/>
        </w:rPr>
        <w:t>名监票人进行计票，并由公证机关对其计票过程予以公证。</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9</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基金份额持有人大会决议报中国证监会核准或备案后的公告时间、方式</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）基金份额持有人大会通过的一般决议和特别决议，召集人应当自通过之日起</w:t>
      </w:r>
      <w:r w:rsidRPr="005A7DE6">
        <w:rPr>
          <w:rFonts w:asciiTheme="minorEastAsia" w:eastAsiaTheme="minorEastAsia" w:hAnsiTheme="minorEastAsia"/>
          <w:color w:val="000000" w:themeColor="text1"/>
          <w:szCs w:val="21"/>
        </w:rPr>
        <w:t>5</w:t>
      </w:r>
      <w:r w:rsidRPr="005A7DE6">
        <w:rPr>
          <w:rFonts w:asciiTheme="minorEastAsia" w:eastAsiaTheme="minorEastAsia" w:hAnsiTheme="minorEastAsia"/>
          <w:color w:val="000000" w:themeColor="text1"/>
          <w:szCs w:val="21"/>
        </w:rPr>
        <w:t>日内报中国证监会核准或者备案。基金份额持有人大会决定的事项自中国证监会依法核准或者出具无异议意见之日起生效。关于本章第</w:t>
      </w:r>
      <w:r w:rsidRPr="005A7DE6" w:rsidR="00DF7593">
        <w:rPr>
          <w:rFonts w:asciiTheme="minorEastAsia" w:eastAsiaTheme="minorEastAsia" w:hAnsiTheme="minorEastAsia" w:hint="eastAsia"/>
          <w:color w:val="000000" w:themeColor="text1"/>
          <w:szCs w:val="21"/>
        </w:rPr>
        <w:t>2</w:t>
      </w:r>
      <w:r w:rsidRPr="005A7DE6">
        <w:rPr>
          <w:rFonts w:asciiTheme="minorEastAsia" w:eastAsiaTheme="minorEastAsia" w:hAnsiTheme="minorEastAsia"/>
          <w:color w:val="000000" w:themeColor="text1"/>
          <w:szCs w:val="21"/>
        </w:rPr>
        <w:t>条所规定的第</w:t>
      </w:r>
      <w:r w:rsidRPr="005A7DE6" w:rsidR="00DF7593">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w:t>
      </w:r>
      <w:r w:rsidRPr="005A7DE6" w:rsidR="00DF7593">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8</w:t>
      </w:r>
      <w:r w:rsidRPr="005A7DE6">
        <w:rPr>
          <w:rFonts w:asciiTheme="minorEastAsia" w:eastAsiaTheme="minorEastAsia" w:hAnsiTheme="minorEastAsia"/>
          <w:color w:val="000000" w:themeColor="text1"/>
          <w:szCs w:val="21"/>
        </w:rPr>
        <w:t>）项召开事由的基金份额持有人大会决议经中国证监会核准生效后方可执行，关于本章第</w:t>
      </w:r>
      <w:r w:rsidRPr="005A7DE6" w:rsidR="00DF7593">
        <w:rPr>
          <w:rFonts w:asciiTheme="minorEastAsia" w:eastAsiaTheme="minorEastAsia" w:hAnsiTheme="minorEastAsia" w:hint="eastAsia"/>
          <w:color w:val="000000" w:themeColor="text1"/>
          <w:szCs w:val="21"/>
        </w:rPr>
        <w:t>2</w:t>
      </w:r>
      <w:r w:rsidRPr="005A7DE6">
        <w:rPr>
          <w:rFonts w:asciiTheme="minorEastAsia" w:eastAsiaTheme="minorEastAsia" w:hAnsiTheme="minorEastAsia"/>
          <w:color w:val="000000" w:themeColor="text1"/>
          <w:szCs w:val="21"/>
        </w:rPr>
        <w:t>条所规定的第</w:t>
      </w:r>
      <w:r w:rsidRPr="005A7DE6">
        <w:rPr>
          <w:rFonts w:asciiTheme="minorEastAsia" w:eastAsiaTheme="minorEastAsia" w:hAnsiTheme="minorEastAsia"/>
          <w:color w:val="000000" w:themeColor="text1"/>
          <w:szCs w:val="21"/>
        </w:rPr>
        <w:t>9</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10</w:t>
      </w:r>
      <w:r w:rsidRPr="005A7DE6">
        <w:rPr>
          <w:rFonts w:asciiTheme="minorEastAsia" w:eastAsiaTheme="minorEastAsia" w:hAnsiTheme="minorEastAsia"/>
          <w:color w:val="000000" w:themeColor="text1"/>
          <w:szCs w:val="21"/>
        </w:rPr>
        <w:t>）项</w:t>
      </w:r>
      <w:r w:rsidRPr="005A7DE6">
        <w:rPr>
          <w:rFonts w:asciiTheme="minorEastAsia" w:eastAsiaTheme="minorEastAsia" w:hAnsiTheme="minorEastAsia"/>
          <w:color w:val="000000" w:themeColor="text1"/>
          <w:szCs w:val="21"/>
        </w:rPr>
        <w:t>召开事由的基金份额持有人大</w:t>
      </w:r>
      <w:r w:rsidRPr="005A7DE6">
        <w:rPr>
          <w:rFonts w:asciiTheme="minorEastAsia" w:eastAsiaTheme="minorEastAsia" w:hAnsiTheme="minorEastAsia"/>
          <w:color w:val="000000" w:themeColor="text1"/>
          <w:szCs w:val="21"/>
        </w:rPr>
        <w:t>会决议经中国证监会核准或出具无异议意见后方可执行。</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color w:val="000000" w:themeColor="text1"/>
          <w:szCs w:val="21"/>
        </w:rPr>
        <w:t>）生效的基金份额持有人大会决议对全体基金份额持有人、基金管理人、基金托管人均有约束力。基金管理人、基金托管人和基金份额持有人应当执行生效的基金份额持有人大会决议。</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3</w:t>
      </w:r>
      <w:r w:rsidRPr="005A7DE6">
        <w:rPr>
          <w:rFonts w:asciiTheme="minorEastAsia" w:eastAsiaTheme="minorEastAsia" w:hAnsiTheme="minorEastAsia"/>
          <w:color w:val="000000" w:themeColor="text1"/>
          <w:szCs w:val="21"/>
        </w:rPr>
        <w:t>）基金份额持有人大会决议应自生效之日起</w:t>
      </w: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color w:val="000000" w:themeColor="text1"/>
          <w:szCs w:val="21"/>
        </w:rPr>
        <w:t>日内在</w:t>
      </w:r>
      <w:r w:rsidRPr="005A7DE6" w:rsidR="006E73AA">
        <w:rPr>
          <w:rFonts w:asciiTheme="minorEastAsia" w:eastAsiaTheme="minorEastAsia" w:hAnsiTheme="minorEastAsia"/>
          <w:color w:val="000000" w:themeColor="text1"/>
          <w:szCs w:val="21"/>
        </w:rPr>
        <w:t>指定媒介</w:t>
      </w:r>
      <w:r w:rsidRPr="005A7DE6">
        <w:rPr>
          <w:rFonts w:asciiTheme="minorEastAsia" w:eastAsiaTheme="minorEastAsia" w:hAnsiTheme="minorEastAsia"/>
          <w:color w:val="000000" w:themeColor="text1"/>
          <w:szCs w:val="21"/>
        </w:rPr>
        <w:t>公告。如果采用通讯方式进行表决，在公告基金份额持有人大会决议时，必须将公证书全文、公证机构、公证员姓名等一同公告。</w:t>
      </w:r>
    </w:p>
    <w:p w:rsidR="00C700D2" w:rsidRPr="005A7DE6" w:rsidP="00C700D2">
      <w:pPr>
        <w:snapToGrid w:val="0"/>
        <w:spacing w:line="360" w:lineRule="auto"/>
        <w:ind w:firstLine="42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10</w:t>
      </w:r>
      <w:r w:rsidRPr="005A7DE6">
        <w:rPr>
          <w:rFonts w:asciiTheme="minorEastAsia" w:eastAsiaTheme="minorEastAsia" w:hAnsiTheme="minorEastAsia" w:hint="eastAsia"/>
          <w:color w:val="000000" w:themeColor="text1"/>
          <w:szCs w:val="21"/>
        </w:rPr>
        <w:t>、本部分关于基金份额持有人大会召开事由、召开条件、议事程序</w:t>
      </w:r>
    </w:p>
    <w:p w:rsidR="00C700D2" w:rsidRPr="005A7DE6" w:rsidP="00C700D2">
      <w:pPr>
        <w:snapToGrid w:val="0"/>
        <w:spacing w:line="360" w:lineRule="auto"/>
        <w:ind w:firstLine="42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实施侧袋机制期间基金份额持有人大会的特殊约定</w:t>
      </w:r>
    </w:p>
    <w:p w:rsidR="00C700D2" w:rsidRPr="005A7DE6" w:rsidP="00C700D2">
      <w:pPr>
        <w:snapToGrid w:val="0"/>
        <w:spacing w:line="360" w:lineRule="auto"/>
        <w:ind w:firstLine="42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C700D2" w:rsidRPr="005A7DE6" w:rsidP="00C700D2">
      <w:pPr>
        <w:snapToGrid w:val="0"/>
        <w:spacing w:line="360" w:lineRule="auto"/>
        <w:ind w:firstLine="42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1</w:t>
      </w:r>
      <w:r w:rsidRPr="005A7DE6">
        <w:rPr>
          <w:rFonts w:asciiTheme="minorEastAsia" w:eastAsiaTheme="minorEastAsia" w:hAnsiTheme="minorEastAsia" w:hint="eastAsia"/>
          <w:color w:val="000000" w:themeColor="text1"/>
          <w:szCs w:val="21"/>
        </w:rPr>
        <w:t>、基金份额持有人行使提议权、召集权、提名权所需单独或合计代表相关基金份额</w:t>
      </w:r>
      <w:r w:rsidRPr="005A7DE6">
        <w:rPr>
          <w:rFonts w:asciiTheme="minorEastAsia" w:eastAsiaTheme="minorEastAsia" w:hAnsiTheme="minorEastAsia" w:hint="eastAsia"/>
          <w:color w:val="000000" w:themeColor="text1"/>
          <w:szCs w:val="21"/>
        </w:rPr>
        <w:t>10%</w:t>
      </w:r>
      <w:r w:rsidRPr="005A7DE6">
        <w:rPr>
          <w:rFonts w:asciiTheme="minorEastAsia" w:eastAsiaTheme="minorEastAsia" w:hAnsiTheme="minorEastAsia" w:hint="eastAsia"/>
          <w:color w:val="000000" w:themeColor="text1"/>
          <w:szCs w:val="21"/>
        </w:rPr>
        <w:t>以上（含</w:t>
      </w:r>
      <w:r w:rsidRPr="005A7DE6">
        <w:rPr>
          <w:rFonts w:asciiTheme="minorEastAsia" w:eastAsiaTheme="minorEastAsia" w:hAnsiTheme="minorEastAsia" w:hint="eastAsia"/>
          <w:color w:val="000000" w:themeColor="text1"/>
          <w:szCs w:val="21"/>
        </w:rPr>
        <w:t>10%</w:t>
      </w:r>
      <w:r w:rsidRPr="005A7DE6">
        <w:rPr>
          <w:rFonts w:asciiTheme="minorEastAsia" w:eastAsiaTheme="minorEastAsia" w:hAnsiTheme="minorEastAsia" w:hint="eastAsia"/>
          <w:color w:val="000000" w:themeColor="text1"/>
          <w:szCs w:val="21"/>
        </w:rPr>
        <w:t>）；</w:t>
      </w:r>
    </w:p>
    <w:p w:rsidR="00C700D2" w:rsidRPr="005A7DE6" w:rsidP="00C700D2">
      <w:pPr>
        <w:snapToGrid w:val="0"/>
        <w:spacing w:line="360" w:lineRule="auto"/>
        <w:ind w:firstLine="42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2</w:t>
      </w:r>
      <w:r w:rsidRPr="005A7DE6">
        <w:rPr>
          <w:rFonts w:asciiTheme="minorEastAsia" w:eastAsiaTheme="minorEastAsia" w:hAnsiTheme="minorEastAsia" w:hint="eastAsia"/>
          <w:color w:val="000000" w:themeColor="text1"/>
          <w:szCs w:val="21"/>
        </w:rPr>
        <w:t>、现场开会的到会者在权益登记日代表的基金份额不少于本基金在权益登记日相关基金份额的二分之一（含二分之一）；</w:t>
      </w:r>
    </w:p>
    <w:p w:rsidR="00C700D2" w:rsidRPr="005A7DE6" w:rsidP="00C700D2">
      <w:pPr>
        <w:snapToGrid w:val="0"/>
        <w:spacing w:line="360" w:lineRule="auto"/>
        <w:ind w:firstLine="42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3</w:t>
      </w:r>
      <w:r w:rsidRPr="005A7DE6">
        <w:rPr>
          <w:rFonts w:asciiTheme="minorEastAsia" w:eastAsiaTheme="minorEastAsia" w:hAnsiTheme="minorEastAsia" w:hint="eastAsia"/>
          <w:color w:val="000000" w:themeColor="text1"/>
          <w:szCs w:val="21"/>
        </w:rPr>
        <w:t>、通讯开会的直接出具书面意见或授权他人代表出具书面</w:t>
      </w:r>
      <w:r w:rsidRPr="005A7DE6">
        <w:rPr>
          <w:rFonts w:asciiTheme="minorEastAsia" w:eastAsiaTheme="minorEastAsia" w:hAnsiTheme="minorEastAsia" w:hint="eastAsia"/>
          <w:color w:val="000000" w:themeColor="text1"/>
          <w:szCs w:val="21"/>
        </w:rPr>
        <w:t>意见的基金份额持有人所持有的基金份额不小于在权益登记日相关基金份额的二分之一（含二分之一）；</w:t>
      </w:r>
    </w:p>
    <w:p w:rsidR="00C700D2" w:rsidRPr="005A7DE6" w:rsidP="00C700D2">
      <w:pPr>
        <w:snapToGrid w:val="0"/>
        <w:spacing w:line="360" w:lineRule="auto"/>
        <w:ind w:firstLine="42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4</w:t>
      </w:r>
      <w:r w:rsidRPr="005A7DE6">
        <w:rPr>
          <w:rFonts w:asciiTheme="minorEastAsia" w:eastAsiaTheme="minorEastAsia" w:hAnsiTheme="minorEastAsia" w:hint="eastAsia"/>
          <w:color w:val="000000" w:themeColor="text1"/>
          <w:szCs w:val="21"/>
        </w:rPr>
        <w:t>、在参与基金份额持有人大会投票的基金份额持有人所持有的基金份额小于在权益登记日相关基金份额的二分之一、召集人在原公告的基金份额持有人大会召开时间的</w:t>
      </w:r>
      <w:r w:rsidRPr="005A7DE6">
        <w:rPr>
          <w:rFonts w:asciiTheme="minorEastAsia" w:eastAsiaTheme="minorEastAsia" w:hAnsiTheme="minorEastAsia" w:hint="eastAsia"/>
          <w:color w:val="000000" w:themeColor="text1"/>
          <w:szCs w:val="21"/>
        </w:rPr>
        <w:t>3</w:t>
      </w:r>
      <w:r w:rsidRPr="005A7DE6">
        <w:rPr>
          <w:rFonts w:asciiTheme="minorEastAsia" w:eastAsiaTheme="minorEastAsia" w:hAnsiTheme="minorEastAsia" w:hint="eastAsia"/>
          <w:color w:val="000000" w:themeColor="text1"/>
          <w:szCs w:val="21"/>
        </w:rPr>
        <w:t>个月以后、</w:t>
      </w:r>
      <w:r w:rsidRPr="005A7DE6">
        <w:rPr>
          <w:rFonts w:asciiTheme="minorEastAsia" w:eastAsiaTheme="minorEastAsia" w:hAnsiTheme="minorEastAsia" w:hint="eastAsia"/>
          <w:color w:val="000000" w:themeColor="text1"/>
          <w:szCs w:val="21"/>
        </w:rPr>
        <w:t>6</w:t>
      </w:r>
      <w:r w:rsidRPr="005A7DE6">
        <w:rPr>
          <w:rFonts w:asciiTheme="minorEastAsia" w:eastAsiaTheme="minorEastAsia" w:hAnsiTheme="minorEastAsia" w:hint="eastAsia"/>
          <w:color w:val="000000" w:themeColor="text1"/>
          <w:szCs w:val="21"/>
        </w:rPr>
        <w:t>个月以内就原定审议事项重新召集的基金份额持有人大会应当有代表三分之一以上（含三分之一）相关基金份额的持有人参与或授权他人参与基金份额持有人大会投票；</w:t>
      </w:r>
    </w:p>
    <w:p w:rsidR="00C700D2" w:rsidRPr="005A7DE6" w:rsidP="00C700D2">
      <w:pPr>
        <w:snapToGrid w:val="0"/>
        <w:spacing w:line="360" w:lineRule="auto"/>
        <w:ind w:firstLine="42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5</w:t>
      </w:r>
      <w:r w:rsidRPr="005A7DE6">
        <w:rPr>
          <w:rFonts w:asciiTheme="minorEastAsia" w:eastAsiaTheme="minorEastAsia" w:hAnsiTheme="minorEastAsia" w:hint="eastAsia"/>
          <w:color w:val="000000" w:themeColor="text1"/>
          <w:szCs w:val="21"/>
        </w:rPr>
        <w:t>、现场开会由出席大会的基金份额持有人和代理人所持表决权的</w:t>
      </w:r>
      <w:r w:rsidRPr="005A7DE6">
        <w:rPr>
          <w:rFonts w:asciiTheme="minorEastAsia" w:eastAsiaTheme="minorEastAsia" w:hAnsiTheme="minorEastAsia" w:hint="eastAsia"/>
          <w:color w:val="000000" w:themeColor="text1"/>
          <w:szCs w:val="21"/>
        </w:rPr>
        <w:t>50%</w:t>
      </w:r>
      <w:r w:rsidRPr="005A7DE6">
        <w:rPr>
          <w:rFonts w:asciiTheme="minorEastAsia" w:eastAsiaTheme="minorEastAsia" w:hAnsiTheme="minorEastAsia" w:hint="eastAsia"/>
          <w:color w:val="000000" w:themeColor="text1"/>
          <w:szCs w:val="21"/>
        </w:rPr>
        <w:t>以上（含</w:t>
      </w:r>
      <w:r w:rsidRPr="005A7DE6">
        <w:rPr>
          <w:rFonts w:asciiTheme="minorEastAsia" w:eastAsiaTheme="minorEastAsia" w:hAnsiTheme="minorEastAsia" w:hint="eastAsia"/>
          <w:color w:val="000000" w:themeColor="text1"/>
          <w:szCs w:val="21"/>
        </w:rPr>
        <w:t>50%</w:t>
      </w:r>
      <w:r w:rsidRPr="005A7DE6">
        <w:rPr>
          <w:rFonts w:asciiTheme="minorEastAsia" w:eastAsiaTheme="minorEastAsia" w:hAnsiTheme="minorEastAsia" w:hint="eastAsia"/>
          <w:color w:val="000000" w:themeColor="text1"/>
          <w:szCs w:val="21"/>
        </w:rPr>
        <w:t>）选举产生一名基金份额持有人</w:t>
      </w:r>
      <w:r w:rsidRPr="005A7DE6">
        <w:rPr>
          <w:rFonts w:asciiTheme="minorEastAsia" w:eastAsiaTheme="minorEastAsia" w:hAnsiTheme="minorEastAsia" w:hint="eastAsia"/>
          <w:color w:val="000000" w:themeColor="text1"/>
          <w:szCs w:val="21"/>
        </w:rPr>
        <w:t>作为该次基金份额持有人大会的主持人；</w:t>
      </w:r>
    </w:p>
    <w:p w:rsidR="00C700D2" w:rsidRPr="005A7DE6" w:rsidP="00C700D2">
      <w:pPr>
        <w:snapToGrid w:val="0"/>
        <w:spacing w:line="360" w:lineRule="auto"/>
        <w:ind w:firstLine="42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6</w:t>
      </w:r>
      <w:r w:rsidRPr="005A7DE6">
        <w:rPr>
          <w:rFonts w:asciiTheme="minorEastAsia" w:eastAsiaTheme="minorEastAsia" w:hAnsiTheme="minorEastAsia" w:hint="eastAsia"/>
          <w:color w:val="000000" w:themeColor="text1"/>
          <w:szCs w:val="21"/>
        </w:rPr>
        <w:t>、一般决议须经参加大会的基金份额持有人或其代理人所持表决权的二分之一以上（含二分之一）通过；</w:t>
      </w:r>
    </w:p>
    <w:p w:rsidR="00C700D2" w:rsidRPr="005A7DE6" w:rsidP="00C700D2">
      <w:pPr>
        <w:snapToGrid w:val="0"/>
        <w:spacing w:line="360" w:lineRule="auto"/>
        <w:ind w:firstLine="42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7</w:t>
      </w:r>
      <w:r w:rsidRPr="005A7DE6">
        <w:rPr>
          <w:rFonts w:asciiTheme="minorEastAsia" w:eastAsiaTheme="minorEastAsia" w:hAnsiTheme="minorEastAsia" w:hint="eastAsia"/>
          <w:color w:val="000000" w:themeColor="text1"/>
          <w:szCs w:val="21"/>
        </w:rPr>
        <w:t>、特别决议应当经参加大会的基金份额持有人或其代理人所持表决权的三分之二以上（含三分之二）通过。</w:t>
      </w:r>
    </w:p>
    <w:p w:rsidR="00C700D2" w:rsidRPr="005A7DE6" w:rsidP="00C700D2">
      <w:pPr>
        <w:snapToGrid w:val="0"/>
        <w:spacing w:line="360" w:lineRule="auto"/>
        <w:ind w:firstLine="42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同一主侧袋账户内的每份基金份额具有平等的表决权。</w:t>
      </w:r>
    </w:p>
    <w:p w:rsidR="00A173D2" w:rsidRPr="005A7DE6" w:rsidP="00C700D2">
      <w:pPr>
        <w:snapToGrid w:val="0"/>
        <w:spacing w:line="360" w:lineRule="auto"/>
        <w:ind w:firstLine="420"/>
        <w:rPr>
          <w:rFonts w:asciiTheme="minorEastAsia" w:eastAsiaTheme="minorEastAsia" w:hAnsiTheme="minorEastAsia"/>
          <w:color w:val="000000" w:themeColor="text1"/>
          <w:kern w:val="0"/>
          <w:szCs w:val="21"/>
        </w:rPr>
      </w:pPr>
      <w:r w:rsidRPr="005A7DE6">
        <w:rPr>
          <w:rFonts w:asciiTheme="minorEastAsia" w:eastAsiaTheme="minorEastAsia" w:hAnsiTheme="minorEastAsia"/>
          <w:color w:val="000000" w:themeColor="text1"/>
          <w:szCs w:val="21"/>
        </w:rPr>
        <w:t>11</w:t>
      </w:r>
      <w:r w:rsidRPr="005A7DE6">
        <w:rPr>
          <w:rFonts w:asciiTheme="minorEastAsia" w:eastAsiaTheme="minorEastAsia" w:hAnsiTheme="minorEastAsia"/>
          <w:color w:val="000000" w:themeColor="text1"/>
          <w:szCs w:val="21"/>
        </w:rPr>
        <w:t>、法律法规或监管部门对基金份额持有人大会另有规定的，从其规定</w:t>
      </w:r>
      <w:r w:rsidRPr="005A7DE6">
        <w:rPr>
          <w:rFonts w:asciiTheme="minorEastAsia" w:eastAsiaTheme="minorEastAsia" w:hAnsiTheme="minorEastAsia"/>
          <w:color w:val="000000" w:themeColor="text1"/>
          <w:kern w:val="0"/>
          <w:szCs w:val="21"/>
        </w:rPr>
        <w:t>。</w:t>
      </w:r>
    </w:p>
    <w:p w:rsidR="00A173D2"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728" w:name="_Toc94172492"/>
      <w:r w:rsidRPr="005A7DE6">
        <w:rPr>
          <w:rFonts w:asciiTheme="minorEastAsia" w:eastAsiaTheme="minorEastAsia" w:hAnsiTheme="minorEastAsia"/>
          <w:b w:val="0"/>
          <w:bCs/>
          <w:color w:val="000000" w:themeColor="text1"/>
        </w:rPr>
        <w:t>（五）基金合同解除和终止的事由、程序</w:t>
      </w:r>
      <w:bookmarkEnd w:id="3728"/>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w:t>
      </w:r>
      <w:r w:rsidRPr="005A7DE6" w:rsidR="004D6973">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本基金合同的终止</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有下列情形之一的，本基金合同在履行相关程序后将终止：</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1</w:t>
      </w:r>
      <w:r w:rsidRPr="005A7DE6">
        <w:rPr>
          <w:rFonts w:asciiTheme="minorEastAsia" w:eastAsiaTheme="minorEastAsia" w:hAnsiTheme="minorEastAsia"/>
          <w:color w:val="000000" w:themeColor="text1"/>
        </w:rPr>
        <w:t>）基金份额持有人大会决定终止的；</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2</w:t>
      </w:r>
      <w:r w:rsidRPr="005A7DE6">
        <w:rPr>
          <w:rFonts w:asciiTheme="minorEastAsia" w:eastAsiaTheme="minorEastAsia" w:hAnsiTheme="minorEastAsia"/>
          <w:color w:val="000000" w:themeColor="text1"/>
        </w:rPr>
        <w:t>）基金管理人因解散、破产、撤销等事由，不能继续担任基金管理人的职务，而在</w:t>
      </w:r>
      <w:r w:rsidRPr="005A7DE6">
        <w:rPr>
          <w:rFonts w:asciiTheme="minorEastAsia" w:eastAsiaTheme="minorEastAsia" w:hAnsiTheme="minorEastAsia"/>
          <w:color w:val="000000" w:themeColor="text1"/>
        </w:rPr>
        <w:t>6</w:t>
      </w:r>
      <w:r w:rsidRPr="005A7DE6">
        <w:rPr>
          <w:rFonts w:asciiTheme="minorEastAsia" w:eastAsiaTheme="minorEastAsia" w:hAnsiTheme="minorEastAsia"/>
          <w:color w:val="000000" w:themeColor="text1"/>
        </w:rPr>
        <w:t>个月内无其他适当的基金管理公司承接其原有权利义务；</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3</w:t>
      </w:r>
      <w:r w:rsidRPr="005A7DE6">
        <w:rPr>
          <w:rFonts w:asciiTheme="minorEastAsia" w:eastAsiaTheme="minorEastAsia" w:hAnsiTheme="minorEastAsia"/>
          <w:color w:val="000000" w:themeColor="text1"/>
        </w:rPr>
        <w:t>）基金托管人因解散、破产、撤销等事由，不能继续担任基金托管人的职务，而在</w:t>
      </w:r>
      <w:r w:rsidRPr="005A7DE6">
        <w:rPr>
          <w:rFonts w:asciiTheme="minorEastAsia" w:eastAsiaTheme="minorEastAsia" w:hAnsiTheme="minorEastAsia"/>
          <w:color w:val="000000" w:themeColor="text1"/>
        </w:rPr>
        <w:t>6</w:t>
      </w:r>
      <w:r w:rsidRPr="005A7DE6">
        <w:rPr>
          <w:rFonts w:asciiTheme="minorEastAsia" w:eastAsiaTheme="minorEastAsia" w:hAnsiTheme="minorEastAsia"/>
          <w:color w:val="000000" w:themeColor="text1"/>
        </w:rPr>
        <w:t>个月内无其他适当的托管机构承接其原有权利义务；</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4</w:t>
      </w:r>
      <w:r w:rsidRPr="005A7DE6">
        <w:rPr>
          <w:rFonts w:asciiTheme="minorEastAsia" w:eastAsiaTheme="minorEastAsia" w:hAnsiTheme="minorEastAsia"/>
          <w:color w:val="000000" w:themeColor="text1"/>
        </w:rPr>
        <w:t>）中国证监会规定的其他情况。</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w:t>
      </w: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color w:val="000000" w:themeColor="text1"/>
        </w:rPr>
        <w:t>基金财产的清算</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1</w:t>
      </w:r>
      <w:r w:rsidRPr="005A7DE6">
        <w:rPr>
          <w:rFonts w:asciiTheme="minorEastAsia" w:eastAsiaTheme="minorEastAsia" w:hAnsiTheme="minorEastAsia"/>
          <w:color w:val="000000" w:themeColor="text1"/>
        </w:rPr>
        <w:t>）基金财产清算组</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基金合同终止情形发生时，成立基金财产清算组，基金财产清算组在中国证监会的监督下进行基金清算。</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基金财产清算组成员由基金管理人、基金托管人、具有从事证券相关业务资格的注册会计</w:t>
      </w:r>
      <w:r w:rsidRPr="005A7DE6">
        <w:rPr>
          <w:rFonts w:asciiTheme="minorEastAsia" w:eastAsiaTheme="minorEastAsia" w:hAnsiTheme="minorEastAsia"/>
          <w:color w:val="000000" w:themeColor="text1"/>
        </w:rPr>
        <w:t>师、律师以及中国证监会指定的人员组成。基金财产清算组可以聘用必要的工作人员。</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基金财产清算组负责基金财产的保管、清理、估价、变现和分配。基金财产清算组可以依法进行必要的民事活动。</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2</w:t>
      </w:r>
      <w:r w:rsidRPr="005A7DE6">
        <w:rPr>
          <w:rFonts w:asciiTheme="minorEastAsia" w:eastAsiaTheme="minorEastAsia" w:hAnsiTheme="minorEastAsia"/>
          <w:color w:val="000000" w:themeColor="text1"/>
        </w:rPr>
        <w:t>）基金财产清算程序</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基金合同终止情形发生时，应当按法律法规和本基金合同的有关规定对基金财产进行清算。基金财产清算程序主要包括：</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基金合同终止情形发生后，发布基金财产清算公告；</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基金合同终止情形发生时，由基金财产清算组统一接管基金财产；</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对基金财产进行清理和确认；</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对基金财产进行估价和变现；</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聘请会计师事务所对清算报告进行审计；</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6</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聘请律师事务所出具法律意见书；</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7</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将基金财产清算结果报告中国证监会；</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8</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参加与基金财产有关的民事诉讼；</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9</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公布基金财产清算结果；</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10</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对基金剩余财产进行分配。</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3</w:t>
      </w:r>
      <w:r w:rsidRPr="005A7DE6">
        <w:rPr>
          <w:rFonts w:asciiTheme="minorEastAsia" w:eastAsiaTheme="minorEastAsia" w:hAnsiTheme="minorEastAsia"/>
          <w:color w:val="000000" w:themeColor="text1"/>
        </w:rPr>
        <w:t>）清算费用</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rPr>
        <w:t>清算费用是指基金财产清算组在进行基金财产清算过程中发生的所有合理费用，清算费</w:t>
      </w:r>
      <w:r w:rsidRPr="005A7DE6">
        <w:rPr>
          <w:rFonts w:asciiTheme="minorEastAsia" w:eastAsiaTheme="minorEastAsia" w:hAnsiTheme="minorEastAsia"/>
          <w:color w:val="000000" w:themeColor="text1"/>
          <w:szCs w:val="21"/>
        </w:rPr>
        <w:t>用由基金财产清算组优先从基金财产中支付。</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4</w:t>
      </w:r>
      <w:r w:rsidRPr="005A7DE6">
        <w:rPr>
          <w:rFonts w:asciiTheme="minorEastAsia" w:eastAsiaTheme="minorEastAsia" w:hAnsiTheme="minorEastAsia"/>
          <w:color w:val="000000" w:themeColor="text1"/>
          <w:szCs w:val="21"/>
        </w:rPr>
        <w:t>）基金财产按下列顺序清偿：</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支付清算费用；</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交纳所欠税款；</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清偿基金债务；</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4</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按基金份额持有人持有的基金份额比例进行分配。</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基金财产未按前款</w:t>
      </w:r>
      <w:r w:rsidRPr="005A7DE6">
        <w:rPr>
          <w:rFonts w:asciiTheme="minorEastAsia" w:eastAsiaTheme="minorEastAsia" w:hAnsiTheme="minorEastAsia"/>
          <w:color w:val="000000" w:themeColor="text1"/>
          <w:szCs w:val="21"/>
        </w:rPr>
        <w:t>1</w:t>
      </w:r>
      <w:r w:rsidRPr="005A7DE6" w:rsidR="005B19FC">
        <w:rPr>
          <w:rFonts w:asciiTheme="minorEastAsia" w:eastAsiaTheme="minorEastAsia" w:hAnsiTheme="minorEastAsia"/>
          <w:color w:val="000000" w:themeColor="text1"/>
          <w:szCs w:val="21"/>
        </w:rPr>
        <w:t>）</w:t>
      </w:r>
      <w:r w:rsidRPr="005A7DE6" w:rsidR="00F00F6D">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3</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项规定清偿前，不分配给基金份额持有人。</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5</w:t>
      </w:r>
      <w:r w:rsidRPr="005A7DE6">
        <w:rPr>
          <w:rFonts w:asciiTheme="minorEastAsia" w:eastAsiaTheme="minorEastAsia" w:hAnsiTheme="minorEastAsia"/>
          <w:color w:val="000000" w:themeColor="text1"/>
        </w:rPr>
        <w:t>）基金财产清算的公告</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基金财产清算公告于基金合同终止情形发生并报中国证监会备案后</w:t>
      </w:r>
      <w:r w:rsidRPr="005A7DE6">
        <w:rPr>
          <w:rFonts w:asciiTheme="minorEastAsia" w:eastAsiaTheme="minorEastAsia" w:hAnsiTheme="minorEastAsia"/>
          <w:color w:val="000000" w:themeColor="text1"/>
        </w:rPr>
        <w:t>5</w:t>
      </w:r>
      <w:r w:rsidRPr="005A7DE6">
        <w:rPr>
          <w:rFonts w:asciiTheme="minorEastAsia" w:eastAsiaTheme="minorEastAsia" w:hAnsiTheme="minorEastAsia"/>
          <w:color w:val="000000" w:themeColor="text1"/>
        </w:rPr>
        <w:t>个工作日内由基金财产清算组公告；清算过程中的有关重大事项须及时公告；基金财产清算结果经会计师事务所审计，律师事务所出具法律意见书后，由基金财产清算组报中国证监会备案并公告。</w:t>
      </w:r>
    </w:p>
    <w:p w:rsidR="00A173D2"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6</w:t>
      </w:r>
      <w:r w:rsidRPr="005A7DE6">
        <w:rPr>
          <w:rFonts w:asciiTheme="minorEastAsia" w:eastAsiaTheme="minorEastAsia" w:hAnsiTheme="minorEastAsia"/>
          <w:color w:val="000000" w:themeColor="text1"/>
        </w:rPr>
        <w:t>）基金财产清算账册及文件的保存</w:t>
      </w:r>
    </w:p>
    <w:p w:rsidR="00A173D2"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基金财产清算账册及有关文件由基金托管人按照法律法规的规定保存</w:t>
      </w:r>
      <w:r w:rsidRPr="005A7DE6">
        <w:rPr>
          <w:rFonts w:asciiTheme="minorEastAsia" w:eastAsiaTheme="minorEastAsia" w:hAnsiTheme="minorEastAsia"/>
          <w:color w:val="000000" w:themeColor="text1"/>
          <w:szCs w:val="21"/>
        </w:rPr>
        <w:t>15</w:t>
      </w:r>
      <w:r w:rsidRPr="005A7DE6">
        <w:rPr>
          <w:rFonts w:asciiTheme="minorEastAsia" w:eastAsiaTheme="minorEastAsia" w:hAnsiTheme="minorEastAsia"/>
          <w:color w:val="000000" w:themeColor="text1"/>
          <w:szCs w:val="21"/>
        </w:rPr>
        <w:t>年。</w:t>
      </w:r>
    </w:p>
    <w:p w:rsidR="00A173D2"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729" w:name="_Toc94172493"/>
      <w:r w:rsidRPr="005A7DE6">
        <w:rPr>
          <w:rFonts w:asciiTheme="minorEastAsia" w:eastAsiaTheme="minorEastAsia" w:hAnsiTheme="minorEastAsia"/>
          <w:b w:val="0"/>
          <w:bCs/>
          <w:color w:val="000000" w:themeColor="text1"/>
        </w:rPr>
        <w:t>（六）争议解决方式</w:t>
      </w:r>
      <w:bookmarkEnd w:id="3729"/>
    </w:p>
    <w:p w:rsidR="00A173D2" w:rsidRPr="00AF345C" w:rsidP="006B758F">
      <w:pPr>
        <w:snapToGrid w:val="0"/>
        <w:spacing w:line="360" w:lineRule="auto"/>
        <w:ind w:firstLine="420" w:firstLineChars="200"/>
        <w:rPr>
          <w:rFonts w:asciiTheme="minorEastAsia" w:eastAsiaTheme="minorEastAsia" w:hAnsiTheme="minorEastAsia"/>
          <w:b/>
          <w:color w:val="000000" w:themeColor="text1"/>
          <w:sz w:val="24"/>
        </w:rPr>
      </w:pPr>
      <w:r w:rsidRPr="00AF345C">
        <w:rPr>
          <w:rFonts w:asciiTheme="minorEastAsia" w:eastAsiaTheme="minorEastAsia" w:hAnsiTheme="minorEastAsia"/>
          <w:b/>
          <w:color w:val="000000" w:themeColor="text1"/>
          <w:szCs w:val="21"/>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深圳市。仲裁裁决是终局的，对各方当事人均有约束力，仲裁费用由败诉方承担。</w:t>
      </w:r>
    </w:p>
    <w:p w:rsidR="00A173D2"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730" w:name="_Toc94172494"/>
      <w:r w:rsidRPr="005A7DE6">
        <w:rPr>
          <w:rFonts w:asciiTheme="minorEastAsia" w:eastAsiaTheme="minorEastAsia" w:hAnsiTheme="minorEastAsia"/>
          <w:b w:val="0"/>
          <w:bCs/>
          <w:color w:val="000000" w:themeColor="text1"/>
        </w:rPr>
        <w:t>（七）基金合同存放地和投资者取得基金合同的方式</w:t>
      </w:r>
      <w:bookmarkEnd w:id="3730"/>
    </w:p>
    <w:p w:rsidR="00BA4B87" w:rsidRPr="005A7DE6" w:rsidP="006B758F">
      <w:pPr>
        <w:pStyle w:val="NormalIndent"/>
        <w:snapToGrid w:val="0"/>
        <w:spacing w:line="360" w:lineRule="auto"/>
        <w:rPr>
          <w:rFonts w:asciiTheme="minorEastAsia" w:eastAsiaTheme="minorEastAsia" w:hAnsiTheme="minorEastAsia"/>
          <w:color w:val="000000" w:themeColor="text1"/>
          <w:szCs w:val="24"/>
        </w:rPr>
      </w:pPr>
      <w:r w:rsidRPr="005A7DE6">
        <w:rPr>
          <w:rFonts w:asciiTheme="minorEastAsia" w:eastAsiaTheme="minorEastAsia" w:hAnsiTheme="minorEastAsia"/>
          <w:color w:val="000000" w:themeColor="text1"/>
          <w:szCs w:val="21"/>
        </w:rPr>
        <w:t>基金合同完成后，将存放于基金管理人所在地、基金托管人所在地，供公众查阅。投资人在支付工本费后，可在合理时间内取得上述文件复制件或复</w:t>
      </w:r>
      <w:r w:rsidRPr="005A7DE6">
        <w:rPr>
          <w:rFonts w:asciiTheme="minorEastAsia" w:eastAsiaTheme="minorEastAsia" w:hAnsiTheme="minorEastAsia"/>
          <w:color w:val="000000" w:themeColor="text1"/>
          <w:szCs w:val="21"/>
        </w:rPr>
        <w:t>印件。</w:t>
      </w:r>
    </w:p>
    <w:p w:rsidR="00BA4B87" w:rsidRPr="005A7DE6" w:rsidP="006B758F">
      <w:pPr>
        <w:pStyle w:val="111"/>
        <w:pageBreakBefore w:val="0"/>
        <w:snapToGrid w:val="0"/>
        <w:spacing w:beforeLines="0" w:afterLines="0" w:line="360" w:lineRule="auto"/>
        <w:ind w:firstLine="600"/>
        <w:rPr>
          <w:rFonts w:asciiTheme="minorEastAsia" w:eastAsiaTheme="minorEastAsia" w:hAnsiTheme="minorEastAsia"/>
          <w:b/>
          <w:color w:val="000000" w:themeColor="text1"/>
          <w:sz w:val="30"/>
        </w:rPr>
      </w:pPr>
      <w:r w:rsidRPr="005A7DE6">
        <w:rPr>
          <w:rFonts w:asciiTheme="minorEastAsia" w:eastAsiaTheme="minorEastAsia" w:hAnsiTheme="minorEastAsia"/>
          <w:color w:val="000000" w:themeColor="text1"/>
          <w:sz w:val="30"/>
        </w:rPr>
        <w:br w:type="page"/>
      </w:r>
      <w:bookmarkStart w:id="3731" w:name="_Toc94172495"/>
      <w:r w:rsidRPr="005A7DE6" w:rsidR="008245B1">
        <w:rPr>
          <w:rFonts w:asciiTheme="minorEastAsia" w:eastAsiaTheme="minorEastAsia" w:hAnsiTheme="minorEastAsia"/>
          <w:b/>
          <w:color w:val="000000" w:themeColor="text1"/>
          <w:sz w:val="30"/>
        </w:rPr>
        <w:t>二十</w:t>
      </w:r>
      <w:r w:rsidRPr="005A7DE6" w:rsidR="00485E3F">
        <w:rPr>
          <w:rFonts w:asciiTheme="minorEastAsia" w:eastAsiaTheme="minorEastAsia" w:hAnsiTheme="minorEastAsia" w:hint="eastAsia"/>
          <w:b/>
          <w:color w:val="000000" w:themeColor="text1"/>
          <w:sz w:val="30"/>
        </w:rPr>
        <w:t>三</w:t>
      </w:r>
      <w:r w:rsidRPr="005A7DE6">
        <w:rPr>
          <w:rFonts w:asciiTheme="minorEastAsia" w:eastAsiaTheme="minorEastAsia" w:hAnsiTheme="minorEastAsia"/>
          <w:b/>
          <w:color w:val="000000" w:themeColor="text1"/>
          <w:sz w:val="30"/>
        </w:rPr>
        <w:t>、基金托管协议的内容摘要</w:t>
      </w:r>
      <w:bookmarkEnd w:id="3731"/>
    </w:p>
    <w:p w:rsidR="00F4145F"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732" w:name="_Toc296349137"/>
      <w:bookmarkStart w:id="3733" w:name="_Toc94172496"/>
      <w:r w:rsidRPr="005A7DE6">
        <w:rPr>
          <w:rFonts w:asciiTheme="minorEastAsia" w:eastAsiaTheme="minorEastAsia" w:hAnsiTheme="minorEastAsia"/>
          <w:b w:val="0"/>
          <w:bCs/>
          <w:color w:val="000000" w:themeColor="text1"/>
        </w:rPr>
        <w:t>（一）托管协议当事人</w:t>
      </w:r>
      <w:bookmarkEnd w:id="3732"/>
      <w:bookmarkEnd w:id="3733"/>
    </w:p>
    <w:p w:rsidR="00132C86" w:rsidRPr="005A7DE6" w:rsidP="006B758F">
      <w:pPr>
        <w:snapToGrid w:val="0"/>
        <w:spacing w:line="360" w:lineRule="auto"/>
        <w:ind w:left="420" w:right="26"/>
        <w:rPr>
          <w:rFonts w:asciiTheme="minorEastAsia" w:eastAsiaTheme="minorEastAsia" w:hAnsiTheme="minorEastAsia"/>
          <w:color w:val="000000" w:themeColor="text1"/>
          <w:kern w:val="0"/>
          <w:szCs w:val="21"/>
        </w:rPr>
      </w:pPr>
      <w:r w:rsidRPr="005A7DE6">
        <w:rPr>
          <w:rFonts w:asciiTheme="minorEastAsia" w:eastAsiaTheme="minorEastAsia" w:hAnsiTheme="minorEastAsia" w:hint="eastAsia"/>
          <w:color w:val="000000" w:themeColor="text1"/>
          <w:kern w:val="0"/>
          <w:szCs w:val="21"/>
        </w:rPr>
        <w:t>1</w:t>
      </w:r>
      <w:r w:rsidRPr="005A7DE6">
        <w:rPr>
          <w:rFonts w:asciiTheme="minorEastAsia" w:eastAsiaTheme="minorEastAsia" w:hAnsiTheme="minorEastAsia" w:hint="eastAsia"/>
          <w:color w:val="000000" w:themeColor="text1"/>
          <w:kern w:val="0"/>
          <w:szCs w:val="21"/>
        </w:rPr>
        <w:t>、</w:t>
      </w:r>
      <w:r w:rsidRPr="005A7DE6">
        <w:rPr>
          <w:rFonts w:asciiTheme="minorEastAsia" w:eastAsiaTheme="minorEastAsia" w:hAnsiTheme="minorEastAsia"/>
          <w:color w:val="000000" w:themeColor="text1"/>
          <w:kern w:val="0"/>
          <w:szCs w:val="21"/>
        </w:rPr>
        <w:t>基金管理人</w:t>
      </w:r>
      <w:r w:rsidRPr="005A7DE6" w:rsidR="005B19FC">
        <w:rPr>
          <w:rFonts w:asciiTheme="minorEastAsia" w:eastAsiaTheme="minorEastAsia" w:hAnsiTheme="minorEastAsia"/>
          <w:color w:val="000000" w:themeColor="text1"/>
          <w:kern w:val="0"/>
          <w:szCs w:val="21"/>
        </w:rPr>
        <w:t>（</w:t>
      </w:r>
      <w:r w:rsidRPr="005A7DE6">
        <w:rPr>
          <w:rFonts w:asciiTheme="minorEastAsia" w:eastAsiaTheme="minorEastAsia" w:hAnsiTheme="minorEastAsia"/>
          <w:color w:val="000000" w:themeColor="text1"/>
          <w:kern w:val="0"/>
          <w:szCs w:val="21"/>
        </w:rPr>
        <w:t>或简称</w:t>
      </w:r>
      <w:r w:rsidRPr="005A7DE6">
        <w:rPr>
          <w:rFonts w:asciiTheme="minorEastAsia" w:eastAsiaTheme="minorEastAsia" w:hAnsiTheme="minorEastAsia"/>
          <w:color w:val="000000" w:themeColor="text1"/>
          <w:kern w:val="0"/>
          <w:szCs w:val="21"/>
        </w:rPr>
        <w:t>“</w:t>
      </w:r>
      <w:r w:rsidRPr="005A7DE6">
        <w:rPr>
          <w:rFonts w:asciiTheme="minorEastAsia" w:eastAsiaTheme="minorEastAsia" w:hAnsiTheme="minorEastAsia"/>
          <w:color w:val="000000" w:themeColor="text1"/>
          <w:kern w:val="0"/>
          <w:szCs w:val="21"/>
        </w:rPr>
        <w:t>管理人</w:t>
      </w:r>
      <w:r w:rsidRPr="005A7DE6">
        <w:rPr>
          <w:rFonts w:asciiTheme="minorEastAsia" w:eastAsiaTheme="minorEastAsia" w:hAnsiTheme="minorEastAsia"/>
          <w:color w:val="000000" w:themeColor="text1"/>
          <w:kern w:val="0"/>
          <w:szCs w:val="21"/>
        </w:rPr>
        <w:t>”</w:t>
      </w:r>
      <w:r w:rsidRPr="005A7DE6" w:rsidR="005B19FC">
        <w:rPr>
          <w:rFonts w:asciiTheme="minorEastAsia" w:eastAsiaTheme="minorEastAsia" w:hAnsiTheme="minorEastAsia"/>
          <w:color w:val="000000" w:themeColor="text1"/>
          <w:kern w:val="0"/>
          <w:szCs w:val="21"/>
        </w:rPr>
        <w:t>）</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名称：易方达基金管理有限公司</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注册地址：</w:t>
      </w:r>
      <w:r w:rsidRPr="005A7DE6" w:rsidR="00745261">
        <w:rPr>
          <w:rFonts w:asciiTheme="minorEastAsia" w:eastAsiaTheme="minorEastAsia" w:hAnsiTheme="minorEastAsia"/>
          <w:color w:val="000000" w:themeColor="text1"/>
          <w:szCs w:val="21"/>
        </w:rPr>
        <w:t>广东省珠海市横琴新区荣粤道188号6层</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办公地址：广州市</w:t>
      </w:r>
      <w:r w:rsidRPr="005A7DE6" w:rsidR="002A649A">
        <w:rPr>
          <w:rFonts w:asciiTheme="minorEastAsia" w:eastAsiaTheme="minorEastAsia" w:hAnsiTheme="minorEastAsia" w:hint="eastAsia"/>
          <w:color w:val="000000" w:themeColor="text1"/>
          <w:szCs w:val="21"/>
        </w:rPr>
        <w:t>天河区珠江新城珠江东路30号广州银行大厦40-43楼</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邮政编码：</w:t>
      </w:r>
      <w:r w:rsidRPr="005A7DE6">
        <w:rPr>
          <w:rFonts w:asciiTheme="minorEastAsia" w:eastAsiaTheme="minorEastAsia" w:hAnsiTheme="minorEastAsia"/>
          <w:color w:val="000000" w:themeColor="text1"/>
          <w:szCs w:val="21"/>
        </w:rPr>
        <w:t>510620</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法定代表人：</w:t>
      </w:r>
      <w:r w:rsidRPr="005A7DE6" w:rsidR="00434994">
        <w:rPr>
          <w:rFonts w:asciiTheme="minorEastAsia" w:eastAsiaTheme="minorEastAsia" w:hAnsiTheme="minorEastAsia" w:hint="eastAsia"/>
          <w:color w:val="000000" w:themeColor="text1"/>
          <w:szCs w:val="21"/>
        </w:rPr>
        <w:t>刘晓艳</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成立日期：</w:t>
      </w:r>
      <w:r w:rsidRPr="005A7DE6">
        <w:rPr>
          <w:rFonts w:asciiTheme="minorEastAsia" w:eastAsiaTheme="minorEastAsia" w:hAnsiTheme="minorEastAsia"/>
          <w:color w:val="000000" w:themeColor="text1"/>
          <w:szCs w:val="21"/>
        </w:rPr>
        <w:t>2001</w:t>
      </w:r>
      <w:r w:rsidRPr="005A7DE6">
        <w:rPr>
          <w:rFonts w:asciiTheme="minorEastAsia" w:eastAsiaTheme="minorEastAsia" w:hAnsiTheme="minorEastAsia"/>
          <w:color w:val="000000" w:themeColor="text1"/>
          <w:szCs w:val="21"/>
        </w:rPr>
        <w:t>年</w:t>
      </w:r>
      <w:r w:rsidRPr="005A7DE6">
        <w:rPr>
          <w:rFonts w:asciiTheme="minorEastAsia" w:eastAsiaTheme="minorEastAsia" w:hAnsiTheme="minorEastAsia"/>
          <w:color w:val="000000" w:themeColor="text1"/>
          <w:szCs w:val="21"/>
        </w:rPr>
        <w:t>4</w:t>
      </w:r>
      <w:r w:rsidRPr="005A7DE6">
        <w:rPr>
          <w:rFonts w:asciiTheme="minorEastAsia" w:eastAsiaTheme="minorEastAsia" w:hAnsiTheme="minorEastAsia"/>
          <w:color w:val="000000" w:themeColor="text1"/>
          <w:szCs w:val="21"/>
        </w:rPr>
        <w:t>月</w:t>
      </w:r>
      <w:r w:rsidRPr="005A7DE6">
        <w:rPr>
          <w:rFonts w:asciiTheme="minorEastAsia" w:eastAsiaTheme="minorEastAsia" w:hAnsiTheme="minorEastAsia"/>
          <w:color w:val="000000" w:themeColor="text1"/>
          <w:szCs w:val="21"/>
        </w:rPr>
        <w:t>17</w:t>
      </w:r>
      <w:r w:rsidRPr="005A7DE6">
        <w:rPr>
          <w:rFonts w:asciiTheme="minorEastAsia" w:eastAsiaTheme="minorEastAsia" w:hAnsiTheme="minorEastAsia"/>
          <w:color w:val="000000" w:themeColor="text1"/>
          <w:szCs w:val="21"/>
        </w:rPr>
        <w:t>日</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批准设立机关及批准设立文号：</w:t>
      </w:r>
      <w:r w:rsidRPr="005A7DE6" w:rsidR="00B23C54">
        <w:rPr>
          <w:rFonts w:asciiTheme="minorEastAsia" w:eastAsiaTheme="minorEastAsia" w:hAnsiTheme="minorEastAsia" w:hint="eastAsia"/>
          <w:color w:val="000000" w:themeColor="text1"/>
        </w:rPr>
        <w:t>中国证券监督管理委员会</w:t>
      </w:r>
      <w:r w:rsidRPr="005A7DE6" w:rsidR="002A649A">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证监基金字</w:t>
      </w:r>
      <w:r w:rsidRPr="005A7DE6">
        <w:rPr>
          <w:rFonts w:asciiTheme="minorEastAsia" w:eastAsiaTheme="minorEastAsia" w:hAnsiTheme="minorEastAsia"/>
          <w:color w:val="000000" w:themeColor="text1"/>
          <w:szCs w:val="21"/>
        </w:rPr>
        <w:t>[2001]4</w:t>
      </w:r>
      <w:r w:rsidRPr="005A7DE6">
        <w:rPr>
          <w:rFonts w:asciiTheme="minorEastAsia" w:eastAsiaTheme="minorEastAsia" w:hAnsiTheme="minorEastAsia"/>
          <w:color w:val="000000" w:themeColor="text1"/>
          <w:szCs w:val="21"/>
        </w:rPr>
        <w:t>号</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组织形式：有限责任公司</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注册资本：</w:t>
      </w:r>
      <w:r w:rsidRPr="005A7DE6">
        <w:rPr>
          <w:rFonts w:asciiTheme="minorEastAsia" w:eastAsiaTheme="minorEastAsia" w:hAnsiTheme="minorEastAsia"/>
          <w:color w:val="000000" w:themeColor="text1"/>
          <w:szCs w:val="21"/>
        </w:rPr>
        <w:t>13,244.2</w:t>
      </w:r>
      <w:r w:rsidRPr="005A7DE6">
        <w:rPr>
          <w:rFonts w:asciiTheme="minorEastAsia" w:eastAsiaTheme="minorEastAsia" w:hAnsiTheme="minorEastAsia"/>
          <w:color w:val="000000" w:themeColor="text1"/>
          <w:szCs w:val="21"/>
        </w:rPr>
        <w:t>万元人民币</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存续期间：持续经营</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经营范围：</w:t>
      </w:r>
      <w:r w:rsidRPr="005A7DE6" w:rsidR="00560A1F">
        <w:rPr>
          <w:rFonts w:asciiTheme="minorEastAsia" w:eastAsiaTheme="minorEastAsia" w:hAnsiTheme="minorEastAsia"/>
          <w:color w:val="000000" w:themeColor="text1"/>
          <w:szCs w:val="21"/>
        </w:rPr>
        <w:t>公开募集证券投资基金管理、基金销售、特定客户资产管理</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2</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基金托管人</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或简称</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托管人</w:t>
      </w:r>
      <w:r w:rsidRPr="005A7DE6">
        <w:rPr>
          <w:rFonts w:asciiTheme="minorEastAsia" w:eastAsiaTheme="minorEastAsia" w:hAnsiTheme="minorEastAsia"/>
          <w:color w:val="000000" w:themeColor="text1"/>
          <w:szCs w:val="21"/>
        </w:rPr>
        <w:t>”</w:t>
      </w:r>
      <w:r w:rsidRPr="005A7DE6" w:rsidR="005B19FC">
        <w:rPr>
          <w:rFonts w:asciiTheme="minorEastAsia" w:eastAsiaTheme="minorEastAsia" w:hAnsiTheme="minorEastAsia"/>
          <w:color w:val="000000" w:themeColor="text1"/>
          <w:szCs w:val="21"/>
        </w:rPr>
        <w:t>）</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名称：招商银行股份有限公司</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简称：招商银行</w:t>
      </w:r>
      <w:r w:rsidRPr="005A7DE6" w:rsidR="005B19FC">
        <w:rPr>
          <w:rFonts w:asciiTheme="minorEastAsia" w:eastAsiaTheme="minorEastAsia" w:hAnsiTheme="minorEastAsia"/>
          <w:color w:val="000000" w:themeColor="text1"/>
          <w:szCs w:val="21"/>
        </w:rPr>
        <w:t>）</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住所：深圳市深南大道</w:t>
      </w:r>
      <w:r w:rsidRPr="005A7DE6">
        <w:rPr>
          <w:rFonts w:asciiTheme="minorEastAsia" w:eastAsiaTheme="minorEastAsia" w:hAnsiTheme="minorEastAsia"/>
          <w:color w:val="000000" w:themeColor="text1"/>
          <w:szCs w:val="21"/>
        </w:rPr>
        <w:t>7088</w:t>
      </w:r>
      <w:r w:rsidRPr="005A7DE6">
        <w:rPr>
          <w:rFonts w:asciiTheme="minorEastAsia" w:eastAsiaTheme="minorEastAsia" w:hAnsiTheme="minorEastAsia"/>
          <w:color w:val="000000" w:themeColor="text1"/>
          <w:szCs w:val="21"/>
        </w:rPr>
        <w:t>号招商银行大厦</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办公地址：深圳市深南大道</w:t>
      </w:r>
      <w:r w:rsidRPr="005A7DE6">
        <w:rPr>
          <w:rFonts w:asciiTheme="minorEastAsia" w:eastAsiaTheme="minorEastAsia" w:hAnsiTheme="minorEastAsia"/>
          <w:color w:val="000000" w:themeColor="text1"/>
          <w:szCs w:val="21"/>
        </w:rPr>
        <w:t>7088</w:t>
      </w:r>
      <w:r w:rsidRPr="005A7DE6">
        <w:rPr>
          <w:rFonts w:asciiTheme="minorEastAsia" w:eastAsiaTheme="minorEastAsia" w:hAnsiTheme="minorEastAsia"/>
          <w:color w:val="000000" w:themeColor="text1"/>
          <w:szCs w:val="21"/>
        </w:rPr>
        <w:t>号招商银行大厦</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邮政编码：</w:t>
      </w:r>
      <w:r w:rsidRPr="005A7DE6">
        <w:rPr>
          <w:rFonts w:asciiTheme="minorEastAsia" w:eastAsiaTheme="minorEastAsia" w:hAnsiTheme="minorEastAsia"/>
          <w:color w:val="000000" w:themeColor="text1"/>
          <w:szCs w:val="21"/>
        </w:rPr>
        <w:t>518040</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法定代表人：</w:t>
      </w:r>
      <w:r w:rsidRPr="005A7DE6" w:rsidR="00FA0226">
        <w:rPr>
          <w:rFonts w:asciiTheme="minorEastAsia" w:eastAsiaTheme="minorEastAsia" w:hAnsiTheme="minorEastAsia" w:hint="eastAsia"/>
          <w:color w:val="000000" w:themeColor="text1"/>
          <w:szCs w:val="21"/>
        </w:rPr>
        <w:t>缪建民</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成立时间：</w:t>
      </w:r>
      <w:r w:rsidRPr="005A7DE6">
        <w:rPr>
          <w:rFonts w:asciiTheme="minorEastAsia" w:eastAsiaTheme="minorEastAsia" w:hAnsiTheme="minorEastAsia"/>
          <w:color w:val="000000" w:themeColor="text1"/>
          <w:szCs w:val="21"/>
        </w:rPr>
        <w:t>1987</w:t>
      </w:r>
      <w:r w:rsidRPr="005A7DE6">
        <w:rPr>
          <w:rFonts w:asciiTheme="minorEastAsia" w:eastAsiaTheme="minorEastAsia" w:hAnsiTheme="minorEastAsia"/>
          <w:color w:val="000000" w:themeColor="text1"/>
          <w:szCs w:val="21"/>
        </w:rPr>
        <w:t>年</w:t>
      </w:r>
      <w:r w:rsidRPr="005A7DE6">
        <w:rPr>
          <w:rFonts w:asciiTheme="minorEastAsia" w:eastAsiaTheme="minorEastAsia" w:hAnsiTheme="minorEastAsia"/>
          <w:color w:val="000000" w:themeColor="text1"/>
          <w:szCs w:val="21"/>
        </w:rPr>
        <w:t>4</w:t>
      </w:r>
      <w:r w:rsidRPr="005A7DE6">
        <w:rPr>
          <w:rFonts w:asciiTheme="minorEastAsia" w:eastAsiaTheme="minorEastAsia" w:hAnsiTheme="minorEastAsia"/>
          <w:color w:val="000000" w:themeColor="text1"/>
          <w:szCs w:val="21"/>
        </w:rPr>
        <w:t>月</w:t>
      </w:r>
      <w:r w:rsidRPr="005A7DE6">
        <w:rPr>
          <w:rFonts w:asciiTheme="minorEastAsia" w:eastAsiaTheme="minorEastAsia" w:hAnsiTheme="minorEastAsia"/>
          <w:color w:val="000000" w:themeColor="text1"/>
          <w:szCs w:val="21"/>
        </w:rPr>
        <w:t>8</w:t>
      </w:r>
      <w:r w:rsidRPr="005A7DE6">
        <w:rPr>
          <w:rFonts w:asciiTheme="minorEastAsia" w:eastAsiaTheme="minorEastAsia" w:hAnsiTheme="minorEastAsia"/>
          <w:color w:val="000000" w:themeColor="text1"/>
          <w:szCs w:val="21"/>
        </w:rPr>
        <w:t>日</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基金托管业务批准文号：证监基金字</w:t>
      </w:r>
      <w:r w:rsidRPr="005A7DE6">
        <w:rPr>
          <w:rFonts w:asciiTheme="minorEastAsia" w:eastAsiaTheme="minorEastAsia" w:hAnsiTheme="minorEastAsia"/>
          <w:color w:val="000000" w:themeColor="text1"/>
          <w:szCs w:val="21"/>
        </w:rPr>
        <w:t>[2002]83</w:t>
      </w:r>
      <w:r w:rsidRPr="005A7DE6">
        <w:rPr>
          <w:rFonts w:asciiTheme="minorEastAsia" w:eastAsiaTheme="minorEastAsia" w:hAnsiTheme="minorEastAsia"/>
          <w:color w:val="000000" w:themeColor="text1"/>
          <w:szCs w:val="21"/>
        </w:rPr>
        <w:t>号</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经营范围：吸收公众存款；发放短期、中期和长期贷款；办理结算；办理票据贴现；发行金融债券；代理发行、代理兑付、承销政府债券；买卖政府债券；同业拆借；提供信用证服务及担保；代理收付款项及代理保险业务；提供保管箱服务。外汇存款；外汇贷款；外汇汇款；外币兑换；国际结算；结汇、售汇；同业外汇拆借；外汇票据的承兑和贴现；外汇借款；外汇担保；发行和代理发行股票以外的外币有价证券；买卖和代理买卖股票以外的外币有价证券；自营和代客外汇买卖；资信调查、咨询、见证业务；离岸金融业务。经中国人民银行批准的其他业务。</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组织形式：股份</w:t>
      </w:r>
      <w:r w:rsidRPr="005A7DE6">
        <w:rPr>
          <w:rFonts w:asciiTheme="minorEastAsia" w:eastAsiaTheme="minorEastAsia" w:hAnsiTheme="minorEastAsia"/>
          <w:color w:val="000000" w:themeColor="text1"/>
          <w:szCs w:val="21"/>
        </w:rPr>
        <w:t>有限公司</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注册资本：</w:t>
      </w:r>
      <w:r w:rsidRPr="005A7DE6" w:rsidR="00037343">
        <w:rPr>
          <w:rFonts w:asciiTheme="minorEastAsia" w:eastAsiaTheme="minorEastAsia" w:hAnsiTheme="minorEastAsia" w:hint="eastAsia"/>
          <w:color w:val="000000" w:themeColor="text1"/>
          <w:szCs w:val="21"/>
        </w:rPr>
        <w:t>人民币252.</w:t>
      </w:r>
      <w:r w:rsidRPr="005A7DE6" w:rsidR="008C23E3">
        <w:rPr>
          <w:rFonts w:asciiTheme="minorEastAsia" w:eastAsiaTheme="minorEastAsia" w:hAnsiTheme="minorEastAsia" w:hint="eastAsia"/>
          <w:color w:val="000000" w:themeColor="text1"/>
          <w:szCs w:val="21"/>
        </w:rPr>
        <w:t>20</w:t>
      </w:r>
      <w:r w:rsidRPr="005A7DE6" w:rsidR="00037343">
        <w:rPr>
          <w:rFonts w:asciiTheme="minorEastAsia" w:eastAsiaTheme="minorEastAsia" w:hAnsiTheme="minorEastAsia" w:hint="eastAsia"/>
          <w:color w:val="000000" w:themeColor="text1"/>
          <w:szCs w:val="21"/>
        </w:rPr>
        <w:t>亿元</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存续期间：持续经营</w:t>
      </w:r>
    </w:p>
    <w:p w:rsidR="00132C86"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734" w:name="_Toc94172497"/>
      <w:r w:rsidRPr="005A7DE6">
        <w:rPr>
          <w:rFonts w:asciiTheme="minorEastAsia" w:eastAsiaTheme="minorEastAsia" w:hAnsiTheme="minorEastAsia"/>
          <w:b w:val="0"/>
          <w:bCs/>
          <w:color w:val="000000" w:themeColor="text1"/>
        </w:rPr>
        <w:t>（二）基金托管人对基金管理人的业务监督、核查</w:t>
      </w:r>
      <w:bookmarkEnd w:id="3734"/>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基金托管人根据有关法律法规的规定及基金合同的约定，对基金投资范围、投资对象进行监督。</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）本基金将投资于以下金融工具：</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的投资范围为具有良好流动性的金融工具，包括国债、央行票据、地方政府债、金融债、企业债、短期融资券、中期票据、公司债、资产支持证券、债券逆回购、银行存款等固定收益类资产以及法律法规或中国证监会允许基金投资的其他金融工具，但须符合中国证监会相关规定。</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本基金不直接在二级市场</w:t>
      </w:r>
      <w:r w:rsidRPr="005A7DE6">
        <w:rPr>
          <w:rFonts w:asciiTheme="minorEastAsia" w:eastAsiaTheme="minorEastAsia" w:hAnsiTheme="minorEastAsia"/>
          <w:color w:val="000000" w:themeColor="text1"/>
          <w:szCs w:val="21"/>
        </w:rPr>
        <w:t>买入股票、权证等权益类资产，也不参与一级市场新股申购和新股增发。</w:t>
      </w:r>
      <w:r w:rsidRPr="005A7DE6" w:rsidR="000059BE">
        <w:rPr>
          <w:rFonts w:asciiTheme="minorEastAsia" w:eastAsiaTheme="minorEastAsia" w:hAnsiTheme="minorEastAsia"/>
          <w:color w:val="000000" w:themeColor="text1"/>
          <w:szCs w:val="21"/>
        </w:rPr>
        <w:t>同时本基金不参与可转换债券投资。</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color w:val="000000" w:themeColor="text1"/>
          <w:szCs w:val="21"/>
        </w:rPr>
        <w:t>）本基金不得投资于相关法律、法规、部门规章及《基金合同》禁止投资的投资工具。</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如法律法规或监管机构以后允许基金投资其他品种，基金管理人提前公告后，可以将其纳入投资范围，其投资比例遵循届时有效法律法规或相关规定。</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对基金管理人发送的不符合基金合同规定的投资行为，基金托管人可以拒绝执行，并书面通知基金管理人；对于已经执行的投资，基金托管人发现该投资行为不符合基金合同的规定的，基金托管人应书面通知基金管理人进行整改，并将该情况报告中国证监会。</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托管人根据有关法律法规的规定及基金合同的约定，对基金投资、融资比例进行监督。基金合同明确约定基金投资风格或证券选择标准的，基金管理人应事先向基金托管人提供投资品种池，以便基金托管人对基金实际投资是否符合基金合同关于证券选择标准的约定进行监督。</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本基金的投融资比例：</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本基金各</w:t>
      </w:r>
      <w:r w:rsidRPr="005A7DE6">
        <w:rPr>
          <w:rFonts w:asciiTheme="minorEastAsia" w:eastAsiaTheme="minorEastAsia" w:hAnsiTheme="minorEastAsia"/>
          <w:color w:val="000000" w:themeColor="text1"/>
          <w:szCs w:val="21"/>
        </w:rPr>
        <w:t>类资产的投资比例范围为：固定收益类资产的比例不低于基金资产的</w:t>
      </w:r>
      <w:r w:rsidRPr="005A7DE6">
        <w:rPr>
          <w:rFonts w:asciiTheme="minorEastAsia" w:eastAsiaTheme="minorEastAsia" w:hAnsiTheme="minorEastAsia"/>
          <w:color w:val="000000" w:themeColor="text1"/>
          <w:szCs w:val="21"/>
        </w:rPr>
        <w:t>80%</w:t>
      </w:r>
      <w:r w:rsidRPr="005A7DE6">
        <w:rPr>
          <w:rFonts w:asciiTheme="minorEastAsia" w:eastAsiaTheme="minorEastAsia" w:hAnsiTheme="minorEastAsia"/>
          <w:color w:val="000000" w:themeColor="text1"/>
          <w:szCs w:val="21"/>
        </w:rPr>
        <w:t>；现金或到期日在一年以内的政府债券的比例合计不低于基金资产净值的</w:t>
      </w:r>
      <w:r w:rsidRPr="005A7DE6">
        <w:rPr>
          <w:rFonts w:asciiTheme="minorEastAsia" w:eastAsiaTheme="minorEastAsia" w:hAnsiTheme="minorEastAsia"/>
          <w:color w:val="000000" w:themeColor="text1"/>
          <w:szCs w:val="21"/>
        </w:rPr>
        <w:t>5%</w:t>
      </w:r>
      <w:r w:rsidRPr="005A7DE6" w:rsidR="00FB4165">
        <w:rPr>
          <w:rFonts w:asciiTheme="minorEastAsia" w:eastAsiaTheme="minorEastAsia" w:hAnsiTheme="minorEastAsia" w:hint="eastAsia"/>
          <w:color w:val="000000" w:themeColor="text1"/>
          <w:szCs w:val="21"/>
        </w:rPr>
        <w:t>，现金不包括结算备付金、存出保证金、应收申购款等</w:t>
      </w:r>
      <w:r w:rsidRPr="005A7DE6">
        <w:rPr>
          <w:rFonts w:asciiTheme="minorEastAsia" w:eastAsiaTheme="minorEastAsia" w:hAnsiTheme="minorEastAsia"/>
          <w:color w:val="000000" w:themeColor="text1"/>
          <w:szCs w:val="21"/>
        </w:rPr>
        <w:t>。</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本基金投资组合遵循以下投资限制：</w:t>
      </w:r>
    </w:p>
    <w:p w:rsidR="00FB4165" w:rsidRPr="005A7DE6" w:rsidP="00FB4165">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hint="eastAsia"/>
          <w:color w:val="000000" w:themeColor="text1"/>
          <w:szCs w:val="21"/>
        </w:rPr>
        <w:t>1</w:t>
      </w:r>
      <w:r w:rsidRPr="005A7DE6">
        <w:rPr>
          <w:rFonts w:asciiTheme="minorEastAsia" w:eastAsiaTheme="minorEastAsia" w:hAnsiTheme="minorEastAsia" w:hint="eastAsia"/>
          <w:color w:val="000000" w:themeColor="text1"/>
          <w:szCs w:val="21"/>
        </w:rPr>
        <w:t>）固定收益类资产的比例不低于基金资产的</w:t>
      </w:r>
      <w:r w:rsidRPr="005A7DE6">
        <w:rPr>
          <w:rFonts w:asciiTheme="minorEastAsia" w:eastAsiaTheme="minorEastAsia" w:hAnsiTheme="minorEastAsia" w:hint="eastAsia"/>
          <w:color w:val="000000" w:themeColor="text1"/>
          <w:szCs w:val="21"/>
        </w:rPr>
        <w:t>80%</w:t>
      </w:r>
      <w:r w:rsidRPr="005A7DE6">
        <w:rPr>
          <w:rFonts w:asciiTheme="minorEastAsia" w:eastAsiaTheme="minorEastAsia" w:hAnsiTheme="minorEastAsia" w:hint="eastAsia"/>
          <w:color w:val="000000" w:themeColor="text1"/>
          <w:szCs w:val="21"/>
        </w:rPr>
        <w:t>；</w:t>
      </w:r>
    </w:p>
    <w:p w:rsidR="00FB4165" w:rsidRPr="005A7DE6" w:rsidP="00FB4165">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hint="eastAsia"/>
          <w:color w:val="000000" w:themeColor="text1"/>
          <w:szCs w:val="21"/>
        </w:rPr>
        <w:t>2</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hint="eastAsia"/>
          <w:color w:val="000000" w:themeColor="text1"/>
          <w:szCs w:val="21"/>
        </w:rPr>
        <w:t>现金或到期日在一年以内的政府债券的比例合计不低于基金资产净值的</w:t>
      </w:r>
      <w:r w:rsidRPr="005A7DE6">
        <w:rPr>
          <w:rFonts w:asciiTheme="minorEastAsia" w:eastAsiaTheme="minorEastAsia" w:hAnsiTheme="minorEastAsia" w:hint="eastAsia"/>
          <w:color w:val="000000" w:themeColor="text1"/>
          <w:szCs w:val="21"/>
        </w:rPr>
        <w:t>5%</w:t>
      </w:r>
      <w:r w:rsidRPr="005A7DE6">
        <w:rPr>
          <w:rFonts w:asciiTheme="minorEastAsia" w:eastAsiaTheme="minorEastAsia" w:hAnsiTheme="minorEastAsia" w:hint="eastAsia"/>
          <w:color w:val="000000" w:themeColor="text1"/>
          <w:szCs w:val="21"/>
        </w:rPr>
        <w:t>，现金不包括结算备付金、存出保证金、应收申购款等；</w:t>
      </w:r>
    </w:p>
    <w:p w:rsidR="00FB4165" w:rsidRPr="005A7DE6" w:rsidP="00FB4165">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hint="eastAsia"/>
          <w:color w:val="000000" w:themeColor="text1"/>
          <w:szCs w:val="21"/>
        </w:rPr>
        <w:t>3</w:t>
      </w:r>
      <w:r w:rsidRPr="005A7DE6">
        <w:rPr>
          <w:rFonts w:asciiTheme="minorEastAsia" w:eastAsiaTheme="minorEastAsia" w:hAnsiTheme="minorEastAsia" w:hint="eastAsia"/>
          <w:color w:val="000000" w:themeColor="text1"/>
          <w:szCs w:val="21"/>
        </w:rPr>
        <w:t>）本基金与由本基金管理人管理的其他基金共同持有一家公司发行的证券，不得超过该证券的</w:t>
      </w:r>
      <w:r w:rsidRPr="005A7DE6">
        <w:rPr>
          <w:rFonts w:asciiTheme="minorEastAsia" w:eastAsiaTheme="minorEastAsia" w:hAnsiTheme="minorEastAsia" w:hint="eastAsia"/>
          <w:color w:val="000000" w:themeColor="text1"/>
          <w:szCs w:val="21"/>
        </w:rPr>
        <w:t>10%</w:t>
      </w:r>
      <w:r w:rsidRPr="005A7DE6">
        <w:rPr>
          <w:rFonts w:asciiTheme="minorEastAsia" w:eastAsiaTheme="minorEastAsia" w:hAnsiTheme="minorEastAsia" w:hint="eastAsia"/>
          <w:color w:val="000000" w:themeColor="text1"/>
          <w:szCs w:val="21"/>
        </w:rPr>
        <w:t>；</w:t>
      </w:r>
    </w:p>
    <w:p w:rsidR="00FB4165" w:rsidRPr="005A7DE6" w:rsidP="00FB4165">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hint="eastAsia"/>
          <w:color w:val="000000" w:themeColor="text1"/>
          <w:szCs w:val="21"/>
        </w:rPr>
        <w:t>4</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hint="eastAsia"/>
          <w:color w:val="000000" w:themeColor="text1"/>
          <w:szCs w:val="21"/>
        </w:rPr>
        <w:t>基金管理人管理的全部公募基金投资于一家企业发行的单期中期票据合计不超过该期证券的</w:t>
      </w:r>
      <w:r w:rsidRPr="005A7DE6">
        <w:rPr>
          <w:rFonts w:asciiTheme="minorEastAsia" w:eastAsiaTheme="minorEastAsia" w:hAnsiTheme="minorEastAsia" w:hint="eastAsia"/>
          <w:color w:val="000000" w:themeColor="text1"/>
          <w:szCs w:val="21"/>
        </w:rPr>
        <w:t>10%</w:t>
      </w:r>
      <w:r w:rsidRPr="005A7DE6">
        <w:rPr>
          <w:rFonts w:asciiTheme="minorEastAsia" w:eastAsiaTheme="minorEastAsia" w:hAnsiTheme="minorEastAsia" w:hint="eastAsia"/>
          <w:color w:val="000000" w:themeColor="text1"/>
          <w:szCs w:val="21"/>
        </w:rPr>
        <w:t>；</w:t>
      </w:r>
    </w:p>
    <w:p w:rsidR="00FB4165" w:rsidRPr="005A7DE6" w:rsidP="00FB4165">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hint="eastAsia"/>
          <w:color w:val="000000" w:themeColor="text1"/>
          <w:szCs w:val="21"/>
        </w:rPr>
        <w:t>5</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hint="eastAsia"/>
          <w:color w:val="000000" w:themeColor="text1"/>
          <w:szCs w:val="21"/>
        </w:rPr>
        <w:t>本基金持有的全部权证的市值不超过基金资产净值的</w:t>
      </w:r>
      <w:r w:rsidRPr="005A7DE6">
        <w:rPr>
          <w:rFonts w:asciiTheme="minorEastAsia" w:eastAsiaTheme="minorEastAsia" w:hAnsiTheme="minorEastAsia" w:hint="eastAsia"/>
          <w:color w:val="000000" w:themeColor="text1"/>
          <w:szCs w:val="21"/>
        </w:rPr>
        <w:t>3%</w:t>
      </w:r>
      <w:r w:rsidRPr="005A7DE6">
        <w:rPr>
          <w:rFonts w:asciiTheme="minorEastAsia" w:eastAsiaTheme="minorEastAsia" w:hAnsiTheme="minorEastAsia" w:hint="eastAsia"/>
          <w:color w:val="000000" w:themeColor="text1"/>
          <w:szCs w:val="21"/>
        </w:rPr>
        <w:t>，基金管理人管理的全部</w:t>
      </w:r>
      <w:r w:rsidRPr="005A7DE6">
        <w:rPr>
          <w:rFonts w:asciiTheme="minorEastAsia" w:eastAsiaTheme="minorEastAsia" w:hAnsiTheme="minorEastAsia" w:hint="eastAsia"/>
          <w:color w:val="000000" w:themeColor="text1"/>
          <w:szCs w:val="21"/>
        </w:rPr>
        <w:t>基金持有同一权证的比例不超过该权证的</w:t>
      </w:r>
      <w:r w:rsidRPr="005A7DE6">
        <w:rPr>
          <w:rFonts w:asciiTheme="minorEastAsia" w:eastAsiaTheme="minorEastAsia" w:hAnsiTheme="minorEastAsia" w:hint="eastAsia"/>
          <w:color w:val="000000" w:themeColor="text1"/>
          <w:szCs w:val="21"/>
        </w:rPr>
        <w:t>10%</w:t>
      </w:r>
      <w:r w:rsidRPr="005A7DE6">
        <w:rPr>
          <w:rFonts w:asciiTheme="minorEastAsia" w:eastAsiaTheme="minorEastAsia" w:hAnsiTheme="minorEastAsia" w:hint="eastAsia"/>
          <w:color w:val="000000" w:themeColor="text1"/>
          <w:szCs w:val="21"/>
        </w:rPr>
        <w:t>。其它权证的投资比例，遵从法规或监管部门的相关规定；</w:t>
      </w:r>
    </w:p>
    <w:p w:rsidR="00FB4165" w:rsidRPr="005A7DE6" w:rsidP="00FB4165">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hint="eastAsia"/>
          <w:color w:val="000000" w:themeColor="text1"/>
          <w:szCs w:val="21"/>
        </w:rPr>
        <w:t>6</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hint="eastAsia"/>
          <w:color w:val="000000" w:themeColor="text1"/>
          <w:szCs w:val="21"/>
        </w:rPr>
        <w:t>本基金进入全国银行间同业市场进行债券回购的资金余额不得超过基金资产净值的</w:t>
      </w:r>
      <w:r w:rsidRPr="005A7DE6">
        <w:rPr>
          <w:rFonts w:asciiTheme="minorEastAsia" w:eastAsiaTheme="minorEastAsia" w:hAnsiTheme="minorEastAsia" w:hint="eastAsia"/>
          <w:color w:val="000000" w:themeColor="text1"/>
          <w:szCs w:val="21"/>
        </w:rPr>
        <w:t>40</w:t>
      </w:r>
      <w:r w:rsidRPr="005A7DE6">
        <w:rPr>
          <w:rFonts w:asciiTheme="minorEastAsia" w:eastAsiaTheme="minorEastAsia" w:hAnsiTheme="minorEastAsia" w:hint="eastAsia"/>
          <w:color w:val="000000" w:themeColor="text1"/>
          <w:szCs w:val="21"/>
        </w:rPr>
        <w:t>％；债券回购最长期限为</w:t>
      </w:r>
      <w:r w:rsidRPr="005A7DE6">
        <w:rPr>
          <w:rFonts w:asciiTheme="minorEastAsia" w:eastAsiaTheme="minorEastAsia" w:hAnsiTheme="minorEastAsia" w:hint="eastAsia"/>
          <w:color w:val="000000" w:themeColor="text1"/>
          <w:szCs w:val="21"/>
        </w:rPr>
        <w:t>1</w:t>
      </w:r>
      <w:r w:rsidRPr="005A7DE6">
        <w:rPr>
          <w:rFonts w:asciiTheme="minorEastAsia" w:eastAsiaTheme="minorEastAsia" w:hAnsiTheme="minorEastAsia" w:hint="eastAsia"/>
          <w:color w:val="000000" w:themeColor="text1"/>
          <w:szCs w:val="21"/>
        </w:rPr>
        <w:t>年，债券回购到期后不得展期；</w:t>
      </w:r>
    </w:p>
    <w:p w:rsidR="00FB4165" w:rsidRPr="005A7DE6" w:rsidP="00FB4165">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hint="eastAsia"/>
          <w:color w:val="000000" w:themeColor="text1"/>
          <w:szCs w:val="21"/>
        </w:rPr>
        <w:t>7</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hint="eastAsia"/>
          <w:color w:val="000000" w:themeColor="text1"/>
          <w:szCs w:val="21"/>
        </w:rPr>
        <w:t>本基金投资于同一原始权益人的各类资产支持证券的比例，不得超过基金资产净值的</w:t>
      </w:r>
      <w:r w:rsidRPr="005A7DE6">
        <w:rPr>
          <w:rFonts w:asciiTheme="minorEastAsia" w:eastAsiaTheme="minorEastAsia" w:hAnsiTheme="minorEastAsia" w:hint="eastAsia"/>
          <w:color w:val="000000" w:themeColor="text1"/>
          <w:szCs w:val="21"/>
        </w:rPr>
        <w:t>10</w:t>
      </w:r>
      <w:r w:rsidRPr="005A7DE6">
        <w:rPr>
          <w:rFonts w:asciiTheme="minorEastAsia" w:eastAsiaTheme="minorEastAsia" w:hAnsiTheme="minorEastAsia" w:hint="eastAsia"/>
          <w:color w:val="000000" w:themeColor="text1"/>
          <w:szCs w:val="21"/>
        </w:rPr>
        <w:t>％；本基金持有的全部资产支持</w:t>
      </w:r>
      <w:r w:rsidRPr="005A7DE6">
        <w:rPr>
          <w:rFonts w:asciiTheme="minorEastAsia" w:eastAsiaTheme="minorEastAsia" w:hAnsiTheme="minorEastAsia" w:hint="eastAsia"/>
          <w:color w:val="000000" w:themeColor="text1"/>
          <w:szCs w:val="21"/>
        </w:rPr>
        <w:t>证券，其市值不得超过基金资产净值的</w:t>
      </w:r>
      <w:r w:rsidRPr="005A7DE6">
        <w:rPr>
          <w:rFonts w:asciiTheme="minorEastAsia" w:eastAsiaTheme="minorEastAsia" w:hAnsiTheme="minorEastAsia" w:hint="eastAsia"/>
          <w:color w:val="000000" w:themeColor="text1"/>
          <w:szCs w:val="21"/>
        </w:rPr>
        <w:t>20</w:t>
      </w:r>
      <w:r w:rsidRPr="005A7DE6">
        <w:rPr>
          <w:rFonts w:asciiTheme="minorEastAsia" w:eastAsiaTheme="minorEastAsia" w:hAnsiTheme="minorEastAsia" w:hint="eastAsia"/>
          <w:color w:val="000000" w:themeColor="text1"/>
          <w:szCs w:val="21"/>
        </w:rPr>
        <w:t>％；本基金持有的同一</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hint="eastAsia"/>
          <w:color w:val="000000" w:themeColor="text1"/>
          <w:szCs w:val="21"/>
        </w:rPr>
        <w:t>指同一信用级别</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hint="eastAsia"/>
          <w:color w:val="000000" w:themeColor="text1"/>
          <w:szCs w:val="21"/>
        </w:rPr>
        <w:t>资产支持证券的比例，不得超过该资产支持证券规模的</w:t>
      </w:r>
      <w:r w:rsidRPr="005A7DE6">
        <w:rPr>
          <w:rFonts w:asciiTheme="minorEastAsia" w:eastAsiaTheme="minorEastAsia" w:hAnsiTheme="minorEastAsia" w:hint="eastAsia"/>
          <w:color w:val="000000" w:themeColor="text1"/>
          <w:szCs w:val="21"/>
        </w:rPr>
        <w:t>10</w:t>
      </w:r>
      <w:r w:rsidRPr="005A7DE6">
        <w:rPr>
          <w:rFonts w:asciiTheme="minorEastAsia" w:eastAsiaTheme="minorEastAsia" w:hAnsiTheme="minorEastAsia" w:hint="eastAsia"/>
          <w:color w:val="000000" w:themeColor="text1"/>
          <w:szCs w:val="21"/>
        </w:rPr>
        <w:t>％；</w:t>
      </w:r>
    </w:p>
    <w:p w:rsidR="00FB4165" w:rsidRPr="005A7DE6" w:rsidP="00FB4165">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hint="eastAsia"/>
          <w:color w:val="000000" w:themeColor="text1"/>
          <w:szCs w:val="21"/>
        </w:rPr>
        <w:t>8</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hint="eastAsia"/>
          <w:color w:val="000000" w:themeColor="text1"/>
          <w:szCs w:val="21"/>
        </w:rPr>
        <w:t>本基金管理人管理的全部基金投资于同一原始权益人的各类资产支持证券，不得超过其各类资产支持证券合计规模的</w:t>
      </w:r>
      <w:r w:rsidRPr="005A7DE6">
        <w:rPr>
          <w:rFonts w:asciiTheme="minorEastAsia" w:eastAsiaTheme="minorEastAsia" w:hAnsiTheme="minorEastAsia" w:hint="eastAsia"/>
          <w:color w:val="000000" w:themeColor="text1"/>
          <w:szCs w:val="21"/>
        </w:rPr>
        <w:t>10</w:t>
      </w:r>
      <w:r w:rsidRPr="005A7DE6">
        <w:rPr>
          <w:rFonts w:asciiTheme="minorEastAsia" w:eastAsiaTheme="minorEastAsia" w:hAnsiTheme="minorEastAsia" w:hint="eastAsia"/>
          <w:color w:val="000000" w:themeColor="text1"/>
          <w:szCs w:val="21"/>
        </w:rPr>
        <w:t>％；本基金应投资于信用级别评级为</w:t>
      </w:r>
      <w:r w:rsidRPr="005A7DE6">
        <w:rPr>
          <w:rFonts w:asciiTheme="minorEastAsia" w:eastAsiaTheme="minorEastAsia" w:hAnsiTheme="minorEastAsia" w:hint="eastAsia"/>
          <w:color w:val="000000" w:themeColor="text1"/>
          <w:szCs w:val="21"/>
        </w:rPr>
        <w:t>BBB</w:t>
      </w:r>
      <w:r w:rsidRPr="005A7DE6">
        <w:rPr>
          <w:rFonts w:asciiTheme="minorEastAsia" w:eastAsiaTheme="minorEastAsia" w:hAnsiTheme="minorEastAsia" w:hint="eastAsia"/>
          <w:color w:val="000000" w:themeColor="text1"/>
          <w:szCs w:val="21"/>
        </w:rPr>
        <w:t>以上</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hint="eastAsia"/>
          <w:color w:val="000000" w:themeColor="text1"/>
          <w:szCs w:val="21"/>
        </w:rPr>
        <w:t>含</w:t>
      </w:r>
      <w:r w:rsidRPr="005A7DE6">
        <w:rPr>
          <w:rFonts w:asciiTheme="minorEastAsia" w:eastAsiaTheme="minorEastAsia" w:hAnsiTheme="minorEastAsia" w:hint="eastAsia"/>
          <w:color w:val="000000" w:themeColor="text1"/>
          <w:szCs w:val="21"/>
        </w:rPr>
        <w:t>BBB)</w:t>
      </w:r>
      <w:r w:rsidRPr="005A7DE6">
        <w:rPr>
          <w:rFonts w:asciiTheme="minorEastAsia" w:eastAsiaTheme="minorEastAsia" w:hAnsiTheme="minorEastAsia" w:hint="eastAsia"/>
          <w:color w:val="000000" w:themeColor="text1"/>
          <w:szCs w:val="21"/>
        </w:rPr>
        <w:t>的资产支持证券，本基金持有资产支持证券期间，如果其信用等级下降、不再符合投资标准，应在评级报告发布之日起</w:t>
      </w:r>
      <w:r w:rsidRPr="005A7DE6">
        <w:rPr>
          <w:rFonts w:asciiTheme="minorEastAsia" w:eastAsiaTheme="minorEastAsia" w:hAnsiTheme="minorEastAsia" w:hint="eastAsia"/>
          <w:color w:val="000000" w:themeColor="text1"/>
          <w:szCs w:val="21"/>
        </w:rPr>
        <w:t>3</w:t>
      </w:r>
      <w:r w:rsidRPr="005A7DE6">
        <w:rPr>
          <w:rFonts w:asciiTheme="minorEastAsia" w:eastAsiaTheme="minorEastAsia" w:hAnsiTheme="minorEastAsia" w:hint="eastAsia"/>
          <w:color w:val="000000" w:themeColor="text1"/>
          <w:szCs w:val="21"/>
        </w:rPr>
        <w:t>个月内予以全部卖出；</w:t>
      </w:r>
    </w:p>
    <w:p w:rsidR="00FB4165" w:rsidRPr="005A7DE6" w:rsidP="00FB4165">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hint="eastAsia"/>
          <w:color w:val="000000" w:themeColor="text1"/>
          <w:szCs w:val="21"/>
        </w:rPr>
        <w:t>9</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hint="eastAsia"/>
          <w:color w:val="000000" w:themeColor="text1"/>
          <w:szCs w:val="21"/>
        </w:rPr>
        <w:t>本基金主动投资于流动性受限资产的市值合计不得超过该基金资产净值的</w:t>
      </w:r>
      <w:r w:rsidRPr="005A7DE6">
        <w:rPr>
          <w:rFonts w:asciiTheme="minorEastAsia" w:eastAsiaTheme="minorEastAsia" w:hAnsiTheme="minorEastAsia" w:hint="eastAsia"/>
          <w:color w:val="000000" w:themeColor="text1"/>
          <w:szCs w:val="21"/>
        </w:rPr>
        <w:t>15%</w:t>
      </w:r>
      <w:r w:rsidRPr="005A7DE6">
        <w:rPr>
          <w:rFonts w:asciiTheme="minorEastAsia" w:eastAsiaTheme="minorEastAsia" w:hAnsiTheme="minorEastAsia" w:hint="eastAsia"/>
          <w:color w:val="000000" w:themeColor="text1"/>
          <w:szCs w:val="21"/>
        </w:rPr>
        <w:t>。</w:t>
      </w:r>
    </w:p>
    <w:p w:rsidR="00FB4165" w:rsidRPr="005A7DE6" w:rsidP="00FB4165">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因证</w:t>
      </w:r>
      <w:r w:rsidRPr="005A7DE6">
        <w:rPr>
          <w:rFonts w:asciiTheme="minorEastAsia" w:eastAsiaTheme="minorEastAsia" w:hAnsiTheme="minorEastAsia" w:hint="eastAsia"/>
          <w:color w:val="000000" w:themeColor="text1"/>
          <w:szCs w:val="21"/>
        </w:rPr>
        <w:t>券市场波动、证券停牌、基金规模变动等基金管理人之外的因素致使基金不符合前款所规定比例限制的，基金管理人不得主动新增流动性受限资产的投资；</w:t>
      </w:r>
    </w:p>
    <w:p w:rsidR="00FB4165" w:rsidRPr="005A7DE6" w:rsidP="00FB4165">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hint="eastAsia"/>
          <w:color w:val="000000" w:themeColor="text1"/>
          <w:szCs w:val="21"/>
        </w:rPr>
        <w:t>1</w:t>
      </w:r>
      <w:r w:rsidRPr="005A7DE6">
        <w:rPr>
          <w:rFonts w:asciiTheme="minorEastAsia" w:eastAsiaTheme="minorEastAsia" w:hAnsiTheme="minorEastAsia"/>
          <w:color w:val="000000" w:themeColor="text1"/>
          <w:szCs w:val="21"/>
        </w:rPr>
        <w:t>0</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hint="eastAsia"/>
          <w:color w:val="000000" w:themeColor="text1"/>
          <w:szCs w:val="21"/>
        </w:rPr>
        <w:t>本基金与私募类证券资管产品及中国证监会认定的其他主体为交易对手开展逆回购交易的，可接受质押品的资质要求应当与基金合同约定的投资范围保持一致；</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hint="eastAsia"/>
          <w:color w:val="000000" w:themeColor="text1"/>
          <w:szCs w:val="21"/>
        </w:rPr>
        <w:t>1</w:t>
      </w: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hint="eastAsia"/>
          <w:color w:val="000000" w:themeColor="text1"/>
          <w:szCs w:val="21"/>
        </w:rPr>
        <w:t>本基金资产投资不得违反法律法规、监管部门以及基金合同规定的其他比例限制。</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除上述（</w:t>
      </w:r>
      <w:r w:rsidRPr="005A7DE6">
        <w:rPr>
          <w:rFonts w:asciiTheme="minorEastAsia" w:eastAsiaTheme="minorEastAsia" w:hAnsiTheme="minorEastAsia" w:hint="eastAsia"/>
          <w:color w:val="000000" w:themeColor="text1"/>
          <w:szCs w:val="21"/>
        </w:rPr>
        <w:t>2</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hint="eastAsia"/>
          <w:color w:val="000000" w:themeColor="text1"/>
          <w:szCs w:val="21"/>
        </w:rPr>
        <w:t>9</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hint="eastAsia"/>
          <w:color w:val="000000" w:themeColor="text1"/>
          <w:szCs w:val="21"/>
        </w:rPr>
        <w:t>10</w:t>
      </w:r>
      <w:r w:rsidRPr="005A7DE6">
        <w:rPr>
          <w:rFonts w:asciiTheme="minorEastAsia" w:eastAsiaTheme="minorEastAsia" w:hAnsiTheme="minorEastAsia" w:hint="eastAsia"/>
          <w:color w:val="000000" w:themeColor="text1"/>
          <w:szCs w:val="21"/>
        </w:rPr>
        <w:t>）以外，</w:t>
      </w:r>
      <w:r w:rsidRPr="005A7DE6">
        <w:rPr>
          <w:rFonts w:asciiTheme="minorEastAsia" w:eastAsiaTheme="minorEastAsia" w:hAnsiTheme="minorEastAsia"/>
          <w:color w:val="000000" w:themeColor="text1"/>
          <w:szCs w:val="21"/>
        </w:rPr>
        <w:t>对于因证券市场波动、上市公司合并、基金规模变动等原因导致基金的投资不符合基金合同的约定的，基金管理人应在</w:t>
      </w: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0</w:t>
      </w:r>
      <w:r w:rsidRPr="005A7DE6">
        <w:rPr>
          <w:rFonts w:asciiTheme="minorEastAsia" w:eastAsiaTheme="minorEastAsia" w:hAnsiTheme="minorEastAsia"/>
          <w:color w:val="000000" w:themeColor="text1"/>
          <w:szCs w:val="21"/>
        </w:rPr>
        <w:t>个交易日内进行调整，以达到上述标准。法律、法规另有规定时，从其规定。如果法律法规对上述投资比例限制进行变更的，以变更后的规定为准。如法律法规或监管部门取消上述限制，且适用于本基金，则本基金投资不再受相当限制，不需要经基金份额持有人大会审议。</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基金管理人应当自基金合同生效之日起</w:t>
      </w:r>
      <w:r w:rsidRPr="005A7DE6">
        <w:rPr>
          <w:rFonts w:asciiTheme="minorEastAsia" w:eastAsiaTheme="minorEastAsia" w:hAnsiTheme="minorEastAsia"/>
          <w:color w:val="000000" w:themeColor="text1"/>
          <w:szCs w:val="21"/>
        </w:rPr>
        <w:t>6</w:t>
      </w:r>
      <w:r w:rsidRPr="005A7DE6">
        <w:rPr>
          <w:rFonts w:asciiTheme="minorEastAsia" w:eastAsiaTheme="minorEastAsia" w:hAnsiTheme="minorEastAsia"/>
          <w:color w:val="000000" w:themeColor="text1"/>
          <w:szCs w:val="21"/>
        </w:rPr>
        <w:t>个月内使基金的投资组合比例符合基金合同的有关约定。基金托管人对基金的投资的监督与检查自本基金合同生效之日起开始。</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托管人根据有关法律法规的规定及基金合同的约定，对本托管协议第十五条第九款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单发送给对方。</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若基金托管人发现基金管理人与关联交易名单中列示的关联方进行</w:t>
      </w:r>
      <w:r w:rsidRPr="005A7DE6">
        <w:rPr>
          <w:rFonts w:asciiTheme="minorEastAsia" w:eastAsiaTheme="minorEastAsia" w:hAnsiTheme="minorEastAsia"/>
          <w:color w:val="000000" w:themeColor="text1"/>
          <w:szCs w:val="21"/>
        </w:rPr>
        <w:t>法律法规禁止基金从事的关联交易时，如基金托管人提醒基金管理人后仍无法阻止关联交易发生时，基金托管人有权向中国证监会报告。对于基金管理人已成交的关联交易，基金托管人事前无法阻止该</w:t>
      </w:r>
      <w:r w:rsidRPr="005A7DE6">
        <w:rPr>
          <w:rFonts w:asciiTheme="minorEastAsia" w:eastAsiaTheme="minorEastAsia" w:hAnsiTheme="minorEastAsia"/>
          <w:color w:val="000000" w:themeColor="text1"/>
          <w:szCs w:val="21"/>
        </w:rPr>
        <w:t>关联交易的发生，只能进行事后结算。基金托管人不承担由此造成的损失，并向中国证监会报告。</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4</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基金托管人根据有关法律法规的规定及《基金合同》的约定，对基金管理人选择存款银行进行监督。</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基金投资银行定期存款的，基金管理人应根据法律法规的规定及《基金合同》的约定，确定符合条件的所有存款银行的名单，并及时提供给基金托管人，基金托管人应据以对基</w:t>
      </w:r>
      <w:r w:rsidRPr="005A7DE6">
        <w:rPr>
          <w:rFonts w:asciiTheme="minorEastAsia" w:eastAsiaTheme="minorEastAsia" w:hAnsiTheme="minorEastAsia"/>
          <w:color w:val="000000" w:themeColor="text1"/>
          <w:szCs w:val="21"/>
        </w:rPr>
        <w:t>金投资银行存款的交易对手是否符合有关规定进行监督。</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本基金投资银行存款应符合如下规定：</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）基金管理人、基金托管人应当与存款银行建立定期对账机制，确保基金银行存款业务账目及核算的真实、准确。</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color w:val="000000" w:themeColor="text1"/>
          <w:szCs w:val="21"/>
        </w:rPr>
        <w:t>）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3</w:t>
      </w:r>
      <w:r w:rsidRPr="005A7DE6">
        <w:rPr>
          <w:rFonts w:asciiTheme="minorEastAsia" w:eastAsiaTheme="minorEastAsia" w:hAnsiTheme="minorEastAsia"/>
          <w:color w:val="000000" w:themeColor="text1"/>
          <w:szCs w:val="21"/>
        </w:rPr>
        <w:t>）基金托管人应加强对</w:t>
      </w:r>
      <w:r w:rsidRPr="005A7DE6">
        <w:rPr>
          <w:rFonts w:asciiTheme="minorEastAsia" w:eastAsiaTheme="minorEastAsia" w:hAnsiTheme="minorEastAsia"/>
          <w:color w:val="000000" w:themeColor="text1"/>
          <w:szCs w:val="21"/>
        </w:rPr>
        <w:t>基金银行存款业务的监督与核查，严格审查、复核相关协议、账户资料、投资指令、存款证实书等有关文件，切实履行托管职责。</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4</w:t>
      </w:r>
      <w:r w:rsidRPr="005A7DE6">
        <w:rPr>
          <w:rFonts w:asciiTheme="minorEastAsia" w:eastAsiaTheme="minorEastAsia" w:hAnsiTheme="minorEastAsia"/>
          <w:color w:val="000000" w:themeColor="text1"/>
          <w:szCs w:val="21"/>
        </w:rPr>
        <w:t>）基金管理人与基金托管人在开展基金存款业务时，应严格遵守《基金法》、《运作办法》等有关法律法规，以及国家有关账户管理、利率管理、支付结算等的各项规定。</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基金托管人发现基金管理人在选择存款银行时有违反有关法律法规的规定及《基金合同》的约定的行为，应及时以书面形式通知基金管理人在</w:t>
      </w:r>
      <w:r w:rsidRPr="005A7DE6">
        <w:rPr>
          <w:rFonts w:asciiTheme="minorEastAsia" w:eastAsiaTheme="minorEastAsia" w:hAnsiTheme="minorEastAsia"/>
          <w:color w:val="000000" w:themeColor="text1"/>
          <w:szCs w:val="21"/>
        </w:rPr>
        <w:t>10</w:t>
      </w:r>
      <w:r w:rsidRPr="005A7DE6">
        <w:rPr>
          <w:rFonts w:asciiTheme="minorEastAsia" w:eastAsiaTheme="minorEastAsia" w:hAnsiTheme="minorEastAsia"/>
          <w:color w:val="000000" w:themeColor="text1"/>
          <w:szCs w:val="21"/>
        </w:rPr>
        <w:t>个工作日内纠正。基金管理人对基金托管人通知的违规事项未能在</w:t>
      </w:r>
      <w:r w:rsidRPr="005A7DE6">
        <w:rPr>
          <w:rFonts w:asciiTheme="minorEastAsia" w:eastAsiaTheme="minorEastAsia" w:hAnsiTheme="minorEastAsia"/>
          <w:color w:val="000000" w:themeColor="text1"/>
          <w:szCs w:val="21"/>
        </w:rPr>
        <w:t>10</w:t>
      </w:r>
      <w:r w:rsidRPr="005A7DE6">
        <w:rPr>
          <w:rFonts w:asciiTheme="minorEastAsia" w:eastAsiaTheme="minorEastAsia" w:hAnsiTheme="minorEastAsia"/>
          <w:color w:val="000000" w:themeColor="text1"/>
          <w:szCs w:val="21"/>
        </w:rPr>
        <w:t>个工作日内纠正的，基金托管人应报告中国证监会。基金</w:t>
      </w:r>
      <w:r w:rsidRPr="005A7DE6">
        <w:rPr>
          <w:rFonts w:asciiTheme="minorEastAsia" w:eastAsiaTheme="minorEastAsia" w:hAnsiTheme="minorEastAsia"/>
          <w:color w:val="000000" w:themeColor="text1"/>
          <w:szCs w:val="21"/>
        </w:rPr>
        <w:t>托管人发现基金管理人有重大违规行为，应立即报告中国证监会，同时通知基金管理人在</w:t>
      </w:r>
      <w:r w:rsidRPr="005A7DE6">
        <w:rPr>
          <w:rFonts w:asciiTheme="minorEastAsia" w:eastAsiaTheme="minorEastAsia" w:hAnsiTheme="minorEastAsia"/>
          <w:color w:val="000000" w:themeColor="text1"/>
          <w:szCs w:val="21"/>
        </w:rPr>
        <w:t>10</w:t>
      </w:r>
      <w:r w:rsidRPr="005A7DE6">
        <w:rPr>
          <w:rFonts w:asciiTheme="minorEastAsia" w:eastAsiaTheme="minorEastAsia" w:hAnsiTheme="minorEastAsia"/>
          <w:color w:val="000000" w:themeColor="text1"/>
          <w:szCs w:val="21"/>
        </w:rPr>
        <w:t>个工作日内纠正或拒绝结算，若基金管理人拒不执行造成基金财产的损失，基金托管人不承担任何责任。</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5</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w:t>
      </w:r>
      <w:r w:rsidRPr="005A7DE6">
        <w:rPr>
          <w:rFonts w:asciiTheme="minorEastAsia" w:eastAsiaTheme="minorEastAsia" w:hAnsiTheme="minorEastAsia"/>
          <w:color w:val="000000" w:themeColor="text1"/>
          <w:szCs w:val="21"/>
        </w:rPr>
        <w:t>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前已与本次剔除的交易对手所进行但尚未结算的交易，仍应按照协议进行结算。如基金管理人根据市场需要临时调整银行间债券交易对手名单及结算方式的，应向基金托管人说明理由，并在与交易对手发生交易前</w:t>
      </w:r>
      <w:r w:rsidRPr="005A7DE6">
        <w:rPr>
          <w:rFonts w:asciiTheme="minorEastAsia" w:eastAsiaTheme="minorEastAsia" w:hAnsiTheme="minorEastAsia"/>
          <w:color w:val="000000" w:themeColor="text1"/>
          <w:szCs w:val="21"/>
        </w:rPr>
        <w:t>3</w:t>
      </w:r>
      <w:r w:rsidRPr="005A7DE6">
        <w:rPr>
          <w:rFonts w:asciiTheme="minorEastAsia" w:eastAsiaTheme="minorEastAsia" w:hAnsiTheme="minorEastAsia"/>
          <w:color w:val="000000" w:themeColor="text1"/>
          <w:szCs w:val="21"/>
        </w:rPr>
        <w:t>个交易日内与基金托管人协商解决。</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基金管理人负责对</w:t>
      </w:r>
      <w:r w:rsidRPr="005A7DE6">
        <w:rPr>
          <w:rFonts w:asciiTheme="minorEastAsia" w:eastAsiaTheme="minorEastAsia" w:hAnsiTheme="minorEastAsia"/>
          <w:color w:val="000000" w:themeColor="text1"/>
          <w:szCs w:val="21"/>
        </w:rPr>
        <w:t>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6</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本基金投资流通受限证券，应遵守《关于规范基金投资非公开</w:t>
      </w:r>
      <w:r w:rsidRPr="005A7DE6">
        <w:rPr>
          <w:rFonts w:asciiTheme="minorEastAsia" w:eastAsiaTheme="minorEastAsia" w:hAnsiTheme="minorEastAsia"/>
          <w:color w:val="000000" w:themeColor="text1"/>
          <w:szCs w:val="21"/>
        </w:rPr>
        <w:t>发行证券行为的紧急通知》、《关于基金投资非公开发行股票等流通受限证券有关问题的通知》等有关法律法规规定。</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本协议所称的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本基金可以投资经中国证监会批准的非公开发行证券，且限于由中国证券登记结算有限责任公司或中央国债登记结算有限责任公司负责登记和存管的，并可在证券交易所或全国银行间债券市场交易的证券。</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基金不得投资未经中国证监会批准的非公开发行证券。</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基金参与非公开发行证券的认购，不得预付任何形式的保证金，法律法规或中国证监会另有规定的除外。</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基金不得投资有锁定期但锁定期不明确的证券，且锁定期不得超过本基金的剩余期限。</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color w:val="000000" w:themeColor="text1"/>
          <w:szCs w:val="21"/>
        </w:rPr>
        <w:t>）基金管理人应在基金首次投资流通受限证券前，向基金托管人提供经基金管理人董事会批准的有关基金投资流通受限</w:t>
      </w:r>
      <w:r w:rsidRPr="005A7DE6">
        <w:rPr>
          <w:rFonts w:asciiTheme="minorEastAsia" w:eastAsiaTheme="minorEastAsia" w:hAnsiTheme="minorEastAsia"/>
          <w:color w:val="000000" w:themeColor="text1"/>
          <w:szCs w:val="21"/>
        </w:rPr>
        <w:t>证券的投资决策流程、风险控制制度。基金投资非公开发行股票，基金管理人还应提供基金管理人董事会批准的流动性风险处置预案。上述资料应包括但不限于基金投资流通受限证券的投资额度或投资比例控制情况。</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基金管理人对本基金投资受限证券的流动性风险负责，确保对相关风险采取积极有效的措施，在合理的时间内有效解决基金运作的流动</w:t>
      </w:r>
      <w:r w:rsidRPr="005A7DE6">
        <w:rPr>
          <w:rFonts w:asciiTheme="minorEastAsia" w:eastAsiaTheme="minorEastAsia" w:hAnsiTheme="minorEastAsia"/>
          <w:color w:val="000000" w:themeColor="text1"/>
          <w:szCs w:val="21"/>
        </w:rPr>
        <w:t>性问题。基金托管人对此不承担任何责任。</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3</w:t>
      </w:r>
      <w:r w:rsidRPr="005A7DE6">
        <w:rPr>
          <w:rFonts w:asciiTheme="minorEastAsia" w:eastAsiaTheme="minorEastAsia" w:hAnsiTheme="minorEastAsia"/>
          <w:color w:val="000000" w:themeColor="text1"/>
          <w:szCs w:val="21"/>
        </w:rPr>
        <w:t>）基金投资非公开发行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一个工作日将上述</w:t>
      </w:r>
      <w:r w:rsidRPr="005A7DE6">
        <w:rPr>
          <w:rFonts w:asciiTheme="minorEastAsia" w:eastAsiaTheme="minorEastAsia" w:hAnsiTheme="minorEastAsia"/>
          <w:color w:val="000000" w:themeColor="text1"/>
          <w:szCs w:val="21"/>
        </w:rPr>
        <w:t>信息书面发至基金托管人，保证基金托管人有足够的时间进行审核。</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由于基金管理人未及时提供有关证券的具体的必要的信息，致使托管人无法审核认购指令而影响认购款项划</w:t>
      </w:r>
      <w:r w:rsidRPr="005A7DE6">
        <w:rPr>
          <w:rFonts w:asciiTheme="minorEastAsia" w:eastAsiaTheme="minorEastAsia" w:hAnsiTheme="minorEastAsia"/>
          <w:color w:val="000000" w:themeColor="text1"/>
          <w:szCs w:val="21"/>
        </w:rPr>
        <w:t>拨的，基金托管人免于承担责任。</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4</w:t>
      </w:r>
      <w:r w:rsidRPr="005A7DE6">
        <w:rPr>
          <w:rFonts w:asciiTheme="minorEastAsia" w:eastAsiaTheme="minorEastAsia" w:hAnsiTheme="minorEastAsia"/>
          <w:color w:val="000000" w:themeColor="text1"/>
          <w:szCs w:val="21"/>
        </w:rPr>
        <w:t>）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7</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基金管理人应当对投资中</w:t>
      </w:r>
      <w:r w:rsidRPr="005A7DE6">
        <w:rPr>
          <w:rFonts w:asciiTheme="minorEastAsia" w:eastAsiaTheme="minorEastAsia" w:hAnsiTheme="minorEastAsia"/>
          <w:color w:val="000000" w:themeColor="text1"/>
          <w:szCs w:val="21"/>
        </w:rPr>
        <w:t>期票据业务进行研究，认真评估中期票据投资业务的风险，本着审慎、勤勉尽责的原则进行中期票据的投资业务。基金管理人根据法律、法规、监管部门的规定，制定了经公司董事会批准的基金投资中期票据相关制度</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以下简称《制度》</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，以规范对中期票据的投资决策流程、风险控制。基金管理人《制度》的内容与本协议不一致的，以本协议的约定为准。</w:t>
      </w:r>
    </w:p>
    <w:p w:rsidR="00132C86"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1</w:t>
      </w:r>
      <w:r w:rsidRPr="005A7DE6">
        <w:rPr>
          <w:rFonts w:asciiTheme="minorEastAsia" w:eastAsiaTheme="minorEastAsia" w:hAnsiTheme="minorEastAsia"/>
          <w:color w:val="000000" w:themeColor="text1"/>
        </w:rPr>
        <w:t>）基金投资中期票据应遵循以下投资限制：</w:t>
      </w:r>
    </w:p>
    <w:p w:rsidR="00132C86"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中期票据属于固定收益类证券，基金投资中期票据应符合法律、法规及《基金合同》中关于该基金投资固定收益类证券的相关比例及期限限制；</w:t>
      </w:r>
    </w:p>
    <w:p w:rsidR="00132C86"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基金管理人管理的全部公募基金投资于一家企业发行的单期中期票据合计不超过该期证券的</w:t>
      </w:r>
      <w:r w:rsidRPr="005A7DE6">
        <w:rPr>
          <w:rFonts w:asciiTheme="minorEastAsia" w:eastAsiaTheme="minorEastAsia" w:hAnsiTheme="minorEastAsia"/>
          <w:color w:val="000000" w:themeColor="text1"/>
        </w:rPr>
        <w:t>10%</w:t>
      </w:r>
      <w:r w:rsidRPr="005A7DE6">
        <w:rPr>
          <w:rFonts w:asciiTheme="minorEastAsia" w:eastAsiaTheme="minorEastAsia" w:hAnsiTheme="minorEastAsia"/>
          <w:color w:val="000000" w:themeColor="text1"/>
        </w:rPr>
        <w:t>；</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color w:val="000000" w:themeColor="text1"/>
          <w:szCs w:val="21"/>
        </w:rPr>
        <w:t>）基金托管人对基金管理人流动性风险处置的监督职责限于：</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托管人对基金投资中期票据是否符合比例限制进行事后监督，如发现异常情况，应及时以书面形式通知基金管理人。基金管理人应积极配合和协助基金托管人的监督和核查。基金管理人接到通知后应及时核对并向基金托管人说明原因和解决措施。基金托管人有权随时对所通知事项进行复查</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督促基金管理人改正。基金管理人违规事项未能在限期内纠正的，基金托管人应报告中国证监会。</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3</w:t>
      </w:r>
      <w:r w:rsidRPr="005A7DE6">
        <w:rPr>
          <w:rFonts w:asciiTheme="minorEastAsia" w:eastAsiaTheme="minorEastAsia" w:hAnsiTheme="minorEastAsia"/>
          <w:color w:val="000000" w:themeColor="text1"/>
          <w:szCs w:val="21"/>
        </w:rPr>
        <w:t>）如因市场</w:t>
      </w:r>
      <w:r w:rsidRPr="005A7DE6">
        <w:rPr>
          <w:rFonts w:asciiTheme="minorEastAsia" w:eastAsiaTheme="minorEastAsia" w:hAnsiTheme="minorEastAsia"/>
          <w:color w:val="000000" w:themeColor="text1"/>
          <w:szCs w:val="21"/>
        </w:rPr>
        <w:t>变化，基金管理人投资的中期票据超过投资比例的，基金托管人有权要求基金管理人在</w:t>
      </w:r>
      <w:r w:rsidRPr="005A7DE6">
        <w:rPr>
          <w:rFonts w:asciiTheme="minorEastAsia" w:eastAsiaTheme="minorEastAsia" w:hAnsiTheme="minorEastAsia"/>
          <w:color w:val="000000" w:themeColor="text1"/>
          <w:szCs w:val="21"/>
        </w:rPr>
        <w:t>10</w:t>
      </w:r>
      <w:r w:rsidRPr="005A7DE6">
        <w:rPr>
          <w:rFonts w:asciiTheme="minorEastAsia" w:eastAsiaTheme="minorEastAsia" w:hAnsiTheme="minorEastAsia"/>
          <w:color w:val="000000" w:themeColor="text1"/>
          <w:szCs w:val="21"/>
        </w:rPr>
        <w:t>个交易日内将中期票据调整至规定的比例要求。</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8</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9</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基金托管人发现基金管理人的上述事项及投资指令或实际投资运作违反法律法规、基金合同和本托管协议的规定，应及时以电话提醒或书面提示等方式通知基金管理人限期纠正。基金管理人应</w:t>
      </w:r>
      <w:r w:rsidRPr="005A7DE6">
        <w:rPr>
          <w:rFonts w:asciiTheme="minorEastAsia" w:eastAsiaTheme="minorEastAsia" w:hAnsiTheme="minorEastAsia"/>
          <w:color w:val="000000" w:themeColor="text1"/>
          <w:szCs w:val="21"/>
        </w:rPr>
        <w:t>积极配合和协助基金托管人的监督和核查。基金管理人收到通知后应及时核对并回复基金托管人，对于收到的书面通知，基金管理人应以书面形式给基金托管人发出</w:t>
      </w:r>
      <w:r w:rsidRPr="005A7DE6">
        <w:rPr>
          <w:rFonts w:asciiTheme="minorEastAsia" w:eastAsiaTheme="minorEastAsia" w:hAnsiTheme="minorEastAsia"/>
          <w:color w:val="000000" w:themeColor="text1"/>
          <w:szCs w:val="21"/>
        </w:rPr>
        <w:t>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10</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基金管理人有义务配合和协助基金托管人依照法律法规、基金合同和本托管协议对基金业务执行核查。包括但不限于：对基金托管人发出的提示，基金管理</w:t>
      </w:r>
      <w:r w:rsidRPr="005A7DE6">
        <w:rPr>
          <w:rFonts w:asciiTheme="minorEastAsia" w:eastAsiaTheme="minorEastAsia" w:hAnsiTheme="minorEastAsia"/>
          <w:color w:val="000000" w:themeColor="text1"/>
          <w:szCs w:val="21"/>
        </w:rPr>
        <w:t>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11</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若基金托管人发现基金管理人依据交易程序已经生效的指令违反法律、行政法规和其他有关规定，或者违反基金合同约定的，应当立即通知基金管理人及时纠正，由此造成的损失由基金管理人承担。</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12</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基金托管人发现基金管理人有重大违规行为，应及时报告中国证监会，同时通知基金管理人限期纠正。</w:t>
      </w:r>
    </w:p>
    <w:p w:rsidR="00132C86"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735" w:name="_Toc94172498"/>
      <w:r w:rsidRPr="005A7DE6">
        <w:rPr>
          <w:rFonts w:asciiTheme="minorEastAsia" w:eastAsiaTheme="minorEastAsia" w:hAnsiTheme="minorEastAsia"/>
          <w:b w:val="0"/>
          <w:bCs/>
          <w:color w:val="000000" w:themeColor="text1"/>
        </w:rPr>
        <w:t>（三）基金管理人对基金托管人的</w:t>
      </w:r>
      <w:r w:rsidRPr="005A7DE6">
        <w:rPr>
          <w:rFonts w:asciiTheme="minorEastAsia" w:eastAsiaTheme="minorEastAsia" w:hAnsiTheme="minorEastAsia"/>
          <w:b w:val="0"/>
          <w:bCs/>
          <w:color w:val="000000" w:themeColor="text1"/>
        </w:rPr>
        <w:t>业务核查</w:t>
      </w:r>
      <w:bookmarkEnd w:id="3735"/>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书面通知后应及时核</w:t>
      </w:r>
      <w:r w:rsidRPr="005A7DE6">
        <w:rPr>
          <w:rFonts w:asciiTheme="minorEastAsia" w:eastAsiaTheme="minorEastAsia" w:hAnsiTheme="minorEastAsia"/>
          <w:color w:val="000000" w:themeColor="text1"/>
          <w:szCs w:val="21"/>
        </w:rPr>
        <w:t>对并以书面形式给基金管理人发出回函，说明违规原因及纠正期限，并保证在规定期限内及时改正。在上述规定期限内，基金管理人有权随时对通知事项进行复查，督促基金托管人改正。</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4</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基金管理人发现基金托管人有重大违规行为，应及时报告中国证监会，同时通知基金托管人限期纠正，并将纠正结果报告中国证监会。</w:t>
      </w:r>
    </w:p>
    <w:p w:rsidR="00132C86"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736" w:name="_Toc94172499"/>
      <w:r w:rsidRPr="005A7DE6">
        <w:rPr>
          <w:rFonts w:asciiTheme="minorEastAsia" w:eastAsiaTheme="minorEastAsia" w:hAnsiTheme="minorEastAsia"/>
          <w:b w:val="0"/>
          <w:bCs/>
          <w:color w:val="000000" w:themeColor="text1"/>
        </w:rPr>
        <w:t>（四）基金财产的保管</w:t>
      </w:r>
      <w:bookmarkEnd w:id="3736"/>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基金财产保管的原则</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）基金财产应独立于基金管理人、基金托管人的固有财产。</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color w:val="000000" w:themeColor="text1"/>
          <w:szCs w:val="21"/>
        </w:rPr>
        <w:t>）基金托管人应安全保管基金财产。</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3</w:t>
      </w:r>
      <w:r w:rsidRPr="005A7DE6">
        <w:rPr>
          <w:rFonts w:asciiTheme="minorEastAsia" w:eastAsiaTheme="minorEastAsia" w:hAnsiTheme="minorEastAsia"/>
          <w:color w:val="000000" w:themeColor="text1"/>
          <w:szCs w:val="21"/>
        </w:rPr>
        <w:t>）基金托管人按照规定开设基金财产的资金账户和证券账户。</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4</w:t>
      </w:r>
      <w:r w:rsidRPr="005A7DE6">
        <w:rPr>
          <w:rFonts w:asciiTheme="minorEastAsia" w:eastAsiaTheme="minorEastAsia" w:hAnsiTheme="minorEastAsia"/>
          <w:color w:val="000000" w:themeColor="text1"/>
          <w:szCs w:val="21"/>
        </w:rPr>
        <w:t>）基金托管人对所托管的不同基金财产分别设置账户，确保基金财产的完整与独立。</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5</w:t>
      </w:r>
      <w:r w:rsidRPr="005A7DE6">
        <w:rPr>
          <w:rFonts w:asciiTheme="minorEastAsia" w:eastAsiaTheme="minorEastAsia" w:hAnsiTheme="minorEastAsia"/>
          <w:color w:val="000000" w:themeColor="text1"/>
          <w:szCs w:val="21"/>
        </w:rPr>
        <w:t>）基金托管人根据基金管理人的指令，按照基金合同和本协议的约定保管基金财产。未经基金管理人的正当指令，不得自</w:t>
      </w:r>
      <w:r w:rsidRPr="005A7DE6">
        <w:rPr>
          <w:rFonts w:asciiTheme="minorEastAsia" w:eastAsiaTheme="minorEastAsia" w:hAnsiTheme="minorEastAsia"/>
          <w:color w:val="000000" w:themeColor="text1"/>
          <w:szCs w:val="21"/>
        </w:rPr>
        <w:t>行运用、处分、分配基金的任何资产。不属于基金托管人实际有效控制下的实物证券在基金托管人保管期间的损坏、灭失，由此产生的责任基金托管人不承担。</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6</w:t>
      </w:r>
      <w:r w:rsidRPr="005A7DE6">
        <w:rPr>
          <w:rFonts w:asciiTheme="minorEastAsia" w:eastAsiaTheme="minorEastAsia" w:hAnsiTheme="minorEastAsia"/>
          <w:color w:val="000000" w:themeColor="text1"/>
          <w:szCs w:val="21"/>
        </w:rPr>
        <w:t>）对于因为基金投资产生的应收资产，如基金托管人无法从公开信息或基金管理人提供的书面资料中获取到账日期信息的，应由基金管理人负责与有关当事人确定到账日期并通知基金托管人，到账日基金财产没有到达基金账户的，基金托管人应及时通知基金管理人采取措施进行催收。基金管理人未及时催收给基金财产造成损失的，基金管理人应负责向有关当事人追偿基金财产的损失。</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7</w:t>
      </w:r>
      <w:r w:rsidRPr="005A7DE6">
        <w:rPr>
          <w:rFonts w:asciiTheme="minorEastAsia" w:eastAsiaTheme="minorEastAsia" w:hAnsiTheme="minorEastAsia"/>
          <w:color w:val="000000" w:themeColor="text1"/>
          <w:szCs w:val="21"/>
        </w:rPr>
        <w:t>）基金托管人应安全、</w:t>
      </w:r>
      <w:r w:rsidRPr="005A7DE6">
        <w:rPr>
          <w:rFonts w:asciiTheme="minorEastAsia" w:eastAsiaTheme="minorEastAsia" w:hAnsiTheme="minorEastAsia"/>
          <w:color w:val="000000" w:themeColor="text1"/>
          <w:szCs w:val="21"/>
        </w:rPr>
        <w:t>完整地保管基金资产；未经基金管理人的正当指令，不得自行运用、处分、分配基金的任何资产。不属于基金托管人实际有效控制下的实物证券的损坏、灭失，基金托管人不承担责任。</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8</w:t>
      </w:r>
      <w:r w:rsidRPr="005A7DE6">
        <w:rPr>
          <w:rFonts w:asciiTheme="minorEastAsia" w:eastAsiaTheme="minorEastAsia" w:hAnsiTheme="minorEastAsia"/>
          <w:color w:val="000000" w:themeColor="text1"/>
          <w:szCs w:val="21"/>
        </w:rPr>
        <w:t>）基金托管人对因为基金管理人投资产生的存放或存管在基金托管人以外机构的委托财产，或交由期货公司或证券公司负责清算交收的委托资产（包括但不限于期货保证金账户内的资金、期货合约等）及其收益；由于该等机构或该机构会员单位等本合同当事人外第三方的欺诈、疏忽、过失或破产等原因给委托财产造成的损失等不承担责任。</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9</w:t>
      </w:r>
      <w:r w:rsidRPr="005A7DE6">
        <w:rPr>
          <w:rFonts w:asciiTheme="minorEastAsia" w:eastAsiaTheme="minorEastAsia" w:hAnsiTheme="minorEastAsia"/>
          <w:color w:val="000000" w:themeColor="text1"/>
          <w:szCs w:val="21"/>
        </w:rPr>
        <w:t>）除依据法律法规和基金合同的规定外，基</w:t>
      </w:r>
      <w:r w:rsidRPr="005A7DE6">
        <w:rPr>
          <w:rFonts w:asciiTheme="minorEastAsia" w:eastAsiaTheme="minorEastAsia" w:hAnsiTheme="minorEastAsia"/>
          <w:color w:val="000000" w:themeColor="text1"/>
          <w:szCs w:val="21"/>
        </w:rPr>
        <w:t>金托管人不得委托第三人托管基金财产。</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bookmarkStart w:id="3737" w:name="_Toc319688387"/>
      <w:bookmarkStart w:id="3738" w:name="_Toc319693511"/>
      <w:r w:rsidRPr="005A7DE6">
        <w:rPr>
          <w:rFonts w:asciiTheme="minorEastAsia" w:eastAsiaTheme="minorEastAsia" w:hAnsiTheme="minorEastAsia"/>
          <w:color w:val="000000" w:themeColor="text1"/>
        </w:rPr>
        <w:t>2</w:t>
      </w: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color w:val="000000" w:themeColor="text1"/>
        </w:rPr>
        <w:t>基金募集期间及募集资金的验资</w:t>
      </w:r>
      <w:bookmarkEnd w:id="3737"/>
      <w:bookmarkEnd w:id="3738"/>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1</w:t>
      </w:r>
      <w:r w:rsidRPr="005A7DE6">
        <w:rPr>
          <w:rFonts w:asciiTheme="minorEastAsia" w:eastAsiaTheme="minorEastAsia" w:hAnsiTheme="minorEastAsia"/>
          <w:color w:val="000000" w:themeColor="text1"/>
        </w:rPr>
        <w:t>）基金募集期间应开立</w:t>
      </w: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基金募集专户</w:t>
      </w: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，用于存放募集的资金。该账户由基金管理人开立并管理。</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2</w:t>
      </w:r>
      <w:r w:rsidRPr="005A7DE6">
        <w:rPr>
          <w:rFonts w:asciiTheme="minorEastAsia" w:eastAsiaTheme="minorEastAsia" w:hAnsiTheme="minorEastAsia"/>
          <w:color w:val="000000" w:themeColor="text1"/>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基金管理人应聘请具有从事证券相关业务资格的会计师事务所进行验资，出具验资报告。出具的验资报告由参加验资的</w:t>
      </w:r>
      <w:r w:rsidRPr="005A7DE6">
        <w:rPr>
          <w:rFonts w:asciiTheme="minorEastAsia" w:eastAsiaTheme="minorEastAsia" w:hAnsiTheme="minorEastAsia"/>
          <w:color w:val="000000" w:themeColor="text1"/>
        </w:rPr>
        <w:t>2</w:t>
      </w:r>
      <w:r w:rsidRPr="005A7DE6">
        <w:rPr>
          <w:rFonts w:asciiTheme="minorEastAsia" w:eastAsiaTheme="minorEastAsia" w:hAnsiTheme="minorEastAsia"/>
          <w:color w:val="000000" w:themeColor="text1"/>
        </w:rPr>
        <w:t>名或</w:t>
      </w:r>
      <w:r w:rsidRPr="005A7DE6">
        <w:rPr>
          <w:rFonts w:asciiTheme="minorEastAsia" w:eastAsiaTheme="minorEastAsia" w:hAnsiTheme="minorEastAsia"/>
          <w:color w:val="000000" w:themeColor="text1"/>
        </w:rPr>
        <w:t>2</w:t>
      </w:r>
      <w:r w:rsidRPr="005A7DE6">
        <w:rPr>
          <w:rFonts w:asciiTheme="minorEastAsia" w:eastAsiaTheme="minorEastAsia" w:hAnsiTheme="minorEastAsia"/>
          <w:color w:val="000000" w:themeColor="text1"/>
        </w:rPr>
        <w:t>名以上中国注册会</w:t>
      </w:r>
      <w:r w:rsidRPr="005A7DE6">
        <w:rPr>
          <w:rFonts w:asciiTheme="minorEastAsia" w:eastAsiaTheme="minorEastAsia" w:hAnsiTheme="minorEastAsia"/>
          <w:color w:val="000000" w:themeColor="text1"/>
        </w:rPr>
        <w:t>计师签字方为有效。</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3</w:t>
      </w:r>
      <w:r w:rsidRPr="005A7DE6">
        <w:rPr>
          <w:rFonts w:asciiTheme="minorEastAsia" w:eastAsiaTheme="minorEastAsia" w:hAnsiTheme="minorEastAsia"/>
          <w:color w:val="000000" w:themeColor="text1"/>
        </w:rPr>
        <w:t>）若基金募集期限届满，未能达到基金合同生效的条件，由基金管理人按法律法规规定或基金合同约定办理退款等事宜。</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bookmarkStart w:id="3739" w:name="_Toc319688388"/>
      <w:bookmarkStart w:id="3740" w:name="_Toc319693512"/>
      <w:r w:rsidRPr="005A7DE6">
        <w:rPr>
          <w:rFonts w:asciiTheme="minorEastAsia" w:eastAsiaTheme="minorEastAsia" w:hAnsiTheme="minorEastAsia"/>
          <w:color w:val="000000" w:themeColor="text1"/>
        </w:rPr>
        <w:t>3</w:t>
      </w: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color w:val="000000" w:themeColor="text1"/>
        </w:rPr>
        <w:t>基金银行账户的开立和管理</w:t>
      </w:r>
      <w:bookmarkEnd w:id="3739"/>
      <w:bookmarkEnd w:id="3740"/>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1</w:t>
      </w:r>
      <w:r w:rsidRPr="005A7DE6">
        <w:rPr>
          <w:rFonts w:asciiTheme="minorEastAsia" w:eastAsiaTheme="minorEastAsia" w:hAnsiTheme="minorEastAsia"/>
          <w:color w:val="000000" w:themeColor="text1"/>
        </w:rPr>
        <w:t>）基金托管人以基金的名义在其营业机构开立基金的银行账户，保管基金的银行存款，并根据基金管理人的指令办理资金收付。本基金的银行预留印鉴由基金托管人刻制、保管和使用。</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2</w:t>
      </w:r>
      <w:r w:rsidRPr="005A7DE6">
        <w:rPr>
          <w:rFonts w:asciiTheme="minorEastAsia" w:eastAsiaTheme="minorEastAsia" w:hAnsiTheme="minorEastAsia"/>
          <w:color w:val="000000" w:themeColor="text1"/>
        </w:rPr>
        <w:t>）基金银行账户的开立和使用，限于满足开展本基金业务的需要。基金托管人和基金管理人不得假借本基金的名义开立任何其他银行账户；亦不得使用基金的任何账户进行本基金业务以外的活动。</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3</w:t>
      </w:r>
      <w:r w:rsidRPr="005A7DE6">
        <w:rPr>
          <w:rFonts w:asciiTheme="minorEastAsia" w:eastAsiaTheme="minorEastAsia" w:hAnsiTheme="minorEastAsia"/>
          <w:color w:val="000000" w:themeColor="text1"/>
        </w:rPr>
        <w:t>）基金银行账户的开立和管理应符合法律法规及银行业监督管理机构的有关规定。</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bookmarkStart w:id="3741" w:name="_Toc319688389"/>
      <w:bookmarkStart w:id="3742" w:name="_Toc319693513"/>
      <w:r w:rsidRPr="005A7DE6">
        <w:rPr>
          <w:rFonts w:asciiTheme="minorEastAsia" w:eastAsiaTheme="minorEastAsia" w:hAnsiTheme="minorEastAsia"/>
          <w:color w:val="000000" w:themeColor="text1"/>
        </w:rPr>
        <w:t>4</w:t>
      </w: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color w:val="000000" w:themeColor="text1"/>
        </w:rPr>
        <w:t>基金证券账户和结算备付金账户的开立和管理</w:t>
      </w:r>
      <w:bookmarkEnd w:id="3741"/>
      <w:bookmarkEnd w:id="3742"/>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1</w:t>
      </w:r>
      <w:r w:rsidRPr="005A7DE6">
        <w:rPr>
          <w:rFonts w:asciiTheme="minorEastAsia" w:eastAsiaTheme="minorEastAsia" w:hAnsiTheme="minorEastAsia"/>
          <w:color w:val="000000" w:themeColor="text1"/>
        </w:rPr>
        <w:t>）基金托管人在中国证券登记结算有限责任公司上海分公司、深圳分公司为基金开立基金托管人与基金联名的证券账户。</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2</w:t>
      </w:r>
      <w:r w:rsidRPr="005A7DE6">
        <w:rPr>
          <w:rFonts w:asciiTheme="minorEastAsia" w:eastAsiaTheme="minorEastAsia" w:hAnsiTheme="minorEastAsia"/>
          <w:color w:val="000000" w:themeColor="text1"/>
        </w:rPr>
        <w:t>）基金证券账户的开立和使用，仅限于满足开展本基金业务的需要。基金托管人和基金管理人不得出借或未经对方书面同意擅自转让基金的任何证券账户，亦不得使用基金的任何账户进行本基金业务以外的活动。</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3</w:t>
      </w:r>
      <w:r w:rsidRPr="005A7DE6">
        <w:rPr>
          <w:rFonts w:asciiTheme="minorEastAsia" w:eastAsiaTheme="minorEastAsia" w:hAnsiTheme="minorEastAsia"/>
          <w:color w:val="000000" w:themeColor="text1"/>
        </w:rPr>
        <w:t>）基金证券账户的开立和证券账户卡的保管由基金托管人负责，账户资产的管理和运用由基金管理人负责。</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4</w:t>
      </w:r>
      <w:r w:rsidRPr="005A7DE6">
        <w:rPr>
          <w:rFonts w:asciiTheme="minorEastAsia" w:eastAsiaTheme="minorEastAsia" w:hAnsiTheme="minorEastAsia"/>
          <w:color w:val="000000" w:themeColor="text1"/>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5</w:t>
      </w:r>
      <w:r w:rsidRPr="005A7DE6">
        <w:rPr>
          <w:rFonts w:asciiTheme="minorEastAsia" w:eastAsiaTheme="minorEastAsia" w:hAnsiTheme="minorEastAsia"/>
          <w:color w:val="000000" w:themeColor="text1"/>
        </w:rPr>
        <w:t>）若中国证监会或其他监管机构在本托管协议订立日之后允许基金从事其他投资品种的投资业务，涉及相关账户的开立、使用的，若无相关规定，则基金</w:t>
      </w:r>
      <w:r w:rsidRPr="005A7DE6">
        <w:rPr>
          <w:rFonts w:asciiTheme="minorEastAsia" w:eastAsiaTheme="minorEastAsia" w:hAnsiTheme="minorEastAsia"/>
          <w:color w:val="000000" w:themeColor="text1"/>
        </w:rPr>
        <w:t>托管人比照上述关于</w:t>
      </w:r>
      <w:r w:rsidRPr="005A7DE6">
        <w:rPr>
          <w:rFonts w:asciiTheme="minorEastAsia" w:eastAsiaTheme="minorEastAsia" w:hAnsiTheme="minorEastAsia"/>
          <w:color w:val="000000" w:themeColor="text1"/>
          <w:szCs w:val="21"/>
        </w:rPr>
        <w:t>账户开立、使用的规定执行。</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bookmarkStart w:id="3743" w:name="_Toc319688390"/>
      <w:bookmarkStart w:id="3744" w:name="_Toc319693514"/>
      <w:r w:rsidRPr="005A7DE6">
        <w:rPr>
          <w:rFonts w:asciiTheme="minorEastAsia" w:eastAsiaTheme="minorEastAsia" w:hAnsiTheme="minorEastAsia"/>
          <w:color w:val="000000" w:themeColor="text1"/>
        </w:rPr>
        <w:t>5</w:t>
      </w: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color w:val="000000" w:themeColor="text1"/>
        </w:rPr>
        <w:t>债券托管专户的开设和管理</w:t>
      </w:r>
      <w:bookmarkEnd w:id="3743"/>
      <w:bookmarkEnd w:id="3744"/>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基金合同生效后，基金托管人根据中国人民银行、中央国债登记结算有限责任公司的有关规定，在中央国债登记结算有限责任公司开立债券托管账户，并代表基金进行银行间市场债券的结算。</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bookmarkStart w:id="3745" w:name="_Toc319688391"/>
      <w:bookmarkStart w:id="3746" w:name="_Toc319693515"/>
      <w:r w:rsidRPr="005A7DE6">
        <w:rPr>
          <w:rFonts w:asciiTheme="minorEastAsia" w:eastAsiaTheme="minorEastAsia" w:hAnsiTheme="minorEastAsia"/>
          <w:color w:val="000000" w:themeColor="text1"/>
        </w:rPr>
        <w:t>6</w:t>
      </w: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color w:val="000000" w:themeColor="text1"/>
        </w:rPr>
        <w:t>其他账户的开立和管理</w:t>
      </w:r>
      <w:bookmarkEnd w:id="3745"/>
      <w:bookmarkEnd w:id="3746"/>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1</w:t>
      </w:r>
      <w:r w:rsidRPr="005A7DE6">
        <w:rPr>
          <w:rFonts w:asciiTheme="minorEastAsia" w:eastAsiaTheme="minorEastAsia" w:hAnsiTheme="minorEastAsia"/>
          <w:color w:val="000000" w:themeColor="text1"/>
        </w:rPr>
        <w:t>）因业务发展需要而开立的其他账户，可以根据法律法规和基金合同的规定，由基金管理人协助基金托管人按照有关法律法规和本合同的约定协商后开立。新账户按有关规定使用并管理。</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2</w:t>
      </w:r>
      <w:r w:rsidRPr="005A7DE6">
        <w:rPr>
          <w:rFonts w:asciiTheme="minorEastAsia" w:eastAsiaTheme="minorEastAsia" w:hAnsiTheme="minorEastAsia"/>
          <w:color w:val="000000" w:themeColor="text1"/>
        </w:rPr>
        <w:t>）法律法规等有关规定对相关账户的开立和管理另有规定的，从其规定办理</w:t>
      </w:r>
      <w:r w:rsidRPr="005A7DE6">
        <w:rPr>
          <w:rFonts w:asciiTheme="minorEastAsia" w:eastAsiaTheme="minorEastAsia" w:hAnsiTheme="minorEastAsia"/>
          <w:color w:val="000000" w:themeColor="text1"/>
        </w:rPr>
        <w:t>。</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bookmarkStart w:id="3747" w:name="_Toc319688392"/>
      <w:bookmarkStart w:id="3748" w:name="_Toc319693516"/>
      <w:r w:rsidRPr="005A7DE6">
        <w:rPr>
          <w:rFonts w:asciiTheme="minorEastAsia" w:eastAsiaTheme="minorEastAsia" w:hAnsiTheme="minorEastAsia"/>
          <w:color w:val="000000" w:themeColor="text1"/>
        </w:rPr>
        <w:t>7</w:t>
      </w: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color w:val="000000" w:themeColor="text1"/>
        </w:rPr>
        <w:t>基金财产投资的有关有价凭证等的保管</w:t>
      </w:r>
      <w:bookmarkEnd w:id="3747"/>
      <w:bookmarkEnd w:id="3748"/>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rPr>
        <w:t>基金财产投资的有关实物证券等有价凭证按约定由基金托管人存放于基金托管人的保管库，或存入中央国债登记结算有限责任公司、中国证券登记结算有限责任公司上海分公司</w:t>
      </w: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深圳分公司或票据营业中心的代保管库，实物保管凭证由基金托管人持有。实物证券及银行定期存款存单等有价凭证的购买和转让，由基金托管人根据基金管理人的指令办理。基金</w:t>
      </w:r>
      <w:r w:rsidRPr="005A7DE6">
        <w:rPr>
          <w:rFonts w:asciiTheme="minorEastAsia" w:eastAsiaTheme="minorEastAsia" w:hAnsiTheme="minorEastAsia"/>
          <w:color w:val="000000" w:themeColor="text1"/>
          <w:szCs w:val="21"/>
        </w:rPr>
        <w:t>托管人对由上述存放机构及基金托管人以外机构实际有效控制的有价凭证不承担保管责任。</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bookmarkStart w:id="3749" w:name="_Toc319688393"/>
      <w:bookmarkStart w:id="3750" w:name="_Toc319693517"/>
      <w:r w:rsidRPr="005A7DE6">
        <w:rPr>
          <w:rFonts w:asciiTheme="minorEastAsia" w:eastAsiaTheme="minorEastAsia" w:hAnsiTheme="minorEastAsia"/>
          <w:color w:val="000000" w:themeColor="text1"/>
        </w:rPr>
        <w:t>8</w:t>
      </w: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color w:val="000000" w:themeColor="text1"/>
        </w:rPr>
        <w:t>与基金财产有关的重大合同的保管</w:t>
      </w:r>
      <w:bookmarkEnd w:id="3749"/>
      <w:bookmarkEnd w:id="3750"/>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由基金管理人代表基金签署的、与基金财</w:t>
      </w:r>
      <w:r w:rsidRPr="005A7DE6">
        <w:rPr>
          <w:rFonts w:asciiTheme="minorEastAsia" w:eastAsiaTheme="minorEastAsia" w:hAnsiTheme="minorEastAsia"/>
          <w:color w:val="000000" w:themeColor="text1"/>
          <w:szCs w:val="21"/>
        </w:rPr>
        <w:t>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基金合同终止后</w:t>
      </w:r>
      <w:r w:rsidRPr="005A7DE6">
        <w:rPr>
          <w:rFonts w:asciiTheme="minorEastAsia" w:eastAsiaTheme="minorEastAsia" w:hAnsiTheme="minorEastAsia"/>
          <w:color w:val="000000" w:themeColor="text1"/>
          <w:szCs w:val="21"/>
        </w:rPr>
        <w:t>15</w:t>
      </w:r>
      <w:r w:rsidRPr="005A7DE6">
        <w:rPr>
          <w:rFonts w:asciiTheme="minorEastAsia" w:eastAsiaTheme="minorEastAsia" w:hAnsiTheme="minorEastAsia"/>
          <w:color w:val="000000" w:themeColor="text1"/>
          <w:szCs w:val="21"/>
        </w:rPr>
        <w:t>年。</w:t>
      </w:r>
    </w:p>
    <w:p w:rsidR="00132C86"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751" w:name="_Toc94172500"/>
      <w:r w:rsidRPr="005A7DE6">
        <w:rPr>
          <w:rFonts w:asciiTheme="minorEastAsia" w:eastAsiaTheme="minorEastAsia" w:hAnsiTheme="minorEastAsia"/>
          <w:b w:val="0"/>
          <w:bCs/>
          <w:color w:val="000000" w:themeColor="text1"/>
        </w:rPr>
        <w:t>（五）基金资产净值计算与复核</w:t>
      </w:r>
      <w:bookmarkEnd w:id="3751"/>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基金资产净值的计算、复核与完成的时间及程序</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）基金资产净值</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基金资产净值是指基金资产总值减去负债后的金额。</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基金份额净值是指基金资产净值除以基金份额总数，基金份额净值的计算，精确到</w:t>
      </w:r>
      <w:r w:rsidRPr="005A7DE6">
        <w:rPr>
          <w:rFonts w:asciiTheme="minorEastAsia" w:eastAsiaTheme="minorEastAsia" w:hAnsiTheme="minorEastAsia"/>
          <w:color w:val="000000" w:themeColor="text1"/>
          <w:szCs w:val="21"/>
        </w:rPr>
        <w:t>0.0</w:t>
      </w:r>
      <w:r w:rsidRPr="005A7DE6" w:rsidR="0052477F">
        <w:rPr>
          <w:rFonts w:asciiTheme="minorEastAsia" w:eastAsiaTheme="minorEastAsia" w:hAnsiTheme="minorEastAsia"/>
          <w:color w:val="000000" w:themeColor="text1"/>
          <w:szCs w:val="21"/>
        </w:rPr>
        <w:t>0</w:t>
      </w:r>
      <w:r w:rsidRPr="005A7DE6">
        <w:rPr>
          <w:rFonts w:asciiTheme="minorEastAsia" w:eastAsiaTheme="minorEastAsia" w:hAnsiTheme="minorEastAsia"/>
          <w:color w:val="000000" w:themeColor="text1"/>
          <w:szCs w:val="21"/>
        </w:rPr>
        <w:t>01</w:t>
      </w:r>
      <w:r w:rsidRPr="005A7DE6">
        <w:rPr>
          <w:rFonts w:asciiTheme="minorEastAsia" w:eastAsiaTheme="minorEastAsia" w:hAnsiTheme="minorEastAsia"/>
          <w:color w:val="000000" w:themeColor="text1"/>
          <w:szCs w:val="21"/>
        </w:rPr>
        <w:t>元，小数点后第</w:t>
      </w:r>
      <w:r w:rsidRPr="005A7DE6" w:rsidR="0052477F">
        <w:rPr>
          <w:rFonts w:asciiTheme="minorEastAsia" w:eastAsiaTheme="minorEastAsia" w:hAnsiTheme="minorEastAsia"/>
          <w:color w:val="000000" w:themeColor="text1"/>
          <w:szCs w:val="21"/>
        </w:rPr>
        <w:t>五</w:t>
      </w:r>
      <w:r w:rsidRPr="005A7DE6">
        <w:rPr>
          <w:rFonts w:asciiTheme="minorEastAsia" w:eastAsiaTheme="minorEastAsia" w:hAnsiTheme="minorEastAsia"/>
          <w:color w:val="000000" w:themeColor="text1"/>
          <w:szCs w:val="21"/>
        </w:rPr>
        <w:t>位四舍五入，国家另有规定的，从其规定。</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基金管理人每个工作日计算基金资产净值及基金份额净值，经基金托管人复核，按法规规定和合同约定公告。</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bookmarkStart w:id="3752" w:name="_Toc319688395"/>
      <w:bookmarkStart w:id="3753" w:name="_Toc319693519"/>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2</w:t>
      </w:r>
      <w:r w:rsidRPr="005A7DE6">
        <w:rPr>
          <w:rFonts w:asciiTheme="minorEastAsia" w:eastAsiaTheme="minorEastAsia" w:hAnsiTheme="minorEastAsia"/>
          <w:color w:val="000000" w:themeColor="text1"/>
        </w:rPr>
        <w:t>）复核程序</w:t>
      </w:r>
      <w:bookmarkEnd w:id="3752"/>
      <w:bookmarkEnd w:id="3753"/>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基金管理人每个工作日对基金资产进行估值后，将基金份额净值结果发送基金托管人，经基金托管人复核无误后，由基金管理人按法规规定和合同约定对外公布。</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3</w:t>
      </w:r>
      <w:r w:rsidRPr="005A7DE6">
        <w:rPr>
          <w:rFonts w:asciiTheme="minorEastAsia" w:eastAsiaTheme="minorEastAsia" w:hAnsiTheme="minorEastAsia"/>
          <w:color w:val="000000" w:themeColor="text1"/>
        </w:rPr>
        <w:t>）根据有关法律法规，基金资产净值计算和基金会计核算的义务由基金</w:t>
      </w:r>
      <w:r w:rsidRPr="005A7DE6">
        <w:rPr>
          <w:rFonts w:asciiTheme="minorEastAsia" w:eastAsiaTheme="minorEastAsia" w:hAnsiTheme="minorEastAsia"/>
          <w:color w:val="000000" w:themeColor="text1"/>
        </w:rPr>
        <w:t>管理人承担。本基金的基金会计责任方由基金管理人担任，因此，就与本基金有关的会计问题，如经相关各方在平等基础上充分讨论后，仍无法达成一致意见的，基金管理人可决定按照基金管理人对基金净值的计算结果对外予以公布。</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w:t>
      </w: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color w:val="000000" w:themeColor="text1"/>
        </w:rPr>
        <w:t>基金资产估值方法和特殊情形的处理</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）估值对象</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基金所拥有的股票、权证、债券和银行存款本息、应收款项、其它投资等金融资产和金融负债。</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color w:val="000000" w:themeColor="text1"/>
          <w:szCs w:val="21"/>
        </w:rPr>
        <w:t>）具体投资品种估值方法</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证券交易所上市的有价证券的估值</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①</w:t>
      </w:r>
      <w:r w:rsidRPr="005A7DE6">
        <w:rPr>
          <w:rFonts w:asciiTheme="minorEastAsia" w:eastAsiaTheme="minorEastAsia" w:hAnsiTheme="minorEastAsia"/>
          <w:color w:val="000000" w:themeColor="text1"/>
          <w:szCs w:val="21"/>
        </w:rPr>
        <w:t>交易所上市的有价证券</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包括股票、权证等</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，以其估值日在证券交易所挂牌的市价</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收盘价</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估值；估值日无交易的，但最近交易日后经济环境未发生重大变化且证券发行机构未发生影响证券价格的重大事件的，以最近交易日的市价</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收盘价</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估值；如最近交易日后经济环境发生了重大变化或证券发行机构发生影响证券价格的重大事件的，可参考类似投资品种的现行市价及重大变化因素，调整最近交易市价，确定公允价格。</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②</w:t>
      </w:r>
      <w:r w:rsidRPr="005A7DE6">
        <w:rPr>
          <w:rFonts w:asciiTheme="minorEastAsia" w:eastAsiaTheme="minorEastAsia" w:hAnsiTheme="minorEastAsia"/>
          <w:color w:val="000000" w:themeColor="text1"/>
          <w:szCs w:val="21"/>
        </w:rPr>
        <w:t>交易所上市实行净价交易的债券按估值日收盘价估值，估值日没有交易的，但最近交</w:t>
      </w:r>
      <w:r w:rsidRPr="005A7DE6">
        <w:rPr>
          <w:rFonts w:asciiTheme="minorEastAsia" w:eastAsiaTheme="minorEastAsia" w:hAnsiTheme="minorEastAsia"/>
          <w:color w:val="000000" w:themeColor="text1"/>
          <w:szCs w:val="21"/>
        </w:rPr>
        <w:t>易日后经济环境未发生重大变化且证券发行机构未发生影响证券价格的重大事件的，按最近交易日的收盘价估值。如最近交易日后经济环境发生了重大变化或证券发行机构发生影响证券价格的重大事件的，可参考类似投资品种的现行市价及重大变化因素，调整最近交易市价，确定公允价格。</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③</w:t>
      </w:r>
      <w:r w:rsidRPr="005A7DE6">
        <w:rPr>
          <w:rFonts w:asciiTheme="minorEastAsia" w:eastAsiaTheme="minorEastAsia" w:hAnsiTheme="minorEastAsia"/>
          <w:color w:val="000000" w:themeColor="text1"/>
          <w:szCs w:val="21"/>
        </w:rPr>
        <w:t>交易所上市未实行净价交易的债券按估值日收盘价减去债券收盘价中所含的债券应收利息得到的净价进行估值；估值日没有交易的，但最近交易日后经济环境未发生重大变化且证券发行机构未发生影响证券价格的重大事件的，按最近交易日债券收盘价减去债券收盘价中所含的债券应收利</w:t>
      </w:r>
      <w:r w:rsidRPr="005A7DE6">
        <w:rPr>
          <w:rFonts w:asciiTheme="minorEastAsia" w:eastAsiaTheme="minorEastAsia" w:hAnsiTheme="minorEastAsia"/>
          <w:color w:val="000000" w:themeColor="text1"/>
          <w:szCs w:val="21"/>
        </w:rPr>
        <w:t>息得到的净价进行估值。如最近交易日后经济环境发生了重大变化或证券发行机构未发生影响证券价格的重大事件的，可参考类似投资品种的现行市价及重大变化等因素，调整最近交易日所采用的净价，确定公允价格</w:t>
      </w:r>
      <w:r w:rsidRPr="005A7DE6" w:rsidR="00F00F6D">
        <w:rPr>
          <w:rFonts w:asciiTheme="minorEastAsia" w:eastAsiaTheme="minorEastAsia" w:hAnsiTheme="minorEastAsia" w:hint="eastAsia"/>
          <w:color w:val="000000" w:themeColor="text1"/>
          <w:szCs w:val="21"/>
        </w:rPr>
        <w:t>。</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④</w:t>
      </w:r>
      <w:r w:rsidRPr="005A7DE6">
        <w:rPr>
          <w:rFonts w:asciiTheme="minorEastAsia" w:eastAsiaTheme="minorEastAsia" w:hAnsiTheme="minorEastAsia"/>
          <w:color w:val="000000" w:themeColor="text1"/>
          <w:szCs w:val="21"/>
        </w:rPr>
        <w:t>交易所上市不存在活跃市场的有价证券，采用估值技术确定公允价值。交易所上市的资产支持证券，采用估值技术确定公允价值，在估值技术难以可靠计量公允价值的情况下，按成本估值。</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处于未上市期间的有价证券应区分如下情况处理：</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①</w:t>
      </w:r>
      <w:r w:rsidRPr="005A7DE6">
        <w:rPr>
          <w:rFonts w:asciiTheme="minorEastAsia" w:eastAsiaTheme="minorEastAsia" w:hAnsiTheme="minorEastAsia"/>
          <w:color w:val="000000" w:themeColor="text1"/>
          <w:szCs w:val="21"/>
        </w:rPr>
        <w:t>送股、转增股、配股和公开增发的新股，按估值日在证券交易所挂牌的同一股票的估值价格估值；该日无交易</w:t>
      </w:r>
      <w:r w:rsidRPr="005A7DE6">
        <w:rPr>
          <w:rFonts w:asciiTheme="minorEastAsia" w:eastAsiaTheme="minorEastAsia" w:hAnsiTheme="minorEastAsia"/>
          <w:color w:val="000000" w:themeColor="text1"/>
          <w:szCs w:val="21"/>
        </w:rPr>
        <w:t>的，以最近一日的市价</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收盘价</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估值；</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②</w:t>
      </w:r>
      <w:r w:rsidRPr="005A7DE6">
        <w:rPr>
          <w:rFonts w:asciiTheme="minorEastAsia" w:eastAsiaTheme="minorEastAsia" w:hAnsiTheme="minorEastAsia"/>
          <w:color w:val="000000" w:themeColor="text1"/>
          <w:szCs w:val="21"/>
        </w:rPr>
        <w:t>首次公开发行未上市的股票、债券和权证，采用估值技术确定公允价值，在估值技术难以可靠计量公允价值的情况下，按成本估值。</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③</w:t>
      </w:r>
      <w:r w:rsidRPr="005A7DE6">
        <w:rPr>
          <w:rFonts w:asciiTheme="minorEastAsia" w:eastAsiaTheme="minorEastAsia" w:hAnsiTheme="minorEastAsia"/>
          <w:color w:val="000000" w:themeColor="text1"/>
          <w:szCs w:val="21"/>
        </w:rPr>
        <w:t>首次公开发行有明确锁定期的股票，同一股票在交易所上市后，按交易所上市的同一股票的估值价格估值；非公开发行有明确锁定期的股票，按监管机构或行业协会有关规定确定公允价值。</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全国银行间债券市场交易的债券、资产支持证券等固定收益品种，采用估值技术确定公允价值。</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4</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同一债券同时在两个或两个以上市场交易的，按债券所处的市场分别估值。</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5</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如有确凿证据表明按</w:t>
      </w:r>
      <w:r w:rsidRPr="005A7DE6">
        <w:rPr>
          <w:rFonts w:asciiTheme="minorEastAsia" w:eastAsiaTheme="minorEastAsia" w:hAnsiTheme="minorEastAsia"/>
          <w:color w:val="000000" w:themeColor="text1"/>
          <w:szCs w:val="21"/>
        </w:rPr>
        <w:t>上述方法进行估值不能客观反映其公允价值的，基金管理人可根据具体情况与基金托管人商定后，按最能反映公允价值的价格估值。</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6</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相关法律法规以及监管部门有强制规定的，从其规定。如有新增事项，按国家最新规定估值。</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根据有关法律法规，基金资产净值计算和基金会计核算的义务由基金管理人承担。本基金的基金会计责任方由基金管理人担任。因此，就与本基金有关的</w:t>
      </w:r>
      <w:r w:rsidRPr="005A7DE6">
        <w:rPr>
          <w:rFonts w:asciiTheme="minorEastAsia" w:eastAsiaTheme="minorEastAsia" w:hAnsiTheme="minorEastAsia"/>
          <w:color w:val="000000" w:themeColor="text1"/>
          <w:szCs w:val="21"/>
        </w:rPr>
        <w:t>会计问题，如经相关各方在平等基础上充分讨论后，仍无法达成一致的意见，按照基金管理人对基金资产净值的计算</w:t>
      </w:r>
      <w:r w:rsidRPr="005A7DE6">
        <w:rPr>
          <w:rFonts w:asciiTheme="minorEastAsia" w:eastAsiaTheme="minorEastAsia" w:hAnsiTheme="minorEastAsia"/>
          <w:color w:val="000000" w:themeColor="text1"/>
          <w:szCs w:val="21"/>
        </w:rPr>
        <w:t>结果对外予以公布。</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bookmarkStart w:id="3754" w:name="_Toc319688396"/>
      <w:bookmarkStart w:id="3755" w:name="_Toc319693520"/>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3</w:t>
      </w:r>
      <w:r w:rsidRPr="005A7DE6">
        <w:rPr>
          <w:rFonts w:asciiTheme="minorEastAsia" w:eastAsiaTheme="minorEastAsia" w:hAnsiTheme="minorEastAsia"/>
          <w:color w:val="000000" w:themeColor="text1"/>
        </w:rPr>
        <w:t>）特殊情形的处理</w:t>
      </w:r>
      <w:bookmarkEnd w:id="3754"/>
      <w:bookmarkEnd w:id="3755"/>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基金管理人、基金托管人按估值方法的第</w:t>
      </w:r>
      <w:r w:rsidRPr="005A7DE6">
        <w:rPr>
          <w:rFonts w:asciiTheme="minorEastAsia" w:eastAsiaTheme="minorEastAsia" w:hAnsiTheme="minorEastAsia"/>
          <w:color w:val="000000" w:themeColor="text1"/>
        </w:rPr>
        <w:t>5</w:t>
      </w:r>
      <w:r w:rsidRPr="005A7DE6">
        <w:rPr>
          <w:rFonts w:asciiTheme="minorEastAsia" w:eastAsiaTheme="minorEastAsia" w:hAnsiTheme="minorEastAsia"/>
          <w:color w:val="000000" w:themeColor="text1"/>
        </w:rPr>
        <w:t>项进行估值时，所造成的误差不作为基金份额净值错误处理。</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bookmarkStart w:id="3756" w:name="_Toc319688397"/>
      <w:bookmarkStart w:id="3757" w:name="_Toc319693521"/>
      <w:r w:rsidRPr="005A7DE6">
        <w:rPr>
          <w:rFonts w:asciiTheme="minorEastAsia" w:eastAsiaTheme="minorEastAsia" w:hAnsiTheme="minorEastAsia"/>
          <w:color w:val="000000" w:themeColor="text1"/>
        </w:rPr>
        <w:t>3</w:t>
      </w: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color w:val="000000" w:themeColor="text1"/>
        </w:rPr>
        <w:t>基金份额净值错误的处理方式</w:t>
      </w:r>
      <w:bookmarkEnd w:id="3756"/>
      <w:bookmarkEnd w:id="3757"/>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当基金份额净值小数点后</w:t>
      </w:r>
      <w:r w:rsidRPr="005A7DE6" w:rsidR="0052477F">
        <w:rPr>
          <w:rFonts w:asciiTheme="minorEastAsia" w:eastAsiaTheme="minorEastAsia" w:hAnsiTheme="minorEastAsia"/>
          <w:color w:val="000000" w:themeColor="text1"/>
        </w:rPr>
        <w:t>4</w:t>
      </w:r>
      <w:r w:rsidRPr="005A7DE6">
        <w:rPr>
          <w:rFonts w:asciiTheme="minorEastAsia" w:eastAsiaTheme="minorEastAsia" w:hAnsiTheme="minorEastAsia"/>
          <w:color w:val="000000" w:themeColor="text1"/>
        </w:rPr>
        <w:t>位以内</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含第</w:t>
      </w:r>
      <w:r w:rsidRPr="005A7DE6" w:rsidR="0052477F">
        <w:rPr>
          <w:rFonts w:asciiTheme="minorEastAsia" w:eastAsiaTheme="minorEastAsia" w:hAnsiTheme="minorEastAsia"/>
          <w:color w:val="000000" w:themeColor="text1"/>
        </w:rPr>
        <w:t>4</w:t>
      </w:r>
      <w:r w:rsidRPr="005A7DE6">
        <w:rPr>
          <w:rFonts w:asciiTheme="minorEastAsia" w:eastAsiaTheme="minorEastAsia" w:hAnsiTheme="minorEastAsia"/>
          <w:color w:val="000000" w:themeColor="text1"/>
        </w:rPr>
        <w:t>位</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发生差错时，视为基金份额净值错误；基金份额净值出现错误时，基金管理人应当立即予以纠正，通报基金托管人，并采取合理的措施防止损失进一步扩大；错误偏差达到或超过基金</w:t>
      </w:r>
      <w:r w:rsidRPr="005A7DE6" w:rsidR="004A08B7">
        <w:rPr>
          <w:rFonts w:asciiTheme="minorEastAsia" w:eastAsiaTheme="minorEastAsia" w:hAnsiTheme="minorEastAsia"/>
          <w:color w:val="000000" w:themeColor="text1"/>
        </w:rPr>
        <w:t>份额</w:t>
      </w:r>
      <w:r w:rsidRPr="005A7DE6">
        <w:rPr>
          <w:rFonts w:asciiTheme="minorEastAsia" w:eastAsiaTheme="minorEastAsia" w:hAnsiTheme="minorEastAsia"/>
          <w:color w:val="000000" w:themeColor="text1"/>
        </w:rPr>
        <w:t>净值的</w:t>
      </w:r>
      <w:r w:rsidRPr="005A7DE6">
        <w:rPr>
          <w:rFonts w:asciiTheme="minorEastAsia" w:eastAsiaTheme="minorEastAsia" w:hAnsiTheme="minorEastAsia"/>
          <w:color w:val="000000" w:themeColor="text1"/>
        </w:rPr>
        <w:t>0.25%</w:t>
      </w:r>
      <w:r w:rsidRPr="005A7DE6">
        <w:rPr>
          <w:rFonts w:asciiTheme="minorEastAsia" w:eastAsiaTheme="minorEastAsia" w:hAnsiTheme="minorEastAsia"/>
          <w:color w:val="000000" w:themeColor="text1"/>
        </w:rPr>
        <w:t>时，基金管理人应当通报基金托管人并报中国证监会备案；错误偏差达到或超过基金份额净值的</w:t>
      </w:r>
      <w:r w:rsidRPr="005A7DE6">
        <w:rPr>
          <w:rFonts w:asciiTheme="minorEastAsia" w:eastAsiaTheme="minorEastAsia" w:hAnsiTheme="minorEastAsia"/>
          <w:color w:val="000000" w:themeColor="text1"/>
        </w:rPr>
        <w:t>0.5%</w:t>
      </w:r>
      <w:r w:rsidRPr="005A7DE6">
        <w:rPr>
          <w:rFonts w:asciiTheme="minorEastAsia" w:eastAsiaTheme="minorEastAsia" w:hAnsiTheme="minorEastAsia"/>
          <w:color w:val="000000" w:themeColor="text1"/>
        </w:rPr>
        <w:t>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当基金份额净值计算差错给基金和基金份额持有人造成损失需要进行赔偿时，基金管理人和基金托管人应根据实际情况界定双方承担的责任，经确认后按以下条款进行赔偿：</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①</w:t>
      </w:r>
      <w:r w:rsidRPr="005A7DE6">
        <w:rPr>
          <w:rFonts w:asciiTheme="minorEastAsia" w:eastAsiaTheme="minorEastAsia" w:hAnsiTheme="minorEastAsia"/>
          <w:color w:val="000000" w:themeColor="text1"/>
          <w:szCs w:val="21"/>
        </w:rPr>
        <w:t>本基金的基金会计责任方由基金管理人</w:t>
      </w:r>
      <w:r w:rsidRPr="005A7DE6">
        <w:rPr>
          <w:rFonts w:asciiTheme="minorEastAsia" w:eastAsiaTheme="minorEastAsia" w:hAnsiTheme="minorEastAsia"/>
          <w:color w:val="000000" w:themeColor="text1"/>
          <w:szCs w:val="21"/>
        </w:rPr>
        <w:t>担任，与本基金有关的会计问题，如经双方在平等基础上充分讨论后，尚不能达成一致时，按基金管理人的建议执行，由此给基金份额持有人和基金财产造成的损失，由基金管理人负责赔付。</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②</w:t>
      </w:r>
      <w:r w:rsidRPr="005A7DE6">
        <w:rPr>
          <w:rFonts w:asciiTheme="minorEastAsia" w:eastAsiaTheme="minorEastAsia" w:hAnsiTheme="minorEastAsia"/>
          <w:color w:val="000000" w:themeColor="text1"/>
          <w:szCs w:val="21"/>
        </w:rPr>
        <w:t>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③</w:t>
      </w:r>
      <w:r w:rsidRPr="005A7DE6">
        <w:rPr>
          <w:rFonts w:asciiTheme="minorEastAsia" w:eastAsiaTheme="minorEastAsia" w:hAnsiTheme="minorEastAsia"/>
          <w:color w:val="000000" w:themeColor="text1"/>
          <w:szCs w:val="21"/>
        </w:rPr>
        <w:t>如基金管理人和基金托管人对基金份额净值的计算结果，虽然多次重新计算和核对或对基金管理人采用的估值方法，尚不能达成一致时，为避免不能按时公布基金份额净值的情形，基金管理人可决定按基金管理人的计算结果对外公布，由此给基金份额持有人和基金造成的损失，由基金管理人负责赔付。</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④</w:t>
      </w:r>
      <w:r w:rsidRPr="005A7DE6">
        <w:rPr>
          <w:rFonts w:asciiTheme="minorEastAsia" w:eastAsiaTheme="minorEastAsia" w:hAnsiTheme="minorEastAsia"/>
          <w:color w:val="000000" w:themeColor="text1"/>
          <w:szCs w:val="21"/>
        </w:rPr>
        <w:t>由于基金管理人提供的信息错误</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包括但不限于基金申购或赎回金额等</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，进而导致基金份额净值计算错误而引起的基金份额持有人和基金财产的损失，由基金管理人负责赔付；由于基金托管人提供的信息错误</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包括但不限于银行头寸等</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，进而导致基金份额净值计算错误而引起的基金份额持有人和基金财产的损失，由基金托管人负责赔付。</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3</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4</w:t>
      </w:r>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前述内容如法律法规或者监管部门另有规定的，从其规定。如果行业另有通行做法，双方当事人应本着平等和保护基金</w:t>
      </w:r>
      <w:r w:rsidRPr="005A7DE6">
        <w:rPr>
          <w:rFonts w:asciiTheme="minorEastAsia" w:eastAsiaTheme="minorEastAsia" w:hAnsiTheme="minorEastAsia"/>
          <w:color w:val="000000" w:themeColor="text1"/>
          <w:szCs w:val="21"/>
        </w:rPr>
        <w:t>份额持有人利益的原则进行协商。</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bookmarkStart w:id="3758" w:name="_Toc319688398"/>
      <w:bookmarkStart w:id="3759" w:name="_Toc319693522"/>
      <w:r w:rsidRPr="005A7DE6">
        <w:rPr>
          <w:rFonts w:asciiTheme="minorEastAsia" w:eastAsiaTheme="minorEastAsia" w:hAnsiTheme="minorEastAsia"/>
          <w:color w:val="000000" w:themeColor="text1"/>
        </w:rPr>
        <w:t>4</w:t>
      </w:r>
      <w:r w:rsidRPr="005A7DE6">
        <w:rPr>
          <w:rFonts w:asciiTheme="minorEastAsia" w:eastAsiaTheme="minorEastAsia" w:hAnsiTheme="minorEastAsia" w:hint="eastAsia"/>
          <w:color w:val="000000" w:themeColor="text1"/>
        </w:rPr>
        <w:t>、</w:t>
      </w:r>
      <w:r w:rsidRPr="005A7DE6">
        <w:rPr>
          <w:rFonts w:asciiTheme="minorEastAsia" w:eastAsiaTheme="minorEastAsia" w:hAnsiTheme="minorEastAsia"/>
          <w:color w:val="000000" w:themeColor="text1"/>
        </w:rPr>
        <w:t>暂停估值与公告基金份额净值的情形</w:t>
      </w:r>
      <w:bookmarkEnd w:id="3758"/>
      <w:bookmarkEnd w:id="3759"/>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基金投资所涉及的证券交易所遇法定节假日或因其他原因暂停营业时；</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因不可抗力或其他情形致使基金管理人、基金托管人无法准确评估基金资产价值时；</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w:t>
      </w:r>
      <w:r w:rsidRPr="005A7DE6" w:rsidR="005B19FC">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占基金相当比例的投资品种的估值出现重大转变，而基金管理人为保障投资人的利益，已决定延迟估值；</w:t>
      </w:r>
    </w:p>
    <w:p w:rsidR="00FB4165"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w:t>
      </w:r>
      <w:r w:rsidRPr="005A7DE6" w:rsidR="005B19FC">
        <w:rPr>
          <w:rFonts w:asciiTheme="minorEastAsia" w:eastAsiaTheme="minorEastAsia" w:hAnsiTheme="minorEastAsia"/>
          <w:color w:val="000000" w:themeColor="text1"/>
        </w:rPr>
        <w:t>）</w:t>
      </w:r>
      <w:r w:rsidRPr="005A7DE6" w:rsidR="00114344">
        <w:rPr>
          <w:rFonts w:asciiTheme="minorEastAsia" w:eastAsiaTheme="minorEastAsia" w:hAnsiTheme="minorEastAsia" w:hint="eastAsia"/>
          <w:color w:val="000000" w:themeColor="text1"/>
          <w:szCs w:val="21"/>
        </w:rPr>
        <w:t>当特定资产占前一估值日基金资产净值50%以上的，经与基金托管人协商确认后，基金管理人应当暂停估值</w:t>
      </w:r>
      <w:r w:rsidRPr="005A7DE6">
        <w:rPr>
          <w:rFonts w:asciiTheme="minorEastAsia" w:eastAsiaTheme="minorEastAsia" w:hAnsiTheme="minorEastAsia" w:hint="eastAsia"/>
          <w:color w:val="000000" w:themeColor="text1"/>
        </w:rPr>
        <w:t>；</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5</w:t>
      </w:r>
      <w:r w:rsidRPr="005A7DE6">
        <w:rPr>
          <w:rFonts w:asciiTheme="minorEastAsia" w:eastAsiaTheme="minorEastAsia" w:hAnsiTheme="minorEastAsia"/>
          <w:color w:val="000000" w:themeColor="text1"/>
        </w:rPr>
        <w:t>）中国证监会和基金合同认定的其他情形。</w:t>
      </w:r>
    </w:p>
    <w:p w:rsidR="00114344" w:rsidRPr="005A7DE6" w:rsidP="0032137D">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w:t>
      </w:r>
      <w:r w:rsidRPr="005A7DE6">
        <w:rPr>
          <w:rFonts w:asciiTheme="minorEastAsia" w:eastAsiaTheme="minorEastAsia" w:hAnsiTheme="minorEastAsia" w:hint="eastAsia"/>
          <w:color w:val="000000" w:themeColor="text1"/>
        </w:rPr>
        <w:t>、实施侧袋机制期间的基金资产估值</w:t>
      </w:r>
    </w:p>
    <w:p w:rsidR="00114344" w:rsidRPr="005A7DE6" w:rsidP="00114344">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本基金实施侧袋机制的，应根据本部分的约定对主袋账户资产进行估值并披露主袋账户的基金资产净值和份额净值，暂停披露侧袋账户份额净值。</w:t>
      </w:r>
    </w:p>
    <w:p w:rsidR="00132C86" w:rsidRPr="005A7DE6" w:rsidP="00114344">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szCs w:val="21"/>
        </w:rPr>
        <w:t>6</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rPr>
        <w:t>基金会计制度</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按国家有关部门规定的会计制度执行。</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7</w:t>
      </w:r>
      <w:r w:rsidRPr="005A7DE6" w:rsidR="004D6973">
        <w:rPr>
          <w:rFonts w:asciiTheme="minorEastAsia" w:eastAsiaTheme="minorEastAsia" w:hAnsiTheme="minorEastAsia" w:hint="eastAsia"/>
          <w:color w:val="000000" w:themeColor="text1"/>
        </w:rPr>
        <w:t>、</w:t>
      </w:r>
      <w:r w:rsidRPr="005A7DE6">
        <w:rPr>
          <w:rFonts w:asciiTheme="minorEastAsia" w:eastAsiaTheme="minorEastAsia" w:hAnsiTheme="minorEastAsia"/>
          <w:color w:val="000000" w:themeColor="text1"/>
        </w:rPr>
        <w:t>基金账册的建立</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rPr>
        <w:t>基金管理人和基金托管人在基金合同生效后，应按照双方约定的同一记账方法和会计处</w:t>
      </w:r>
      <w:r w:rsidRPr="005A7DE6">
        <w:rPr>
          <w:rFonts w:asciiTheme="minorEastAsia" w:eastAsiaTheme="minorEastAsia" w:hAnsiTheme="minorEastAsia"/>
          <w:color w:val="000000" w:themeColor="text1"/>
          <w:szCs w:val="21"/>
        </w:rPr>
        <w:t>理原则，分别独立地设置、登录和保管本基金的全套账册，对相关各方各自的账册定期进行核对，互相监督，以保证基金资产的安全。若基金管理人和基金托管人对会计处理方法存在分歧，应以基金管理人的处理方法为准。若当日核对不符，暂时无法查找到错账的</w:t>
      </w:r>
      <w:r w:rsidRPr="005A7DE6">
        <w:rPr>
          <w:rFonts w:asciiTheme="minorEastAsia" w:eastAsiaTheme="minorEastAsia" w:hAnsiTheme="minorEastAsia"/>
          <w:color w:val="000000" w:themeColor="text1"/>
          <w:szCs w:val="21"/>
        </w:rPr>
        <w:t>原因而影响到基金资产净值的计算和公告的，以基金管理人的账册为准。</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8</w:t>
      </w:r>
      <w:r w:rsidRPr="005A7DE6" w:rsidR="004D6973">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基金财务报表与报告的编制和复核</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）财务报表的编制</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基金财务报表由基金管理人编制，基金托管人复核。</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bookmarkStart w:id="3760" w:name="_Toc319688399"/>
      <w:bookmarkStart w:id="3761" w:name="_Toc319693523"/>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2</w:t>
      </w:r>
      <w:r w:rsidRPr="005A7DE6">
        <w:rPr>
          <w:rFonts w:asciiTheme="minorEastAsia" w:eastAsiaTheme="minorEastAsia" w:hAnsiTheme="minorEastAsia"/>
          <w:color w:val="000000" w:themeColor="text1"/>
        </w:rPr>
        <w:t>）报表复核</w:t>
      </w:r>
      <w:bookmarkEnd w:id="3760"/>
      <w:bookmarkEnd w:id="3761"/>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基金托管人在收到基金管理人编制的基金财务报表后，进行独立的复核。核对不符时，应及时通知基金管理人共同查出原因，进行调整，直至双方数据完全一致。</w:t>
      </w:r>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rPr>
      </w:pPr>
      <w:bookmarkStart w:id="3762" w:name="_Toc319688400"/>
      <w:bookmarkStart w:id="3763" w:name="_Toc319693524"/>
      <w:r w:rsidRPr="005A7DE6">
        <w:rPr>
          <w:rFonts w:asciiTheme="minorEastAsia" w:eastAsiaTheme="minorEastAsia" w:hAnsiTheme="minorEastAsia"/>
          <w:color w:val="000000" w:themeColor="text1"/>
        </w:rPr>
        <w:t>（</w:t>
      </w:r>
      <w:r w:rsidRPr="005A7DE6">
        <w:rPr>
          <w:rFonts w:asciiTheme="minorEastAsia" w:eastAsiaTheme="minorEastAsia" w:hAnsiTheme="minorEastAsia"/>
          <w:color w:val="000000" w:themeColor="text1"/>
        </w:rPr>
        <w:t>3</w:t>
      </w:r>
      <w:r w:rsidRPr="005A7DE6">
        <w:rPr>
          <w:rFonts w:asciiTheme="minorEastAsia" w:eastAsiaTheme="minorEastAsia" w:hAnsiTheme="minorEastAsia"/>
          <w:color w:val="000000" w:themeColor="text1"/>
        </w:rPr>
        <w:t>）财务报表的编制与复核时间安排</w:t>
      </w:r>
      <w:bookmarkEnd w:id="3762"/>
      <w:bookmarkEnd w:id="3763"/>
    </w:p>
    <w:p w:rsidR="00132C86" w:rsidRPr="005A7DE6" w:rsidP="006B758F">
      <w:pPr>
        <w:snapToGrid w:val="0"/>
        <w:spacing w:line="360" w:lineRule="auto"/>
        <w:ind w:firstLine="420" w:firstLineChars="200"/>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rPr>
        <w:t>基金管理人、基金托管人应当在每月结束后</w:t>
      </w:r>
      <w:r w:rsidRPr="005A7DE6">
        <w:rPr>
          <w:rFonts w:asciiTheme="minorEastAsia" w:eastAsiaTheme="minorEastAsia" w:hAnsiTheme="minorEastAsia"/>
          <w:color w:val="000000" w:themeColor="text1"/>
        </w:rPr>
        <w:t>5</w:t>
      </w:r>
      <w:r w:rsidRPr="005A7DE6">
        <w:rPr>
          <w:rFonts w:asciiTheme="minorEastAsia" w:eastAsiaTheme="minorEastAsia" w:hAnsiTheme="minorEastAsia"/>
          <w:color w:val="000000" w:themeColor="text1"/>
        </w:rPr>
        <w:t>个工作日内完成月度报表的编制及复核；</w:t>
      </w:r>
      <w:r w:rsidRPr="005A7DE6">
        <w:rPr>
          <w:rFonts w:asciiTheme="minorEastAsia" w:eastAsiaTheme="minorEastAsia" w:hAnsiTheme="minorEastAsia" w:hint="eastAsia"/>
          <w:color w:val="000000" w:themeColor="text1"/>
        </w:rPr>
        <w:t>在季度结束之日起</w:t>
      </w:r>
      <w:r w:rsidRPr="005A7DE6">
        <w:rPr>
          <w:rFonts w:asciiTheme="minorEastAsia" w:eastAsiaTheme="minorEastAsia" w:hAnsiTheme="minorEastAsia"/>
          <w:color w:val="000000" w:themeColor="text1"/>
        </w:rPr>
        <w:t>15</w:t>
      </w:r>
      <w:r w:rsidRPr="005A7DE6">
        <w:rPr>
          <w:rFonts w:asciiTheme="minorEastAsia" w:eastAsiaTheme="minorEastAsia" w:hAnsiTheme="minorEastAsia" w:hint="eastAsia"/>
          <w:color w:val="000000" w:themeColor="text1"/>
        </w:rPr>
        <w:t>个工作日内</w:t>
      </w:r>
      <w:r w:rsidRPr="005A7DE6">
        <w:rPr>
          <w:rFonts w:asciiTheme="minorEastAsia" w:eastAsiaTheme="minorEastAsia" w:hAnsiTheme="minorEastAsia"/>
          <w:color w:val="000000" w:themeColor="text1"/>
        </w:rPr>
        <w:t>完成基金季度报告的编制；</w:t>
      </w:r>
      <w:r w:rsidRPr="005A7DE6">
        <w:rPr>
          <w:rFonts w:asciiTheme="minorEastAsia" w:eastAsiaTheme="minorEastAsia" w:hAnsiTheme="minorEastAsia" w:hint="eastAsia"/>
          <w:color w:val="000000" w:themeColor="text1"/>
        </w:rPr>
        <w:t>在上半年结束之日起两个</w:t>
      </w:r>
      <w:r w:rsidRPr="005A7DE6">
        <w:rPr>
          <w:rFonts w:asciiTheme="minorEastAsia" w:eastAsiaTheme="minorEastAsia" w:hAnsiTheme="minorEastAsia"/>
          <w:color w:val="000000" w:themeColor="text1"/>
        </w:rPr>
        <w:t>月</w:t>
      </w:r>
      <w:r w:rsidRPr="005A7DE6">
        <w:rPr>
          <w:rFonts w:asciiTheme="minorEastAsia" w:eastAsiaTheme="minorEastAsia" w:hAnsiTheme="minorEastAsia" w:hint="eastAsia"/>
          <w:color w:val="000000" w:themeColor="text1"/>
        </w:rPr>
        <w:t>内</w:t>
      </w:r>
      <w:r w:rsidRPr="005A7DE6">
        <w:rPr>
          <w:rFonts w:asciiTheme="minorEastAsia" w:eastAsiaTheme="minorEastAsia" w:hAnsiTheme="minorEastAsia"/>
          <w:color w:val="000000" w:themeColor="text1"/>
        </w:rPr>
        <w:t>完成基金中期报告的编制及复核；</w:t>
      </w:r>
      <w:r w:rsidRPr="005A7DE6">
        <w:rPr>
          <w:rFonts w:asciiTheme="minorEastAsia" w:eastAsiaTheme="minorEastAsia" w:hAnsiTheme="minorEastAsia" w:hint="eastAsia"/>
          <w:color w:val="000000" w:themeColor="text1"/>
        </w:rPr>
        <w:t>在每年结束之日起三个</w:t>
      </w:r>
      <w:r w:rsidRPr="005A7DE6">
        <w:rPr>
          <w:rFonts w:asciiTheme="minorEastAsia" w:eastAsiaTheme="minorEastAsia" w:hAnsiTheme="minorEastAsia"/>
          <w:color w:val="000000" w:themeColor="text1"/>
        </w:rPr>
        <w:t>月</w:t>
      </w:r>
      <w:r w:rsidRPr="005A7DE6">
        <w:rPr>
          <w:rFonts w:asciiTheme="minorEastAsia" w:eastAsiaTheme="minorEastAsia" w:hAnsiTheme="minorEastAsia" w:hint="eastAsia"/>
          <w:color w:val="000000" w:themeColor="text1"/>
        </w:rPr>
        <w:t>内</w:t>
      </w:r>
      <w:r w:rsidRPr="005A7DE6">
        <w:rPr>
          <w:rFonts w:asciiTheme="minorEastAsia" w:eastAsiaTheme="minorEastAsia" w:hAnsiTheme="minorEastAsia"/>
          <w:color w:val="000000" w:themeColor="text1"/>
        </w:rPr>
        <w:t>完成基金年度报告的编制及复核。基金年度报告的财务会计报告应当经过</w:t>
      </w:r>
      <w:r w:rsidRPr="005A7DE6">
        <w:rPr>
          <w:rFonts w:asciiTheme="minorEastAsia" w:eastAsiaTheme="minorEastAsia" w:hAnsiTheme="minorEastAsia" w:hint="eastAsia"/>
          <w:color w:val="000000" w:themeColor="text1"/>
        </w:rPr>
        <w:t>具有证券、期货相关业务资格的会计师事务所审计</w:t>
      </w:r>
      <w:r w:rsidRPr="005A7DE6">
        <w:rPr>
          <w:rFonts w:asciiTheme="minorEastAsia" w:eastAsiaTheme="minorEastAsia" w:hAnsiTheme="minorEastAsia"/>
          <w:color w:val="000000" w:themeColor="text1"/>
        </w:rPr>
        <w:t>。基金合同生效不足两个月的，基金管理人可以不编制当期季度报告、中期报告或者年度报告。</w:t>
      </w:r>
    </w:p>
    <w:p w:rsidR="00132C86"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764" w:name="_Toc94172501"/>
      <w:r w:rsidRPr="005A7DE6">
        <w:rPr>
          <w:rFonts w:asciiTheme="minorEastAsia" w:eastAsiaTheme="minorEastAsia" w:hAnsiTheme="minorEastAsia"/>
          <w:b w:val="0"/>
          <w:bCs/>
          <w:color w:val="000000" w:themeColor="text1"/>
        </w:rPr>
        <w:t>（六）基金份额持有人名册的保管</w:t>
      </w:r>
      <w:bookmarkEnd w:id="3764"/>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基金份额持有人名册至少应包括基金份额持有人的名称、证件号码和持有的基金份额。</w:t>
      </w:r>
      <w:r w:rsidRPr="005A7DE6">
        <w:rPr>
          <w:rFonts w:asciiTheme="minorEastAsia" w:eastAsiaTheme="minorEastAsia" w:hAnsiTheme="minorEastAsia"/>
          <w:color w:val="000000" w:themeColor="text1"/>
          <w:szCs w:val="21"/>
        </w:rPr>
        <w:t>基金份额持有人名册由基金注册登记机构根据基金管理人的指令编制和保管，基金管理人和基金托管人应分别保管基金份额持有人名册，保存期不少</w:t>
      </w:r>
      <w:r w:rsidRPr="005A7DE6">
        <w:rPr>
          <w:rFonts w:asciiTheme="minorEastAsia" w:eastAsiaTheme="minorEastAsia" w:hAnsiTheme="minorEastAsia"/>
          <w:color w:val="000000" w:themeColor="text1"/>
          <w:szCs w:val="21"/>
        </w:rPr>
        <w:t>于</w:t>
      </w:r>
      <w:r w:rsidRPr="005A7DE6">
        <w:rPr>
          <w:rFonts w:asciiTheme="minorEastAsia" w:eastAsiaTheme="minorEastAsia" w:hAnsiTheme="minorEastAsia"/>
          <w:color w:val="000000" w:themeColor="text1"/>
          <w:szCs w:val="21"/>
        </w:rPr>
        <w:t>15</w:t>
      </w:r>
      <w:r w:rsidRPr="005A7DE6">
        <w:rPr>
          <w:rFonts w:asciiTheme="minorEastAsia" w:eastAsiaTheme="minorEastAsia" w:hAnsiTheme="minorEastAsia"/>
          <w:color w:val="000000" w:themeColor="text1"/>
          <w:szCs w:val="21"/>
        </w:rPr>
        <w:t>年。如不能妥善保管，则按相关法律法规承担责任。</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如因基金托管人业务监督和核查需要，基金管理人应将有关资料送交基金托管人，不得无故拒绝或延误提供，并保证其的真实性、准确性和完整性。基金管理人和托管人不得将所保管的基金份额持有人名册用于基金托管业务以外的其他用途，并应遵守保密义务，法律法规另有规定或有权机关另有要求的除外。</w:t>
      </w:r>
    </w:p>
    <w:p w:rsidR="00132C86" w:rsidRPr="005A7DE6" w:rsidP="006B758F">
      <w:pPr>
        <w:pStyle w:val="Heading2"/>
        <w:snapToGrid w:val="0"/>
        <w:spacing w:beforeLines="0" w:afterLines="0" w:line="360" w:lineRule="auto"/>
        <w:ind w:firstLine="0" w:firstLineChars="0"/>
        <w:rPr>
          <w:rFonts w:asciiTheme="minorEastAsia" w:eastAsiaTheme="minorEastAsia" w:hAnsiTheme="minorEastAsia"/>
          <w:color w:val="000000" w:themeColor="text1"/>
          <w:sz w:val="21"/>
        </w:rPr>
      </w:pPr>
      <w:bookmarkStart w:id="3765" w:name="_Toc94172502"/>
      <w:r w:rsidRPr="005A7DE6">
        <w:rPr>
          <w:rFonts w:asciiTheme="minorEastAsia" w:eastAsiaTheme="minorEastAsia" w:hAnsiTheme="minorEastAsia"/>
          <w:b w:val="0"/>
          <w:bCs/>
          <w:color w:val="000000" w:themeColor="text1"/>
        </w:rPr>
        <w:t>（七）适用法律与争议解决方式</w:t>
      </w:r>
      <w:bookmarkEnd w:id="3765"/>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因本协议产生或与之相关的争议，双方当事人应通过协商、调解解决，协商、调解不能解决的，任何一方均有权将争议提交中国国际经济贸易仲裁委员会，仲裁地点为深圳市，</w:t>
      </w:r>
      <w:r w:rsidRPr="005A7DE6">
        <w:rPr>
          <w:rFonts w:asciiTheme="minorEastAsia" w:eastAsiaTheme="minorEastAsia" w:hAnsiTheme="minorEastAsia"/>
          <w:color w:val="000000" w:themeColor="text1"/>
          <w:szCs w:val="21"/>
        </w:rPr>
        <w:t>按照中国国际经济贸易仲裁委员会届时有效的仲裁规则进行仲裁。仲裁裁决是终局的，对当事人均有约束力，仲裁费用由败诉方承担。</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争议处理期间，双方当事人应恪守基金管理人和基金托管人职责，各自继续忠实、勤勉、尽责地履行基金合同和本托管协议规定的义务，维护基金份额持有人的合法权益。</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本协议受中国法律管辖。</w:t>
      </w:r>
    </w:p>
    <w:p w:rsidR="00132C86"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766" w:name="_Toc94172503"/>
      <w:r w:rsidRPr="005A7DE6">
        <w:rPr>
          <w:rFonts w:asciiTheme="minorEastAsia" w:eastAsiaTheme="minorEastAsia" w:hAnsiTheme="minorEastAsia"/>
          <w:b w:val="0"/>
          <w:bCs/>
          <w:color w:val="000000" w:themeColor="text1"/>
        </w:rPr>
        <w:t>（八）托管协议的变更与终止</w:t>
      </w:r>
      <w:bookmarkEnd w:id="3766"/>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托管协议的变更程序</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本协议双方当事人经协商一致，可以对协议进行修改。修改后的新协议，其内容不得与基金合同的规定有任何冲突。基金托管协议的变更报中国证监会核准或备案后生效。</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hint="eastAsia"/>
          <w:color w:val="000000" w:themeColor="text1"/>
          <w:szCs w:val="21"/>
        </w:rPr>
        <w:t>、</w:t>
      </w:r>
      <w:r w:rsidRPr="005A7DE6">
        <w:rPr>
          <w:rFonts w:asciiTheme="minorEastAsia" w:eastAsiaTheme="minorEastAsia" w:hAnsiTheme="minorEastAsia"/>
          <w:color w:val="000000" w:themeColor="text1"/>
          <w:szCs w:val="21"/>
        </w:rPr>
        <w:t>基金托管协议终止出现的情形</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）基金合同终止；</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color w:val="000000" w:themeColor="text1"/>
          <w:szCs w:val="21"/>
        </w:rPr>
        <w:t>）基金托管人解散、依法被撤销、破产或由其他基金托管人接管基金资产；</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3</w:t>
      </w:r>
      <w:r w:rsidRPr="005A7DE6">
        <w:rPr>
          <w:rFonts w:asciiTheme="minorEastAsia" w:eastAsiaTheme="minorEastAsia" w:hAnsiTheme="minorEastAsia"/>
          <w:color w:val="000000" w:themeColor="text1"/>
          <w:szCs w:val="21"/>
        </w:rPr>
        <w:t>）基金管理人解散、依法被撤销、破产或由其他基金管理人接管基金管理权；</w:t>
      </w:r>
    </w:p>
    <w:p w:rsidR="00132C86"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4</w:t>
      </w:r>
      <w:r w:rsidRPr="005A7DE6">
        <w:rPr>
          <w:rFonts w:asciiTheme="minorEastAsia" w:eastAsiaTheme="minorEastAsia" w:hAnsiTheme="minorEastAsia"/>
          <w:color w:val="000000" w:themeColor="text1"/>
          <w:szCs w:val="21"/>
        </w:rPr>
        <w:t>）发生法律法规或基金合同规定的终止事项。</w:t>
      </w:r>
    </w:p>
    <w:p w:rsidR="006375CD" w:rsidRPr="005A7DE6">
      <w:pPr>
        <w:widowControl/>
        <w:jc w:val="left"/>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br w:type="page"/>
      </w:r>
    </w:p>
    <w:p w:rsidR="004D6973" w:rsidRPr="005A7DE6" w:rsidP="006B758F">
      <w:pPr>
        <w:snapToGrid w:val="0"/>
        <w:spacing w:line="360" w:lineRule="auto"/>
        <w:ind w:firstLine="420" w:firstLineChars="200"/>
        <w:rPr>
          <w:rFonts w:asciiTheme="minorEastAsia" w:eastAsiaTheme="minorEastAsia" w:hAnsiTheme="minorEastAsia"/>
          <w:color w:val="000000" w:themeColor="text1"/>
          <w:szCs w:val="21"/>
        </w:rPr>
      </w:pPr>
    </w:p>
    <w:p w:rsidR="00BA4B87" w:rsidRPr="005A7DE6" w:rsidP="006B758F">
      <w:pPr>
        <w:pStyle w:val="111"/>
        <w:pageBreakBefore w:val="0"/>
        <w:snapToGrid w:val="0"/>
        <w:spacing w:beforeLines="0" w:afterLines="0" w:line="360" w:lineRule="auto"/>
        <w:ind w:firstLine="602"/>
        <w:rPr>
          <w:rFonts w:asciiTheme="minorEastAsia" w:eastAsiaTheme="minorEastAsia" w:hAnsiTheme="minorEastAsia"/>
          <w:b/>
          <w:color w:val="000000" w:themeColor="text1"/>
          <w:sz w:val="30"/>
        </w:rPr>
      </w:pPr>
      <w:bookmarkStart w:id="3767" w:name="_Toc94172504"/>
      <w:r w:rsidRPr="005A7DE6">
        <w:rPr>
          <w:rFonts w:asciiTheme="minorEastAsia" w:eastAsiaTheme="minorEastAsia" w:hAnsiTheme="minorEastAsia"/>
          <w:b/>
          <w:color w:val="000000" w:themeColor="text1"/>
          <w:sz w:val="30"/>
        </w:rPr>
        <w:t>二十</w:t>
      </w:r>
      <w:r w:rsidRPr="005A7DE6" w:rsidR="00485E3F">
        <w:rPr>
          <w:rFonts w:asciiTheme="minorEastAsia" w:eastAsiaTheme="minorEastAsia" w:hAnsiTheme="minorEastAsia" w:hint="eastAsia"/>
          <w:b/>
          <w:color w:val="000000" w:themeColor="text1"/>
          <w:sz w:val="30"/>
        </w:rPr>
        <w:t>四</w:t>
      </w:r>
      <w:r w:rsidRPr="005A7DE6">
        <w:rPr>
          <w:rFonts w:asciiTheme="minorEastAsia" w:eastAsiaTheme="minorEastAsia" w:hAnsiTheme="minorEastAsia"/>
          <w:b/>
          <w:color w:val="000000" w:themeColor="text1"/>
          <w:sz w:val="30"/>
        </w:rPr>
        <w:t>、对基金份额持有人的服务</w:t>
      </w:r>
      <w:bookmarkEnd w:id="3767"/>
    </w:p>
    <w:p w:rsidR="002A1A17" w:rsidRPr="005A7DE6" w:rsidP="006B758F">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基金管理人承诺为基金份额持有人提供一系列的服务。以下是主要的服务内容，基金管理人根据基金份额持有人的需要和市场的变化，有权增加、修改这些服务项目：</w:t>
      </w:r>
    </w:p>
    <w:p w:rsidR="002A1A17"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768" w:name="_Toc94172505"/>
      <w:r w:rsidRPr="005A7DE6">
        <w:rPr>
          <w:rFonts w:asciiTheme="minorEastAsia" w:eastAsiaTheme="minorEastAsia" w:hAnsiTheme="minorEastAsia"/>
          <w:b w:val="0"/>
          <w:bCs/>
          <w:color w:val="000000" w:themeColor="text1"/>
        </w:rPr>
        <w:t>（一）基金份额持有人投资交易确认服务</w:t>
      </w:r>
      <w:bookmarkEnd w:id="3768"/>
    </w:p>
    <w:p w:rsidR="006B6F1B"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注册登记机构保留基金份额持有人名册上列明的所有基金份额持有人的基金交易记录。</w:t>
      </w:r>
    </w:p>
    <w:p w:rsidR="002A1A1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t>我公司根据在直销网点进行交易的投资人的要求提供成交确认单。非直销销售机构基金份额持有人投资交易确认服务请参照各销售机构实际业务流程及规定。</w:t>
      </w:r>
    </w:p>
    <w:p w:rsidR="002A1A17"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769" w:name="_Toc94172506"/>
      <w:r w:rsidRPr="005A7DE6">
        <w:rPr>
          <w:rFonts w:asciiTheme="minorEastAsia" w:eastAsiaTheme="minorEastAsia" w:hAnsiTheme="minorEastAsia"/>
          <w:b w:val="0"/>
          <w:bCs/>
          <w:color w:val="000000" w:themeColor="text1"/>
        </w:rPr>
        <w:t>（二）基金份额持有人交易记录查询服务</w:t>
      </w:r>
      <w:bookmarkEnd w:id="3769"/>
    </w:p>
    <w:p w:rsidR="002A1A1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本基金份额持有人可通过基金管理人的客户服务中心查询历史交易记录。</w:t>
      </w:r>
    </w:p>
    <w:p w:rsidR="002A1A17"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770" w:name="_Toc94172507"/>
      <w:r w:rsidRPr="005A7DE6">
        <w:rPr>
          <w:rFonts w:asciiTheme="minorEastAsia" w:eastAsiaTheme="minorEastAsia" w:hAnsiTheme="minorEastAsia"/>
          <w:b w:val="0"/>
          <w:bCs/>
          <w:color w:val="000000" w:themeColor="text1"/>
        </w:rPr>
        <w:t>（三）基金份额持有人的对账单服务</w:t>
      </w:r>
      <w:bookmarkEnd w:id="3770"/>
    </w:p>
    <w:p w:rsidR="002A1A1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、基金份额持有人可登录本公司网站</w:t>
      </w:r>
      <w:r w:rsidRPr="005A7DE6" w:rsidR="005B19FC">
        <w:rPr>
          <w:rFonts w:asciiTheme="minorEastAsia" w:eastAsiaTheme="minorEastAsia" w:hAnsiTheme="minorEastAsia"/>
          <w:color w:val="000000" w:themeColor="text1"/>
          <w:szCs w:val="21"/>
        </w:rPr>
        <w:t>（</w:t>
      </w:r>
      <w:hyperlink r:id="rId14" w:history="1">
        <w:r w:rsidRPr="005A7DE6">
          <w:rPr>
            <w:rFonts w:asciiTheme="minorEastAsia" w:eastAsiaTheme="minorEastAsia" w:hAnsiTheme="minorEastAsia"/>
            <w:color w:val="000000" w:themeColor="text1"/>
            <w:szCs w:val="21"/>
          </w:rPr>
          <w:t>http://www.efunds.c</w:t>
        </w:r>
        <w:r w:rsidRPr="005A7DE6">
          <w:rPr>
            <w:rFonts w:asciiTheme="minorEastAsia" w:eastAsiaTheme="minorEastAsia" w:hAnsiTheme="minorEastAsia"/>
            <w:color w:val="000000" w:themeColor="text1"/>
            <w:szCs w:val="21"/>
          </w:rPr>
          <w:t>om.cn</w:t>
        </w:r>
      </w:hyperlink>
      <w:r w:rsidRPr="005A7DE6" w:rsidR="005B19FC">
        <w:rPr>
          <w:rFonts w:asciiTheme="minorEastAsia" w:eastAsiaTheme="minorEastAsia" w:hAnsiTheme="minorEastAsia"/>
          <w:color w:val="000000" w:themeColor="text1"/>
          <w:szCs w:val="21"/>
        </w:rPr>
        <w:t>）</w:t>
      </w:r>
      <w:r w:rsidRPr="005A7DE6">
        <w:rPr>
          <w:rFonts w:asciiTheme="minorEastAsia" w:eastAsiaTheme="minorEastAsia" w:hAnsiTheme="minorEastAsia"/>
          <w:color w:val="000000" w:themeColor="text1"/>
          <w:szCs w:val="21"/>
        </w:rPr>
        <w:t>查阅对账单。</w:t>
      </w:r>
    </w:p>
    <w:p w:rsidR="00616494"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hint="eastAsia"/>
          <w:color w:val="000000" w:themeColor="text1"/>
          <w:szCs w:val="21"/>
        </w:rPr>
        <w:t>本公司至少每年度以电子邮件、短信或其他形式向通过易方达直销系统持有本公司基金份额的基金份额持有人提供基金保有情况信息，基金份额持有人也可以向本公司定制电子邮件形式的月度对账单。</w:t>
      </w:r>
    </w:p>
    <w:p w:rsidR="002A1A1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具体查阅和定制账单的方法可参见本公司网站或拨打客服热线咨询。</w:t>
      </w:r>
    </w:p>
    <w:p w:rsidR="00903325"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771" w:name="_Toc94172508"/>
      <w:r w:rsidRPr="005A7DE6">
        <w:rPr>
          <w:rFonts w:asciiTheme="minorEastAsia" w:eastAsiaTheme="minorEastAsia" w:hAnsiTheme="minorEastAsia" w:hint="eastAsia"/>
          <w:b w:val="0"/>
          <w:bCs/>
          <w:color w:val="000000" w:themeColor="text1"/>
        </w:rPr>
        <w:t>（四）定期定额投资计划</w:t>
      </w:r>
      <w:bookmarkEnd w:id="3771"/>
    </w:p>
    <w:p w:rsidR="00903325"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基金管理人可利用</w:t>
      </w:r>
      <w:r w:rsidRPr="005A7DE6" w:rsidR="007C0F95">
        <w:rPr>
          <w:rFonts w:asciiTheme="minorEastAsia" w:eastAsiaTheme="minorEastAsia" w:hAnsiTheme="minorEastAsia" w:hint="eastAsia"/>
          <w:color w:val="000000" w:themeColor="text1"/>
          <w:szCs w:val="21"/>
        </w:rPr>
        <w:t>非直销销售</w:t>
      </w:r>
      <w:r w:rsidRPr="005A7DE6">
        <w:rPr>
          <w:rFonts w:asciiTheme="minorEastAsia" w:eastAsiaTheme="minorEastAsia" w:hAnsiTheme="minorEastAsia" w:hint="eastAsia"/>
          <w:color w:val="000000" w:themeColor="text1"/>
          <w:szCs w:val="21"/>
        </w:rPr>
        <w:t>机构网点和本公司网上交易系统为投资者提供定期定额投资的服务（本公司网上交易系统的定期定额投资服务目前仅对个人投资者开通）。通过定期定额投资计划，投资者可以通过固定的渠道，定期定额申购基金份额，具体实施方法见相关公告。</w:t>
      </w:r>
    </w:p>
    <w:p w:rsidR="002A1A17" w:rsidRPr="005A7DE6" w:rsidP="006B758F">
      <w:pPr>
        <w:pStyle w:val="Heading2"/>
        <w:snapToGrid w:val="0"/>
        <w:spacing w:beforeLines="0" w:afterLines="0" w:line="360" w:lineRule="auto"/>
        <w:ind w:firstLine="0" w:firstLineChars="0"/>
        <w:rPr>
          <w:rFonts w:asciiTheme="minorEastAsia" w:eastAsiaTheme="minorEastAsia" w:hAnsiTheme="minorEastAsia"/>
          <w:b w:val="0"/>
          <w:bCs/>
          <w:color w:val="000000" w:themeColor="text1"/>
        </w:rPr>
      </w:pPr>
      <w:bookmarkStart w:id="3772" w:name="_Toc94172509"/>
      <w:r w:rsidRPr="005A7DE6">
        <w:rPr>
          <w:rFonts w:asciiTheme="minorEastAsia" w:eastAsiaTheme="minorEastAsia" w:hAnsiTheme="minorEastAsia"/>
          <w:b w:val="0"/>
          <w:bCs/>
          <w:color w:val="000000" w:themeColor="text1"/>
        </w:rPr>
        <w:t>（</w:t>
      </w:r>
      <w:r w:rsidRPr="005A7DE6" w:rsidR="00903325">
        <w:rPr>
          <w:rFonts w:asciiTheme="minorEastAsia" w:eastAsiaTheme="minorEastAsia" w:hAnsiTheme="minorEastAsia" w:hint="eastAsia"/>
          <w:b w:val="0"/>
          <w:bCs/>
          <w:color w:val="000000" w:themeColor="text1"/>
        </w:rPr>
        <w:t>五</w:t>
      </w:r>
      <w:r w:rsidRPr="005A7DE6">
        <w:rPr>
          <w:rFonts w:asciiTheme="minorEastAsia" w:eastAsiaTheme="minorEastAsia" w:hAnsiTheme="minorEastAsia"/>
          <w:b w:val="0"/>
          <w:bCs/>
          <w:color w:val="000000" w:themeColor="text1"/>
        </w:rPr>
        <w:t>）资讯服务</w:t>
      </w:r>
      <w:bookmarkEnd w:id="3772"/>
    </w:p>
    <w:p w:rsidR="00FA2E4B"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1</w:t>
      </w:r>
      <w:r w:rsidRPr="005A7DE6">
        <w:rPr>
          <w:rFonts w:asciiTheme="minorEastAsia" w:eastAsiaTheme="minorEastAsia" w:hAnsiTheme="minorEastAsia"/>
          <w:color w:val="000000" w:themeColor="text1"/>
          <w:szCs w:val="21"/>
        </w:rPr>
        <w:t>、</w:t>
      </w:r>
      <w:r w:rsidRPr="005A7DE6">
        <w:rPr>
          <w:rFonts w:asciiTheme="minorEastAsia" w:eastAsiaTheme="minorEastAsia" w:hAnsiTheme="minorEastAsia" w:hint="eastAsia"/>
          <w:color w:val="000000" w:themeColor="text1"/>
          <w:szCs w:val="21"/>
        </w:rPr>
        <w:t>客户服务电话</w:t>
      </w:r>
    </w:p>
    <w:p w:rsidR="00FA2E4B"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hint="eastAsia"/>
          <w:color w:val="000000" w:themeColor="text1"/>
          <w:szCs w:val="21"/>
        </w:rPr>
        <w:t>投资者如果想了解申购与赎回的交易情况、基金账户余额、基金产品与服务等信息，</w:t>
      </w:r>
      <w:r w:rsidRPr="005A7DE6" w:rsidR="00C92EAF">
        <w:rPr>
          <w:rFonts w:asciiTheme="minorEastAsia" w:eastAsiaTheme="minorEastAsia" w:hAnsiTheme="minorEastAsia" w:hint="eastAsia"/>
          <w:color w:val="000000" w:themeColor="text1"/>
          <w:szCs w:val="21"/>
        </w:rPr>
        <w:t>或反馈投资过程中需要投诉与建议的情况，</w:t>
      </w:r>
      <w:r w:rsidRPr="005A7DE6">
        <w:rPr>
          <w:rFonts w:asciiTheme="minorEastAsia" w:eastAsiaTheme="minorEastAsia" w:hAnsiTheme="minorEastAsia" w:hint="eastAsia"/>
          <w:color w:val="000000" w:themeColor="text1"/>
          <w:szCs w:val="21"/>
        </w:rPr>
        <w:t>可拨打如下电话：</w:t>
      </w:r>
      <w:r w:rsidRPr="005A7DE6">
        <w:rPr>
          <w:rFonts w:asciiTheme="minorEastAsia" w:eastAsiaTheme="minorEastAsia" w:hAnsiTheme="minorEastAsia" w:hint="eastAsia"/>
          <w:color w:val="000000" w:themeColor="text1"/>
          <w:szCs w:val="21"/>
        </w:rPr>
        <w:t>4008818088</w:t>
      </w:r>
      <w:r w:rsidRPr="005A7DE6">
        <w:rPr>
          <w:rFonts w:asciiTheme="minorEastAsia" w:eastAsiaTheme="minorEastAsia" w:hAnsiTheme="minorEastAsia" w:hint="eastAsia"/>
          <w:color w:val="000000" w:themeColor="text1"/>
          <w:szCs w:val="21"/>
        </w:rPr>
        <w:t>。</w:t>
      </w:r>
      <w:r w:rsidRPr="005A7DE6" w:rsidR="00C92EAF">
        <w:rPr>
          <w:rFonts w:asciiTheme="minorEastAsia" w:eastAsiaTheme="minorEastAsia" w:hAnsiTheme="minorEastAsia" w:hint="eastAsia"/>
          <w:color w:val="000000" w:themeColor="text1"/>
          <w:kern w:val="0"/>
          <w:szCs w:val="21"/>
        </w:rPr>
        <w:t>投资者如果认为自己不能准确理解本基金《招募说明书》、《基金合同》的具体内容，也可拨打上述电话详询。</w:t>
      </w:r>
    </w:p>
    <w:p w:rsidR="002A1A1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2</w:t>
      </w:r>
      <w:r w:rsidRPr="005A7DE6">
        <w:rPr>
          <w:rFonts w:asciiTheme="minorEastAsia" w:eastAsiaTheme="minorEastAsia" w:hAnsiTheme="minorEastAsia"/>
          <w:color w:val="000000" w:themeColor="text1"/>
          <w:szCs w:val="21"/>
        </w:rPr>
        <w:t>、互联网站及电子信箱</w:t>
      </w:r>
    </w:p>
    <w:p w:rsidR="002A1A1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网址：</w:t>
      </w:r>
      <w:hyperlink r:id="rId14" w:history="1">
        <w:r w:rsidRPr="005A7DE6">
          <w:rPr>
            <w:rFonts w:asciiTheme="minorEastAsia" w:eastAsiaTheme="minorEastAsia" w:hAnsiTheme="minorEastAsia"/>
            <w:color w:val="000000" w:themeColor="text1"/>
            <w:szCs w:val="21"/>
          </w:rPr>
          <w:t>http://www.efunds.com.cn</w:t>
        </w:r>
      </w:hyperlink>
    </w:p>
    <w:p w:rsidR="002A1A17" w:rsidRPr="005A7DE6" w:rsidP="006B758F">
      <w:pPr>
        <w:snapToGrid w:val="0"/>
        <w:spacing w:line="360" w:lineRule="auto"/>
        <w:ind w:firstLine="420" w:firstLineChars="200"/>
        <w:rPr>
          <w:rFonts w:asciiTheme="minorEastAsia" w:eastAsiaTheme="minorEastAsia" w:hAnsiTheme="minorEastAsia"/>
          <w:color w:val="000000" w:themeColor="text1"/>
          <w:szCs w:val="21"/>
        </w:rPr>
      </w:pPr>
      <w:r w:rsidRPr="005A7DE6">
        <w:rPr>
          <w:rFonts w:asciiTheme="minorEastAsia" w:eastAsiaTheme="minorEastAsia" w:hAnsiTheme="minorEastAsia"/>
          <w:color w:val="000000" w:themeColor="text1"/>
          <w:szCs w:val="21"/>
        </w:rPr>
        <w:t>电子信箱：</w:t>
      </w:r>
      <w:hyperlink r:id="rId15" w:history="1">
        <w:r w:rsidRPr="005A7DE6">
          <w:rPr>
            <w:rFonts w:asciiTheme="minorEastAsia" w:eastAsiaTheme="minorEastAsia" w:hAnsiTheme="minorEastAsia"/>
            <w:color w:val="000000" w:themeColor="text1"/>
            <w:szCs w:val="21"/>
          </w:rPr>
          <w:t>service@efunds.com.cn</w:t>
        </w:r>
      </w:hyperlink>
    </w:p>
    <w:p w:rsidR="00BA4B87" w:rsidRPr="005A7DE6" w:rsidP="006B758F">
      <w:pPr>
        <w:snapToGrid w:val="0"/>
        <w:spacing w:line="360" w:lineRule="auto"/>
        <w:ind w:firstLine="420"/>
        <w:rPr>
          <w:rFonts w:asciiTheme="minorEastAsia" w:eastAsiaTheme="minorEastAsia" w:hAnsiTheme="minorEastAsia"/>
          <w:color w:val="000000" w:themeColor="text1"/>
        </w:rPr>
      </w:pPr>
    </w:p>
    <w:p w:rsidR="00615A3A" w:rsidRPr="005A7DE6" w:rsidP="006B758F">
      <w:pPr>
        <w:snapToGrid w:val="0"/>
        <w:spacing w:line="360" w:lineRule="auto"/>
        <w:ind w:firstLine="420"/>
        <w:rPr>
          <w:rFonts w:asciiTheme="minorEastAsia" w:eastAsiaTheme="minorEastAsia" w:hAnsiTheme="minorEastAsia"/>
          <w:color w:val="000000" w:themeColor="text1"/>
        </w:rPr>
      </w:pPr>
    </w:p>
    <w:p w:rsidR="00560A1F" w:rsidRPr="005A7DE6" w:rsidP="006B758F">
      <w:pPr>
        <w:snapToGrid w:val="0"/>
        <w:spacing w:line="360" w:lineRule="auto"/>
        <w:ind w:firstLine="420"/>
        <w:rPr>
          <w:rFonts w:asciiTheme="minorEastAsia" w:eastAsiaTheme="minorEastAsia" w:hAnsiTheme="minorEastAsia"/>
          <w:color w:val="000000" w:themeColor="text1"/>
        </w:rPr>
        <w:sectPr w:rsidSect="002833A8">
          <w:pgSz w:w="11906" w:h="16838" w:code="9"/>
          <w:pgMar w:top="1440" w:right="1800" w:bottom="1440" w:left="1800" w:header="720" w:footer="720" w:gutter="0"/>
          <w:cols w:space="720"/>
          <w:docGrid w:type="lines" w:linePitch="312"/>
        </w:sectPr>
      </w:pPr>
    </w:p>
    <w:p w:rsidR="00BA4B87" w:rsidRPr="005A7DE6" w:rsidP="006B758F">
      <w:pPr>
        <w:pStyle w:val="111"/>
        <w:pageBreakBefore w:val="0"/>
        <w:snapToGrid w:val="0"/>
        <w:spacing w:beforeLines="0" w:afterLines="0" w:line="360" w:lineRule="auto"/>
        <w:ind w:firstLine="602"/>
        <w:rPr>
          <w:rFonts w:asciiTheme="minorEastAsia" w:eastAsiaTheme="minorEastAsia" w:hAnsiTheme="minorEastAsia"/>
          <w:b/>
          <w:color w:val="000000" w:themeColor="text1"/>
          <w:sz w:val="30"/>
        </w:rPr>
      </w:pPr>
      <w:bookmarkStart w:id="3773" w:name="_Toc94172510"/>
      <w:r w:rsidRPr="005A7DE6">
        <w:rPr>
          <w:rFonts w:asciiTheme="minorEastAsia" w:eastAsiaTheme="minorEastAsia" w:hAnsiTheme="minorEastAsia"/>
          <w:b/>
          <w:color w:val="000000" w:themeColor="text1"/>
          <w:sz w:val="30"/>
        </w:rPr>
        <w:t>二十</w:t>
      </w:r>
      <w:r w:rsidRPr="005A7DE6" w:rsidR="00485E3F">
        <w:rPr>
          <w:rFonts w:asciiTheme="minorEastAsia" w:eastAsiaTheme="minorEastAsia" w:hAnsiTheme="minorEastAsia" w:hint="eastAsia"/>
          <w:b/>
          <w:color w:val="000000" w:themeColor="text1"/>
          <w:sz w:val="30"/>
        </w:rPr>
        <w:t>五</w:t>
      </w:r>
      <w:r w:rsidRPr="005A7DE6">
        <w:rPr>
          <w:rFonts w:asciiTheme="minorEastAsia" w:eastAsiaTheme="minorEastAsia" w:hAnsiTheme="minorEastAsia"/>
          <w:b/>
          <w:color w:val="000000" w:themeColor="text1"/>
          <w:sz w:val="30"/>
        </w:rPr>
        <w:t>、其他应披露事项</w:t>
      </w:r>
      <w:bookmarkEnd w:id="3773"/>
    </w:p>
    <w:tbl>
      <w:tblPr>
        <w:tblW w:w="84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98"/>
        <w:gridCol w:w="1625"/>
      </w:tblGrid>
      <w:tr w:rsidTr="00820EDA">
        <w:tblPrEx>
          <w:tblW w:w="84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5"/>
        </w:trPr>
        <w:tc>
          <w:tcPr>
            <w:tcW w:w="6798" w:type="dxa"/>
            <w:tcBorders>
              <w:top w:val="single" w:sz="4" w:space="0" w:color="auto"/>
              <w:left w:val="single" w:sz="4" w:space="0" w:color="auto"/>
              <w:bottom w:val="single" w:sz="4" w:space="0" w:color="auto"/>
              <w:right w:val="single" w:sz="4" w:space="0" w:color="auto"/>
            </w:tcBorders>
            <w:vAlign w:val="center"/>
            <w:hideMark/>
          </w:tcPr>
          <w:p w:rsidR="00EF24ED" w:rsidRPr="005A7DE6" w:rsidP="00ED0FBA">
            <w:pPr>
              <w:spacing w:line="360" w:lineRule="auto"/>
              <w:ind w:firstLine="420" w:firstLineChars="200"/>
              <w:jc w:val="center"/>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公告事项</w:t>
            </w:r>
          </w:p>
        </w:tc>
        <w:tc>
          <w:tcPr>
            <w:tcW w:w="1625" w:type="dxa"/>
            <w:tcBorders>
              <w:top w:val="single" w:sz="4" w:space="0" w:color="auto"/>
              <w:left w:val="single" w:sz="4" w:space="0" w:color="auto"/>
              <w:bottom w:val="single" w:sz="4" w:space="0" w:color="auto"/>
              <w:right w:val="single" w:sz="4" w:space="0" w:color="auto"/>
            </w:tcBorders>
            <w:vAlign w:val="center"/>
            <w:hideMark/>
          </w:tcPr>
          <w:p w:rsidR="00EF24ED" w:rsidRPr="005A7DE6" w:rsidP="00820EDA">
            <w:pPr>
              <w:spacing w:line="360" w:lineRule="auto"/>
              <w:jc w:val="center"/>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rPr>
              <w:t>披露日期</w:t>
            </w:r>
          </w:p>
        </w:tc>
      </w:tr>
      <w:tr>
        <w:tblPrEx>
          <w:tblW w:w="8423" w:type="dxa"/>
          <w:tblInd w:w="93" w:type="dxa"/>
          <w:tblLayout w:type="fixed"/>
          <w:tblLook w:val="04A0"/>
        </w:tblPrEx>
        <w:tc>
          <w:tcPr>
            <w:tcW w:w="6798" w:type="dxa"/>
          </w:tcPr>
          <w:p w:rsidR="00336BCC">
            <w:pPr>
              <w:jc w:val="left"/>
            </w:pPr>
            <w:r>
              <w:t>易方达纯债债券型证券投资基金暂停大额申购及大额转换转入业务的公告</w:t>
            </w:r>
          </w:p>
        </w:tc>
        <w:tc>
          <w:tcPr>
            <w:tcW w:w="1625" w:type="dxa"/>
          </w:tcPr>
          <w:p w:rsidR="00336BCC">
            <w:pPr>
              <w:jc w:val="center"/>
            </w:pPr>
            <w:r>
              <w:t>2021-12-17</w:t>
            </w:r>
          </w:p>
        </w:tc>
      </w:tr>
      <w:tr>
        <w:tblPrEx>
          <w:tblW w:w="8423" w:type="dxa"/>
          <w:tblInd w:w="93" w:type="dxa"/>
          <w:tblLayout w:type="fixed"/>
          <w:tblLook w:val="04A0"/>
        </w:tblPrEx>
        <w:tc>
          <w:tcPr>
            <w:tcW w:w="6798" w:type="dxa"/>
          </w:tcPr>
          <w:p w:rsidR="00336BCC">
            <w:pPr>
              <w:jc w:val="left"/>
            </w:pPr>
            <w:r>
              <w:t>易方达基金管理有限公司关于成都分公司营业场所变更的公告</w:t>
            </w:r>
          </w:p>
        </w:tc>
        <w:tc>
          <w:tcPr>
            <w:tcW w:w="1625" w:type="dxa"/>
          </w:tcPr>
          <w:p w:rsidR="00336BCC">
            <w:pPr>
              <w:jc w:val="center"/>
            </w:pPr>
            <w:r>
              <w:t>2021-12-17</w:t>
            </w:r>
          </w:p>
        </w:tc>
      </w:tr>
      <w:tr>
        <w:tblPrEx>
          <w:tblW w:w="8423" w:type="dxa"/>
          <w:tblInd w:w="93" w:type="dxa"/>
          <w:tblLayout w:type="fixed"/>
          <w:tblLook w:val="04A0"/>
        </w:tblPrEx>
        <w:tc>
          <w:tcPr>
            <w:tcW w:w="6798" w:type="dxa"/>
          </w:tcPr>
          <w:p w:rsidR="00336BCC">
            <w:pPr>
              <w:jc w:val="left"/>
            </w:pPr>
            <w:r>
              <w:t>易方达基金管理有限公司关于调整旗下部分开放式基金单笔赎回最低份额及最低持有份额限制的公告</w:t>
            </w:r>
          </w:p>
        </w:tc>
        <w:tc>
          <w:tcPr>
            <w:tcW w:w="1625" w:type="dxa"/>
          </w:tcPr>
          <w:p w:rsidR="00336BCC">
            <w:pPr>
              <w:jc w:val="center"/>
            </w:pPr>
            <w:r>
              <w:t>2021-12-29</w:t>
            </w:r>
          </w:p>
        </w:tc>
      </w:tr>
      <w:tr>
        <w:tblPrEx>
          <w:tblW w:w="8423" w:type="dxa"/>
          <w:tblInd w:w="93" w:type="dxa"/>
          <w:tblLayout w:type="fixed"/>
          <w:tblLook w:val="04A0"/>
        </w:tblPrEx>
        <w:tc>
          <w:tcPr>
            <w:tcW w:w="6798" w:type="dxa"/>
          </w:tcPr>
          <w:p w:rsidR="00336BCC">
            <w:pPr>
              <w:jc w:val="left"/>
            </w:pPr>
            <w:r>
              <w:t>易方达基金管理有限公司关于旗下公开募集证券投资基金执行新金融工具相关会计准则的公告</w:t>
            </w:r>
          </w:p>
        </w:tc>
        <w:tc>
          <w:tcPr>
            <w:tcW w:w="1625" w:type="dxa"/>
          </w:tcPr>
          <w:p w:rsidR="00336BCC">
            <w:pPr>
              <w:jc w:val="center"/>
            </w:pPr>
            <w:r>
              <w:t>2022-01-01</w:t>
            </w:r>
          </w:p>
        </w:tc>
      </w:tr>
      <w:tr>
        <w:tblPrEx>
          <w:tblW w:w="8423" w:type="dxa"/>
          <w:tblInd w:w="93" w:type="dxa"/>
          <w:tblLayout w:type="fixed"/>
          <w:tblLook w:val="04A0"/>
        </w:tblPrEx>
        <w:tc>
          <w:tcPr>
            <w:tcW w:w="6798" w:type="dxa"/>
          </w:tcPr>
          <w:p w:rsidR="00336BCC">
            <w:pPr>
              <w:jc w:val="left"/>
            </w:pPr>
            <w:r>
              <w:t>易方达基金管理有限公司关于公司住所变更的公告</w:t>
            </w:r>
          </w:p>
        </w:tc>
        <w:tc>
          <w:tcPr>
            <w:tcW w:w="1625" w:type="dxa"/>
          </w:tcPr>
          <w:p w:rsidR="00336BCC">
            <w:pPr>
              <w:jc w:val="center"/>
            </w:pPr>
            <w:r>
              <w:t>2022-01-07</w:t>
            </w:r>
          </w:p>
        </w:tc>
      </w:tr>
      <w:tr>
        <w:tblPrEx>
          <w:tblW w:w="8423" w:type="dxa"/>
          <w:tblInd w:w="93" w:type="dxa"/>
          <w:tblLayout w:type="fixed"/>
          <w:tblLook w:val="04A0"/>
        </w:tblPrEx>
        <w:tc>
          <w:tcPr>
            <w:tcW w:w="6798" w:type="dxa"/>
          </w:tcPr>
          <w:p w:rsidR="00336BCC">
            <w:pPr>
              <w:jc w:val="left"/>
            </w:pPr>
            <w:r>
              <w:t>易方达纯债债券型证券投资基金分红公告</w:t>
            </w:r>
          </w:p>
        </w:tc>
        <w:tc>
          <w:tcPr>
            <w:tcW w:w="1625" w:type="dxa"/>
          </w:tcPr>
          <w:p w:rsidR="00336BCC">
            <w:pPr>
              <w:jc w:val="center"/>
            </w:pPr>
            <w:r>
              <w:t>2022-01-11</w:t>
            </w:r>
          </w:p>
        </w:tc>
      </w:tr>
      <w:tr>
        <w:tblPrEx>
          <w:tblW w:w="8423" w:type="dxa"/>
          <w:tblInd w:w="93" w:type="dxa"/>
          <w:tblLayout w:type="fixed"/>
          <w:tblLook w:val="04A0"/>
        </w:tblPrEx>
        <w:tc>
          <w:tcPr>
            <w:tcW w:w="6798" w:type="dxa"/>
          </w:tcPr>
          <w:p w:rsidR="00336BCC">
            <w:pPr>
              <w:jc w:val="left"/>
            </w:pPr>
            <w:r>
              <w:t>易方达基金管理有限公司旗下基金</w:t>
            </w:r>
            <w:r>
              <w:t>2021</w:t>
            </w:r>
            <w:r>
              <w:t>年第</w:t>
            </w:r>
            <w:r>
              <w:t>4</w:t>
            </w:r>
            <w:r>
              <w:t>季度报告提示性公告</w:t>
            </w:r>
          </w:p>
        </w:tc>
        <w:tc>
          <w:tcPr>
            <w:tcW w:w="1625" w:type="dxa"/>
          </w:tcPr>
          <w:p w:rsidR="00336BCC">
            <w:pPr>
              <w:jc w:val="center"/>
            </w:pPr>
            <w:r>
              <w:t>2022-01</w:t>
            </w:r>
            <w:r>
              <w:t>-21</w:t>
            </w:r>
          </w:p>
        </w:tc>
      </w:tr>
      <w:tr>
        <w:tblPrEx>
          <w:tblW w:w="8423" w:type="dxa"/>
          <w:tblInd w:w="93" w:type="dxa"/>
          <w:tblLayout w:type="fixed"/>
          <w:tblLook w:val="04A0"/>
        </w:tblPrEx>
        <w:tc>
          <w:tcPr>
            <w:tcW w:w="6798" w:type="dxa"/>
          </w:tcPr>
          <w:p w:rsidR="00336BCC">
            <w:pPr>
              <w:jc w:val="left"/>
            </w:pPr>
            <w:r>
              <w:t>易方达基金管理有限公司旗下基金</w:t>
            </w:r>
            <w:r>
              <w:t>2021</w:t>
            </w:r>
            <w:r>
              <w:t>年年度报告提示性公告</w:t>
            </w:r>
          </w:p>
        </w:tc>
        <w:tc>
          <w:tcPr>
            <w:tcW w:w="1625" w:type="dxa"/>
          </w:tcPr>
          <w:p w:rsidR="00336BCC">
            <w:pPr>
              <w:jc w:val="center"/>
            </w:pPr>
            <w:r>
              <w:t>2022-03-30</w:t>
            </w:r>
          </w:p>
        </w:tc>
      </w:tr>
      <w:tr>
        <w:tblPrEx>
          <w:tblW w:w="8423" w:type="dxa"/>
          <w:tblInd w:w="93" w:type="dxa"/>
          <w:tblLayout w:type="fixed"/>
          <w:tblLook w:val="04A0"/>
        </w:tblPrEx>
        <w:tc>
          <w:tcPr>
            <w:tcW w:w="6798" w:type="dxa"/>
          </w:tcPr>
          <w:p w:rsidR="00336BCC">
            <w:pPr>
              <w:jc w:val="left"/>
            </w:pPr>
            <w:r>
              <w:t>易方达基金管理有限公司关于提醒投资者及时提供或更新身份信息资料的公告</w:t>
            </w:r>
          </w:p>
        </w:tc>
        <w:tc>
          <w:tcPr>
            <w:tcW w:w="1625" w:type="dxa"/>
          </w:tcPr>
          <w:p w:rsidR="00336BCC">
            <w:pPr>
              <w:jc w:val="center"/>
            </w:pPr>
            <w:r>
              <w:t>2022-04-11</w:t>
            </w:r>
          </w:p>
        </w:tc>
      </w:tr>
      <w:tr>
        <w:tblPrEx>
          <w:tblW w:w="8423" w:type="dxa"/>
          <w:tblInd w:w="93" w:type="dxa"/>
          <w:tblLayout w:type="fixed"/>
          <w:tblLook w:val="04A0"/>
        </w:tblPrEx>
        <w:tc>
          <w:tcPr>
            <w:tcW w:w="6798" w:type="dxa"/>
          </w:tcPr>
          <w:p w:rsidR="00336BCC">
            <w:pPr>
              <w:jc w:val="left"/>
            </w:pPr>
            <w:r>
              <w:t>易方达纯债债券型证券投资基金分红公告</w:t>
            </w:r>
          </w:p>
        </w:tc>
        <w:tc>
          <w:tcPr>
            <w:tcW w:w="1625" w:type="dxa"/>
          </w:tcPr>
          <w:p w:rsidR="00336BCC">
            <w:pPr>
              <w:jc w:val="center"/>
            </w:pPr>
            <w:r>
              <w:t>2022-04-20</w:t>
            </w:r>
          </w:p>
        </w:tc>
      </w:tr>
      <w:tr>
        <w:tblPrEx>
          <w:tblW w:w="8423" w:type="dxa"/>
          <w:tblInd w:w="93" w:type="dxa"/>
          <w:tblLayout w:type="fixed"/>
          <w:tblLook w:val="04A0"/>
        </w:tblPrEx>
        <w:tc>
          <w:tcPr>
            <w:tcW w:w="6798" w:type="dxa"/>
          </w:tcPr>
          <w:p w:rsidR="00336BCC">
            <w:pPr>
              <w:jc w:val="left"/>
            </w:pPr>
            <w:r>
              <w:t>易方达基金管理有限公司高级管理人员变更公告</w:t>
            </w:r>
          </w:p>
        </w:tc>
        <w:tc>
          <w:tcPr>
            <w:tcW w:w="1625" w:type="dxa"/>
          </w:tcPr>
          <w:p w:rsidR="00336BCC">
            <w:pPr>
              <w:jc w:val="center"/>
            </w:pPr>
            <w:r>
              <w:t>2022-04-21</w:t>
            </w:r>
          </w:p>
        </w:tc>
      </w:tr>
      <w:tr>
        <w:tblPrEx>
          <w:tblW w:w="8423" w:type="dxa"/>
          <w:tblInd w:w="93" w:type="dxa"/>
          <w:tblLayout w:type="fixed"/>
          <w:tblLook w:val="04A0"/>
        </w:tblPrEx>
        <w:tc>
          <w:tcPr>
            <w:tcW w:w="6798" w:type="dxa"/>
          </w:tcPr>
          <w:p w:rsidR="00336BCC">
            <w:pPr>
              <w:jc w:val="left"/>
            </w:pPr>
            <w:r>
              <w:t>易方达基金管理有限公司旗下基金</w:t>
            </w:r>
            <w:r>
              <w:t>2022</w:t>
            </w:r>
            <w:r>
              <w:t>年第</w:t>
            </w:r>
            <w:r>
              <w:t>1</w:t>
            </w:r>
            <w:r>
              <w:t>季度报告提示性公告</w:t>
            </w:r>
          </w:p>
        </w:tc>
        <w:tc>
          <w:tcPr>
            <w:tcW w:w="1625" w:type="dxa"/>
          </w:tcPr>
          <w:p w:rsidR="00336BCC">
            <w:pPr>
              <w:jc w:val="center"/>
            </w:pPr>
            <w:r>
              <w:t>2022-04-22</w:t>
            </w:r>
          </w:p>
        </w:tc>
      </w:tr>
      <w:tr>
        <w:tblPrEx>
          <w:tblW w:w="8423" w:type="dxa"/>
          <w:tblInd w:w="93" w:type="dxa"/>
          <w:tblLayout w:type="fixed"/>
          <w:tblLook w:val="04A0"/>
        </w:tblPrEx>
        <w:tc>
          <w:tcPr>
            <w:tcW w:w="6798" w:type="dxa"/>
          </w:tcPr>
          <w:p w:rsidR="00336BCC">
            <w:pPr>
              <w:jc w:val="left"/>
            </w:pPr>
            <w:r>
              <w:t>易方达基金管理有限公司高级管理人员变更公告</w:t>
            </w:r>
          </w:p>
        </w:tc>
        <w:tc>
          <w:tcPr>
            <w:tcW w:w="1625" w:type="dxa"/>
          </w:tcPr>
          <w:p w:rsidR="00336BCC">
            <w:pPr>
              <w:jc w:val="center"/>
            </w:pPr>
            <w:r>
              <w:t>2022-05-13</w:t>
            </w:r>
          </w:p>
        </w:tc>
      </w:tr>
      <w:tr>
        <w:tblPrEx>
          <w:tblW w:w="8423" w:type="dxa"/>
          <w:tblInd w:w="93" w:type="dxa"/>
          <w:tblLayout w:type="fixed"/>
          <w:tblLook w:val="04A0"/>
        </w:tblPrEx>
        <w:tc>
          <w:tcPr>
            <w:tcW w:w="6798" w:type="dxa"/>
          </w:tcPr>
          <w:p w:rsidR="00336BCC">
            <w:pPr>
              <w:jc w:val="left"/>
            </w:pPr>
            <w:r>
              <w:t>易方达基金管理有限公司关于子公司住所变更的公告</w:t>
            </w:r>
          </w:p>
        </w:tc>
        <w:tc>
          <w:tcPr>
            <w:tcW w:w="1625" w:type="dxa"/>
          </w:tcPr>
          <w:p w:rsidR="00336BCC">
            <w:pPr>
              <w:jc w:val="center"/>
            </w:pPr>
            <w:r>
              <w:t>2022-05-14</w:t>
            </w:r>
          </w:p>
        </w:tc>
      </w:tr>
      <w:tr>
        <w:tblPrEx>
          <w:tblW w:w="8423" w:type="dxa"/>
          <w:tblInd w:w="93" w:type="dxa"/>
          <w:tblLayout w:type="fixed"/>
          <w:tblLook w:val="04A0"/>
        </w:tblPrEx>
        <w:tc>
          <w:tcPr>
            <w:tcW w:w="6798" w:type="dxa"/>
          </w:tcPr>
          <w:p w:rsidR="00336BCC">
            <w:pPr>
              <w:jc w:val="left"/>
            </w:pPr>
            <w:r>
              <w:t>关于警惕冒用易方达基金管理有限公司名义进行诈骗活动的特别提示公告</w:t>
            </w:r>
          </w:p>
        </w:tc>
        <w:tc>
          <w:tcPr>
            <w:tcW w:w="1625" w:type="dxa"/>
          </w:tcPr>
          <w:p w:rsidR="00336BCC">
            <w:pPr>
              <w:jc w:val="center"/>
            </w:pPr>
            <w:r>
              <w:t>2022-07-07</w:t>
            </w:r>
          </w:p>
        </w:tc>
      </w:tr>
      <w:tr>
        <w:tblPrEx>
          <w:tblW w:w="8423" w:type="dxa"/>
          <w:tblInd w:w="93" w:type="dxa"/>
          <w:tblLayout w:type="fixed"/>
          <w:tblLook w:val="04A0"/>
        </w:tblPrEx>
        <w:tc>
          <w:tcPr>
            <w:tcW w:w="6798" w:type="dxa"/>
          </w:tcPr>
          <w:p w:rsidR="00336BCC">
            <w:pPr>
              <w:jc w:val="left"/>
            </w:pPr>
            <w:r>
              <w:t>易方达基金管理有限公司关于暂停喜鹊财富基金销售有限公司办理旗下基金相关销售业务的公告</w:t>
            </w:r>
          </w:p>
        </w:tc>
        <w:tc>
          <w:tcPr>
            <w:tcW w:w="1625" w:type="dxa"/>
          </w:tcPr>
          <w:p w:rsidR="00336BCC">
            <w:pPr>
              <w:jc w:val="center"/>
            </w:pPr>
            <w:r>
              <w:t>2022-07-08</w:t>
            </w:r>
          </w:p>
        </w:tc>
      </w:tr>
      <w:tr>
        <w:tblPrEx>
          <w:tblW w:w="8423" w:type="dxa"/>
          <w:tblInd w:w="93" w:type="dxa"/>
          <w:tblLayout w:type="fixed"/>
          <w:tblLook w:val="04A0"/>
        </w:tblPrEx>
        <w:tc>
          <w:tcPr>
            <w:tcW w:w="6798" w:type="dxa"/>
          </w:tcPr>
          <w:p w:rsidR="00336BCC">
            <w:pPr>
              <w:jc w:val="left"/>
            </w:pPr>
            <w:r>
              <w:t>易方达纯债债券型证券投资基金分红公告</w:t>
            </w:r>
          </w:p>
        </w:tc>
        <w:tc>
          <w:tcPr>
            <w:tcW w:w="1625" w:type="dxa"/>
          </w:tcPr>
          <w:p w:rsidR="00336BCC">
            <w:pPr>
              <w:jc w:val="center"/>
            </w:pPr>
            <w:r>
              <w:t>2022-07-15</w:t>
            </w:r>
          </w:p>
        </w:tc>
      </w:tr>
      <w:tr>
        <w:tblPrEx>
          <w:tblW w:w="8423" w:type="dxa"/>
          <w:tblInd w:w="93" w:type="dxa"/>
          <w:tblLayout w:type="fixed"/>
          <w:tblLook w:val="04A0"/>
        </w:tblPrEx>
        <w:tc>
          <w:tcPr>
            <w:tcW w:w="6798" w:type="dxa"/>
          </w:tcPr>
          <w:p w:rsidR="00336BCC">
            <w:pPr>
              <w:jc w:val="left"/>
            </w:pPr>
            <w:r>
              <w:t>易方达基金管理有限公司旗下基金</w:t>
            </w:r>
            <w:r>
              <w:t>2022</w:t>
            </w:r>
            <w:r>
              <w:t>年第</w:t>
            </w:r>
            <w:r>
              <w:t>2</w:t>
            </w:r>
            <w:r>
              <w:t>季度报告提示性公告</w:t>
            </w:r>
          </w:p>
        </w:tc>
        <w:tc>
          <w:tcPr>
            <w:tcW w:w="1625" w:type="dxa"/>
          </w:tcPr>
          <w:p w:rsidR="00336BCC">
            <w:pPr>
              <w:jc w:val="center"/>
            </w:pPr>
            <w:r>
              <w:t>2022-07-20</w:t>
            </w:r>
          </w:p>
        </w:tc>
      </w:tr>
      <w:tr>
        <w:tblPrEx>
          <w:tblW w:w="8423" w:type="dxa"/>
          <w:tblInd w:w="93" w:type="dxa"/>
          <w:tblLayout w:type="fixed"/>
          <w:tblLook w:val="04A0"/>
        </w:tblPrEx>
        <w:tc>
          <w:tcPr>
            <w:tcW w:w="6798" w:type="dxa"/>
          </w:tcPr>
          <w:p w:rsidR="00336BCC">
            <w:pPr>
              <w:jc w:val="left"/>
            </w:pPr>
            <w:r>
              <w:t>易方达基金管理有限公司旗下基金</w:t>
            </w:r>
            <w:r>
              <w:t>2022</w:t>
            </w:r>
            <w:r>
              <w:t>年中期报告提示性公告</w:t>
            </w:r>
          </w:p>
        </w:tc>
        <w:tc>
          <w:tcPr>
            <w:tcW w:w="1625" w:type="dxa"/>
          </w:tcPr>
          <w:p w:rsidR="00336BCC">
            <w:pPr>
              <w:jc w:val="center"/>
            </w:pPr>
            <w:r>
              <w:t>2022-08-30</w:t>
            </w:r>
          </w:p>
        </w:tc>
      </w:tr>
      <w:tr>
        <w:tblPrEx>
          <w:tblW w:w="8423" w:type="dxa"/>
          <w:tblInd w:w="93" w:type="dxa"/>
          <w:tblLayout w:type="fixed"/>
          <w:tblLook w:val="04A0"/>
        </w:tblPrEx>
        <w:tc>
          <w:tcPr>
            <w:tcW w:w="6798" w:type="dxa"/>
          </w:tcPr>
          <w:p w:rsidR="00336BCC">
            <w:pPr>
              <w:jc w:val="left"/>
            </w:pPr>
            <w:r>
              <w:t>易方达纯债债券型证券投资基金分红公告</w:t>
            </w:r>
          </w:p>
        </w:tc>
        <w:tc>
          <w:tcPr>
            <w:tcW w:w="1625" w:type="dxa"/>
          </w:tcPr>
          <w:p w:rsidR="00336BCC">
            <w:pPr>
              <w:jc w:val="center"/>
            </w:pPr>
            <w:r>
              <w:t>2022-10-19</w:t>
            </w:r>
          </w:p>
        </w:tc>
      </w:tr>
      <w:tr>
        <w:tblPrEx>
          <w:tblW w:w="8423" w:type="dxa"/>
          <w:tblInd w:w="93" w:type="dxa"/>
          <w:tblLayout w:type="fixed"/>
          <w:tblLook w:val="04A0"/>
        </w:tblPrEx>
        <w:tc>
          <w:tcPr>
            <w:tcW w:w="6798" w:type="dxa"/>
          </w:tcPr>
          <w:p w:rsidR="00336BCC">
            <w:pPr>
              <w:jc w:val="left"/>
            </w:pPr>
            <w:r>
              <w:t>易方达基金管理有限公司旗下基金</w:t>
            </w:r>
            <w:r>
              <w:t>2022</w:t>
            </w:r>
            <w:r>
              <w:t>年第</w:t>
            </w:r>
            <w:r>
              <w:t>3</w:t>
            </w:r>
            <w:r>
              <w:t>季度报告提示性公告</w:t>
            </w:r>
          </w:p>
        </w:tc>
        <w:tc>
          <w:tcPr>
            <w:tcW w:w="1625" w:type="dxa"/>
          </w:tcPr>
          <w:p w:rsidR="00336BCC">
            <w:pPr>
              <w:jc w:val="center"/>
            </w:pPr>
            <w:r>
              <w:t>2022-10-26</w:t>
            </w:r>
          </w:p>
        </w:tc>
      </w:tr>
    </w:tbl>
    <w:p w:rsidR="004B5547" w:rsidRPr="005A7DE6" w:rsidP="006B758F">
      <w:pPr>
        <w:snapToGrid w:val="0"/>
        <w:spacing w:line="360" w:lineRule="auto"/>
        <w:rPr>
          <w:rFonts w:asciiTheme="minorEastAsia" w:eastAsiaTheme="minorEastAsia" w:hAnsiTheme="minorEastAsia"/>
          <w:color w:val="000000" w:themeColor="text1"/>
        </w:rPr>
      </w:pPr>
      <w:r w:rsidRPr="005A7DE6">
        <w:rPr>
          <w:rFonts w:asciiTheme="minorEastAsia" w:eastAsiaTheme="minorEastAsia" w:hAnsiTheme="minorEastAsia" w:hint="eastAsia"/>
          <w:color w:val="000000" w:themeColor="text1"/>
          <w:szCs w:val="21"/>
        </w:rPr>
        <w:t>注：以上公告事项披露在</w:t>
      </w:r>
      <w:r w:rsidRPr="005A7DE6" w:rsidR="00FA0226">
        <w:rPr>
          <w:rFonts w:asciiTheme="minorEastAsia" w:eastAsiaTheme="minorEastAsia" w:hAnsiTheme="minorEastAsia" w:hint="eastAsia"/>
          <w:color w:val="000000" w:themeColor="text1"/>
          <w:szCs w:val="21"/>
        </w:rPr>
        <w:t>规定</w:t>
      </w:r>
      <w:r w:rsidRPr="005A7DE6">
        <w:rPr>
          <w:rFonts w:asciiTheme="minorEastAsia" w:eastAsiaTheme="minorEastAsia" w:hAnsiTheme="minorEastAsia" w:hint="eastAsia"/>
          <w:color w:val="000000" w:themeColor="text1"/>
          <w:szCs w:val="21"/>
        </w:rPr>
        <w:t>媒介及基金管理人网站上。</w:t>
      </w:r>
    </w:p>
    <w:p w:rsidR="004000D3" w:rsidRPr="005A7DE6" w:rsidP="006B758F">
      <w:pPr>
        <w:pStyle w:val="NormalIndent"/>
        <w:snapToGrid w:val="0"/>
        <w:spacing w:line="360" w:lineRule="auto"/>
        <w:rPr>
          <w:rFonts w:asciiTheme="minorEastAsia" w:eastAsiaTheme="minorEastAsia" w:hAnsiTheme="minorEastAsia"/>
          <w:color w:val="000000" w:themeColor="text1"/>
        </w:rPr>
        <w:sectPr w:rsidSect="002833A8">
          <w:pgSz w:w="11906" w:h="16838" w:code="9"/>
          <w:pgMar w:top="1440" w:right="1800" w:bottom="1440" w:left="1800" w:header="720" w:footer="720" w:gutter="0"/>
          <w:cols w:space="720"/>
          <w:docGrid w:type="lines" w:linePitch="312"/>
        </w:sectPr>
      </w:pPr>
    </w:p>
    <w:p w:rsidR="00BA4B87" w:rsidRPr="005A7DE6" w:rsidP="006B758F">
      <w:pPr>
        <w:pStyle w:val="111"/>
        <w:pageBreakBefore w:val="0"/>
        <w:snapToGrid w:val="0"/>
        <w:spacing w:beforeLines="0" w:afterLines="0" w:line="360" w:lineRule="auto"/>
        <w:ind w:firstLine="602"/>
        <w:rPr>
          <w:rFonts w:asciiTheme="minorEastAsia" w:eastAsiaTheme="minorEastAsia" w:hAnsiTheme="minorEastAsia"/>
          <w:b/>
          <w:color w:val="000000" w:themeColor="text1"/>
          <w:sz w:val="30"/>
        </w:rPr>
      </w:pPr>
      <w:bookmarkStart w:id="3774" w:name="_Toc94172511"/>
      <w:r w:rsidRPr="005A7DE6">
        <w:rPr>
          <w:rFonts w:asciiTheme="minorEastAsia" w:eastAsiaTheme="minorEastAsia" w:hAnsiTheme="minorEastAsia"/>
          <w:b/>
          <w:color w:val="000000" w:themeColor="text1"/>
          <w:sz w:val="30"/>
        </w:rPr>
        <w:t>二十</w:t>
      </w:r>
      <w:r w:rsidRPr="005A7DE6" w:rsidR="00485E3F">
        <w:rPr>
          <w:rFonts w:asciiTheme="minorEastAsia" w:eastAsiaTheme="minorEastAsia" w:hAnsiTheme="minorEastAsia" w:hint="eastAsia"/>
          <w:b/>
          <w:color w:val="000000" w:themeColor="text1"/>
          <w:sz w:val="30"/>
        </w:rPr>
        <w:t>六</w:t>
      </w:r>
      <w:r w:rsidRPr="005A7DE6">
        <w:rPr>
          <w:rFonts w:asciiTheme="minorEastAsia" w:eastAsiaTheme="minorEastAsia" w:hAnsiTheme="minorEastAsia"/>
          <w:b/>
          <w:color w:val="000000" w:themeColor="text1"/>
          <w:sz w:val="30"/>
        </w:rPr>
        <w:t>、招募说明书的存放及查阅方式</w:t>
      </w:r>
      <w:bookmarkEnd w:id="3774"/>
    </w:p>
    <w:p w:rsidR="00BA4B87" w:rsidRPr="005A7DE6" w:rsidP="006B758F">
      <w:pPr>
        <w:snapToGrid w:val="0"/>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本招募说明书存放在基金管理人、基金托管人及基金</w:t>
      </w:r>
      <w:r w:rsidRPr="005A7DE6" w:rsidR="007C0F95">
        <w:rPr>
          <w:rFonts w:asciiTheme="minorEastAsia" w:eastAsiaTheme="minorEastAsia" w:hAnsiTheme="minorEastAsia" w:hint="eastAsia"/>
          <w:color w:val="000000" w:themeColor="text1"/>
        </w:rPr>
        <w:t>销售</w:t>
      </w:r>
      <w:r w:rsidRPr="005A7DE6">
        <w:rPr>
          <w:rFonts w:asciiTheme="minorEastAsia" w:eastAsiaTheme="minorEastAsia" w:hAnsiTheme="minorEastAsia"/>
          <w:color w:val="000000" w:themeColor="text1"/>
        </w:rPr>
        <w:t>机构处，投资者可在营业时间免费查阅，也可按工本费购买复印件。</w:t>
      </w:r>
    </w:p>
    <w:p w:rsidR="00BA4B87" w:rsidRPr="005A7DE6" w:rsidP="006B758F">
      <w:pPr>
        <w:snapToGrid w:val="0"/>
        <w:spacing w:line="360" w:lineRule="auto"/>
        <w:ind w:firstLine="48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基金管理人和基金托管人保证文本的内容与公告的内容完全一致。</w:t>
      </w:r>
    </w:p>
    <w:p w:rsidR="00BA4B87" w:rsidRPr="005A7DE6" w:rsidP="006B758F">
      <w:pPr>
        <w:pStyle w:val="111"/>
        <w:pageBreakBefore w:val="0"/>
        <w:snapToGrid w:val="0"/>
        <w:spacing w:beforeLines="0" w:afterLines="0" w:line="360" w:lineRule="auto"/>
        <w:ind w:firstLine="600"/>
        <w:rPr>
          <w:rFonts w:asciiTheme="minorEastAsia" w:eastAsiaTheme="minorEastAsia" w:hAnsiTheme="minorEastAsia"/>
          <w:b/>
          <w:color w:val="000000" w:themeColor="text1"/>
          <w:sz w:val="30"/>
        </w:rPr>
      </w:pPr>
      <w:r w:rsidRPr="005A7DE6">
        <w:rPr>
          <w:rFonts w:asciiTheme="minorEastAsia" w:eastAsiaTheme="minorEastAsia" w:hAnsiTheme="minorEastAsia"/>
          <w:color w:val="000000" w:themeColor="text1"/>
          <w:sz w:val="30"/>
        </w:rPr>
        <w:br w:type="column"/>
      </w:r>
      <w:bookmarkStart w:id="3775" w:name="_Toc94172512"/>
      <w:r w:rsidRPr="005A7DE6" w:rsidR="008245B1">
        <w:rPr>
          <w:rFonts w:asciiTheme="minorEastAsia" w:eastAsiaTheme="minorEastAsia" w:hAnsiTheme="minorEastAsia"/>
          <w:b/>
          <w:color w:val="000000" w:themeColor="text1"/>
          <w:sz w:val="30"/>
        </w:rPr>
        <w:t>二十</w:t>
      </w:r>
      <w:r w:rsidRPr="005A7DE6" w:rsidR="00485E3F">
        <w:rPr>
          <w:rFonts w:asciiTheme="minorEastAsia" w:eastAsiaTheme="minorEastAsia" w:hAnsiTheme="minorEastAsia" w:hint="eastAsia"/>
          <w:b/>
          <w:color w:val="000000" w:themeColor="text1"/>
          <w:sz w:val="30"/>
        </w:rPr>
        <w:t>七</w:t>
      </w:r>
      <w:r w:rsidRPr="005A7DE6">
        <w:rPr>
          <w:rFonts w:asciiTheme="minorEastAsia" w:eastAsiaTheme="minorEastAsia" w:hAnsiTheme="minorEastAsia"/>
          <w:b/>
          <w:color w:val="000000" w:themeColor="text1"/>
          <w:sz w:val="30"/>
        </w:rPr>
        <w:t>、备查文件</w:t>
      </w:r>
      <w:bookmarkEnd w:id="3775"/>
    </w:p>
    <w:p w:rsidR="00BA4B87" w:rsidRPr="005A7DE6" w:rsidP="006B758F">
      <w:pPr>
        <w:snapToGrid w:val="0"/>
        <w:spacing w:line="360" w:lineRule="auto"/>
        <w:ind w:firstLine="420" w:firstLineChars="200"/>
        <w:jc w:val="left"/>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1</w:t>
      </w:r>
      <w:r w:rsidRPr="005A7DE6">
        <w:rPr>
          <w:rFonts w:asciiTheme="minorEastAsia" w:eastAsiaTheme="minorEastAsia" w:hAnsiTheme="minorEastAsia"/>
          <w:color w:val="000000" w:themeColor="text1"/>
        </w:rPr>
        <w:t>、中国证监会核准</w:t>
      </w:r>
      <w:r w:rsidRPr="005A7DE6" w:rsidR="00E96DFD">
        <w:rPr>
          <w:rFonts w:asciiTheme="minorEastAsia" w:eastAsiaTheme="minorEastAsia" w:hAnsiTheme="minorEastAsia"/>
          <w:color w:val="000000" w:themeColor="text1"/>
        </w:rPr>
        <w:t>易方达纯债债券型证券投资基金</w:t>
      </w:r>
      <w:r w:rsidRPr="005A7DE6">
        <w:rPr>
          <w:rFonts w:asciiTheme="minorEastAsia" w:eastAsiaTheme="minorEastAsia" w:hAnsiTheme="minorEastAsia"/>
          <w:color w:val="000000" w:themeColor="text1"/>
        </w:rPr>
        <w:t>募集的文件；</w:t>
      </w:r>
    </w:p>
    <w:p w:rsidR="00BA4B87"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2</w:t>
      </w:r>
      <w:r w:rsidRPr="005A7DE6">
        <w:rPr>
          <w:rFonts w:asciiTheme="minorEastAsia" w:eastAsiaTheme="minorEastAsia" w:hAnsiTheme="minorEastAsia"/>
          <w:color w:val="000000" w:themeColor="text1"/>
        </w:rPr>
        <w:t>、《</w:t>
      </w:r>
      <w:r w:rsidRPr="005A7DE6" w:rsidR="00E96DFD">
        <w:rPr>
          <w:rFonts w:asciiTheme="minorEastAsia" w:eastAsiaTheme="minorEastAsia" w:hAnsiTheme="minorEastAsia"/>
          <w:color w:val="000000" w:themeColor="text1"/>
        </w:rPr>
        <w:t>易方达纯债债券型证券投资基金</w:t>
      </w:r>
      <w:r w:rsidRPr="005A7DE6">
        <w:rPr>
          <w:rFonts w:asciiTheme="minorEastAsia" w:eastAsiaTheme="minorEastAsia" w:hAnsiTheme="minorEastAsia"/>
          <w:color w:val="000000" w:themeColor="text1"/>
        </w:rPr>
        <w:t>基金合同》；</w:t>
      </w:r>
    </w:p>
    <w:p w:rsidR="00BA4B87"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3</w:t>
      </w:r>
      <w:r w:rsidRPr="005A7DE6">
        <w:rPr>
          <w:rFonts w:asciiTheme="minorEastAsia" w:eastAsiaTheme="minorEastAsia" w:hAnsiTheme="minorEastAsia"/>
          <w:color w:val="000000" w:themeColor="text1"/>
        </w:rPr>
        <w:t>、《</w:t>
      </w:r>
      <w:r w:rsidRPr="005A7DE6" w:rsidR="00E96DFD">
        <w:rPr>
          <w:rFonts w:asciiTheme="minorEastAsia" w:eastAsiaTheme="minorEastAsia" w:hAnsiTheme="minorEastAsia"/>
          <w:color w:val="000000" w:themeColor="text1"/>
        </w:rPr>
        <w:t>易方达纯债债券型证券投资基金</w:t>
      </w:r>
      <w:r w:rsidRPr="005A7DE6">
        <w:rPr>
          <w:rFonts w:asciiTheme="minorEastAsia" w:eastAsiaTheme="minorEastAsia" w:hAnsiTheme="minorEastAsia"/>
          <w:color w:val="000000" w:themeColor="text1"/>
        </w:rPr>
        <w:t>托管协议》；</w:t>
      </w:r>
    </w:p>
    <w:p w:rsidR="00BA4B87"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4</w:t>
      </w:r>
      <w:r w:rsidRPr="005A7DE6">
        <w:rPr>
          <w:rFonts w:asciiTheme="minorEastAsia" w:eastAsiaTheme="minorEastAsia" w:hAnsiTheme="minorEastAsia"/>
          <w:color w:val="000000" w:themeColor="text1"/>
        </w:rPr>
        <w:t>、《易方达基金管理有限公司开放式基金业务规则》；</w:t>
      </w:r>
    </w:p>
    <w:p w:rsidR="00BA4B87"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5</w:t>
      </w:r>
      <w:r w:rsidRPr="005A7DE6">
        <w:rPr>
          <w:rFonts w:asciiTheme="minorEastAsia" w:eastAsiaTheme="minorEastAsia" w:hAnsiTheme="minorEastAsia"/>
          <w:color w:val="000000" w:themeColor="text1"/>
        </w:rPr>
        <w:t>、法律意见书；</w:t>
      </w:r>
    </w:p>
    <w:p w:rsidR="00BA4B87"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6</w:t>
      </w:r>
      <w:r w:rsidRPr="005A7DE6">
        <w:rPr>
          <w:rFonts w:asciiTheme="minorEastAsia" w:eastAsiaTheme="minorEastAsia" w:hAnsiTheme="minorEastAsia"/>
          <w:color w:val="000000" w:themeColor="text1"/>
        </w:rPr>
        <w:t>、基金管理人业务资格批件、营业执照；</w:t>
      </w:r>
    </w:p>
    <w:p w:rsidR="00BA4B87" w:rsidRPr="005A7DE6" w:rsidP="006B758F">
      <w:pPr>
        <w:snapToGrid w:val="0"/>
        <w:spacing w:line="360" w:lineRule="auto"/>
        <w:ind w:firstLine="420" w:firstLineChars="20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7</w:t>
      </w:r>
      <w:r w:rsidRPr="005A7DE6">
        <w:rPr>
          <w:rFonts w:asciiTheme="minorEastAsia" w:eastAsiaTheme="minorEastAsia" w:hAnsiTheme="minorEastAsia"/>
          <w:color w:val="000000" w:themeColor="text1"/>
        </w:rPr>
        <w:t>、基金托管人业务资格批件、营业执照。</w:t>
      </w:r>
    </w:p>
    <w:p w:rsidR="00BA4B87" w:rsidRPr="005A7DE6" w:rsidP="006B758F">
      <w:pPr>
        <w:snapToGrid w:val="0"/>
        <w:spacing w:line="360" w:lineRule="auto"/>
        <w:ind w:firstLine="420"/>
        <w:rPr>
          <w:rFonts w:asciiTheme="minorEastAsia" w:eastAsiaTheme="minorEastAsia" w:hAnsiTheme="minorEastAsia"/>
          <w:color w:val="000000" w:themeColor="text1"/>
        </w:rPr>
      </w:pPr>
      <w:r w:rsidRPr="005A7DE6">
        <w:rPr>
          <w:rFonts w:asciiTheme="minorEastAsia" w:eastAsiaTheme="minorEastAsia" w:hAnsiTheme="minorEastAsia"/>
          <w:color w:val="000000" w:themeColor="text1"/>
        </w:rPr>
        <w:t>存放地点：基金管理人、基金托管人处</w:t>
      </w:r>
    </w:p>
    <w:p w:rsidR="00BA4B87" w:rsidRPr="005A7DE6" w:rsidP="006B758F">
      <w:pPr>
        <w:pStyle w:val="PlainText"/>
        <w:snapToGrid w:val="0"/>
        <w:spacing w:line="360" w:lineRule="auto"/>
        <w:ind w:firstLine="420"/>
        <w:rPr>
          <w:rFonts w:asciiTheme="minorEastAsia" w:eastAsiaTheme="minorEastAsia" w:hAnsiTheme="minorEastAsia"/>
          <w:color w:val="000000" w:themeColor="text1"/>
          <w:sz w:val="21"/>
        </w:rPr>
      </w:pPr>
      <w:r w:rsidRPr="005A7DE6">
        <w:rPr>
          <w:rFonts w:asciiTheme="minorEastAsia" w:eastAsiaTheme="minorEastAsia" w:hAnsiTheme="minorEastAsia"/>
          <w:color w:val="000000" w:themeColor="text1"/>
          <w:sz w:val="21"/>
        </w:rPr>
        <w:t>查阅方式：投资者可在营业时间免费查阅，也可按工本费购买复印件。</w:t>
      </w:r>
    </w:p>
    <w:p w:rsidR="00BA4B87" w:rsidRPr="005A7DE6" w:rsidP="006B758F">
      <w:pPr>
        <w:pStyle w:val="PlainText"/>
        <w:snapToGrid w:val="0"/>
        <w:spacing w:line="360" w:lineRule="auto"/>
        <w:ind w:firstLine="420"/>
        <w:rPr>
          <w:rFonts w:asciiTheme="minorEastAsia" w:eastAsiaTheme="minorEastAsia" w:hAnsiTheme="minorEastAsia"/>
          <w:color w:val="000000" w:themeColor="text1"/>
          <w:sz w:val="21"/>
        </w:rPr>
      </w:pPr>
    </w:p>
    <w:p w:rsidR="00BA4B87" w:rsidRPr="005A7DE6" w:rsidP="006B758F">
      <w:pPr>
        <w:pStyle w:val="PlainText"/>
        <w:snapToGrid w:val="0"/>
        <w:spacing w:line="360" w:lineRule="auto"/>
        <w:ind w:firstLine="420"/>
        <w:rPr>
          <w:rFonts w:asciiTheme="minorEastAsia" w:eastAsiaTheme="minorEastAsia" w:hAnsiTheme="minorEastAsia"/>
          <w:color w:val="000000" w:themeColor="text1"/>
          <w:sz w:val="21"/>
        </w:rPr>
      </w:pPr>
    </w:p>
    <w:p w:rsidR="00BA4B87" w:rsidRPr="005A7DE6" w:rsidP="006B758F">
      <w:pPr>
        <w:pStyle w:val="PlainText"/>
        <w:snapToGrid w:val="0"/>
        <w:spacing w:line="360" w:lineRule="auto"/>
        <w:ind w:firstLine="420"/>
        <w:jc w:val="right"/>
        <w:rPr>
          <w:rFonts w:asciiTheme="minorEastAsia" w:eastAsiaTheme="minorEastAsia" w:hAnsiTheme="minorEastAsia"/>
          <w:bCs/>
          <w:color w:val="000000" w:themeColor="text1"/>
          <w:sz w:val="21"/>
        </w:rPr>
      </w:pPr>
      <w:r w:rsidRPr="005A7DE6">
        <w:rPr>
          <w:rFonts w:asciiTheme="minorEastAsia" w:eastAsiaTheme="minorEastAsia" w:hAnsiTheme="minorEastAsia" w:hint="eastAsia"/>
          <w:bCs/>
          <w:color w:val="000000" w:themeColor="text1"/>
          <w:sz w:val="21"/>
        </w:rPr>
        <w:t>易方达基金管理有限公司</w:t>
      </w:r>
    </w:p>
    <w:p w:rsidR="00BA4B87" w:rsidRPr="005A7DE6" w:rsidP="006B758F">
      <w:pPr>
        <w:snapToGrid w:val="0"/>
        <w:spacing w:line="360" w:lineRule="auto"/>
        <w:ind w:right="210" w:firstLine="420" w:firstLineChars="200"/>
        <w:jc w:val="right"/>
        <w:rPr>
          <w:rFonts w:asciiTheme="minorEastAsia" w:eastAsiaTheme="minorEastAsia" w:hAnsiTheme="minorEastAsia"/>
          <w:color w:val="000000" w:themeColor="text1"/>
        </w:rPr>
      </w:pPr>
      <w:r>
        <w:t>2022</w:t>
      </w:r>
      <w:r>
        <w:t>年</w:t>
      </w:r>
      <w:r>
        <w:t>12</w:t>
      </w:r>
      <w:r>
        <w:t>月</w:t>
      </w:r>
      <w:r w:rsidR="00AF345C">
        <w:t>31</w:t>
      </w:r>
      <w:r>
        <w:t>日</w:t>
      </w:r>
    </w:p>
    <w:sectPr w:rsidSect="002833A8">
      <w:pgSz w:w="11906" w:h="16838" w:code="9"/>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156E">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156E">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156E">
    <w:pPr>
      <w:pStyle w:val="Footer"/>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156E" w:rsidP="004C0F6D">
    <w:pPr>
      <w:pStyle w:val="Footer"/>
      <w:framePr w:wrap="around" w:vAnchor="text" w:hAnchor="margin" w:xAlign="center" w:y="1"/>
      <w:ind w:firstLine="0" w:firstLineChars="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V</w:t>
    </w:r>
    <w:r>
      <w:rPr>
        <w:rStyle w:val="PageNumber"/>
      </w:rPr>
      <w:fldChar w:fldCharType="end"/>
    </w:r>
  </w:p>
  <w:p w:rsidR="009E156E">
    <w:pPr>
      <w:pStyle w:val="Footer"/>
      <w:ind w:right="360" w:firstLine="360"/>
      <w:jc w:val="center"/>
    </w:pPr>
    <w:r>
      <w:rPr>
        <w:rFonts w:hint="eastAsia"/>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156E" w:rsidP="008C7F86">
    <w:pPr>
      <w:pStyle w:val="Footer"/>
      <w:framePr w:wrap="around" w:vAnchor="text" w:hAnchor="page" w:x="5686" w:y="-32"/>
      <w:ind w:firstLine="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110</w:t>
    </w:r>
    <w:r>
      <w:rPr>
        <w:rStyle w:val="PageNumber"/>
      </w:rPr>
      <w:fldChar w:fldCharType="end"/>
    </w:r>
  </w:p>
  <w:p w:rsidR="009E156E">
    <w:pPr>
      <w:pStyle w:val="Footer"/>
      <w:ind w:right="360" w:firstLine="360"/>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156E">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156E" w:rsidRPr="001710D7" w:rsidP="001710D7">
    <w:pPr>
      <w:pStyle w:val="Header"/>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156E">
    <w:pPr>
      <w:pStyle w:val="Header"/>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156E" w:rsidP="005456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Heading4"/>
      <w:suff w:val="nothing"/>
      <w:lvlJc w:val="left"/>
      <w:pPr>
        <w:ind w:left="851" w:firstLine="0"/>
      </w:pPr>
      <w:rPr>
        <w:rFonts w:hint="eastAsia"/>
      </w:rPr>
    </w:lvl>
    <w:lvl w:ilvl="4">
      <w:start w:val="1"/>
      <w:numFmt w:val="none"/>
      <w:pStyle w:val="Heading5"/>
      <w:suff w:val="nothing"/>
      <w:lvlJc w:val="left"/>
      <w:pPr>
        <w:ind w:left="851" w:firstLine="0"/>
      </w:pPr>
      <w:rPr>
        <w:rFonts w:hint="eastAsia"/>
      </w:rPr>
    </w:lvl>
    <w:lvl w:ilvl="5">
      <w:start w:val="1"/>
      <w:numFmt w:val="none"/>
      <w:pStyle w:val="Heading6"/>
      <w:suff w:val="nothing"/>
      <w:lvlJc w:val="left"/>
      <w:pPr>
        <w:ind w:left="851" w:firstLine="0"/>
      </w:pPr>
      <w:rPr>
        <w:rFonts w:hint="eastAsia"/>
      </w:rPr>
    </w:lvl>
    <w:lvl w:ilvl="6">
      <w:start w:val="1"/>
      <w:numFmt w:val="none"/>
      <w:pStyle w:val="Heading7"/>
      <w:suff w:val="nothing"/>
      <w:lvlJc w:val="left"/>
      <w:pPr>
        <w:ind w:left="851" w:firstLine="0"/>
      </w:pPr>
      <w:rPr>
        <w:rFonts w:hint="eastAsia"/>
      </w:rPr>
    </w:lvl>
    <w:lvl w:ilvl="7">
      <w:start w:val="1"/>
      <w:numFmt w:val="none"/>
      <w:pStyle w:val="Heading8"/>
      <w:suff w:val="nothing"/>
      <w:lvlJc w:val="left"/>
      <w:pPr>
        <w:ind w:left="851" w:firstLine="0"/>
      </w:pPr>
      <w:rPr>
        <w:rFonts w:hint="eastAsia"/>
      </w:rPr>
    </w:lvl>
    <w:lvl w:ilvl="8">
      <w:start w:val="1"/>
      <w:numFmt w:val="none"/>
      <w:pStyle w:val="Heading9"/>
      <w:suff w:val="nothing"/>
      <w:lvlJc w:val="left"/>
      <w:pPr>
        <w:ind w:left="851" w:firstLine="0"/>
      </w:pPr>
      <w:rPr>
        <w:rFonts w:hint="eastAsia"/>
      </w:rPr>
    </w:lvl>
  </w:abstractNum>
  <w:abstractNum w:abstractNumId="1">
    <w:nsid w:val="4B385D0F"/>
    <w:multiLevelType w:val="hybridMultilevel"/>
    <w:tmpl w:val="36E8BDCC"/>
    <w:lvl w:ilvl="0">
      <w:start w:val="1"/>
      <w:numFmt w:val="japaneseCounting"/>
      <w:lvlText w:val="（%1）"/>
      <w:lvlJc w:val="left"/>
      <w:pPr>
        <w:tabs>
          <w:tab w:val="num" w:pos="720"/>
        </w:tabs>
        <w:ind w:left="720" w:hanging="720"/>
      </w:pPr>
      <w:rPr>
        <w:rFonts w:hint="eastAsia"/>
      </w:rPr>
    </w:lvl>
    <w:lvl w:ilvl="1">
      <w:start w:val="1"/>
      <w:numFmt w:val="decimal"/>
      <w:pStyle w:val="BodyText"/>
      <w:lvlText w:val="%2、"/>
      <w:lvlJc w:val="left"/>
      <w:pPr>
        <w:tabs>
          <w:tab w:val="num" w:pos="780"/>
        </w:tabs>
        <w:ind w:left="780" w:hanging="360"/>
      </w:pPr>
      <w:rPr>
        <w:rFonts w:hint="eastAsia"/>
      </w:r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Heading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num w:numId="1">
    <w:abstractNumId w:val="0"/>
  </w:num>
  <w:num w:numId="2">
    <w:abstractNumId w:val="2"/>
  </w:num>
  <w:num w:numId="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17"/>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BA4B87"/>
    <w:rsid w:val="00003C24"/>
    <w:rsid w:val="000042E3"/>
    <w:rsid w:val="000059BE"/>
    <w:rsid w:val="0000723F"/>
    <w:rsid w:val="000072FD"/>
    <w:rsid w:val="0001041B"/>
    <w:rsid w:val="00010C8A"/>
    <w:rsid w:val="00011DBD"/>
    <w:rsid w:val="00015831"/>
    <w:rsid w:val="000171C0"/>
    <w:rsid w:val="0002080C"/>
    <w:rsid w:val="00020F42"/>
    <w:rsid w:val="00022FEE"/>
    <w:rsid w:val="00024A22"/>
    <w:rsid w:val="00025AAE"/>
    <w:rsid w:val="000310EB"/>
    <w:rsid w:val="00032655"/>
    <w:rsid w:val="00032AE6"/>
    <w:rsid w:val="000335F6"/>
    <w:rsid w:val="00034944"/>
    <w:rsid w:val="00036BCD"/>
    <w:rsid w:val="00037343"/>
    <w:rsid w:val="00040D1A"/>
    <w:rsid w:val="000410B1"/>
    <w:rsid w:val="00043417"/>
    <w:rsid w:val="000444B4"/>
    <w:rsid w:val="0004523F"/>
    <w:rsid w:val="000467C2"/>
    <w:rsid w:val="00046A2F"/>
    <w:rsid w:val="00046C5E"/>
    <w:rsid w:val="00052C9F"/>
    <w:rsid w:val="00053030"/>
    <w:rsid w:val="0005484F"/>
    <w:rsid w:val="00055032"/>
    <w:rsid w:val="000553C5"/>
    <w:rsid w:val="00056C0A"/>
    <w:rsid w:val="00060656"/>
    <w:rsid w:val="00061A4B"/>
    <w:rsid w:val="00062004"/>
    <w:rsid w:val="000629B1"/>
    <w:rsid w:val="00062EA7"/>
    <w:rsid w:val="00063FEE"/>
    <w:rsid w:val="00065773"/>
    <w:rsid w:val="000658E9"/>
    <w:rsid w:val="000714D7"/>
    <w:rsid w:val="000750C3"/>
    <w:rsid w:val="0007643A"/>
    <w:rsid w:val="0007676E"/>
    <w:rsid w:val="00077BD0"/>
    <w:rsid w:val="0008405E"/>
    <w:rsid w:val="00086B5B"/>
    <w:rsid w:val="00087C08"/>
    <w:rsid w:val="00090469"/>
    <w:rsid w:val="000906B5"/>
    <w:rsid w:val="00094303"/>
    <w:rsid w:val="0009469F"/>
    <w:rsid w:val="000A06CF"/>
    <w:rsid w:val="000A1E5B"/>
    <w:rsid w:val="000A51EF"/>
    <w:rsid w:val="000A53A4"/>
    <w:rsid w:val="000B1AC9"/>
    <w:rsid w:val="000B2B07"/>
    <w:rsid w:val="000B46DC"/>
    <w:rsid w:val="000B61D1"/>
    <w:rsid w:val="000C16CA"/>
    <w:rsid w:val="000C2D98"/>
    <w:rsid w:val="000C3945"/>
    <w:rsid w:val="000D197E"/>
    <w:rsid w:val="000D31EA"/>
    <w:rsid w:val="000D5AB5"/>
    <w:rsid w:val="000E2286"/>
    <w:rsid w:val="000E39E2"/>
    <w:rsid w:val="000E46D7"/>
    <w:rsid w:val="000E50DA"/>
    <w:rsid w:val="000E60BE"/>
    <w:rsid w:val="000F04AA"/>
    <w:rsid w:val="000F2331"/>
    <w:rsid w:val="000F587B"/>
    <w:rsid w:val="000F66BA"/>
    <w:rsid w:val="001007DB"/>
    <w:rsid w:val="001009B5"/>
    <w:rsid w:val="00102D34"/>
    <w:rsid w:val="00103A06"/>
    <w:rsid w:val="001047E4"/>
    <w:rsid w:val="00105E32"/>
    <w:rsid w:val="0010655B"/>
    <w:rsid w:val="001104A3"/>
    <w:rsid w:val="001138AD"/>
    <w:rsid w:val="00114344"/>
    <w:rsid w:val="0011498F"/>
    <w:rsid w:val="00116146"/>
    <w:rsid w:val="001176C5"/>
    <w:rsid w:val="00121AEE"/>
    <w:rsid w:val="00122716"/>
    <w:rsid w:val="00122F2D"/>
    <w:rsid w:val="00123515"/>
    <w:rsid w:val="00124EFD"/>
    <w:rsid w:val="00125037"/>
    <w:rsid w:val="001318DA"/>
    <w:rsid w:val="00132C86"/>
    <w:rsid w:val="00133CD6"/>
    <w:rsid w:val="0013590C"/>
    <w:rsid w:val="00135E76"/>
    <w:rsid w:val="00137B50"/>
    <w:rsid w:val="001404C8"/>
    <w:rsid w:val="0014162F"/>
    <w:rsid w:val="00141A43"/>
    <w:rsid w:val="0014333C"/>
    <w:rsid w:val="001444F7"/>
    <w:rsid w:val="00146C0A"/>
    <w:rsid w:val="00150A28"/>
    <w:rsid w:val="00155E3C"/>
    <w:rsid w:val="001573AE"/>
    <w:rsid w:val="00157F9D"/>
    <w:rsid w:val="00163592"/>
    <w:rsid w:val="0016381A"/>
    <w:rsid w:val="00163A4B"/>
    <w:rsid w:val="00164EE8"/>
    <w:rsid w:val="001702DF"/>
    <w:rsid w:val="00170794"/>
    <w:rsid w:val="00170A50"/>
    <w:rsid w:val="001710D7"/>
    <w:rsid w:val="001769C4"/>
    <w:rsid w:val="00185F20"/>
    <w:rsid w:val="00192709"/>
    <w:rsid w:val="001930AD"/>
    <w:rsid w:val="00193187"/>
    <w:rsid w:val="00194C12"/>
    <w:rsid w:val="00195074"/>
    <w:rsid w:val="001950D1"/>
    <w:rsid w:val="0019543C"/>
    <w:rsid w:val="00196962"/>
    <w:rsid w:val="001A0DBE"/>
    <w:rsid w:val="001A313C"/>
    <w:rsid w:val="001A4C09"/>
    <w:rsid w:val="001A5992"/>
    <w:rsid w:val="001A5D8C"/>
    <w:rsid w:val="001A7A8C"/>
    <w:rsid w:val="001B7D40"/>
    <w:rsid w:val="001B7F5E"/>
    <w:rsid w:val="001C2AE2"/>
    <w:rsid w:val="001C41C3"/>
    <w:rsid w:val="001C555F"/>
    <w:rsid w:val="001C5A87"/>
    <w:rsid w:val="001C5CA2"/>
    <w:rsid w:val="001D1CA6"/>
    <w:rsid w:val="001D2A4F"/>
    <w:rsid w:val="001D3F5B"/>
    <w:rsid w:val="001D4B9C"/>
    <w:rsid w:val="001D5679"/>
    <w:rsid w:val="001E268A"/>
    <w:rsid w:val="001E3849"/>
    <w:rsid w:val="001E4C2E"/>
    <w:rsid w:val="001E5840"/>
    <w:rsid w:val="001E7B36"/>
    <w:rsid w:val="001F12B2"/>
    <w:rsid w:val="001F25CC"/>
    <w:rsid w:val="001F30F1"/>
    <w:rsid w:val="001F35B3"/>
    <w:rsid w:val="001F3F96"/>
    <w:rsid w:val="001F41B6"/>
    <w:rsid w:val="001F4C89"/>
    <w:rsid w:val="001F4CEB"/>
    <w:rsid w:val="00202518"/>
    <w:rsid w:val="00202543"/>
    <w:rsid w:val="00202C24"/>
    <w:rsid w:val="00203CA4"/>
    <w:rsid w:val="00205FC1"/>
    <w:rsid w:val="0020753C"/>
    <w:rsid w:val="00207EA5"/>
    <w:rsid w:val="00210ADD"/>
    <w:rsid w:val="002116C0"/>
    <w:rsid w:val="00211EE0"/>
    <w:rsid w:val="00214414"/>
    <w:rsid w:val="00214437"/>
    <w:rsid w:val="0021491A"/>
    <w:rsid w:val="00214A68"/>
    <w:rsid w:val="00214D71"/>
    <w:rsid w:val="00216195"/>
    <w:rsid w:val="0021732E"/>
    <w:rsid w:val="002213EA"/>
    <w:rsid w:val="00224477"/>
    <w:rsid w:val="0022545D"/>
    <w:rsid w:val="002265C2"/>
    <w:rsid w:val="00230130"/>
    <w:rsid w:val="00233229"/>
    <w:rsid w:val="002336E7"/>
    <w:rsid w:val="00234812"/>
    <w:rsid w:val="002362CF"/>
    <w:rsid w:val="0024012C"/>
    <w:rsid w:val="00240214"/>
    <w:rsid w:val="002415E6"/>
    <w:rsid w:val="00243123"/>
    <w:rsid w:val="00244BC7"/>
    <w:rsid w:val="00244E90"/>
    <w:rsid w:val="0024511A"/>
    <w:rsid w:val="0024584D"/>
    <w:rsid w:val="002470AC"/>
    <w:rsid w:val="002523EE"/>
    <w:rsid w:val="0025451A"/>
    <w:rsid w:val="002567AE"/>
    <w:rsid w:val="00260637"/>
    <w:rsid w:val="0026186E"/>
    <w:rsid w:val="00263C50"/>
    <w:rsid w:val="00271129"/>
    <w:rsid w:val="002725E6"/>
    <w:rsid w:val="0027582F"/>
    <w:rsid w:val="00275E0B"/>
    <w:rsid w:val="00277A72"/>
    <w:rsid w:val="00282649"/>
    <w:rsid w:val="002833A8"/>
    <w:rsid w:val="00283D42"/>
    <w:rsid w:val="00284A24"/>
    <w:rsid w:val="0028622D"/>
    <w:rsid w:val="00287978"/>
    <w:rsid w:val="00290CDF"/>
    <w:rsid w:val="0029368A"/>
    <w:rsid w:val="0029668F"/>
    <w:rsid w:val="002967FD"/>
    <w:rsid w:val="002A1A17"/>
    <w:rsid w:val="002A1D23"/>
    <w:rsid w:val="002A21D4"/>
    <w:rsid w:val="002A31EB"/>
    <w:rsid w:val="002A4AC2"/>
    <w:rsid w:val="002A518C"/>
    <w:rsid w:val="002A51BF"/>
    <w:rsid w:val="002A649A"/>
    <w:rsid w:val="002A6909"/>
    <w:rsid w:val="002A6C6A"/>
    <w:rsid w:val="002A6F4D"/>
    <w:rsid w:val="002A7CAC"/>
    <w:rsid w:val="002B079A"/>
    <w:rsid w:val="002B115A"/>
    <w:rsid w:val="002B37B9"/>
    <w:rsid w:val="002B465E"/>
    <w:rsid w:val="002C080C"/>
    <w:rsid w:val="002C1966"/>
    <w:rsid w:val="002C25D5"/>
    <w:rsid w:val="002C633B"/>
    <w:rsid w:val="002D1AD3"/>
    <w:rsid w:val="002D4316"/>
    <w:rsid w:val="002D4D63"/>
    <w:rsid w:val="002D6D84"/>
    <w:rsid w:val="002D7681"/>
    <w:rsid w:val="002E07A5"/>
    <w:rsid w:val="002E2D51"/>
    <w:rsid w:val="002E3851"/>
    <w:rsid w:val="002E492A"/>
    <w:rsid w:val="002E55B7"/>
    <w:rsid w:val="002E681B"/>
    <w:rsid w:val="002E6D5A"/>
    <w:rsid w:val="002F2300"/>
    <w:rsid w:val="002F62DA"/>
    <w:rsid w:val="002F6B43"/>
    <w:rsid w:val="00300A25"/>
    <w:rsid w:val="00301930"/>
    <w:rsid w:val="0030259E"/>
    <w:rsid w:val="003028F5"/>
    <w:rsid w:val="00304529"/>
    <w:rsid w:val="00315034"/>
    <w:rsid w:val="0031729D"/>
    <w:rsid w:val="003173D1"/>
    <w:rsid w:val="003208C7"/>
    <w:rsid w:val="0032137D"/>
    <w:rsid w:val="00321B9E"/>
    <w:rsid w:val="00321CA7"/>
    <w:rsid w:val="0032452F"/>
    <w:rsid w:val="00324612"/>
    <w:rsid w:val="003256EF"/>
    <w:rsid w:val="00327095"/>
    <w:rsid w:val="003278BD"/>
    <w:rsid w:val="00330041"/>
    <w:rsid w:val="00330099"/>
    <w:rsid w:val="00331853"/>
    <w:rsid w:val="00336BCC"/>
    <w:rsid w:val="00336F38"/>
    <w:rsid w:val="00336FF7"/>
    <w:rsid w:val="00341177"/>
    <w:rsid w:val="0034509A"/>
    <w:rsid w:val="00351255"/>
    <w:rsid w:val="003513E8"/>
    <w:rsid w:val="00351B72"/>
    <w:rsid w:val="00352499"/>
    <w:rsid w:val="0035575C"/>
    <w:rsid w:val="00356F4D"/>
    <w:rsid w:val="00360159"/>
    <w:rsid w:val="00361ABE"/>
    <w:rsid w:val="00361F8D"/>
    <w:rsid w:val="003622FA"/>
    <w:rsid w:val="003641B1"/>
    <w:rsid w:val="00364AF4"/>
    <w:rsid w:val="003656D0"/>
    <w:rsid w:val="003657CB"/>
    <w:rsid w:val="00366009"/>
    <w:rsid w:val="00366042"/>
    <w:rsid w:val="00367E73"/>
    <w:rsid w:val="00372D34"/>
    <w:rsid w:val="003750E8"/>
    <w:rsid w:val="003758D9"/>
    <w:rsid w:val="003769A7"/>
    <w:rsid w:val="00377E71"/>
    <w:rsid w:val="00377FF7"/>
    <w:rsid w:val="003818B2"/>
    <w:rsid w:val="00384CF8"/>
    <w:rsid w:val="003856F5"/>
    <w:rsid w:val="003859BB"/>
    <w:rsid w:val="00385D84"/>
    <w:rsid w:val="003916AA"/>
    <w:rsid w:val="00391BD5"/>
    <w:rsid w:val="00392131"/>
    <w:rsid w:val="00392589"/>
    <w:rsid w:val="0039289E"/>
    <w:rsid w:val="00394085"/>
    <w:rsid w:val="00396ED4"/>
    <w:rsid w:val="003A4072"/>
    <w:rsid w:val="003A69C6"/>
    <w:rsid w:val="003B0C2D"/>
    <w:rsid w:val="003B215E"/>
    <w:rsid w:val="003B2791"/>
    <w:rsid w:val="003B592E"/>
    <w:rsid w:val="003B6C1C"/>
    <w:rsid w:val="003B7D5C"/>
    <w:rsid w:val="003C0CDD"/>
    <w:rsid w:val="003C1F97"/>
    <w:rsid w:val="003C2359"/>
    <w:rsid w:val="003C431D"/>
    <w:rsid w:val="003D1FEA"/>
    <w:rsid w:val="003D29E5"/>
    <w:rsid w:val="003D35FC"/>
    <w:rsid w:val="003D783E"/>
    <w:rsid w:val="003E03FA"/>
    <w:rsid w:val="003E0E9A"/>
    <w:rsid w:val="003E4BB2"/>
    <w:rsid w:val="003E72CF"/>
    <w:rsid w:val="003F0453"/>
    <w:rsid w:val="003F3CB4"/>
    <w:rsid w:val="003F4654"/>
    <w:rsid w:val="003F6B42"/>
    <w:rsid w:val="004000D3"/>
    <w:rsid w:val="00400506"/>
    <w:rsid w:val="00401BBA"/>
    <w:rsid w:val="00401F67"/>
    <w:rsid w:val="00403830"/>
    <w:rsid w:val="004043CE"/>
    <w:rsid w:val="00414C23"/>
    <w:rsid w:val="00430F0E"/>
    <w:rsid w:val="004327CF"/>
    <w:rsid w:val="00432D6D"/>
    <w:rsid w:val="00433804"/>
    <w:rsid w:val="00434905"/>
    <w:rsid w:val="0043494A"/>
    <w:rsid w:val="00434994"/>
    <w:rsid w:val="00437B7D"/>
    <w:rsid w:val="0044087D"/>
    <w:rsid w:val="00442D62"/>
    <w:rsid w:val="0044552F"/>
    <w:rsid w:val="004464EC"/>
    <w:rsid w:val="004509A4"/>
    <w:rsid w:val="00450C5C"/>
    <w:rsid w:val="004513CE"/>
    <w:rsid w:val="004515DB"/>
    <w:rsid w:val="00453256"/>
    <w:rsid w:val="004550BD"/>
    <w:rsid w:val="004565B9"/>
    <w:rsid w:val="00460D6A"/>
    <w:rsid w:val="00461ADF"/>
    <w:rsid w:val="00462A9E"/>
    <w:rsid w:val="00463997"/>
    <w:rsid w:val="004648C6"/>
    <w:rsid w:val="0046619F"/>
    <w:rsid w:val="00471466"/>
    <w:rsid w:val="004721CC"/>
    <w:rsid w:val="00473CDB"/>
    <w:rsid w:val="00476562"/>
    <w:rsid w:val="0048290A"/>
    <w:rsid w:val="00484145"/>
    <w:rsid w:val="00485E3F"/>
    <w:rsid w:val="004872AA"/>
    <w:rsid w:val="00487AFF"/>
    <w:rsid w:val="00490E95"/>
    <w:rsid w:val="0049131F"/>
    <w:rsid w:val="0049327D"/>
    <w:rsid w:val="00493758"/>
    <w:rsid w:val="00494A0A"/>
    <w:rsid w:val="004963C4"/>
    <w:rsid w:val="00497427"/>
    <w:rsid w:val="004A08B7"/>
    <w:rsid w:val="004A0B78"/>
    <w:rsid w:val="004A1916"/>
    <w:rsid w:val="004A19F8"/>
    <w:rsid w:val="004A2460"/>
    <w:rsid w:val="004A3E71"/>
    <w:rsid w:val="004A541A"/>
    <w:rsid w:val="004A6A65"/>
    <w:rsid w:val="004B01AC"/>
    <w:rsid w:val="004B13F2"/>
    <w:rsid w:val="004B3500"/>
    <w:rsid w:val="004B3F2B"/>
    <w:rsid w:val="004B5547"/>
    <w:rsid w:val="004B618C"/>
    <w:rsid w:val="004C05C3"/>
    <w:rsid w:val="004C0C78"/>
    <w:rsid w:val="004C0F6D"/>
    <w:rsid w:val="004C2EDE"/>
    <w:rsid w:val="004C30A6"/>
    <w:rsid w:val="004C3BA4"/>
    <w:rsid w:val="004C3F19"/>
    <w:rsid w:val="004D0CC6"/>
    <w:rsid w:val="004D4E4B"/>
    <w:rsid w:val="004D55C8"/>
    <w:rsid w:val="004D6973"/>
    <w:rsid w:val="004E0833"/>
    <w:rsid w:val="004E3EAF"/>
    <w:rsid w:val="004E73FD"/>
    <w:rsid w:val="004F0A87"/>
    <w:rsid w:val="004F2C7E"/>
    <w:rsid w:val="004F36EF"/>
    <w:rsid w:val="00502027"/>
    <w:rsid w:val="0050230F"/>
    <w:rsid w:val="0050236A"/>
    <w:rsid w:val="0050297C"/>
    <w:rsid w:val="005033DE"/>
    <w:rsid w:val="00506B6B"/>
    <w:rsid w:val="00513454"/>
    <w:rsid w:val="00516B00"/>
    <w:rsid w:val="00522189"/>
    <w:rsid w:val="005239F3"/>
    <w:rsid w:val="00523A25"/>
    <w:rsid w:val="00523FFA"/>
    <w:rsid w:val="00524616"/>
    <w:rsid w:val="0052477F"/>
    <w:rsid w:val="0052677C"/>
    <w:rsid w:val="00526AAE"/>
    <w:rsid w:val="005301CA"/>
    <w:rsid w:val="00532F60"/>
    <w:rsid w:val="00533ED4"/>
    <w:rsid w:val="00534F81"/>
    <w:rsid w:val="005350A5"/>
    <w:rsid w:val="00537025"/>
    <w:rsid w:val="005378AA"/>
    <w:rsid w:val="00537D3C"/>
    <w:rsid w:val="00537EFA"/>
    <w:rsid w:val="005406BE"/>
    <w:rsid w:val="005415A9"/>
    <w:rsid w:val="00544D84"/>
    <w:rsid w:val="005456E1"/>
    <w:rsid w:val="005467E0"/>
    <w:rsid w:val="005474FB"/>
    <w:rsid w:val="00547620"/>
    <w:rsid w:val="00547CB9"/>
    <w:rsid w:val="0055183F"/>
    <w:rsid w:val="00554A8B"/>
    <w:rsid w:val="005604D9"/>
    <w:rsid w:val="00560619"/>
    <w:rsid w:val="00560A1F"/>
    <w:rsid w:val="00560C08"/>
    <w:rsid w:val="00563333"/>
    <w:rsid w:val="0056427E"/>
    <w:rsid w:val="005643BB"/>
    <w:rsid w:val="0056736B"/>
    <w:rsid w:val="00575A8A"/>
    <w:rsid w:val="0057751D"/>
    <w:rsid w:val="0058112B"/>
    <w:rsid w:val="00584A2A"/>
    <w:rsid w:val="0059610A"/>
    <w:rsid w:val="00596CF9"/>
    <w:rsid w:val="00597078"/>
    <w:rsid w:val="00597A70"/>
    <w:rsid w:val="005A1ED7"/>
    <w:rsid w:val="005A7DD2"/>
    <w:rsid w:val="005A7DE6"/>
    <w:rsid w:val="005B19FC"/>
    <w:rsid w:val="005B2264"/>
    <w:rsid w:val="005B2DF0"/>
    <w:rsid w:val="005B38CC"/>
    <w:rsid w:val="005B4292"/>
    <w:rsid w:val="005B5CEB"/>
    <w:rsid w:val="005B5D52"/>
    <w:rsid w:val="005C06C9"/>
    <w:rsid w:val="005C0DEA"/>
    <w:rsid w:val="005C23A3"/>
    <w:rsid w:val="005C2B26"/>
    <w:rsid w:val="005C2DBE"/>
    <w:rsid w:val="005C45A3"/>
    <w:rsid w:val="005C617B"/>
    <w:rsid w:val="005C65E7"/>
    <w:rsid w:val="005C687B"/>
    <w:rsid w:val="005C7405"/>
    <w:rsid w:val="005C7A00"/>
    <w:rsid w:val="005D11FA"/>
    <w:rsid w:val="005D2434"/>
    <w:rsid w:val="005D286E"/>
    <w:rsid w:val="005D307A"/>
    <w:rsid w:val="005D32AA"/>
    <w:rsid w:val="005D3E64"/>
    <w:rsid w:val="005D3F55"/>
    <w:rsid w:val="005D5358"/>
    <w:rsid w:val="005D6BAB"/>
    <w:rsid w:val="005D7D69"/>
    <w:rsid w:val="005E3769"/>
    <w:rsid w:val="005E409A"/>
    <w:rsid w:val="005E6884"/>
    <w:rsid w:val="005E6F6B"/>
    <w:rsid w:val="005E7A25"/>
    <w:rsid w:val="005E7BBF"/>
    <w:rsid w:val="005F0310"/>
    <w:rsid w:val="005F1331"/>
    <w:rsid w:val="005F1645"/>
    <w:rsid w:val="005F1EA8"/>
    <w:rsid w:val="005F2545"/>
    <w:rsid w:val="005F4648"/>
    <w:rsid w:val="005F5A40"/>
    <w:rsid w:val="0060014E"/>
    <w:rsid w:val="00600AA8"/>
    <w:rsid w:val="00601E7A"/>
    <w:rsid w:val="00604484"/>
    <w:rsid w:val="0060669A"/>
    <w:rsid w:val="00611D4A"/>
    <w:rsid w:val="0061260F"/>
    <w:rsid w:val="00613A29"/>
    <w:rsid w:val="00615A3A"/>
    <w:rsid w:val="00615E47"/>
    <w:rsid w:val="006162BE"/>
    <w:rsid w:val="00616494"/>
    <w:rsid w:val="006233D0"/>
    <w:rsid w:val="00625048"/>
    <w:rsid w:val="00626A0B"/>
    <w:rsid w:val="006319B4"/>
    <w:rsid w:val="00635CEE"/>
    <w:rsid w:val="006368EA"/>
    <w:rsid w:val="00636CD3"/>
    <w:rsid w:val="006375CD"/>
    <w:rsid w:val="006444A0"/>
    <w:rsid w:val="00644975"/>
    <w:rsid w:val="00650A4B"/>
    <w:rsid w:val="00650B8B"/>
    <w:rsid w:val="00653292"/>
    <w:rsid w:val="006548E1"/>
    <w:rsid w:val="006558BB"/>
    <w:rsid w:val="00664582"/>
    <w:rsid w:val="00666794"/>
    <w:rsid w:val="006708E2"/>
    <w:rsid w:val="00673527"/>
    <w:rsid w:val="00674E95"/>
    <w:rsid w:val="00675047"/>
    <w:rsid w:val="006751FA"/>
    <w:rsid w:val="006762D6"/>
    <w:rsid w:val="00676F7D"/>
    <w:rsid w:val="00683802"/>
    <w:rsid w:val="00683A4F"/>
    <w:rsid w:val="00685D02"/>
    <w:rsid w:val="00686E9B"/>
    <w:rsid w:val="006941BA"/>
    <w:rsid w:val="00694503"/>
    <w:rsid w:val="0069527F"/>
    <w:rsid w:val="00697D0F"/>
    <w:rsid w:val="006A0AFB"/>
    <w:rsid w:val="006A5797"/>
    <w:rsid w:val="006A60EA"/>
    <w:rsid w:val="006B0259"/>
    <w:rsid w:val="006B0442"/>
    <w:rsid w:val="006B24AB"/>
    <w:rsid w:val="006B2942"/>
    <w:rsid w:val="006B5890"/>
    <w:rsid w:val="006B6F1B"/>
    <w:rsid w:val="006B758F"/>
    <w:rsid w:val="006C627F"/>
    <w:rsid w:val="006D070E"/>
    <w:rsid w:val="006D3562"/>
    <w:rsid w:val="006D4B42"/>
    <w:rsid w:val="006D5375"/>
    <w:rsid w:val="006D6D76"/>
    <w:rsid w:val="006D6E8C"/>
    <w:rsid w:val="006D6F97"/>
    <w:rsid w:val="006D773A"/>
    <w:rsid w:val="006E1102"/>
    <w:rsid w:val="006E245B"/>
    <w:rsid w:val="006E2E46"/>
    <w:rsid w:val="006E3AAC"/>
    <w:rsid w:val="006E6AFB"/>
    <w:rsid w:val="006E73AA"/>
    <w:rsid w:val="006F16A0"/>
    <w:rsid w:val="006F244E"/>
    <w:rsid w:val="006F335D"/>
    <w:rsid w:val="006F7DE4"/>
    <w:rsid w:val="00700E3B"/>
    <w:rsid w:val="00701811"/>
    <w:rsid w:val="00705B5D"/>
    <w:rsid w:val="00706D4B"/>
    <w:rsid w:val="00712F2A"/>
    <w:rsid w:val="0071320F"/>
    <w:rsid w:val="0071332F"/>
    <w:rsid w:val="00713C63"/>
    <w:rsid w:val="007200DD"/>
    <w:rsid w:val="0072382D"/>
    <w:rsid w:val="00724772"/>
    <w:rsid w:val="00727C68"/>
    <w:rsid w:val="00733912"/>
    <w:rsid w:val="007344DF"/>
    <w:rsid w:val="00734825"/>
    <w:rsid w:val="007402F3"/>
    <w:rsid w:val="00744DC1"/>
    <w:rsid w:val="00744F5A"/>
    <w:rsid w:val="00745261"/>
    <w:rsid w:val="00745A7C"/>
    <w:rsid w:val="00745F9C"/>
    <w:rsid w:val="00745FC6"/>
    <w:rsid w:val="00746A7E"/>
    <w:rsid w:val="007528AD"/>
    <w:rsid w:val="00754C56"/>
    <w:rsid w:val="007557D7"/>
    <w:rsid w:val="00760271"/>
    <w:rsid w:val="00762139"/>
    <w:rsid w:val="0076262D"/>
    <w:rsid w:val="00762E69"/>
    <w:rsid w:val="007635DF"/>
    <w:rsid w:val="007652A9"/>
    <w:rsid w:val="00766320"/>
    <w:rsid w:val="007679D5"/>
    <w:rsid w:val="00773FC6"/>
    <w:rsid w:val="007764EC"/>
    <w:rsid w:val="00776625"/>
    <w:rsid w:val="00777392"/>
    <w:rsid w:val="00780802"/>
    <w:rsid w:val="00781FFB"/>
    <w:rsid w:val="007822C3"/>
    <w:rsid w:val="007825D7"/>
    <w:rsid w:val="007825F1"/>
    <w:rsid w:val="007931CF"/>
    <w:rsid w:val="007932EB"/>
    <w:rsid w:val="00794947"/>
    <w:rsid w:val="00795E7D"/>
    <w:rsid w:val="0079768D"/>
    <w:rsid w:val="0079797C"/>
    <w:rsid w:val="00797EBD"/>
    <w:rsid w:val="007A4AA0"/>
    <w:rsid w:val="007A4E13"/>
    <w:rsid w:val="007A6298"/>
    <w:rsid w:val="007A74DA"/>
    <w:rsid w:val="007B0784"/>
    <w:rsid w:val="007B38C9"/>
    <w:rsid w:val="007B3D65"/>
    <w:rsid w:val="007B5B13"/>
    <w:rsid w:val="007B639A"/>
    <w:rsid w:val="007B68D9"/>
    <w:rsid w:val="007B7E25"/>
    <w:rsid w:val="007C0F95"/>
    <w:rsid w:val="007C2F0B"/>
    <w:rsid w:val="007C3ECB"/>
    <w:rsid w:val="007C6384"/>
    <w:rsid w:val="007D0E22"/>
    <w:rsid w:val="007D39FE"/>
    <w:rsid w:val="007D3A86"/>
    <w:rsid w:val="007D6164"/>
    <w:rsid w:val="007D7E7D"/>
    <w:rsid w:val="007E2032"/>
    <w:rsid w:val="007E3BF8"/>
    <w:rsid w:val="007E65D2"/>
    <w:rsid w:val="007E7363"/>
    <w:rsid w:val="007E7580"/>
    <w:rsid w:val="007F04E7"/>
    <w:rsid w:val="007F06A5"/>
    <w:rsid w:val="007F0FF0"/>
    <w:rsid w:val="007F23DD"/>
    <w:rsid w:val="007F2E63"/>
    <w:rsid w:val="007F4AC5"/>
    <w:rsid w:val="00800A12"/>
    <w:rsid w:val="00800F03"/>
    <w:rsid w:val="008018F5"/>
    <w:rsid w:val="008039A2"/>
    <w:rsid w:val="00803CC2"/>
    <w:rsid w:val="0080439F"/>
    <w:rsid w:val="00805DF3"/>
    <w:rsid w:val="00810B18"/>
    <w:rsid w:val="00811167"/>
    <w:rsid w:val="008111EB"/>
    <w:rsid w:val="008134C0"/>
    <w:rsid w:val="0081455A"/>
    <w:rsid w:val="00814FD9"/>
    <w:rsid w:val="008158ED"/>
    <w:rsid w:val="00815F6A"/>
    <w:rsid w:val="008170D3"/>
    <w:rsid w:val="00820B16"/>
    <w:rsid w:val="00820C35"/>
    <w:rsid w:val="00820EDA"/>
    <w:rsid w:val="00822522"/>
    <w:rsid w:val="008245B1"/>
    <w:rsid w:val="00825318"/>
    <w:rsid w:val="00826E81"/>
    <w:rsid w:val="0082789A"/>
    <w:rsid w:val="0083723C"/>
    <w:rsid w:val="008419AE"/>
    <w:rsid w:val="0084214F"/>
    <w:rsid w:val="00843FC8"/>
    <w:rsid w:val="008440D3"/>
    <w:rsid w:val="00844DA3"/>
    <w:rsid w:val="00847B5C"/>
    <w:rsid w:val="00851625"/>
    <w:rsid w:val="00852925"/>
    <w:rsid w:val="00853EA2"/>
    <w:rsid w:val="00856ABD"/>
    <w:rsid w:val="00860B74"/>
    <w:rsid w:val="0086221B"/>
    <w:rsid w:val="00862B05"/>
    <w:rsid w:val="00862FA4"/>
    <w:rsid w:val="00863524"/>
    <w:rsid w:val="0086462B"/>
    <w:rsid w:val="00865E9A"/>
    <w:rsid w:val="0087200D"/>
    <w:rsid w:val="00873501"/>
    <w:rsid w:val="00873EAD"/>
    <w:rsid w:val="008748AC"/>
    <w:rsid w:val="00874DC8"/>
    <w:rsid w:val="00875755"/>
    <w:rsid w:val="0087648C"/>
    <w:rsid w:val="00883538"/>
    <w:rsid w:val="00884427"/>
    <w:rsid w:val="00886A39"/>
    <w:rsid w:val="00887557"/>
    <w:rsid w:val="00887F8F"/>
    <w:rsid w:val="00891FC2"/>
    <w:rsid w:val="0089365B"/>
    <w:rsid w:val="00894B81"/>
    <w:rsid w:val="00896835"/>
    <w:rsid w:val="00897003"/>
    <w:rsid w:val="00897B2D"/>
    <w:rsid w:val="008A168E"/>
    <w:rsid w:val="008A1874"/>
    <w:rsid w:val="008A2068"/>
    <w:rsid w:val="008A4E68"/>
    <w:rsid w:val="008A556E"/>
    <w:rsid w:val="008A61E1"/>
    <w:rsid w:val="008B1664"/>
    <w:rsid w:val="008B2FEA"/>
    <w:rsid w:val="008B63E2"/>
    <w:rsid w:val="008B654C"/>
    <w:rsid w:val="008B74AF"/>
    <w:rsid w:val="008B7B66"/>
    <w:rsid w:val="008C0259"/>
    <w:rsid w:val="008C1D3B"/>
    <w:rsid w:val="008C1F08"/>
    <w:rsid w:val="008C23E3"/>
    <w:rsid w:val="008C330F"/>
    <w:rsid w:val="008C3626"/>
    <w:rsid w:val="008C49F8"/>
    <w:rsid w:val="008C7F86"/>
    <w:rsid w:val="008D28B6"/>
    <w:rsid w:val="008D3E19"/>
    <w:rsid w:val="008D4032"/>
    <w:rsid w:val="008D631D"/>
    <w:rsid w:val="008D7686"/>
    <w:rsid w:val="008E0976"/>
    <w:rsid w:val="008E0DB9"/>
    <w:rsid w:val="008E2030"/>
    <w:rsid w:val="008E3754"/>
    <w:rsid w:val="008E4A08"/>
    <w:rsid w:val="008F0D46"/>
    <w:rsid w:val="008F2942"/>
    <w:rsid w:val="008F587C"/>
    <w:rsid w:val="009009C3"/>
    <w:rsid w:val="00900C00"/>
    <w:rsid w:val="00903325"/>
    <w:rsid w:val="00910581"/>
    <w:rsid w:val="0091210F"/>
    <w:rsid w:val="009148C8"/>
    <w:rsid w:val="00917AAA"/>
    <w:rsid w:val="00920061"/>
    <w:rsid w:val="0092124D"/>
    <w:rsid w:val="009219D1"/>
    <w:rsid w:val="00925B48"/>
    <w:rsid w:val="00925CD2"/>
    <w:rsid w:val="009317FF"/>
    <w:rsid w:val="009328BC"/>
    <w:rsid w:val="00935489"/>
    <w:rsid w:val="00935CE5"/>
    <w:rsid w:val="00940E11"/>
    <w:rsid w:val="0094179C"/>
    <w:rsid w:val="009422BF"/>
    <w:rsid w:val="00943928"/>
    <w:rsid w:val="00951492"/>
    <w:rsid w:val="009530B1"/>
    <w:rsid w:val="009555EC"/>
    <w:rsid w:val="00956B2C"/>
    <w:rsid w:val="00957E4B"/>
    <w:rsid w:val="00960373"/>
    <w:rsid w:val="00963BFD"/>
    <w:rsid w:val="009648D4"/>
    <w:rsid w:val="0096639F"/>
    <w:rsid w:val="00966E6D"/>
    <w:rsid w:val="00971D1F"/>
    <w:rsid w:val="00972780"/>
    <w:rsid w:val="00972A1F"/>
    <w:rsid w:val="00973890"/>
    <w:rsid w:val="00976B6A"/>
    <w:rsid w:val="0098116B"/>
    <w:rsid w:val="0098318A"/>
    <w:rsid w:val="0098578D"/>
    <w:rsid w:val="00986F01"/>
    <w:rsid w:val="009900DB"/>
    <w:rsid w:val="00992647"/>
    <w:rsid w:val="00992B26"/>
    <w:rsid w:val="00992FE4"/>
    <w:rsid w:val="00996F1A"/>
    <w:rsid w:val="009A207D"/>
    <w:rsid w:val="009A68E1"/>
    <w:rsid w:val="009A7D4B"/>
    <w:rsid w:val="009B1ABD"/>
    <w:rsid w:val="009B2E01"/>
    <w:rsid w:val="009B363F"/>
    <w:rsid w:val="009B3F83"/>
    <w:rsid w:val="009B5E9D"/>
    <w:rsid w:val="009C0BDD"/>
    <w:rsid w:val="009C6BF0"/>
    <w:rsid w:val="009C7B8E"/>
    <w:rsid w:val="009D1688"/>
    <w:rsid w:val="009D29EB"/>
    <w:rsid w:val="009D69D5"/>
    <w:rsid w:val="009E119B"/>
    <w:rsid w:val="009E156E"/>
    <w:rsid w:val="009E1C7E"/>
    <w:rsid w:val="009E54EE"/>
    <w:rsid w:val="009F14A0"/>
    <w:rsid w:val="009F24D2"/>
    <w:rsid w:val="009F3198"/>
    <w:rsid w:val="009F640D"/>
    <w:rsid w:val="009F671A"/>
    <w:rsid w:val="009F6A37"/>
    <w:rsid w:val="00A00C31"/>
    <w:rsid w:val="00A00C45"/>
    <w:rsid w:val="00A173D2"/>
    <w:rsid w:val="00A22D7A"/>
    <w:rsid w:val="00A248D1"/>
    <w:rsid w:val="00A2578B"/>
    <w:rsid w:val="00A26107"/>
    <w:rsid w:val="00A277EA"/>
    <w:rsid w:val="00A27C89"/>
    <w:rsid w:val="00A30592"/>
    <w:rsid w:val="00A32E28"/>
    <w:rsid w:val="00A37091"/>
    <w:rsid w:val="00A411F2"/>
    <w:rsid w:val="00A41BFF"/>
    <w:rsid w:val="00A4213C"/>
    <w:rsid w:val="00A431A3"/>
    <w:rsid w:val="00A45EF6"/>
    <w:rsid w:val="00A46181"/>
    <w:rsid w:val="00A462C0"/>
    <w:rsid w:val="00A47181"/>
    <w:rsid w:val="00A47FCE"/>
    <w:rsid w:val="00A52059"/>
    <w:rsid w:val="00A52B93"/>
    <w:rsid w:val="00A55F14"/>
    <w:rsid w:val="00A574B0"/>
    <w:rsid w:val="00A6232B"/>
    <w:rsid w:val="00A62345"/>
    <w:rsid w:val="00A62A25"/>
    <w:rsid w:val="00A63439"/>
    <w:rsid w:val="00A63F17"/>
    <w:rsid w:val="00A662C8"/>
    <w:rsid w:val="00A70BE1"/>
    <w:rsid w:val="00A70EB7"/>
    <w:rsid w:val="00A736B3"/>
    <w:rsid w:val="00A7447E"/>
    <w:rsid w:val="00A7564C"/>
    <w:rsid w:val="00A76269"/>
    <w:rsid w:val="00A806FB"/>
    <w:rsid w:val="00A83831"/>
    <w:rsid w:val="00A85194"/>
    <w:rsid w:val="00A87FE1"/>
    <w:rsid w:val="00A917DE"/>
    <w:rsid w:val="00A92C6C"/>
    <w:rsid w:val="00A93A43"/>
    <w:rsid w:val="00A9653E"/>
    <w:rsid w:val="00A97F2D"/>
    <w:rsid w:val="00AA1B45"/>
    <w:rsid w:val="00AA1D3E"/>
    <w:rsid w:val="00AA2A09"/>
    <w:rsid w:val="00AA3175"/>
    <w:rsid w:val="00AA64C2"/>
    <w:rsid w:val="00AA7CB1"/>
    <w:rsid w:val="00AB490E"/>
    <w:rsid w:val="00AB5829"/>
    <w:rsid w:val="00AB5B52"/>
    <w:rsid w:val="00AB608A"/>
    <w:rsid w:val="00AB6514"/>
    <w:rsid w:val="00AC6E34"/>
    <w:rsid w:val="00AD00DF"/>
    <w:rsid w:val="00AD32D9"/>
    <w:rsid w:val="00AD544F"/>
    <w:rsid w:val="00AD6D42"/>
    <w:rsid w:val="00AD7BB9"/>
    <w:rsid w:val="00AE04B3"/>
    <w:rsid w:val="00AE0C2A"/>
    <w:rsid w:val="00AE0F69"/>
    <w:rsid w:val="00AE56F4"/>
    <w:rsid w:val="00AE5F1D"/>
    <w:rsid w:val="00AE71EE"/>
    <w:rsid w:val="00AF08E9"/>
    <w:rsid w:val="00AF1062"/>
    <w:rsid w:val="00AF345C"/>
    <w:rsid w:val="00AF3FD3"/>
    <w:rsid w:val="00AF578F"/>
    <w:rsid w:val="00B002D3"/>
    <w:rsid w:val="00B00D23"/>
    <w:rsid w:val="00B029FA"/>
    <w:rsid w:val="00B06E8B"/>
    <w:rsid w:val="00B11995"/>
    <w:rsid w:val="00B13BDB"/>
    <w:rsid w:val="00B14F20"/>
    <w:rsid w:val="00B20935"/>
    <w:rsid w:val="00B20BDE"/>
    <w:rsid w:val="00B21363"/>
    <w:rsid w:val="00B21A8F"/>
    <w:rsid w:val="00B21AE8"/>
    <w:rsid w:val="00B221B4"/>
    <w:rsid w:val="00B2266C"/>
    <w:rsid w:val="00B238D7"/>
    <w:rsid w:val="00B2398D"/>
    <w:rsid w:val="00B23C54"/>
    <w:rsid w:val="00B2624E"/>
    <w:rsid w:val="00B26963"/>
    <w:rsid w:val="00B27D20"/>
    <w:rsid w:val="00B27FCF"/>
    <w:rsid w:val="00B30FB4"/>
    <w:rsid w:val="00B361B2"/>
    <w:rsid w:val="00B366FD"/>
    <w:rsid w:val="00B37B27"/>
    <w:rsid w:val="00B37DF2"/>
    <w:rsid w:val="00B419F2"/>
    <w:rsid w:val="00B437FB"/>
    <w:rsid w:val="00B43DA4"/>
    <w:rsid w:val="00B44918"/>
    <w:rsid w:val="00B449BA"/>
    <w:rsid w:val="00B5032C"/>
    <w:rsid w:val="00B57119"/>
    <w:rsid w:val="00B577FD"/>
    <w:rsid w:val="00B6099E"/>
    <w:rsid w:val="00B61EE4"/>
    <w:rsid w:val="00B6270A"/>
    <w:rsid w:val="00B7130F"/>
    <w:rsid w:val="00B72360"/>
    <w:rsid w:val="00B73111"/>
    <w:rsid w:val="00B81EF8"/>
    <w:rsid w:val="00B84317"/>
    <w:rsid w:val="00B877C8"/>
    <w:rsid w:val="00B8782D"/>
    <w:rsid w:val="00B87A98"/>
    <w:rsid w:val="00B93120"/>
    <w:rsid w:val="00B933DC"/>
    <w:rsid w:val="00B93C57"/>
    <w:rsid w:val="00B93F31"/>
    <w:rsid w:val="00B96087"/>
    <w:rsid w:val="00B96427"/>
    <w:rsid w:val="00BA0DB1"/>
    <w:rsid w:val="00BA4B00"/>
    <w:rsid w:val="00BA4B87"/>
    <w:rsid w:val="00BA50C2"/>
    <w:rsid w:val="00BA6C4F"/>
    <w:rsid w:val="00BA7D18"/>
    <w:rsid w:val="00BB089A"/>
    <w:rsid w:val="00BB097F"/>
    <w:rsid w:val="00BB09DB"/>
    <w:rsid w:val="00BB243C"/>
    <w:rsid w:val="00BB266B"/>
    <w:rsid w:val="00BB293A"/>
    <w:rsid w:val="00BB330B"/>
    <w:rsid w:val="00BB3DC7"/>
    <w:rsid w:val="00BB4242"/>
    <w:rsid w:val="00BC31EF"/>
    <w:rsid w:val="00BC5BEF"/>
    <w:rsid w:val="00BD1FFB"/>
    <w:rsid w:val="00BD2A6C"/>
    <w:rsid w:val="00BD3066"/>
    <w:rsid w:val="00BD3B6A"/>
    <w:rsid w:val="00BD5ACD"/>
    <w:rsid w:val="00BD6376"/>
    <w:rsid w:val="00BD74F8"/>
    <w:rsid w:val="00BD7C44"/>
    <w:rsid w:val="00BE5A25"/>
    <w:rsid w:val="00BF0A17"/>
    <w:rsid w:val="00BF1567"/>
    <w:rsid w:val="00BF2292"/>
    <w:rsid w:val="00BF25C7"/>
    <w:rsid w:val="00BF2827"/>
    <w:rsid w:val="00BF3A49"/>
    <w:rsid w:val="00BF4A86"/>
    <w:rsid w:val="00BF697F"/>
    <w:rsid w:val="00C014AA"/>
    <w:rsid w:val="00C01615"/>
    <w:rsid w:val="00C01E1C"/>
    <w:rsid w:val="00C039F9"/>
    <w:rsid w:val="00C0503A"/>
    <w:rsid w:val="00C0536B"/>
    <w:rsid w:val="00C05517"/>
    <w:rsid w:val="00C05732"/>
    <w:rsid w:val="00C105DE"/>
    <w:rsid w:val="00C112C9"/>
    <w:rsid w:val="00C12E01"/>
    <w:rsid w:val="00C14BE2"/>
    <w:rsid w:val="00C157D6"/>
    <w:rsid w:val="00C15AD5"/>
    <w:rsid w:val="00C20675"/>
    <w:rsid w:val="00C21398"/>
    <w:rsid w:val="00C22CDD"/>
    <w:rsid w:val="00C22E79"/>
    <w:rsid w:val="00C2465B"/>
    <w:rsid w:val="00C25744"/>
    <w:rsid w:val="00C302D2"/>
    <w:rsid w:val="00C3176C"/>
    <w:rsid w:val="00C34B74"/>
    <w:rsid w:val="00C37FEE"/>
    <w:rsid w:val="00C40084"/>
    <w:rsid w:val="00C401C6"/>
    <w:rsid w:val="00C40275"/>
    <w:rsid w:val="00C41FE5"/>
    <w:rsid w:val="00C43026"/>
    <w:rsid w:val="00C436FD"/>
    <w:rsid w:val="00C46639"/>
    <w:rsid w:val="00C470E6"/>
    <w:rsid w:val="00C50056"/>
    <w:rsid w:val="00C53DDB"/>
    <w:rsid w:val="00C541EC"/>
    <w:rsid w:val="00C62D78"/>
    <w:rsid w:val="00C63755"/>
    <w:rsid w:val="00C67757"/>
    <w:rsid w:val="00C700D2"/>
    <w:rsid w:val="00C70486"/>
    <w:rsid w:val="00C70BA4"/>
    <w:rsid w:val="00C71BD6"/>
    <w:rsid w:val="00C7453F"/>
    <w:rsid w:val="00C75523"/>
    <w:rsid w:val="00C75765"/>
    <w:rsid w:val="00C81217"/>
    <w:rsid w:val="00C82DF0"/>
    <w:rsid w:val="00C831C6"/>
    <w:rsid w:val="00C83F47"/>
    <w:rsid w:val="00C8515F"/>
    <w:rsid w:val="00C87230"/>
    <w:rsid w:val="00C8751A"/>
    <w:rsid w:val="00C92157"/>
    <w:rsid w:val="00C92EAF"/>
    <w:rsid w:val="00C961FC"/>
    <w:rsid w:val="00CA153C"/>
    <w:rsid w:val="00CA2860"/>
    <w:rsid w:val="00CA70F8"/>
    <w:rsid w:val="00CA7243"/>
    <w:rsid w:val="00CB013C"/>
    <w:rsid w:val="00CB09E3"/>
    <w:rsid w:val="00CB1DAA"/>
    <w:rsid w:val="00CB4F48"/>
    <w:rsid w:val="00CB5A82"/>
    <w:rsid w:val="00CB7C04"/>
    <w:rsid w:val="00CC1423"/>
    <w:rsid w:val="00CC393E"/>
    <w:rsid w:val="00CC3EAE"/>
    <w:rsid w:val="00CC45AD"/>
    <w:rsid w:val="00CC4601"/>
    <w:rsid w:val="00CC6EF3"/>
    <w:rsid w:val="00CD1439"/>
    <w:rsid w:val="00CD161F"/>
    <w:rsid w:val="00CD3C25"/>
    <w:rsid w:val="00CD4F9F"/>
    <w:rsid w:val="00CD4FE9"/>
    <w:rsid w:val="00CD67B4"/>
    <w:rsid w:val="00CD6A7D"/>
    <w:rsid w:val="00CE240E"/>
    <w:rsid w:val="00CE6A06"/>
    <w:rsid w:val="00CE728C"/>
    <w:rsid w:val="00CE7353"/>
    <w:rsid w:val="00CF055C"/>
    <w:rsid w:val="00CF535A"/>
    <w:rsid w:val="00CF76BF"/>
    <w:rsid w:val="00D00300"/>
    <w:rsid w:val="00D00C59"/>
    <w:rsid w:val="00D019DA"/>
    <w:rsid w:val="00D04E11"/>
    <w:rsid w:val="00D05225"/>
    <w:rsid w:val="00D052E8"/>
    <w:rsid w:val="00D060D6"/>
    <w:rsid w:val="00D06106"/>
    <w:rsid w:val="00D06450"/>
    <w:rsid w:val="00D11B4A"/>
    <w:rsid w:val="00D12910"/>
    <w:rsid w:val="00D2059F"/>
    <w:rsid w:val="00D24DE2"/>
    <w:rsid w:val="00D24EF9"/>
    <w:rsid w:val="00D24F58"/>
    <w:rsid w:val="00D25E31"/>
    <w:rsid w:val="00D265B8"/>
    <w:rsid w:val="00D27372"/>
    <w:rsid w:val="00D278D3"/>
    <w:rsid w:val="00D27BC3"/>
    <w:rsid w:val="00D3383D"/>
    <w:rsid w:val="00D33EBE"/>
    <w:rsid w:val="00D3793C"/>
    <w:rsid w:val="00D37F28"/>
    <w:rsid w:val="00D4301A"/>
    <w:rsid w:val="00D436EF"/>
    <w:rsid w:val="00D43820"/>
    <w:rsid w:val="00D44A7F"/>
    <w:rsid w:val="00D46125"/>
    <w:rsid w:val="00D466D0"/>
    <w:rsid w:val="00D46E6C"/>
    <w:rsid w:val="00D512A3"/>
    <w:rsid w:val="00D51FA7"/>
    <w:rsid w:val="00D52221"/>
    <w:rsid w:val="00D5413D"/>
    <w:rsid w:val="00D5502C"/>
    <w:rsid w:val="00D5573B"/>
    <w:rsid w:val="00D55E50"/>
    <w:rsid w:val="00D567C5"/>
    <w:rsid w:val="00D57549"/>
    <w:rsid w:val="00D61304"/>
    <w:rsid w:val="00D63EE7"/>
    <w:rsid w:val="00D65366"/>
    <w:rsid w:val="00D660C9"/>
    <w:rsid w:val="00D71271"/>
    <w:rsid w:val="00D74991"/>
    <w:rsid w:val="00D76031"/>
    <w:rsid w:val="00D760E0"/>
    <w:rsid w:val="00D81322"/>
    <w:rsid w:val="00D8280C"/>
    <w:rsid w:val="00D82850"/>
    <w:rsid w:val="00D84CCB"/>
    <w:rsid w:val="00D869D0"/>
    <w:rsid w:val="00D86C39"/>
    <w:rsid w:val="00D87D70"/>
    <w:rsid w:val="00D92616"/>
    <w:rsid w:val="00D92DDC"/>
    <w:rsid w:val="00D94556"/>
    <w:rsid w:val="00D95198"/>
    <w:rsid w:val="00D95C10"/>
    <w:rsid w:val="00D9720E"/>
    <w:rsid w:val="00DA05B7"/>
    <w:rsid w:val="00DA37C3"/>
    <w:rsid w:val="00DA493B"/>
    <w:rsid w:val="00DB0876"/>
    <w:rsid w:val="00DB4390"/>
    <w:rsid w:val="00DB4CA9"/>
    <w:rsid w:val="00DB553A"/>
    <w:rsid w:val="00DB7475"/>
    <w:rsid w:val="00DB7F49"/>
    <w:rsid w:val="00DC036A"/>
    <w:rsid w:val="00DC11FA"/>
    <w:rsid w:val="00DC1D1F"/>
    <w:rsid w:val="00DC3F2D"/>
    <w:rsid w:val="00DC5FB6"/>
    <w:rsid w:val="00DD04CB"/>
    <w:rsid w:val="00DD08C5"/>
    <w:rsid w:val="00DD0D53"/>
    <w:rsid w:val="00DD17E3"/>
    <w:rsid w:val="00DD2598"/>
    <w:rsid w:val="00DD34D1"/>
    <w:rsid w:val="00DD6BFF"/>
    <w:rsid w:val="00DD6E30"/>
    <w:rsid w:val="00DD73AB"/>
    <w:rsid w:val="00DE0DCC"/>
    <w:rsid w:val="00DE1B1C"/>
    <w:rsid w:val="00DE2051"/>
    <w:rsid w:val="00DE28BB"/>
    <w:rsid w:val="00DE3F32"/>
    <w:rsid w:val="00DE5450"/>
    <w:rsid w:val="00DE5B87"/>
    <w:rsid w:val="00DE6E70"/>
    <w:rsid w:val="00DF0CA1"/>
    <w:rsid w:val="00DF24B5"/>
    <w:rsid w:val="00DF28C4"/>
    <w:rsid w:val="00DF39E8"/>
    <w:rsid w:val="00DF52C4"/>
    <w:rsid w:val="00DF58DA"/>
    <w:rsid w:val="00DF5C81"/>
    <w:rsid w:val="00DF7593"/>
    <w:rsid w:val="00E04A90"/>
    <w:rsid w:val="00E07113"/>
    <w:rsid w:val="00E132EC"/>
    <w:rsid w:val="00E1528F"/>
    <w:rsid w:val="00E1775F"/>
    <w:rsid w:val="00E2376C"/>
    <w:rsid w:val="00E24B12"/>
    <w:rsid w:val="00E24E2B"/>
    <w:rsid w:val="00E26F16"/>
    <w:rsid w:val="00E272A5"/>
    <w:rsid w:val="00E27AA8"/>
    <w:rsid w:val="00E30104"/>
    <w:rsid w:val="00E30B9F"/>
    <w:rsid w:val="00E31786"/>
    <w:rsid w:val="00E37D54"/>
    <w:rsid w:val="00E400DF"/>
    <w:rsid w:val="00E40F52"/>
    <w:rsid w:val="00E41492"/>
    <w:rsid w:val="00E4194A"/>
    <w:rsid w:val="00E42B00"/>
    <w:rsid w:val="00E43F71"/>
    <w:rsid w:val="00E46EA5"/>
    <w:rsid w:val="00E51D51"/>
    <w:rsid w:val="00E531E6"/>
    <w:rsid w:val="00E53A3B"/>
    <w:rsid w:val="00E568AD"/>
    <w:rsid w:val="00E56EF3"/>
    <w:rsid w:val="00E57D3A"/>
    <w:rsid w:val="00E606F6"/>
    <w:rsid w:val="00E63669"/>
    <w:rsid w:val="00E67D31"/>
    <w:rsid w:val="00E70BB2"/>
    <w:rsid w:val="00E748B3"/>
    <w:rsid w:val="00E74C5D"/>
    <w:rsid w:val="00E75D3E"/>
    <w:rsid w:val="00E776F2"/>
    <w:rsid w:val="00E77E64"/>
    <w:rsid w:val="00E804E2"/>
    <w:rsid w:val="00E80502"/>
    <w:rsid w:val="00E818DB"/>
    <w:rsid w:val="00E8247A"/>
    <w:rsid w:val="00E84E4C"/>
    <w:rsid w:val="00E85BCB"/>
    <w:rsid w:val="00E865B8"/>
    <w:rsid w:val="00E86CE9"/>
    <w:rsid w:val="00E877C1"/>
    <w:rsid w:val="00E87DC3"/>
    <w:rsid w:val="00E94264"/>
    <w:rsid w:val="00E950D1"/>
    <w:rsid w:val="00E95F34"/>
    <w:rsid w:val="00E9612E"/>
    <w:rsid w:val="00E96DFD"/>
    <w:rsid w:val="00EA58FD"/>
    <w:rsid w:val="00EA6F4C"/>
    <w:rsid w:val="00EB0832"/>
    <w:rsid w:val="00EB45C3"/>
    <w:rsid w:val="00EB5BBC"/>
    <w:rsid w:val="00EB6199"/>
    <w:rsid w:val="00EC17B7"/>
    <w:rsid w:val="00EC24E9"/>
    <w:rsid w:val="00EC3603"/>
    <w:rsid w:val="00EC3D23"/>
    <w:rsid w:val="00EC78EA"/>
    <w:rsid w:val="00EC794E"/>
    <w:rsid w:val="00ED044C"/>
    <w:rsid w:val="00ED0FBA"/>
    <w:rsid w:val="00ED1858"/>
    <w:rsid w:val="00ED3374"/>
    <w:rsid w:val="00ED635C"/>
    <w:rsid w:val="00ED674A"/>
    <w:rsid w:val="00ED7039"/>
    <w:rsid w:val="00EE04FA"/>
    <w:rsid w:val="00EE056F"/>
    <w:rsid w:val="00EE1CEF"/>
    <w:rsid w:val="00EE2464"/>
    <w:rsid w:val="00EE436B"/>
    <w:rsid w:val="00EF1D54"/>
    <w:rsid w:val="00EF24ED"/>
    <w:rsid w:val="00EF28C5"/>
    <w:rsid w:val="00EF5049"/>
    <w:rsid w:val="00EF58D9"/>
    <w:rsid w:val="00EF61A2"/>
    <w:rsid w:val="00F00F6D"/>
    <w:rsid w:val="00F01063"/>
    <w:rsid w:val="00F01D29"/>
    <w:rsid w:val="00F01E94"/>
    <w:rsid w:val="00F03BB1"/>
    <w:rsid w:val="00F03CCC"/>
    <w:rsid w:val="00F05BE4"/>
    <w:rsid w:val="00F05DD8"/>
    <w:rsid w:val="00F05ED2"/>
    <w:rsid w:val="00F060EA"/>
    <w:rsid w:val="00F13B15"/>
    <w:rsid w:val="00F14066"/>
    <w:rsid w:val="00F14319"/>
    <w:rsid w:val="00F144BB"/>
    <w:rsid w:val="00F14503"/>
    <w:rsid w:val="00F14791"/>
    <w:rsid w:val="00F15360"/>
    <w:rsid w:val="00F16170"/>
    <w:rsid w:val="00F168F3"/>
    <w:rsid w:val="00F16FC2"/>
    <w:rsid w:val="00F17628"/>
    <w:rsid w:val="00F17827"/>
    <w:rsid w:val="00F20EBB"/>
    <w:rsid w:val="00F226B9"/>
    <w:rsid w:val="00F2348B"/>
    <w:rsid w:val="00F2668D"/>
    <w:rsid w:val="00F274C7"/>
    <w:rsid w:val="00F32938"/>
    <w:rsid w:val="00F33779"/>
    <w:rsid w:val="00F33FF5"/>
    <w:rsid w:val="00F343FC"/>
    <w:rsid w:val="00F347D9"/>
    <w:rsid w:val="00F36386"/>
    <w:rsid w:val="00F364AB"/>
    <w:rsid w:val="00F36933"/>
    <w:rsid w:val="00F4145F"/>
    <w:rsid w:val="00F41B7C"/>
    <w:rsid w:val="00F42B7B"/>
    <w:rsid w:val="00F43047"/>
    <w:rsid w:val="00F46AAC"/>
    <w:rsid w:val="00F46C7F"/>
    <w:rsid w:val="00F46EEA"/>
    <w:rsid w:val="00F4789C"/>
    <w:rsid w:val="00F478FA"/>
    <w:rsid w:val="00F5033E"/>
    <w:rsid w:val="00F50D72"/>
    <w:rsid w:val="00F526EF"/>
    <w:rsid w:val="00F52AA9"/>
    <w:rsid w:val="00F53EB9"/>
    <w:rsid w:val="00F63CAF"/>
    <w:rsid w:val="00F6599F"/>
    <w:rsid w:val="00F70847"/>
    <w:rsid w:val="00F7226B"/>
    <w:rsid w:val="00F72CAB"/>
    <w:rsid w:val="00F74025"/>
    <w:rsid w:val="00F75C45"/>
    <w:rsid w:val="00F76ECB"/>
    <w:rsid w:val="00F7721B"/>
    <w:rsid w:val="00F77737"/>
    <w:rsid w:val="00F80AB1"/>
    <w:rsid w:val="00F80EB4"/>
    <w:rsid w:val="00F810CF"/>
    <w:rsid w:val="00F81823"/>
    <w:rsid w:val="00F8678F"/>
    <w:rsid w:val="00F87BA5"/>
    <w:rsid w:val="00F9325E"/>
    <w:rsid w:val="00F942F7"/>
    <w:rsid w:val="00F94920"/>
    <w:rsid w:val="00F9631C"/>
    <w:rsid w:val="00F97194"/>
    <w:rsid w:val="00F97434"/>
    <w:rsid w:val="00FA0226"/>
    <w:rsid w:val="00FA0770"/>
    <w:rsid w:val="00FA2E4B"/>
    <w:rsid w:val="00FA683A"/>
    <w:rsid w:val="00FA6B05"/>
    <w:rsid w:val="00FB4165"/>
    <w:rsid w:val="00FB46FE"/>
    <w:rsid w:val="00FB50D0"/>
    <w:rsid w:val="00FB56C8"/>
    <w:rsid w:val="00FB6454"/>
    <w:rsid w:val="00FB7B5D"/>
    <w:rsid w:val="00FC0129"/>
    <w:rsid w:val="00FC244B"/>
    <w:rsid w:val="00FC4521"/>
    <w:rsid w:val="00FD5A2E"/>
    <w:rsid w:val="00FE1CA4"/>
    <w:rsid w:val="00FE2AD4"/>
    <w:rsid w:val="00FE2BF4"/>
    <w:rsid w:val="00FE31FF"/>
    <w:rsid w:val="00FE386C"/>
    <w:rsid w:val="00FE4693"/>
    <w:rsid w:val="00FE4D22"/>
    <w:rsid w:val="00FE67B0"/>
    <w:rsid w:val="00FF0903"/>
    <w:rsid w:val="00FF20F5"/>
    <w:rsid w:val="00FF2402"/>
    <w:rsid w:val="00FF265F"/>
    <w:rsid w:val="00FF3402"/>
    <w:rsid w:val="00FF397C"/>
    <w:rsid w:val="00FF4C58"/>
    <w:rsid w:val="00FF5E39"/>
    <w:rsid w:val="00FF5FED"/>
    <w:rsid w:val="00FF7928"/>
  </w:rsids>
  <w:docVars>
    <w:docVar w:name="KGWebUrl" w:val="http://idp.efunds.com.cn/api/v1/backend/docSyncController/downloadAnnFile.json?force=true&amp;fileName=61520220129110037110038%E6%98%93%E6%96%B9%E8%BE%BE%E7%BA%AF%E5%80%BA%E5%80%BA%E5%88%B8%E5%9E%8B%E8%AF%81%E5%88%B8%E6%8A%95%E8%B5%84%E5%9F%BA%E9%87%91%E6%9B%B4%E6%96%B0%E7%9A%84%E6%8B%9B%E5%8B%9F%E8%AF%B4%E6%98%8E%E4%B9%A6.docx&amp;fileId=ANN_DOC_12404&amp;t=1643024699070"/>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530BBBE4-21EB-4A37-9807-6A2655E9A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qFormat="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827"/>
    <w:pPr>
      <w:widowControl w:val="0"/>
      <w:jc w:val="both"/>
    </w:pPr>
    <w:rPr>
      <w:kern w:val="2"/>
      <w:sz w:val="21"/>
      <w:szCs w:val="24"/>
    </w:rPr>
  </w:style>
  <w:style w:type="paragraph" w:styleId="Heading1">
    <w:name w:val="heading 1"/>
    <w:aliases w:val="123321,H1,Heading 0,Heading 11,Level 1 Head,Level 1 Topic Heading,PIM 1,h1,level 1"/>
    <w:basedOn w:val="Normal"/>
    <w:next w:val="Normal"/>
    <w:qFormat/>
    <w:rsid w:val="00BA4B87"/>
    <w:pPr>
      <w:keepNext/>
      <w:spacing w:beforeLines="100" w:afterLines="100"/>
      <w:ind w:firstLine="200" w:firstLineChars="200"/>
      <w:jc w:val="center"/>
      <w:outlineLvl w:val="0"/>
    </w:pPr>
    <w:rPr>
      <w:rFonts w:ascii="黑体" w:eastAsia="黑体"/>
      <w:sz w:val="32"/>
      <w:szCs w:val="32"/>
    </w:rPr>
  </w:style>
  <w:style w:type="paragraph" w:styleId="Heading2">
    <w:name w:val="heading 2"/>
    <w:aliases w:val="2,2nd level,H2,Header 2,Heading 2 CCBS,Heading 2 Hidden,Level 2 Head,PIM2,h2,l2,proj2,proj21,proj210,proj211,proj212,proj22,proj221,proj23,proj231,proj24,proj241,proj25,proj251,proj26,proj261,proj27,proj271,proj28,proj281,proj29,标题 2 Char Char"/>
    <w:basedOn w:val="Normal"/>
    <w:next w:val="Normal"/>
    <w:qFormat/>
    <w:rsid w:val="00BA4B87"/>
    <w:pPr>
      <w:keepNext/>
      <w:keepLines/>
      <w:spacing w:beforeLines="100" w:afterLines="100"/>
      <w:ind w:firstLine="200" w:firstLineChars="200"/>
      <w:outlineLvl w:val="1"/>
    </w:pPr>
    <w:rPr>
      <w:rFonts w:ascii="Arial" w:hAnsi="Arial"/>
      <w:b/>
      <w:sz w:val="28"/>
      <w:szCs w:val="28"/>
    </w:rPr>
  </w:style>
  <w:style w:type="paragraph" w:styleId="Heading3">
    <w:name w:val="heading 3"/>
    <w:basedOn w:val="Normal"/>
    <w:next w:val="Normal"/>
    <w:qFormat/>
    <w:rsid w:val="00BA4B87"/>
    <w:pPr>
      <w:numPr>
        <w:ilvl w:val="2"/>
        <w:numId w:val="2"/>
      </w:numPr>
      <w:spacing w:before="260" w:after="260" w:line="416" w:lineRule="auto"/>
      <w:outlineLvl w:val="2"/>
    </w:pPr>
    <w:rPr>
      <w:rFonts w:ascii="仿宋_GB2312" w:eastAsia="仿宋_GB2312"/>
      <w:sz w:val="24"/>
      <w:szCs w:val="20"/>
    </w:rPr>
  </w:style>
  <w:style w:type="paragraph" w:styleId="Heading4">
    <w:name w:val="heading 4"/>
    <w:basedOn w:val="Normal"/>
    <w:next w:val="Normal"/>
    <w:qFormat/>
    <w:rsid w:val="00BA4B87"/>
    <w:pPr>
      <w:keepNext/>
      <w:keepLines/>
      <w:numPr>
        <w:ilvl w:val="3"/>
        <w:numId w:val="1"/>
      </w:numPr>
      <w:spacing w:before="280" w:after="290" w:line="376" w:lineRule="auto"/>
      <w:outlineLvl w:val="3"/>
    </w:pPr>
    <w:rPr>
      <w:rFonts w:ascii="Arial" w:eastAsia="黑体" w:hAnsi="Arial"/>
      <w:b/>
      <w:bCs/>
      <w:sz w:val="28"/>
      <w:szCs w:val="28"/>
    </w:rPr>
  </w:style>
  <w:style w:type="paragraph" w:styleId="Heading5">
    <w:name w:val="heading 5"/>
    <w:basedOn w:val="Normal"/>
    <w:next w:val="Normal"/>
    <w:qFormat/>
    <w:rsid w:val="00BA4B87"/>
    <w:pPr>
      <w:keepNext/>
      <w:keepLines/>
      <w:numPr>
        <w:ilvl w:val="4"/>
        <w:numId w:val="1"/>
      </w:numPr>
      <w:spacing w:before="280" w:after="290" w:line="376" w:lineRule="auto"/>
      <w:ind w:firstLine="200" w:firstLineChars="200"/>
      <w:outlineLvl w:val="4"/>
    </w:pPr>
    <w:rPr>
      <w:b/>
      <w:bCs/>
      <w:sz w:val="28"/>
      <w:szCs w:val="28"/>
    </w:rPr>
  </w:style>
  <w:style w:type="paragraph" w:styleId="Heading6">
    <w:name w:val="heading 6"/>
    <w:basedOn w:val="Normal"/>
    <w:next w:val="Normal"/>
    <w:qFormat/>
    <w:rsid w:val="00BA4B87"/>
    <w:pPr>
      <w:keepNext/>
      <w:keepLines/>
      <w:numPr>
        <w:ilvl w:val="5"/>
        <w:numId w:val="1"/>
      </w:numPr>
      <w:spacing w:before="240" w:after="64" w:line="320" w:lineRule="auto"/>
      <w:ind w:firstLine="200" w:firstLineChars="200"/>
      <w:outlineLvl w:val="5"/>
    </w:pPr>
    <w:rPr>
      <w:rFonts w:ascii="Arial" w:eastAsia="黑体" w:hAnsi="Arial"/>
      <w:b/>
      <w:bCs/>
      <w:sz w:val="24"/>
    </w:rPr>
  </w:style>
  <w:style w:type="paragraph" w:styleId="Heading7">
    <w:name w:val="heading 7"/>
    <w:basedOn w:val="Normal"/>
    <w:next w:val="Normal"/>
    <w:qFormat/>
    <w:rsid w:val="00BA4B87"/>
    <w:pPr>
      <w:keepNext/>
      <w:keepLines/>
      <w:numPr>
        <w:ilvl w:val="6"/>
        <w:numId w:val="1"/>
      </w:numPr>
      <w:spacing w:before="240" w:after="64" w:line="320" w:lineRule="auto"/>
      <w:ind w:firstLine="200" w:firstLineChars="200"/>
      <w:outlineLvl w:val="6"/>
    </w:pPr>
    <w:rPr>
      <w:b/>
      <w:bCs/>
      <w:sz w:val="24"/>
    </w:rPr>
  </w:style>
  <w:style w:type="paragraph" w:styleId="Heading8">
    <w:name w:val="heading 8"/>
    <w:basedOn w:val="Normal"/>
    <w:next w:val="Normal"/>
    <w:qFormat/>
    <w:rsid w:val="00BA4B87"/>
    <w:pPr>
      <w:keepNext/>
      <w:keepLines/>
      <w:numPr>
        <w:ilvl w:val="7"/>
        <w:numId w:val="1"/>
      </w:numPr>
      <w:spacing w:before="240" w:after="64" w:line="320" w:lineRule="auto"/>
      <w:ind w:firstLine="200" w:firstLineChars="200"/>
      <w:outlineLvl w:val="7"/>
    </w:pPr>
    <w:rPr>
      <w:rFonts w:ascii="Arial" w:eastAsia="黑体" w:hAnsi="Arial"/>
      <w:sz w:val="24"/>
    </w:rPr>
  </w:style>
  <w:style w:type="paragraph" w:styleId="Heading9">
    <w:name w:val="heading 9"/>
    <w:basedOn w:val="Normal"/>
    <w:next w:val="Normal"/>
    <w:qFormat/>
    <w:rsid w:val="00BA4B87"/>
    <w:pPr>
      <w:keepNext/>
      <w:keepLines/>
      <w:numPr>
        <w:ilvl w:val="8"/>
        <w:numId w:val="1"/>
      </w:numPr>
      <w:spacing w:before="240" w:after="64" w:line="320" w:lineRule="auto"/>
      <w:ind w:firstLine="200" w:firstLineChars="200"/>
      <w:outlineLvl w:val="8"/>
    </w:pPr>
    <w:rPr>
      <w:rFonts w:ascii="Arial" w:eastAsia="黑体" w:hAnsi="Arial"/>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A4B87"/>
    <w:pPr>
      <w:numPr>
        <w:ilvl w:val="1"/>
        <w:numId w:val="3"/>
      </w:numPr>
      <w:tabs>
        <w:tab w:val="num" w:pos="0"/>
      </w:tabs>
      <w:autoSpaceDE w:val="0"/>
      <w:autoSpaceDN w:val="0"/>
      <w:adjustRightInd w:val="0"/>
      <w:ind w:left="0" w:firstLine="540"/>
      <w:jc w:val="left"/>
    </w:pPr>
    <w:rPr>
      <w:rFonts w:ascii="宋体"/>
      <w:kern w:val="0"/>
      <w:sz w:val="24"/>
    </w:rPr>
  </w:style>
  <w:style w:type="paragraph" w:styleId="NormalIndent">
    <w:name w:val="Normal Indent"/>
    <w:aliases w:val="ALT+Z,正文缩进1"/>
    <w:basedOn w:val="Normal"/>
    <w:rsid w:val="00BA4B87"/>
    <w:pPr>
      <w:ind w:firstLine="420"/>
    </w:pPr>
    <w:rPr>
      <w:szCs w:val="20"/>
    </w:rPr>
  </w:style>
  <w:style w:type="character" w:styleId="Hyperlink">
    <w:name w:val="Hyperlink"/>
    <w:basedOn w:val="DefaultParagraphFont"/>
    <w:uiPriority w:val="99"/>
    <w:rsid w:val="00BA4B87"/>
    <w:rPr>
      <w:color w:val="0000FF"/>
      <w:u w:val="single"/>
    </w:rPr>
  </w:style>
  <w:style w:type="paragraph" w:styleId="TOC1">
    <w:name w:val="toc 1"/>
    <w:basedOn w:val="Normal"/>
    <w:next w:val="Normal"/>
    <w:autoRedefine/>
    <w:uiPriority w:val="39"/>
    <w:rsid w:val="00BA4B87"/>
    <w:pPr>
      <w:tabs>
        <w:tab w:val="right" w:leader="dot" w:pos="8296"/>
      </w:tabs>
      <w:spacing w:line="360" w:lineRule="exact"/>
      <w:jc w:val="left"/>
    </w:pPr>
    <w:rPr>
      <w:rFonts w:ascii="宋体" w:eastAsia="黑体" w:hAnsi="宋体"/>
      <w:caps/>
      <w:noProof/>
      <w:color w:val="000000"/>
      <w:sz w:val="24"/>
      <w:szCs w:val="28"/>
    </w:rPr>
  </w:style>
  <w:style w:type="paragraph" w:styleId="TOC2">
    <w:name w:val="toc 2"/>
    <w:basedOn w:val="Normal"/>
    <w:next w:val="Normal"/>
    <w:autoRedefine/>
    <w:uiPriority w:val="39"/>
    <w:rsid w:val="00BA4B87"/>
    <w:pPr>
      <w:ind w:left="320" w:firstLine="200" w:firstLineChars="200"/>
      <w:jc w:val="left"/>
    </w:pPr>
    <w:rPr>
      <w:rFonts w:eastAsia="仿宋_GB2312"/>
      <w:smallCaps/>
      <w:szCs w:val="20"/>
    </w:rPr>
  </w:style>
  <w:style w:type="paragraph" w:customStyle="1" w:styleId="111">
    <w:name w:val="样式 标题 1 + 段前: 1 行 段后: 1 行"/>
    <w:basedOn w:val="Heading1"/>
    <w:rsid w:val="00BA4B87"/>
    <w:pPr>
      <w:pageBreakBefore/>
    </w:pPr>
    <w:rPr>
      <w:szCs w:val="20"/>
    </w:rPr>
  </w:style>
  <w:style w:type="paragraph" w:styleId="PlainText">
    <w:name w:val="Plain Text"/>
    <w:basedOn w:val="Normal"/>
    <w:link w:val="Char1"/>
    <w:rsid w:val="00BA4B87"/>
    <w:pPr>
      <w:ind w:firstLine="200" w:firstLineChars="200"/>
    </w:pPr>
    <w:rPr>
      <w:rFonts w:ascii="宋体" w:hAnsi="Courier New"/>
      <w:sz w:val="24"/>
      <w:szCs w:val="21"/>
    </w:rPr>
  </w:style>
  <w:style w:type="paragraph" w:styleId="Header">
    <w:name w:val="header"/>
    <w:basedOn w:val="Normal"/>
    <w:link w:val="Char2"/>
    <w:uiPriority w:val="99"/>
    <w:rsid w:val="00BA4B87"/>
    <w:pPr>
      <w:pBdr>
        <w:bottom w:val="single" w:sz="6" w:space="1" w:color="auto"/>
      </w:pBdr>
      <w:tabs>
        <w:tab w:val="center" w:pos="4153"/>
        <w:tab w:val="right" w:pos="8306"/>
      </w:tabs>
      <w:snapToGrid w:val="0"/>
      <w:ind w:firstLine="200" w:firstLineChars="200"/>
      <w:jc w:val="center"/>
    </w:pPr>
    <w:rPr>
      <w:rFonts w:eastAsia="仿宋_GB2312"/>
      <w:sz w:val="18"/>
      <w:szCs w:val="20"/>
    </w:rPr>
  </w:style>
  <w:style w:type="character" w:styleId="PageNumber">
    <w:name w:val="page number"/>
    <w:basedOn w:val="DefaultParagraphFont"/>
    <w:rsid w:val="00BA4B87"/>
  </w:style>
  <w:style w:type="paragraph" w:styleId="Footer">
    <w:name w:val="footer"/>
    <w:basedOn w:val="Normal"/>
    <w:link w:val="Char3"/>
    <w:uiPriority w:val="99"/>
    <w:rsid w:val="00BA4B87"/>
    <w:pPr>
      <w:tabs>
        <w:tab w:val="center" w:pos="4153"/>
        <w:tab w:val="right" w:pos="8306"/>
      </w:tabs>
      <w:snapToGrid w:val="0"/>
      <w:ind w:firstLine="200" w:firstLineChars="200"/>
      <w:jc w:val="left"/>
    </w:pPr>
    <w:rPr>
      <w:rFonts w:eastAsia="仿宋_GB2312"/>
      <w:sz w:val="18"/>
      <w:szCs w:val="20"/>
    </w:rPr>
  </w:style>
  <w:style w:type="character" w:customStyle="1" w:styleId="da">
    <w:name w:val="da"/>
    <w:basedOn w:val="DefaultParagraphFont"/>
    <w:rsid w:val="00BA4B87"/>
  </w:style>
  <w:style w:type="paragraph" w:customStyle="1" w:styleId="a">
    <w:name w:val="特点"/>
    <w:aliases w:val="正文非缩进,段1,表正文"/>
    <w:basedOn w:val="Normal"/>
    <w:next w:val="NormalIndent"/>
    <w:rsid w:val="00BA4B87"/>
    <w:pPr>
      <w:ind w:firstLine="420"/>
    </w:pPr>
    <w:rPr>
      <w:szCs w:val="20"/>
    </w:rPr>
  </w:style>
  <w:style w:type="paragraph" w:styleId="BalloonText">
    <w:name w:val="Balloon Text"/>
    <w:basedOn w:val="Normal"/>
    <w:link w:val="Char4"/>
    <w:semiHidden/>
    <w:rsid w:val="00BA4B87"/>
    <w:pPr>
      <w:ind w:firstLine="200" w:firstLineChars="200"/>
    </w:pPr>
    <w:rPr>
      <w:sz w:val="18"/>
      <w:szCs w:val="18"/>
    </w:rPr>
  </w:style>
  <w:style w:type="paragraph" w:styleId="BodyTextFirstIndent">
    <w:name w:val="Body Text First Indent"/>
    <w:basedOn w:val="BodyText"/>
    <w:link w:val="Char5"/>
    <w:rsid w:val="00BA4B87"/>
    <w:pPr>
      <w:numPr>
        <w:ilvl w:val="0"/>
        <w:numId w:val="0"/>
      </w:numPr>
      <w:tabs>
        <w:tab w:val="clear" w:pos="780"/>
      </w:tabs>
      <w:autoSpaceDE/>
      <w:autoSpaceDN/>
      <w:adjustRightInd/>
      <w:spacing w:after="120"/>
      <w:ind w:firstLine="420" w:firstLineChars="100"/>
      <w:jc w:val="both"/>
    </w:pPr>
    <w:rPr>
      <w:rFonts w:ascii="Times New Roman"/>
      <w:kern w:val="2"/>
      <w:sz w:val="21"/>
    </w:rPr>
  </w:style>
  <w:style w:type="character" w:styleId="CommentReference">
    <w:name w:val="annotation reference"/>
    <w:basedOn w:val="DefaultParagraphFont"/>
    <w:rsid w:val="00BA4B87"/>
    <w:rPr>
      <w:sz w:val="21"/>
      <w:szCs w:val="21"/>
    </w:rPr>
  </w:style>
  <w:style w:type="paragraph" w:styleId="CommentText">
    <w:name w:val="annotation text"/>
    <w:basedOn w:val="Normal"/>
    <w:link w:val="Char"/>
    <w:rsid w:val="00BA4B87"/>
    <w:pPr>
      <w:jc w:val="left"/>
    </w:pPr>
  </w:style>
  <w:style w:type="character" w:customStyle="1" w:styleId="Char">
    <w:name w:val="批注文字 Char"/>
    <w:basedOn w:val="DefaultParagraphFont"/>
    <w:link w:val="CommentText"/>
    <w:semiHidden/>
    <w:rsid w:val="00BA4B87"/>
    <w:rPr>
      <w:rFonts w:eastAsia="宋体"/>
      <w:kern w:val="2"/>
      <w:sz w:val="21"/>
      <w:szCs w:val="24"/>
      <w:lang w:val="en-US" w:eastAsia="zh-CN" w:bidi="ar-SA"/>
    </w:rPr>
  </w:style>
  <w:style w:type="character" w:styleId="Strong">
    <w:name w:val="Strong"/>
    <w:basedOn w:val="DefaultParagraphFont"/>
    <w:qFormat/>
    <w:rsid w:val="00BA4B87"/>
    <w:rPr>
      <w:b/>
      <w:bCs/>
    </w:rPr>
  </w:style>
  <w:style w:type="character" w:customStyle="1" w:styleId="read">
    <w:name w:val="read"/>
    <w:basedOn w:val="DefaultParagraphFont"/>
    <w:rsid w:val="00BA4B87"/>
  </w:style>
  <w:style w:type="paragraph" w:styleId="CommentSubject">
    <w:name w:val="annotation subject"/>
    <w:basedOn w:val="CommentText"/>
    <w:next w:val="CommentText"/>
    <w:semiHidden/>
    <w:rsid w:val="009009C3"/>
    <w:rPr>
      <w:b/>
      <w:bCs/>
    </w:rPr>
  </w:style>
  <w:style w:type="paragraph" w:styleId="TOC3">
    <w:name w:val="toc 3"/>
    <w:basedOn w:val="Normal"/>
    <w:next w:val="Normal"/>
    <w:autoRedefine/>
    <w:uiPriority w:val="39"/>
    <w:rsid w:val="00972780"/>
    <w:pPr>
      <w:ind w:left="840" w:leftChars="400"/>
    </w:pPr>
  </w:style>
  <w:style w:type="paragraph" w:styleId="DocumentMap">
    <w:name w:val="Document Map"/>
    <w:basedOn w:val="Normal"/>
    <w:link w:val="Char0"/>
    <w:rsid w:val="00685D02"/>
    <w:rPr>
      <w:rFonts w:ascii="宋体"/>
      <w:sz w:val="18"/>
      <w:szCs w:val="18"/>
    </w:rPr>
  </w:style>
  <w:style w:type="character" w:customStyle="1" w:styleId="Char0">
    <w:name w:val="文档结构图 Char"/>
    <w:basedOn w:val="DefaultParagraphFont"/>
    <w:link w:val="DocumentMap"/>
    <w:rsid w:val="00685D02"/>
    <w:rPr>
      <w:rFonts w:ascii="宋体"/>
      <w:kern w:val="2"/>
      <w:sz w:val="18"/>
      <w:szCs w:val="18"/>
    </w:rPr>
  </w:style>
  <w:style w:type="paragraph" w:styleId="NormalWeb">
    <w:name w:val="Normal (Web)"/>
    <w:basedOn w:val="Normal"/>
    <w:semiHidden/>
    <w:rsid w:val="00125037"/>
    <w:pPr>
      <w:widowControl/>
      <w:spacing w:before="100" w:beforeAutospacing="1" w:after="100" w:afterAutospacing="1"/>
      <w:jc w:val="left"/>
    </w:pPr>
    <w:rPr>
      <w:rFonts w:ascii="宋体" w:hAnsi="宋体" w:cs="宋体"/>
      <w:kern w:val="0"/>
      <w:sz w:val="24"/>
    </w:rPr>
  </w:style>
  <w:style w:type="paragraph" w:styleId="TOC4">
    <w:name w:val="toc 4"/>
    <w:basedOn w:val="Normal"/>
    <w:next w:val="Normal"/>
    <w:autoRedefine/>
    <w:uiPriority w:val="39"/>
    <w:unhideWhenUsed/>
    <w:rsid w:val="00484145"/>
    <w:pPr>
      <w:ind w:left="1260" w:leftChars="600"/>
    </w:pPr>
    <w:rPr>
      <w:rFonts w:ascii="Calibri" w:hAnsi="Calibri"/>
      <w:szCs w:val="22"/>
    </w:rPr>
  </w:style>
  <w:style w:type="paragraph" w:styleId="TOC5">
    <w:name w:val="toc 5"/>
    <w:basedOn w:val="Normal"/>
    <w:next w:val="Normal"/>
    <w:autoRedefine/>
    <w:uiPriority w:val="39"/>
    <w:unhideWhenUsed/>
    <w:rsid w:val="00484145"/>
    <w:pPr>
      <w:ind w:left="1680" w:leftChars="800"/>
    </w:pPr>
    <w:rPr>
      <w:rFonts w:ascii="Calibri" w:hAnsi="Calibri"/>
      <w:szCs w:val="22"/>
    </w:rPr>
  </w:style>
  <w:style w:type="paragraph" w:styleId="TOC6">
    <w:name w:val="toc 6"/>
    <w:basedOn w:val="Normal"/>
    <w:next w:val="Normal"/>
    <w:autoRedefine/>
    <w:uiPriority w:val="39"/>
    <w:unhideWhenUsed/>
    <w:rsid w:val="00484145"/>
    <w:pPr>
      <w:ind w:left="2100" w:leftChars="1000"/>
    </w:pPr>
    <w:rPr>
      <w:rFonts w:ascii="Calibri" w:hAnsi="Calibri"/>
      <w:szCs w:val="22"/>
    </w:rPr>
  </w:style>
  <w:style w:type="paragraph" w:styleId="TOC7">
    <w:name w:val="toc 7"/>
    <w:basedOn w:val="Normal"/>
    <w:next w:val="Normal"/>
    <w:autoRedefine/>
    <w:uiPriority w:val="39"/>
    <w:unhideWhenUsed/>
    <w:rsid w:val="00484145"/>
    <w:pPr>
      <w:ind w:left="2520" w:leftChars="1200"/>
    </w:pPr>
    <w:rPr>
      <w:rFonts w:ascii="Calibri" w:hAnsi="Calibri"/>
      <w:szCs w:val="22"/>
    </w:rPr>
  </w:style>
  <w:style w:type="paragraph" w:styleId="TOC8">
    <w:name w:val="toc 8"/>
    <w:basedOn w:val="Normal"/>
    <w:next w:val="Normal"/>
    <w:autoRedefine/>
    <w:uiPriority w:val="39"/>
    <w:unhideWhenUsed/>
    <w:rsid w:val="00484145"/>
    <w:pPr>
      <w:ind w:left="2940" w:leftChars="1400"/>
    </w:pPr>
    <w:rPr>
      <w:rFonts w:ascii="Calibri" w:hAnsi="Calibri"/>
      <w:szCs w:val="22"/>
    </w:rPr>
  </w:style>
  <w:style w:type="paragraph" w:styleId="TOC9">
    <w:name w:val="toc 9"/>
    <w:basedOn w:val="Normal"/>
    <w:next w:val="Normal"/>
    <w:autoRedefine/>
    <w:uiPriority w:val="39"/>
    <w:unhideWhenUsed/>
    <w:rsid w:val="00484145"/>
    <w:pPr>
      <w:ind w:left="3360" w:leftChars="1600"/>
    </w:pPr>
    <w:rPr>
      <w:rFonts w:ascii="Calibri" w:hAnsi="Calibri"/>
      <w:szCs w:val="22"/>
    </w:rPr>
  </w:style>
  <w:style w:type="paragraph" w:styleId="Revision">
    <w:name w:val="Revision"/>
    <w:hidden/>
    <w:uiPriority w:val="99"/>
    <w:semiHidden/>
    <w:rsid w:val="006558BB"/>
    <w:rPr>
      <w:kern w:val="2"/>
      <w:sz w:val="21"/>
      <w:szCs w:val="24"/>
    </w:rPr>
  </w:style>
  <w:style w:type="character" w:styleId="FollowedHyperlink">
    <w:name w:val="FollowedHyperlink"/>
    <w:basedOn w:val="DefaultParagraphFont"/>
    <w:uiPriority w:val="99"/>
    <w:rsid w:val="008D7686"/>
    <w:rPr>
      <w:color w:val="800080"/>
      <w:u w:val="single"/>
    </w:rPr>
  </w:style>
  <w:style w:type="character" w:customStyle="1" w:styleId="Char1">
    <w:name w:val="纯文本 Char"/>
    <w:basedOn w:val="DefaultParagraphFont"/>
    <w:link w:val="PlainText"/>
    <w:rsid w:val="00A32E28"/>
    <w:rPr>
      <w:rFonts w:ascii="宋体" w:hAnsi="Courier New"/>
      <w:kern w:val="2"/>
      <w:sz w:val="24"/>
      <w:szCs w:val="21"/>
    </w:rPr>
  </w:style>
  <w:style w:type="character" w:styleId="HTMLTypewriter">
    <w:name w:val="HTML Typewriter"/>
    <w:basedOn w:val="DefaultParagraphFont"/>
    <w:uiPriority w:val="99"/>
    <w:unhideWhenUsed/>
    <w:qFormat/>
    <w:rsid w:val="00C92157"/>
    <w:rPr>
      <w:rFonts w:ascii="宋体" w:eastAsia="宋体" w:hAnsi="宋体" w:cs="宋体"/>
      <w:sz w:val="24"/>
      <w:szCs w:val="24"/>
    </w:rPr>
  </w:style>
  <w:style w:type="paragraph" w:styleId="ListParagraph">
    <w:name w:val="List Paragraph"/>
    <w:basedOn w:val="Normal"/>
    <w:uiPriority w:val="34"/>
    <w:qFormat/>
    <w:rsid w:val="00366042"/>
    <w:pPr>
      <w:ind w:firstLine="420" w:firstLineChars="200"/>
    </w:pPr>
  </w:style>
  <w:style w:type="character" w:customStyle="1" w:styleId="Char2">
    <w:name w:val="页眉 Char"/>
    <w:basedOn w:val="DefaultParagraphFont"/>
    <w:link w:val="Header"/>
    <w:uiPriority w:val="99"/>
    <w:rsid w:val="00CE728C"/>
    <w:rPr>
      <w:rFonts w:eastAsia="仿宋_GB2312"/>
      <w:kern w:val="2"/>
      <w:sz w:val="18"/>
    </w:rPr>
  </w:style>
  <w:style w:type="character" w:customStyle="1" w:styleId="Char3">
    <w:name w:val="页脚 Char"/>
    <w:basedOn w:val="DefaultParagraphFont"/>
    <w:link w:val="Footer"/>
    <w:uiPriority w:val="99"/>
    <w:rsid w:val="00CE728C"/>
    <w:rPr>
      <w:rFonts w:eastAsia="仿宋_GB2312"/>
      <w:kern w:val="2"/>
      <w:sz w:val="18"/>
    </w:rPr>
  </w:style>
  <w:style w:type="character" w:customStyle="1" w:styleId="Char4">
    <w:name w:val="批注框文本 Char"/>
    <w:basedOn w:val="DefaultParagraphFont"/>
    <w:link w:val="BalloonText"/>
    <w:uiPriority w:val="99"/>
    <w:semiHidden/>
    <w:rsid w:val="00C8751A"/>
    <w:rPr>
      <w:kern w:val="2"/>
      <w:sz w:val="18"/>
      <w:szCs w:val="18"/>
    </w:rPr>
  </w:style>
  <w:style w:type="paragraph" w:styleId="HTMLPreformatted">
    <w:name w:val="HTML Preformatted"/>
    <w:basedOn w:val="Normal"/>
    <w:link w:val="HTMLChar"/>
    <w:uiPriority w:val="99"/>
    <w:unhideWhenUsed/>
    <w:rsid w:val="00650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DefaultParagraphFont"/>
    <w:link w:val="HTMLPreformatted"/>
    <w:uiPriority w:val="99"/>
    <w:rsid w:val="00650B8B"/>
    <w:rPr>
      <w:rFonts w:ascii="宋体" w:hAnsi="宋体"/>
      <w:sz w:val="24"/>
      <w:szCs w:val="24"/>
    </w:rPr>
  </w:style>
  <w:style w:type="character" w:styleId="FootnoteReference">
    <w:name w:val="footnote reference"/>
    <w:basedOn w:val="DefaultParagraphFont"/>
    <w:rsid w:val="00560A1F"/>
    <w:rPr>
      <w:vertAlign w:val="superscript"/>
    </w:rPr>
  </w:style>
  <w:style w:type="character" w:customStyle="1" w:styleId="Char5">
    <w:name w:val="正文首行缩进 Char"/>
    <w:basedOn w:val="DefaultParagraphFont"/>
    <w:link w:val="BodyTextFirstIndent"/>
    <w:rsid w:val="00560A1F"/>
    <w:rPr>
      <w:kern w:val="2"/>
      <w:sz w:val="21"/>
      <w:szCs w:val="24"/>
    </w:rPr>
  </w:style>
  <w:style w:type="table" w:styleId="TableGrid">
    <w:name w:val="Table Grid"/>
    <w:basedOn w:val="TableNormal"/>
    <w:uiPriority w:val="99"/>
    <w:rsid w:val="00560A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Char6"/>
    <w:rsid w:val="00B14F20"/>
    <w:pPr>
      <w:ind w:left="100" w:leftChars="2500"/>
    </w:pPr>
  </w:style>
  <w:style w:type="character" w:customStyle="1" w:styleId="Char6">
    <w:name w:val="日期 Char"/>
    <w:basedOn w:val="DefaultParagraphFont"/>
    <w:link w:val="Date"/>
    <w:rsid w:val="00B14F2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header" Target="header4.xml" /><Relationship Id="rId13" Type="http://schemas.openxmlformats.org/officeDocument/2006/relationships/footer" Target="footer5.xml" /><Relationship Id="rId14" Type="http://schemas.openxmlformats.org/officeDocument/2006/relationships/hyperlink" Target="http://www.efunds.com.cn" TargetMode="External" /><Relationship Id="rId15" Type="http://schemas.openxmlformats.org/officeDocument/2006/relationships/hyperlink" Target="mailto:service@efunds.com.cn"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33A4DE2-D726-4F1F-9C03-8EF053D43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117</Pages>
  <Words>15297</Words>
  <Characters>87193</Characters>
  <Application>Microsoft Office Word</Application>
  <DocSecurity>0</DocSecurity>
  <Lines>726</Lines>
  <Paragraphs>204</Paragraphs>
  <ScaleCrop>false</ScaleCrop>
  <Company>E FUND</Company>
  <LinksUpToDate>false</LinksUpToDate>
  <CharactersWithSpaces>102286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徐晶</dc:creator>
  <cp:lastModifiedBy>梅邑凯</cp:lastModifiedBy>
  <cp:revision>6</cp:revision>
  <cp:lastPrinted>2019-09-12T08:15:00Z</cp:lastPrinted>
  <dcterms:created xsi:type="dcterms:W3CDTF">2022-01-24T11:51:00Z</dcterms:created>
  <dcterms:modified xsi:type="dcterms:W3CDTF">2022-12-30T02:03:00Z</dcterms:modified>
</cp:coreProperties>
</file>