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276" w:lineRule="auto"/>
        <w:jc w:val="center"/>
        <w:rPr>
          <w:b/>
          <w:sz w:val="32"/>
          <w:szCs w:val="32"/>
        </w:rPr>
      </w:pPr>
    </w:p>
    <w:p>
      <w:pPr>
        <w:pStyle w:val="22"/>
        <w:spacing w:line="276" w:lineRule="auto"/>
        <w:jc w:val="center"/>
        <w:rPr>
          <w:b/>
          <w:sz w:val="32"/>
          <w:szCs w:val="32"/>
        </w:rPr>
      </w:pPr>
      <w:r>
        <w:rPr>
          <w:rFonts w:hint="eastAsia"/>
          <w:b/>
          <w:sz w:val="32"/>
          <w:szCs w:val="32"/>
        </w:rPr>
        <w:t>渝农商理财有限责任公司</w:t>
      </w:r>
    </w:p>
    <w:p>
      <w:pPr>
        <w:pStyle w:val="22"/>
        <w:spacing w:line="276" w:lineRule="auto"/>
        <w:jc w:val="center"/>
        <w:rPr>
          <w:b/>
          <w:sz w:val="32"/>
          <w:szCs w:val="32"/>
        </w:rPr>
      </w:pPr>
      <w:r>
        <w:rPr>
          <w:rFonts w:hint="eastAsia"/>
          <w:b/>
          <w:sz w:val="32"/>
          <w:szCs w:val="32"/>
        </w:rPr>
        <w:t>渝农商理财益进封闭式2025年第51315期</w:t>
      </w:r>
    </w:p>
    <w:p>
      <w:pPr>
        <w:pStyle w:val="22"/>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2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21"/>
        <w:tabs>
          <w:tab w:val="left" w:pos="420"/>
        </w:tabs>
        <w:spacing w:line="276" w:lineRule="auto"/>
        <w:ind w:firstLine="422"/>
        <w:rPr>
          <w:b/>
          <w:szCs w:val="21"/>
        </w:rPr>
      </w:pPr>
      <w:r>
        <w:rPr>
          <w:rFonts w:hint="eastAsia"/>
          <w:b/>
          <w:szCs w:val="21"/>
        </w:rPr>
        <w:t>四、本理财产品属于固定收益类非保本浮动收益型，产品期限为370天（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21"/>
        <w:tabs>
          <w:tab w:val="left" w:pos="420"/>
        </w:tabs>
        <w:spacing w:line="276" w:lineRule="auto"/>
        <w:ind w:firstLine="422"/>
        <w:rPr>
          <w:b/>
          <w:szCs w:val="21"/>
          <w:lang w:bidi="ar"/>
        </w:rPr>
      </w:pPr>
      <w:r>
        <w:rPr>
          <w:rFonts w:hint="eastAsia"/>
          <w:b/>
          <w:szCs w:val="21"/>
          <w:lang w:bidi="ar"/>
        </w:rPr>
        <w:t>若本产品通过代理销售机构渠道销售的，代理销</w:t>
      </w:r>
      <w:bookmarkStart w:id="61" w:name="_GoBack"/>
      <w:bookmarkEnd w:id="61"/>
      <w:r>
        <w:rPr>
          <w:rFonts w:hint="eastAsia"/>
          <w:b/>
          <w:szCs w:val="21"/>
          <w:lang w:bidi="ar"/>
        </w:rPr>
        <w:t>售机构对“适合投资者类型”的划分标准与表述可能与产品管理人存在差异，产品管理人的“适合投资者类型”划分仅供参考，代理销售机构应向投资者明示其对“适合投资者类型”的划分与表述。</w:t>
      </w:r>
    </w:p>
    <w:p>
      <w:pPr>
        <w:pStyle w:val="2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2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21"/>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2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21"/>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2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2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21"/>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21"/>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21"/>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21"/>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21"/>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21"/>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21"/>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21"/>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21"/>
        <w:spacing w:line="276" w:lineRule="auto"/>
        <w:rPr>
          <w:bCs/>
          <w:szCs w:val="21"/>
        </w:rPr>
      </w:pPr>
    </w:p>
    <w:p>
      <w:pPr>
        <w:pStyle w:val="21"/>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69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Wk3XVAAAABQEAAA8AAAAAAAAA&#10;AQAgAAAAIgAAAGRycy9kb3ducmV2LnhtbFBLAQIUABQAAAAIAIdO4kAuqdmkFAIAABEEAAAOAAAA&#10;AAAAAAEAIAAAACQBAABkcnMvZTJvRG9jLnhtbFBLBQYAAAAABgAGAFkBAACqBQ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p/>
    <w:p/>
    <w:p>
      <w:pPr>
        <w:spacing w:line="276" w:lineRule="auto"/>
        <w:rPr>
          <w:rFonts w:hint="eastAsia" w:ascii="Times New Roman" w:hAnsi="Times New Roman"/>
          <w:b/>
          <w:szCs w:val="21"/>
        </w:rPr>
      </w:pPr>
    </w:p>
    <w:p>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pPr>
        <w:spacing w:line="276" w:lineRule="auto"/>
        <w:jc w:val="center"/>
        <w:rPr>
          <w:rFonts w:hint="eastAsia" w:ascii="Times New Roman" w:hAnsi="Times New Roman"/>
          <w:b/>
          <w:sz w:val="32"/>
          <w:szCs w:val="32"/>
        </w:rPr>
      </w:pPr>
      <w:r>
        <w:rPr>
          <w:rFonts w:hint="eastAsia" w:ascii="Times New Roman" w:hAnsi="Times New Roman"/>
          <w:b/>
          <w:sz w:val="32"/>
          <w:szCs w:val="32"/>
        </w:rPr>
        <w:t>渝农商理财益进封闭式2025年第51315期</w:t>
      </w:r>
    </w:p>
    <w:p>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（25GSGF51315）</w:t>
      </w:r>
    </w:p>
    <w:p>
      <w:pPr>
        <w:spacing w:line="276" w:lineRule="auto"/>
        <w:rPr>
          <w:rFonts w:ascii="Times New Roman" w:hAnsi="Times New Roman"/>
          <w:b/>
          <w:szCs w:val="21"/>
        </w:rPr>
      </w:pPr>
      <w:r>
        <w:rPr>
          <w:rFonts w:hint="eastAsia" w:ascii="Times New Roman" w:hAnsi="Times New Roman"/>
          <w:b/>
          <w:szCs w:val="21"/>
        </w:rPr>
        <w:t>重要提示：</w:t>
      </w:r>
    </w:p>
    <w:p>
      <w:pPr>
        <w:pStyle w:val="32"/>
        <w:tabs>
          <w:tab w:val="left" w:pos="420"/>
        </w:tabs>
        <w:spacing w:line="276" w:lineRule="auto"/>
        <w:ind w:firstLine="0" w:firstLineChars="0"/>
        <w:jc w:val="left"/>
        <w:rPr>
          <w:rFonts w:ascii="Times New Roman" w:hAnsi="Times New Roman"/>
          <w:b/>
          <w:szCs w:val="21"/>
        </w:rPr>
      </w:pPr>
      <w:r>
        <w:rPr>
          <w:rFonts w:hint="eastAsia" w:ascii="Times New Roman" w:hAnsi="Times New Roman"/>
          <w:b/>
          <w:szCs w:val="21"/>
        </w:rPr>
        <w:t>一、本</w:t>
      </w:r>
      <w:bookmarkStart w:id="2" w:name="_Hlk159329848"/>
      <w:r>
        <w:rPr>
          <w:rFonts w:hint="eastAsia" w:ascii="Times New Roman" w:hAnsi="Times New Roman"/>
          <w:b/>
          <w:szCs w:val="21"/>
        </w:rPr>
        <w:t>《理财产品说明书》与《理财产品投资协议书》、《销售（代理销售）协议书》、《风险揭示书》、《投资者权益须知》</w:t>
      </w:r>
      <w:bookmarkEnd w:id="2"/>
      <w:r>
        <w:rPr>
          <w:rFonts w:hint="eastAsia" w:ascii="Times New Roman" w:hAnsi="Times New Roman"/>
          <w:b/>
          <w:szCs w:val="21"/>
        </w:rPr>
        <w:t>共同构成完整的不可分割的理财产品销售文件，具有同等的法律效力；</w:t>
      </w:r>
    </w:p>
    <w:p>
      <w:pPr>
        <w:tabs>
          <w:tab w:val="left" w:pos="420"/>
        </w:tabs>
        <w:spacing w:line="276"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pPr>
        <w:tabs>
          <w:tab w:val="left" w:pos="420"/>
        </w:tabs>
        <w:spacing w:line="276"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szCs w:val="21"/>
        </w:rPr>
      </w:pPr>
      <w:r>
        <w:rPr>
          <w:rFonts w:hint="eastAsia" w:ascii="Times New Roman" w:hAnsi="Times New Roman"/>
          <w:b/>
          <w:szCs w:val="21"/>
        </w:rPr>
        <w:t>五、在购买理财产品后，投资者应随时关注该理财产品的信息披露情况，及时获取相关信息。</w:t>
      </w:r>
    </w:p>
    <w:p>
      <w:pPr>
        <w:spacing w:line="276" w:lineRule="auto"/>
        <w:jc w:val="left"/>
        <w:rPr>
          <w:rFonts w:ascii="Times New Roman" w:hAnsi="Times New Roman"/>
          <w:bCs/>
          <w:szCs w:val="21"/>
        </w:rPr>
      </w:pPr>
    </w:p>
    <w:p>
      <w:pPr>
        <w:spacing w:line="276" w:lineRule="auto"/>
        <w:jc w:val="left"/>
        <w:rPr>
          <w:rFonts w:ascii="宋体" w:hAnsi="宋体"/>
          <w:bCs/>
          <w:szCs w:val="21"/>
        </w:rPr>
      </w:pPr>
      <w:bookmarkStart w:id="3" w:name="_Hlk152860916"/>
      <w:r>
        <w:rPr>
          <w:rFonts w:hint="eastAsia" w:ascii="宋体" w:hAnsi="宋体"/>
          <w:bCs/>
          <w:szCs w:val="21"/>
        </w:rPr>
        <w:t>定义：</w:t>
      </w:r>
    </w:p>
    <w:p>
      <w:pPr>
        <w:spacing w:line="276" w:lineRule="auto"/>
        <w:jc w:val="left"/>
        <w:rPr>
          <w:rFonts w:ascii="宋体" w:hAnsi="宋体"/>
          <w:szCs w:val="21"/>
        </w:rPr>
      </w:pPr>
      <w:bookmarkStart w:id="4" w:name="_Hlk152850442"/>
      <w:r>
        <w:rPr>
          <w:rFonts w:hint="eastAsia" w:ascii="宋体" w:hAnsi="宋体"/>
          <w:szCs w:val="21"/>
        </w:rPr>
        <w:t>在本《理财产品说明书》中，除非上下文另有明确约定，下列用词将具有如下含义：</w:t>
      </w:r>
    </w:p>
    <w:p>
      <w:pPr>
        <w:pStyle w:val="27"/>
        <w:numPr>
          <w:ilvl w:val="0"/>
          <w:numId w:val="1"/>
        </w:numPr>
        <w:autoSpaceDE w:val="0"/>
        <w:autoSpaceDN w:val="0"/>
        <w:adjustRightInd w:val="0"/>
        <w:ind w:firstLineChars="0"/>
        <w:rPr>
          <w:rFonts w:ascii="宋体" w:hAnsi="宋体"/>
          <w:szCs w:val="21"/>
        </w:rPr>
      </w:pPr>
      <w:r>
        <w:rPr>
          <w:rFonts w:hint="eastAsia" w:ascii="宋体" w:hAnsi="宋体"/>
          <w:b/>
          <w:bCs/>
          <w:color w:val="000000"/>
          <w:kern w:val="0"/>
          <w:szCs w:val="21"/>
        </w:rPr>
        <w:t>渝农商理财</w:t>
      </w:r>
      <w:r>
        <w:rPr>
          <w:rFonts w:ascii="宋体" w:hAnsi="宋体"/>
          <w:b/>
          <w:bCs/>
          <w:color w:val="000000"/>
          <w:kern w:val="0"/>
          <w:szCs w:val="21"/>
        </w:rPr>
        <w:t>/</w:t>
      </w:r>
      <w:r>
        <w:rPr>
          <w:rFonts w:hint="eastAsia" w:ascii="宋体" w:hAnsi="宋体"/>
          <w:b/>
          <w:bCs/>
          <w:color w:val="000000"/>
          <w:kern w:val="0"/>
          <w:szCs w:val="21"/>
        </w:rPr>
        <w:t>产品管理人</w:t>
      </w:r>
      <w:r>
        <w:rPr>
          <w:rFonts w:ascii="宋体" w:hAnsi="宋体"/>
          <w:b/>
          <w:bCs/>
          <w:color w:val="000000"/>
          <w:kern w:val="0"/>
          <w:szCs w:val="21"/>
        </w:rPr>
        <w:t>/</w:t>
      </w:r>
      <w:r>
        <w:rPr>
          <w:rFonts w:hint="eastAsia" w:ascii="宋体" w:hAnsi="宋体"/>
          <w:b/>
          <w:bCs/>
          <w:color w:val="000000"/>
          <w:kern w:val="0"/>
          <w:szCs w:val="21"/>
        </w:rPr>
        <w:t>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pPr>
        <w:pStyle w:val="27"/>
        <w:numPr>
          <w:ilvl w:val="0"/>
          <w:numId w:val="1"/>
        </w:numPr>
        <w:autoSpaceDE w:val="0"/>
        <w:autoSpaceDN w:val="0"/>
        <w:adjustRightInd w:val="0"/>
        <w:ind w:firstLineChars="0"/>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认购：</w:t>
      </w:r>
      <w:r>
        <w:rPr>
          <w:rFonts w:hint="eastAsia" w:ascii="宋体" w:hAnsi="宋体"/>
          <w:sz w:val="22"/>
          <w:szCs w:val="21"/>
        </w:rPr>
        <w:t>指在理财产品的募集期内申请购买理财产品份额的行为。</w:t>
      </w:r>
    </w:p>
    <w:bookmarkEnd w:id="4"/>
    <w:p>
      <w:pPr>
        <w:pStyle w:val="27"/>
        <w:numPr>
          <w:ilvl w:val="0"/>
          <w:numId w:val="1"/>
        </w:numPr>
        <w:autoSpaceDE w:val="0"/>
        <w:autoSpaceDN w:val="0"/>
        <w:adjustRightInd w:val="0"/>
        <w:ind w:firstLineChars="0"/>
        <w:rPr>
          <w:rFonts w:ascii="宋体" w:hAnsi="宋体"/>
          <w:sz w:val="22"/>
          <w:szCs w:val="21"/>
        </w:rPr>
      </w:pPr>
      <w:bookmarkStart w:id="5" w:name="_Hlk152850499"/>
      <w:r>
        <w:rPr>
          <w:rFonts w:hint="eastAsia" w:ascii="宋体" w:hAnsi="宋体"/>
          <w:b/>
          <w:bCs/>
          <w:kern w:val="0"/>
          <w:sz w:val="22"/>
          <w:szCs w:val="21"/>
        </w:rPr>
        <w:t>募集期（认购期）：</w:t>
      </w:r>
      <w:r>
        <w:rPr>
          <w:rFonts w:hint="eastAsia" w:ascii="宋体" w:hAnsi="宋体"/>
          <w:sz w:val="22"/>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产品成立日</w:t>
      </w:r>
      <w:r>
        <w:rPr>
          <w:rFonts w:hint="eastAsia" w:ascii="宋体" w:hAnsi="宋体"/>
          <w:sz w:val="22"/>
          <w:szCs w:val="21"/>
        </w:rPr>
        <w:t>：指达到本《理财产品说明书》约定的成立条件后，管理人宣布理财产品成立的日期。</w:t>
      </w:r>
    </w:p>
    <w:bookmarkEnd w:id="5"/>
    <w:p>
      <w:pPr>
        <w:pStyle w:val="27"/>
        <w:numPr>
          <w:ilvl w:val="0"/>
          <w:numId w:val="1"/>
        </w:numPr>
        <w:autoSpaceDE w:val="0"/>
        <w:autoSpaceDN w:val="0"/>
        <w:adjustRightInd w:val="0"/>
        <w:ind w:firstLineChars="0"/>
        <w:rPr>
          <w:rFonts w:ascii="宋体" w:hAnsi="宋体"/>
          <w:sz w:val="22"/>
          <w:szCs w:val="21"/>
        </w:rPr>
      </w:pPr>
      <w:bookmarkStart w:id="6" w:name="_Hlk152850314"/>
      <w:r>
        <w:rPr>
          <w:rFonts w:hint="eastAsia" w:ascii="宋体" w:hAnsi="宋体"/>
          <w:b/>
          <w:bCs/>
          <w:sz w:val="22"/>
          <w:szCs w:val="21"/>
        </w:rPr>
        <w:t>产品到期日</w:t>
      </w:r>
      <w:r>
        <w:rPr>
          <w:rFonts w:ascii="宋体" w:hAnsi="宋体"/>
          <w:b/>
          <w:bCs/>
          <w:sz w:val="22"/>
          <w:szCs w:val="21"/>
        </w:rPr>
        <w:t>/</w:t>
      </w:r>
      <w:r>
        <w:rPr>
          <w:rFonts w:hint="eastAsia" w:ascii="宋体" w:hAnsi="宋体"/>
          <w:b/>
          <w:bCs/>
          <w:sz w:val="22"/>
          <w:szCs w:val="21"/>
        </w:rPr>
        <w:t>终止日</w:t>
      </w:r>
      <w:r>
        <w:rPr>
          <w:rFonts w:hint="eastAsia" w:ascii="宋体" w:hAnsi="宋体"/>
          <w:sz w:val="22"/>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产品存续期</w:t>
      </w:r>
      <w:r>
        <w:rPr>
          <w:rFonts w:ascii="宋体" w:hAnsi="宋体"/>
          <w:b/>
          <w:bCs/>
          <w:sz w:val="22"/>
          <w:szCs w:val="21"/>
        </w:rPr>
        <w:t>/</w:t>
      </w:r>
      <w:r>
        <w:rPr>
          <w:rFonts w:hint="eastAsia" w:ascii="宋体" w:hAnsi="宋体"/>
          <w:b/>
          <w:bCs/>
          <w:sz w:val="22"/>
          <w:szCs w:val="21"/>
        </w:rPr>
        <w:t>存续期：</w:t>
      </w:r>
      <w:r>
        <w:rPr>
          <w:rFonts w:hint="eastAsia" w:ascii="宋体" w:hAnsi="宋体"/>
          <w:sz w:val="22"/>
          <w:szCs w:val="21"/>
        </w:rPr>
        <w:t>指自理财产品成立日起，至理财产品终止日的期间。</w:t>
      </w:r>
    </w:p>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工作日：</w:t>
      </w:r>
      <w:r>
        <w:rPr>
          <w:rFonts w:hint="eastAsia" w:ascii="宋体" w:hAnsi="宋体"/>
          <w:sz w:val="22"/>
          <w:szCs w:val="21"/>
        </w:rPr>
        <w:t>指</w:t>
      </w:r>
      <w:r>
        <w:rPr>
          <w:rFonts w:hint="eastAsia" w:ascii="宋体" w:hAnsi="宋体"/>
          <w:bCs/>
          <w:szCs w:val="21"/>
        </w:rPr>
        <w:t>中华人民共和国国家法定工作日</w:t>
      </w:r>
      <w:r>
        <w:rPr>
          <w:rFonts w:hint="eastAsia" w:ascii="宋体" w:hAnsi="宋体"/>
          <w:sz w:val="22"/>
          <w:szCs w:val="21"/>
        </w:rPr>
        <w:t>。</w:t>
      </w:r>
    </w:p>
    <w:p>
      <w:pPr>
        <w:pStyle w:val="27"/>
        <w:numPr>
          <w:ilvl w:val="0"/>
          <w:numId w:val="1"/>
        </w:numPr>
        <w:autoSpaceDE w:val="0"/>
        <w:autoSpaceDN w:val="0"/>
        <w:adjustRightInd w:val="0"/>
        <w:ind w:firstLineChars="0"/>
        <w:rPr>
          <w:rFonts w:ascii="宋体" w:hAnsi="宋体"/>
          <w:sz w:val="22"/>
          <w:szCs w:val="21"/>
        </w:rPr>
      </w:pPr>
      <w:bookmarkStart w:id="7" w:name="_Hlk152860280"/>
      <w:r>
        <w:rPr>
          <w:rFonts w:hint="eastAsia" w:ascii="宋体" w:hAnsi="宋体"/>
          <w:b/>
          <w:bCs/>
          <w:sz w:val="22"/>
          <w:szCs w:val="21"/>
        </w:rPr>
        <w:t>交易日：</w:t>
      </w:r>
      <w:r>
        <w:rPr>
          <w:rFonts w:hint="eastAsia" w:ascii="宋体" w:hAnsi="宋体"/>
          <w:szCs w:val="21"/>
        </w:rPr>
        <w:t>指中国大陆证券交易所正常开盘交易日。</w:t>
      </w:r>
      <w:bookmarkEnd w:id="7"/>
    </w:p>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固定收益类</w:t>
      </w:r>
      <w:r>
        <w:rPr>
          <w:rFonts w:ascii="宋体" w:hAnsi="宋体"/>
          <w:b/>
          <w:bCs/>
          <w:sz w:val="22"/>
          <w:szCs w:val="21"/>
        </w:rPr>
        <w:t>/</w:t>
      </w:r>
      <w:r>
        <w:rPr>
          <w:rFonts w:hint="eastAsia" w:ascii="宋体" w:hAnsi="宋体"/>
          <w:b/>
          <w:bCs/>
          <w:sz w:val="22"/>
          <w:szCs w:val="21"/>
        </w:rPr>
        <w:t>权益类</w:t>
      </w:r>
      <w:r>
        <w:rPr>
          <w:rFonts w:ascii="宋体" w:hAnsi="宋体"/>
          <w:b/>
          <w:bCs/>
          <w:sz w:val="22"/>
          <w:szCs w:val="21"/>
        </w:rPr>
        <w:t>/</w:t>
      </w:r>
      <w:r>
        <w:rPr>
          <w:rFonts w:hint="eastAsia" w:ascii="宋体" w:hAnsi="宋体"/>
          <w:b/>
          <w:bCs/>
          <w:sz w:val="22"/>
          <w:szCs w:val="21"/>
        </w:rPr>
        <w:t>商品及衍生品类</w:t>
      </w:r>
      <w:r>
        <w:rPr>
          <w:rFonts w:ascii="宋体" w:hAnsi="宋体"/>
          <w:b/>
          <w:bCs/>
          <w:sz w:val="22"/>
          <w:szCs w:val="21"/>
        </w:rPr>
        <w:t>/</w:t>
      </w:r>
      <w:r>
        <w:rPr>
          <w:rFonts w:hint="eastAsia" w:ascii="宋体" w:hAnsi="宋体"/>
          <w:b/>
          <w:bCs/>
          <w:sz w:val="22"/>
          <w:szCs w:val="21"/>
        </w:rPr>
        <w:t>混合类理财产品：</w:t>
      </w:r>
      <w:r>
        <w:rPr>
          <w:rFonts w:hint="eastAsia" w:ascii="宋体" w:hAnsi="宋体"/>
          <w:sz w:val="22"/>
          <w:szCs w:val="21"/>
        </w:rPr>
        <w:t>固定收益类理财产品是指投资于存款、债券等债权类资产的比例不低于</w:t>
      </w:r>
      <w:r>
        <w:rPr>
          <w:rFonts w:ascii="宋体" w:hAnsi="宋体"/>
          <w:sz w:val="22"/>
          <w:szCs w:val="21"/>
        </w:rPr>
        <w:t>80</w:t>
      </w:r>
      <w:r>
        <w:rPr>
          <w:rFonts w:hint="eastAsia" w:ascii="宋体" w:hAnsi="宋体"/>
          <w:sz w:val="22"/>
          <w:szCs w:val="21"/>
        </w:rPr>
        <w:t>％的理财产品，权益类理财产品是指投资于股票等权益类资产的比例不低于</w:t>
      </w:r>
      <w:r>
        <w:rPr>
          <w:rFonts w:ascii="宋体" w:hAnsi="宋体"/>
          <w:sz w:val="22"/>
          <w:szCs w:val="21"/>
        </w:rPr>
        <w:t>80</w:t>
      </w:r>
      <w:r>
        <w:rPr>
          <w:rFonts w:hint="eastAsia" w:ascii="宋体" w:hAnsi="宋体"/>
          <w:sz w:val="22"/>
          <w:szCs w:val="21"/>
        </w:rPr>
        <w:t>％的理财产品，商品及金融衍生品类理财产品是指投资于商品及金融衍生品的比例不低于</w:t>
      </w:r>
      <w:r>
        <w:rPr>
          <w:rFonts w:ascii="宋体" w:hAnsi="宋体"/>
          <w:sz w:val="22"/>
          <w:szCs w:val="21"/>
        </w:rPr>
        <w:t>80</w:t>
      </w:r>
      <w:r>
        <w:rPr>
          <w:rFonts w:hint="eastAsia" w:ascii="宋体" w:hAnsi="宋体"/>
          <w:sz w:val="22"/>
          <w:szCs w:val="21"/>
        </w:rPr>
        <w:t>％的理财产品，混合类理财产品是指投资于债权类资产、权益类资产、商品及金融衍生品类资产且任一资产的投资比例未达到前三类产品标准的理财产品。</w:t>
      </w:r>
    </w:p>
    <w:p>
      <w:pPr>
        <w:pStyle w:val="27"/>
        <w:numPr>
          <w:ilvl w:val="0"/>
          <w:numId w:val="1"/>
        </w:numPr>
        <w:autoSpaceDE w:val="0"/>
        <w:autoSpaceDN w:val="0"/>
        <w:adjustRightInd w:val="0"/>
        <w:snapToGrid w:val="0"/>
        <w:spacing w:line="300" w:lineRule="auto"/>
        <w:ind w:firstLineChars="0"/>
        <w:jc w:val="left"/>
        <w:rPr>
          <w:rFonts w:ascii="宋体" w:hAnsi="宋体"/>
          <w:szCs w:val="21"/>
        </w:rPr>
      </w:pPr>
      <w:r>
        <w:rPr>
          <w:rFonts w:hint="eastAsia" w:ascii="宋体" w:hAnsi="宋体"/>
          <w:b/>
          <w:bCs/>
          <w:szCs w:val="21"/>
        </w:rPr>
        <w:t>公募理财产品：</w:t>
      </w:r>
      <w:r>
        <w:rPr>
          <w:rFonts w:hint="eastAsia" w:ascii="宋体" w:hAnsi="宋体"/>
          <w:szCs w:val="21"/>
        </w:rPr>
        <w:t>指面向不特定社会公众公开发行的理财产品。</w:t>
      </w:r>
      <w:bookmarkStart w:id="8" w:name="_Hlk155863124"/>
      <w:bookmarkStart w:id="9" w:name="_Hlk160108606"/>
    </w:p>
    <w:bookmarkEnd w:id="8"/>
    <w:p>
      <w:pPr>
        <w:pStyle w:val="27"/>
        <w:numPr>
          <w:ilvl w:val="0"/>
          <w:numId w:val="1"/>
        </w:numPr>
        <w:autoSpaceDE w:val="0"/>
        <w:autoSpaceDN w:val="0"/>
        <w:adjustRightInd w:val="0"/>
        <w:snapToGrid w:val="0"/>
        <w:spacing w:line="300" w:lineRule="auto"/>
        <w:ind w:firstLineChars="0"/>
        <w:jc w:val="left"/>
        <w:rPr>
          <w:rFonts w:ascii="宋体" w:hAnsi="宋体"/>
          <w:szCs w:val="21"/>
        </w:rPr>
      </w:pPr>
      <w:bookmarkStart w:id="10"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bookmarkEnd w:id="10"/>
    <w:p>
      <w:pPr>
        <w:pStyle w:val="27"/>
        <w:numPr>
          <w:ilvl w:val="0"/>
          <w:numId w:val="1"/>
        </w:numPr>
        <w:autoSpaceDE w:val="0"/>
        <w:autoSpaceDN w:val="0"/>
        <w:adjustRightInd w:val="0"/>
        <w:ind w:firstLineChars="0"/>
        <w:rPr>
          <w:rFonts w:ascii="宋体" w:hAnsi="宋体"/>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r>
        <w:rPr>
          <w:rFonts w:hint="eastAsia" w:ascii="宋体" w:hAnsi="宋体"/>
          <w:szCs w:val="21"/>
        </w:rPr>
        <w:t>。</w:t>
      </w:r>
    </w:p>
    <w:p>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w:t>
      </w:r>
      <w:r>
        <w:rPr>
          <w:rFonts w:ascii="宋体" w:hAnsi="宋体"/>
          <w:szCs w:val="21"/>
        </w:rPr>
        <w:t>10</w:t>
      </w:r>
      <w:r>
        <w:rPr>
          <w:rFonts w:hint="eastAsia" w:ascii="宋体" w:hAnsi="宋体"/>
          <w:szCs w:val="21"/>
        </w:rPr>
        <w:t>个交易日以上的逆回购与银行定期存款（含协议约定有条件提前支取的银行存款）、距可赎回日在</w:t>
      </w:r>
      <w:r>
        <w:rPr>
          <w:rFonts w:ascii="宋体" w:hAnsi="宋体"/>
          <w:szCs w:val="21"/>
        </w:rPr>
        <w:t>10</w:t>
      </w:r>
      <w:r>
        <w:rPr>
          <w:rFonts w:hint="eastAsia" w:ascii="宋体" w:hAnsi="宋体"/>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27"/>
        <w:numPr>
          <w:ilvl w:val="0"/>
          <w:numId w:val="1"/>
        </w:numPr>
        <w:autoSpaceDE w:val="0"/>
        <w:autoSpaceDN w:val="0"/>
        <w:adjustRightInd w:val="0"/>
        <w:ind w:firstLineChars="0"/>
        <w:jc w:val="left"/>
        <w:rPr>
          <w:rFonts w:ascii="宋体" w:hAnsi="宋体"/>
          <w:sz w:val="22"/>
          <w:szCs w:val="21"/>
        </w:rPr>
      </w:pPr>
      <w:r>
        <w:rPr>
          <w:rFonts w:hint="eastAsia" w:ascii="宋体" w:hAnsi="宋体"/>
          <w:b/>
          <w:bCs/>
          <w:sz w:val="22"/>
          <w:szCs w:val="21"/>
        </w:rPr>
        <w:t>理财产品估值：</w:t>
      </w:r>
      <w:r>
        <w:rPr>
          <w:rFonts w:hint="eastAsia" w:ascii="宋体" w:hAnsi="宋体"/>
          <w:sz w:val="22"/>
          <w:szCs w:val="21"/>
        </w:rPr>
        <w:t>指计算评估理财产品资产以确定理财产品单位净值的过程。</w:t>
      </w:r>
    </w:p>
    <w:p>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元：</w:t>
      </w:r>
      <w:r>
        <w:rPr>
          <w:rFonts w:hint="eastAsia" w:ascii="宋体" w:hAnsi="宋体"/>
          <w:sz w:val="22"/>
          <w:szCs w:val="21"/>
        </w:rPr>
        <w:t>指人民币元。</w:t>
      </w:r>
    </w:p>
    <w:p>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pPr>
        <w:pStyle w:val="27"/>
        <w:numPr>
          <w:ilvl w:val="0"/>
          <w:numId w:val="1"/>
        </w:numPr>
        <w:autoSpaceDE w:val="0"/>
        <w:autoSpaceDN w:val="0"/>
        <w:adjustRightInd w:val="0"/>
        <w:snapToGrid w:val="0"/>
        <w:spacing w:line="300" w:lineRule="auto"/>
        <w:ind w:firstLineChars="0"/>
        <w:jc w:val="left"/>
        <w:rPr>
          <w:rFonts w:ascii="宋体" w:hAnsi="宋体"/>
          <w:b/>
          <w:bCs/>
          <w:sz w:val="22"/>
          <w:szCs w:val="21"/>
        </w:rPr>
      </w:pPr>
      <w:bookmarkStart w:id="11" w:name="_Hlk160109267"/>
      <w:r>
        <w:rPr>
          <w:rFonts w:hint="eastAsia" w:ascii="宋体" w:hAnsi="宋体"/>
          <w:b/>
          <w:bCs/>
          <w:szCs w:val="21"/>
        </w:rPr>
        <w:t>意外事件：包括但不限于系统故障、通讯故障、电力系统故障、金融危机、投资市场或投资品无法正常交易等情况。</w:t>
      </w:r>
    </w:p>
    <w:bookmarkEnd w:id="3"/>
    <w:bookmarkEnd w:id="11"/>
    <w:p>
      <w:pPr>
        <w:spacing w:line="276" w:lineRule="auto"/>
        <w:jc w:val="left"/>
        <w:rPr>
          <w:rFonts w:ascii="Times New Roman" w:hAnsi="Times New Roman"/>
          <w:b/>
          <w:bCs/>
          <w:szCs w:val="21"/>
        </w:rPr>
      </w:pPr>
    </w:p>
    <w:p>
      <w:pPr>
        <w:spacing w:line="276" w:lineRule="auto"/>
        <w:jc w:val="left"/>
        <w:rPr>
          <w:rFonts w:ascii="Times New Roman" w:hAnsi="Times New Roman"/>
          <w:b/>
          <w:bCs/>
          <w:szCs w:val="21"/>
        </w:rPr>
      </w:pPr>
      <w:r>
        <w:rPr>
          <w:rFonts w:hint="eastAsia" w:ascii="Times New Roman" w:hAnsi="Times New Roman"/>
          <w:b/>
          <w:bCs/>
          <w:szCs w:val="21"/>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产品名称</w:t>
            </w:r>
          </w:p>
        </w:tc>
        <w:tc>
          <w:tcPr>
            <w:tcW w:w="5867" w:type="dxa"/>
            <w:gridSpan w:val="2"/>
            <w:noWrap w:val="0"/>
            <w:vAlign w:val="top"/>
          </w:tcPr>
          <w:p>
            <w:pPr>
              <w:spacing w:line="276" w:lineRule="auto"/>
              <w:rPr>
                <w:rFonts w:hint="eastAsia" w:ascii="Times New Roman" w:hAnsi="Times New Roman"/>
                <w:bCs/>
                <w:szCs w:val="21"/>
              </w:rPr>
            </w:pPr>
            <w:r>
              <w:rPr>
                <w:rFonts w:hint="eastAsia" w:ascii="Times New Roman" w:hAnsi="Times New Roman"/>
                <w:bCs/>
                <w:szCs w:val="21"/>
              </w:rPr>
              <w:t>渝农商理财益进封闭式2025年第51315期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产品编号</w:t>
            </w:r>
          </w:p>
        </w:tc>
        <w:tc>
          <w:tcPr>
            <w:tcW w:w="5867" w:type="dxa"/>
            <w:gridSpan w:val="2"/>
            <w:noWrap w:val="0"/>
            <w:vAlign w:val="top"/>
          </w:tcPr>
          <w:p>
            <w:pPr>
              <w:spacing w:line="276" w:lineRule="auto"/>
              <w:rPr>
                <w:rFonts w:hint="eastAsia" w:ascii="Times New Roman" w:hAnsi="Times New Roman"/>
                <w:szCs w:val="21"/>
              </w:rPr>
            </w:pPr>
            <w:r>
              <w:rPr>
                <w:rFonts w:hint="eastAsia" w:ascii="Times New Roman" w:hAnsi="Times New Roman"/>
                <w:szCs w:val="21"/>
              </w:rPr>
              <w:t>25GSGF51315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5867" w:type="dxa"/>
            <w:gridSpan w:val="2"/>
            <w:noWrap w:val="0"/>
            <w:vAlign w:val="top"/>
          </w:tcPr>
          <w:p>
            <w:pPr>
              <w:spacing w:line="276" w:lineRule="auto"/>
              <w:rPr>
                <w:rFonts w:ascii="Times New Roman" w:hAnsi="Times New Roman"/>
                <w:bCs/>
                <w:szCs w:val="21"/>
              </w:rPr>
            </w:pPr>
            <w:r>
              <w:rPr>
                <w:rFonts w:ascii="Times New Roman" w:hAnsi="Times New Roman"/>
                <w:szCs w:val="21"/>
              </w:rPr>
              <w:t>Z7002725000049</w:t>
            </w:r>
            <w:r>
              <w:rPr>
                <w:rFonts w:hint="eastAsia" w:ascii="Times New Roman" w:hAnsi="Times New Roman"/>
                <w:bCs/>
                <w:szCs w:val="21"/>
              </w:rPr>
              <w:t>。投资者可依据本产品理财信息系统登记编码在“中国理财网（</w:t>
            </w:r>
            <w:r>
              <w:rPr>
                <w:rFonts w:ascii="Times New Roman" w:hAnsi="Times New Roman"/>
                <w:bCs/>
                <w:szCs w:val="21"/>
              </w:rPr>
              <w:t>www.chinawealth.com.cn</w:t>
            </w:r>
            <w:r>
              <w:rPr>
                <w:rFonts w:hint="eastAsia" w:ascii="Times New Roman" w:hAnsi="Times New Roman"/>
                <w:bCs/>
                <w:szCs w:val="21"/>
              </w:rPr>
              <w:t>）”上查询产品信息。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 w:hRule="atLeast"/>
        </w:trPr>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ascii="Times New Roman" w:hAnsi="Times New Roman"/>
                <w:b/>
                <w:bCs/>
              </w:rPr>
              <w:t>本产品通过代理销售机构渠道销售的，理财产品评级应当以代理销售机构最终披露的评级结果为准。</w:t>
            </w:r>
            <w:r>
              <w:rPr>
                <w:rFonts w:hint="eastAsia" w:ascii="Times New Roman" w:hAnsi="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理财产品份额类别</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szCs w:val="21"/>
              </w:rPr>
              <w:t>本产品根据投资者购买理财产品的</w:t>
            </w:r>
            <w:bookmarkStart w:id="12" w:name="_Hlk152317573"/>
            <w:r>
              <w:rPr>
                <w:rFonts w:hint="eastAsia" w:ascii="Times New Roman" w:hAnsi="Times New Roman"/>
                <w:szCs w:val="21"/>
              </w:rPr>
              <w:t>销售（代理销售）机构</w:t>
            </w:r>
            <w:bookmarkEnd w:id="12"/>
            <w:r>
              <w:rPr>
                <w:rFonts w:hint="eastAsia" w:ascii="Times New Roman" w:hAnsi="Times New Roman"/>
                <w:szCs w:val="21"/>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pPr>
              <w:spacing w:line="276" w:lineRule="auto"/>
              <w:rPr>
                <w:rFonts w:ascii="Times New Roman" w:hAnsi="Times New Roman" w:cs="宋体"/>
                <w:szCs w:val="21"/>
              </w:rPr>
            </w:pPr>
            <w:r>
              <w:rPr>
                <w:rFonts w:hint="eastAsia" w:ascii="Times New Roman" w:hAnsi="Times New Roman" w:cs="宋体"/>
                <w:szCs w:val="21"/>
              </w:rPr>
              <w:t>A份额：份额代码25GSGF51315A</w:t>
            </w:r>
          </w:p>
          <w:p>
            <w:pPr>
              <w:spacing w:line="276" w:lineRule="auto"/>
              <w:rPr>
                <w:rFonts w:hint="eastAsia" w:ascii="Times New Roman" w:hAnsi="Times New Roman" w:cs="宋体"/>
                <w:szCs w:val="21"/>
              </w:rPr>
            </w:pPr>
            <w:r>
              <w:rPr>
                <w:rFonts w:hint="eastAsia" w:ascii="Times New Roman" w:hAnsi="Times New Roman" w:cs="宋体"/>
                <w:szCs w:val="21"/>
              </w:rPr>
              <w:t>B份额：份额代码25GSGF51315B</w:t>
            </w:r>
          </w:p>
          <w:p>
            <w:pPr>
              <w:spacing w:line="276" w:lineRule="auto"/>
              <w:rPr>
                <w:rFonts w:hint="eastAsia" w:ascii="Times New Roman" w:hAnsi="Times New Roman"/>
                <w:szCs w:val="21"/>
              </w:rPr>
            </w:pPr>
            <w:r>
              <w:rPr>
                <w:rFonts w:hint="eastAsia" w:ascii="Times New Roman" w:hAnsi="Times New Roman" w:cs="宋体"/>
                <w:szCs w:val="21"/>
              </w:rPr>
              <w:t>C份额：份额代码25GSGF51315</w:t>
            </w:r>
            <w:r>
              <w:rPr>
                <w:rFonts w:hint="eastAsia" w:ascii="Times New Roman" w:hAnsi="Times New Roman"/>
                <w:szCs w:val="21"/>
              </w:rPr>
              <w:t>C</w:t>
            </w:r>
          </w:p>
          <w:p>
            <w:pPr>
              <w:spacing w:line="276" w:lineRule="auto"/>
              <w:rPr>
                <w:rFonts w:hint="eastAsia" w:ascii="Times New Roman" w:hAnsi="Times New Roman"/>
                <w:szCs w:val="21"/>
              </w:rPr>
            </w:pPr>
            <w:r>
              <w:rPr>
                <w:rFonts w:hint="eastAsia" w:ascii="Times New Roman" w:hAnsi="Times New Roman" w:cs="宋体"/>
                <w:szCs w:val="21"/>
              </w:rPr>
              <w:t>D份额：份额代码25GSGF51315</w:t>
            </w:r>
            <w:r>
              <w:rPr>
                <w:rFonts w:hint="eastAsia" w:ascii="Times New Roman" w:hAnsi="Times New Roman"/>
                <w:szCs w:val="21"/>
              </w:rPr>
              <w:t>D</w:t>
            </w:r>
          </w:p>
          <w:p>
            <w:pPr>
              <w:spacing w:line="276" w:lineRule="auto"/>
              <w:rPr>
                <w:rFonts w:hint="eastAsia" w:ascii="Times New Roman" w:hAnsi="Times New Roman"/>
                <w:szCs w:val="21"/>
              </w:rPr>
            </w:pPr>
            <w:r>
              <w:rPr>
                <w:rFonts w:hint="eastAsia" w:ascii="Times New Roman" w:hAnsi="Times New Roman" w:cs="宋体"/>
                <w:szCs w:val="21"/>
              </w:rPr>
              <w:t>E份额：份额代码25GSGF51315</w:t>
            </w:r>
            <w:r>
              <w:rPr>
                <w:rFonts w:hint="eastAsia" w:ascii="Times New Roman" w:hAnsi="Times New Roman"/>
                <w:szCs w:val="21"/>
              </w:rPr>
              <w:t>E</w:t>
            </w:r>
          </w:p>
          <w:p>
            <w:pPr>
              <w:spacing w:line="276" w:lineRule="auto"/>
              <w:rPr>
                <w:rFonts w:hint="eastAsia" w:ascii="Times New Roman" w:hAnsi="Times New Roman"/>
                <w:szCs w:val="21"/>
              </w:rPr>
            </w:pPr>
            <w:r>
              <w:rPr>
                <w:rFonts w:hint="eastAsia" w:ascii="Times New Roman" w:hAnsi="Times New Roman" w:cs="宋体"/>
                <w:szCs w:val="21"/>
              </w:rPr>
              <w:t>F份额：份额代码25GSGF51315</w:t>
            </w:r>
            <w:r>
              <w:rPr>
                <w:rFonts w:hint="eastAsia" w:ascii="Times New Roman" w:hAnsi="Times New Roman"/>
                <w:szCs w:val="21"/>
              </w:rPr>
              <w:t>F</w:t>
            </w:r>
          </w:p>
          <w:p>
            <w:pPr>
              <w:spacing w:line="276" w:lineRule="auto"/>
              <w:rPr>
                <w:rFonts w:ascii="Times New Roman" w:hAnsi="Times New Roman"/>
                <w:szCs w:val="21"/>
              </w:rPr>
            </w:pPr>
            <w:r>
              <w:rPr>
                <w:rFonts w:hint="eastAsia" w:ascii="Times New Roman" w:hAnsi="Times New Roman" w:cs="宋体"/>
                <w:szCs w:val="21"/>
              </w:rPr>
              <w:t>G份额：份额代码25GSGF51315</w:t>
            </w:r>
            <w:r>
              <w:rPr>
                <w:rFonts w:hint="eastAsia" w:ascii="Times New Roman" w:hAnsi="Times New Roman"/>
                <w:szCs w:val="21"/>
              </w:rPr>
              <w:t>G</w:t>
            </w:r>
          </w:p>
          <w:p>
            <w:pPr>
              <w:spacing w:line="276" w:lineRule="auto"/>
              <w:rPr>
                <w:rFonts w:ascii="Times New Roman" w:hAnsi="Times New Roman"/>
                <w:szCs w:val="21"/>
              </w:rPr>
            </w:pPr>
            <w:r>
              <w:rPr>
                <w:rFonts w:hint="eastAsia" w:ascii="Times New Roman" w:hAnsi="Times New Roman"/>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rPr>
              <w:t>投资者未在变更生效前提出赎回申请的，视为同意接受变更后条款</w:t>
            </w:r>
            <w:r>
              <w:rPr>
                <w:rFonts w:hint="eastAsia" w:ascii="Times New Roman" w:hAnsi="Times New Roman"/>
                <w:szCs w:val="21"/>
              </w:rPr>
              <w:t>，产品管理人有权按照变更后的约定内容进行操作。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hint="eastAsia" w:ascii="Times New Roman" w:hAnsi="Times New Roman"/>
                <w:bCs/>
                <w:szCs w:val="21"/>
              </w:rPr>
            </w:pPr>
            <w:r>
              <w:rPr>
                <w:rFonts w:hint="eastAsia" w:ascii="Times New Roman" w:hAnsi="Times New Roman"/>
                <w:bCs/>
                <w:szCs w:val="21"/>
              </w:rPr>
              <w:t>销售对象</w:t>
            </w:r>
          </w:p>
        </w:tc>
        <w:tc>
          <w:tcPr>
            <w:tcW w:w="5867" w:type="dxa"/>
            <w:gridSpan w:val="2"/>
            <w:noWrap w:val="0"/>
            <w:vAlign w:val="top"/>
          </w:tcPr>
          <w:p>
            <w:pPr>
              <w:spacing w:line="276" w:lineRule="auto"/>
              <w:rPr>
                <w:rFonts w:hint="eastAsia" w:ascii="Times New Roman" w:hAnsi="Times New Roman" w:cs="宋体"/>
                <w:szCs w:val="21"/>
              </w:rPr>
            </w:pPr>
            <w:r>
              <w:rPr>
                <w:rFonts w:hint="eastAsia" w:ascii="Times New Roman" w:hAnsi="Times New Roman" w:cs="宋体"/>
                <w:szCs w:val="21"/>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适合投资者类型</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szCs w:val="21"/>
              </w:rPr>
              <w:t>本产品适合</w:t>
            </w:r>
            <w:r>
              <w:rPr>
                <w:rFonts w:hint="eastAsia" w:ascii="Times New Roman" w:hAnsi="Times New Roman" w:cs="宋体"/>
                <w:szCs w:val="21"/>
              </w:rPr>
              <w:t>稳健型、平衡型、积极型、激进型的个人投资者，机构投资者</w:t>
            </w:r>
            <w:r>
              <w:rPr>
                <w:rFonts w:hint="eastAsia" w:ascii="Times New Roman" w:hAnsi="Times New Roman"/>
                <w:szCs w:val="21"/>
              </w:rPr>
              <w:t>。</w:t>
            </w:r>
          </w:p>
          <w:p>
            <w:pPr>
              <w:spacing w:line="276" w:lineRule="auto"/>
              <w:rPr>
                <w:rFonts w:ascii="Times New Roman" w:hAnsi="Times New Roman"/>
                <w:b/>
                <w:bCs/>
                <w:szCs w:val="21"/>
              </w:rPr>
            </w:pPr>
            <w:r>
              <w:rPr>
                <w:rFonts w:hint="eastAsia" w:ascii="Times New Roman" w:hAnsi="Times New Roman"/>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销售范围</w:t>
            </w:r>
          </w:p>
        </w:tc>
        <w:tc>
          <w:tcPr>
            <w:tcW w:w="5867" w:type="dxa"/>
            <w:gridSpan w:val="2"/>
            <w:noWrap w:val="0"/>
            <w:vAlign w:val="top"/>
          </w:tcPr>
          <w:p>
            <w:pPr>
              <w:spacing w:line="276" w:lineRule="auto"/>
              <w:rPr>
                <w:rFonts w:ascii="Times New Roman" w:hAnsi="Times New Roman"/>
                <w:b/>
                <w:bCs/>
                <w:szCs w:val="21"/>
              </w:rPr>
            </w:pPr>
            <w:r>
              <w:rPr>
                <w:rFonts w:hint="eastAsia" w:ascii="Times New Roman" w:hAnsi="Times New Roman"/>
                <w:szCs w:val="21"/>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bCs/>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产品类型</w:t>
            </w:r>
          </w:p>
        </w:tc>
        <w:tc>
          <w:tcPr>
            <w:tcW w:w="5867" w:type="dxa"/>
            <w:gridSpan w:val="2"/>
            <w:noWrap w:val="0"/>
            <w:vAlign w:val="top"/>
          </w:tcPr>
          <w:p>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top"/>
          </w:tcPr>
          <w:p>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5867" w:type="dxa"/>
            <w:gridSpan w:val="2"/>
            <w:noWrap w:val="0"/>
            <w:vAlign w:val="top"/>
          </w:tcPr>
          <w:p>
            <w:pPr>
              <w:spacing w:line="276" w:lineRule="auto"/>
              <w:jc w:val="left"/>
              <w:rPr>
                <w:rFonts w:ascii="Times New Roman" w:hAnsi="Times New Roman"/>
                <w:bCs/>
                <w:szCs w:val="21"/>
              </w:rPr>
            </w:pPr>
            <w:r>
              <w:rPr>
                <w:rFonts w:hint="eastAsia" w:ascii="Times New Roman" w:hAnsi="Times New Roman"/>
                <w:szCs w:val="21"/>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产品期限</w:t>
            </w:r>
          </w:p>
        </w:tc>
        <w:tc>
          <w:tcPr>
            <w:tcW w:w="5867" w:type="dxa"/>
            <w:gridSpan w:val="2"/>
            <w:noWrap w:val="0"/>
            <w:vAlign w:val="top"/>
          </w:tcPr>
          <w:p>
            <w:pPr>
              <w:spacing w:line="276" w:lineRule="auto"/>
              <w:jc w:val="left"/>
              <w:rPr>
                <w:rFonts w:ascii="Times New Roman" w:hAnsi="Times New Roman"/>
                <w:bCs/>
                <w:szCs w:val="21"/>
              </w:rPr>
            </w:pPr>
            <w:r>
              <w:rPr>
                <w:rFonts w:hint="eastAsia" w:ascii="Times New Roman" w:hAnsi="Times New Roman"/>
                <w:b/>
                <w:bCs/>
                <w:szCs w:val="21"/>
              </w:rPr>
              <w:t>370天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产品规模</w:t>
            </w:r>
          </w:p>
        </w:tc>
        <w:tc>
          <w:tcPr>
            <w:tcW w:w="5867" w:type="dxa"/>
            <w:gridSpan w:val="2"/>
            <w:noWrap w:val="0"/>
            <w:vAlign w:val="center"/>
          </w:tcPr>
          <w:p>
            <w:pPr>
              <w:spacing w:line="276" w:lineRule="auto"/>
              <w:jc w:val="left"/>
              <w:rPr>
                <w:rFonts w:ascii="Times New Roman" w:hAnsi="Times New Roman"/>
                <w:bCs/>
                <w:szCs w:val="21"/>
              </w:rPr>
            </w:pPr>
            <w:r>
              <w:rPr>
                <w:rFonts w:hint="eastAsia" w:ascii="Times New Roman" w:hAnsi="Times New Roman"/>
                <w:bCs/>
                <w:szCs w:val="21"/>
              </w:rPr>
              <w:t>产品规模上限为</w:t>
            </w:r>
            <w:r>
              <w:rPr>
                <w:rFonts w:ascii="Times New Roman" w:hAnsi="Times New Roman"/>
                <w:bCs/>
                <w:szCs w:val="21"/>
              </w:rPr>
              <w:t>395</w:t>
            </w:r>
            <w:r>
              <w:rPr>
                <w:rFonts w:hint="eastAsia" w:ascii="Times New Roman" w:hAnsi="Times New Roman"/>
                <w:bCs/>
                <w:szCs w:val="21"/>
              </w:rPr>
              <w:t>00万元，产品规模下限为500万元（产品管理人有权根据产品实际运作情况调整产品规模）。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募集期</w:t>
            </w:r>
            <w:r>
              <w:rPr>
                <w:rFonts w:ascii="Times New Roman" w:hAnsi="Times New Roman"/>
                <w:bCs/>
                <w:szCs w:val="21"/>
              </w:rPr>
              <w:t xml:space="preserve">    </w:t>
            </w:r>
          </w:p>
          <w:p>
            <w:pPr>
              <w:spacing w:line="276" w:lineRule="auto"/>
              <w:jc w:val="center"/>
              <w:rPr>
                <w:rFonts w:ascii="Times New Roman" w:hAnsi="Times New Roman"/>
                <w:bCs/>
                <w:szCs w:val="21"/>
              </w:rPr>
            </w:pPr>
            <w:r>
              <w:rPr>
                <w:rFonts w:hint="eastAsia" w:ascii="Times New Roman" w:hAnsi="Times New Roman"/>
                <w:bCs/>
                <w:szCs w:val="21"/>
              </w:rPr>
              <w:t>（认购期）</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szCs w:val="21"/>
              </w:rPr>
              <w:t>2025年4月</w:t>
            </w:r>
            <w:r>
              <w:rPr>
                <w:rFonts w:ascii="Times New Roman" w:hAnsi="Times New Roman"/>
                <w:szCs w:val="21"/>
              </w:rPr>
              <w:t>17</w:t>
            </w:r>
            <w:r>
              <w:rPr>
                <w:rFonts w:hint="eastAsia" w:ascii="Times New Roman" w:hAnsi="Times New Roman"/>
                <w:szCs w:val="21"/>
              </w:rPr>
              <w:t>日09:00至2025年4月2</w:t>
            </w:r>
            <w:r>
              <w:rPr>
                <w:rFonts w:ascii="Times New Roman" w:hAnsi="Times New Roman"/>
                <w:szCs w:val="21"/>
              </w:rPr>
              <w:t>3</w:t>
            </w:r>
            <w:r>
              <w:rPr>
                <w:rFonts w:hint="eastAsia" w:ascii="Times New Roman" w:hAnsi="Times New Roman"/>
                <w:szCs w:val="21"/>
              </w:rPr>
              <w:t>日15:30，若本产品通过代理销售机构销售，代理销售机构实际受理时间可能与理财产品说明书不一致，具体以代理销售机构通知为准。</w:t>
            </w:r>
            <w:r>
              <w:rPr>
                <w:rFonts w:hint="eastAsia" w:ascii="Times New Roman" w:hAnsi="Times New Roman"/>
                <w:bCs/>
                <w:szCs w:val="21"/>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产品成立日</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szCs w:val="21"/>
              </w:rPr>
              <w:t>2025年4月</w:t>
            </w:r>
            <w:r>
              <w:rPr>
                <w:rFonts w:ascii="Times New Roman" w:hAnsi="Times New Roman"/>
                <w:szCs w:val="21"/>
              </w:rPr>
              <w:t>24</w:t>
            </w:r>
            <w:r>
              <w:rPr>
                <w:rFonts w:hint="eastAsia" w:ascii="Times New Roman" w:hAnsi="Times New Roman"/>
                <w:szCs w:val="21"/>
              </w:rPr>
              <w:t>日（如遇非工作日顺延至下一个工作日）。</w:t>
            </w:r>
          </w:p>
          <w:p>
            <w:pPr>
              <w:spacing w:line="276" w:lineRule="auto"/>
              <w:rPr>
                <w:rFonts w:ascii="Times New Roman" w:hAnsi="Times New Roman"/>
                <w:szCs w:val="21"/>
              </w:rPr>
            </w:pPr>
            <w:r>
              <w:rPr>
                <w:rFonts w:hint="eastAsia" w:ascii="Times New Roman" w:hAnsi="Times New Roman"/>
                <w:szCs w:val="21"/>
              </w:rPr>
              <w:t>若产品募集期缩短或延长，产品成立日以公告为准。</w:t>
            </w:r>
          </w:p>
          <w:p>
            <w:pPr>
              <w:spacing w:line="276" w:lineRule="auto"/>
              <w:rPr>
                <w:rFonts w:ascii="Times New Roman" w:hAnsi="Times New Roman"/>
                <w:bCs/>
                <w:szCs w:val="21"/>
              </w:rPr>
            </w:pPr>
            <w:r>
              <w:rPr>
                <w:rFonts w:hint="eastAsia" w:ascii="Times New Roman" w:hAnsi="Times New Roman"/>
                <w:szCs w:val="21"/>
              </w:rPr>
              <w:t>若在认购期届满之日未达到产品规模下限，渝农商理财有限责任公司有权宣布本产品不能成立，认购资金将在认购期结束后2个工作日内返还至投资者账户</w:t>
            </w:r>
            <w:r>
              <w:rPr>
                <w:rFonts w:hint="eastAsia"/>
                <w:bCs/>
                <w:sz w:val="24"/>
                <w:szCs w:val="21"/>
              </w:rPr>
              <w:t>，</w:t>
            </w:r>
            <w:r>
              <w:rPr>
                <w:rFonts w:hint="eastAsia" w:ascii="Times New Roman" w:hAnsi="Times New Roman"/>
                <w:szCs w:val="21"/>
              </w:rPr>
              <w:t>若本产品通过代理销售机构渠道销售的，具体到账时间以投资者与代理销售机构的约定为准。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产品到期日</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szCs w:val="21"/>
              </w:rPr>
              <w:t>2026年4月</w:t>
            </w:r>
            <w:r>
              <w:rPr>
                <w:rFonts w:ascii="Times New Roman" w:hAnsi="Times New Roman"/>
                <w:szCs w:val="21"/>
              </w:rPr>
              <w:t>29</w:t>
            </w:r>
            <w:r>
              <w:rPr>
                <w:rFonts w:hint="eastAsia" w:ascii="Times New Roman" w:hAnsi="Times New Roman"/>
                <w:szCs w:val="21"/>
              </w:rPr>
              <w:t>日（如遇非工作日顺延至下一个工作日）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资金</w:t>
            </w:r>
            <w:r>
              <w:rPr>
                <w:rFonts w:ascii="Times New Roman" w:hAnsi="Times New Roman"/>
                <w:bCs/>
                <w:szCs w:val="21"/>
              </w:rPr>
              <w:t>到账</w:t>
            </w:r>
            <w:r>
              <w:rPr>
                <w:rFonts w:hint="eastAsia" w:ascii="Times New Roman" w:hAnsi="Times New Roman"/>
                <w:bCs/>
                <w:szCs w:val="21"/>
              </w:rPr>
              <w:t>日</w:t>
            </w:r>
          </w:p>
        </w:tc>
        <w:tc>
          <w:tcPr>
            <w:tcW w:w="5867" w:type="dxa"/>
            <w:gridSpan w:val="2"/>
            <w:noWrap w:val="0"/>
            <w:vAlign w:val="top"/>
          </w:tcPr>
          <w:p>
            <w:pPr>
              <w:spacing w:line="276" w:lineRule="auto"/>
              <w:rPr>
                <w:rFonts w:hint="eastAsia" w:ascii="Times New Roman" w:hAnsi="Times New Roman"/>
                <w:bCs/>
                <w:szCs w:val="21"/>
              </w:rPr>
            </w:pPr>
            <w:r>
              <w:rPr>
                <w:rFonts w:hint="eastAsia" w:ascii="Times New Roman" w:hAnsi="Times New Roman"/>
                <w:bCs/>
                <w:szCs w:val="21"/>
              </w:rPr>
              <w:t>产品到期日或提前终止日后2个工作日内，若本产品通过代理销售机构渠道销售的，具体到账时间以投资者与代理销售机构的约定为准。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认购</w:t>
            </w:r>
          </w:p>
        </w:tc>
        <w:tc>
          <w:tcPr>
            <w:tcW w:w="5867" w:type="dxa"/>
            <w:gridSpan w:val="2"/>
            <w:noWrap w:val="0"/>
            <w:vAlign w:val="top"/>
          </w:tcPr>
          <w:p>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5867" w:type="dxa"/>
            <w:gridSpan w:val="2"/>
            <w:noWrap w:val="0"/>
            <w:vAlign w:val="top"/>
          </w:tcPr>
          <w:p>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A份额业绩比较基准为2.50%；</w:t>
            </w:r>
          </w:p>
          <w:p>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B份额业绩比较基准为2.70%；</w:t>
            </w:r>
          </w:p>
          <w:p>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C份额业绩比较基准为2.50%;</w:t>
            </w:r>
          </w:p>
          <w:p>
            <w:pPr>
              <w:autoSpaceDE w:val="0"/>
              <w:autoSpaceDN w:val="0"/>
              <w:adjustRightInd w:val="0"/>
              <w:spacing w:line="276" w:lineRule="auto"/>
              <w:jc w:val="left"/>
              <w:rPr>
                <w:rFonts w:hint="eastAsia" w:ascii="Times New Roman" w:hAnsi="Times New Roman"/>
                <w:bCs/>
                <w:szCs w:val="21"/>
              </w:rPr>
            </w:pPr>
            <w:r>
              <w:rPr>
                <w:rFonts w:hint="eastAsia" w:ascii="Times New Roman" w:hAnsi="Times New Roman"/>
                <w:bCs/>
                <w:szCs w:val="21"/>
              </w:rPr>
              <w:t>D份额业绩比较基准为2.70%；</w:t>
            </w:r>
          </w:p>
          <w:p>
            <w:pPr>
              <w:widowControl/>
              <w:spacing w:line="360" w:lineRule="exact"/>
              <w:jc w:val="left"/>
              <w:rPr>
                <w:rFonts w:hint="eastAsia" w:ascii="Times New Roman" w:hAnsi="Times New Roman"/>
                <w:bCs/>
                <w:szCs w:val="21"/>
              </w:rPr>
            </w:pPr>
            <w:r>
              <w:rPr>
                <w:rFonts w:hint="eastAsia" w:ascii="Times New Roman" w:hAnsi="Times New Roman"/>
                <w:bCs/>
                <w:szCs w:val="21"/>
              </w:rPr>
              <w:t>E份额业绩比较基准为2.60%;</w:t>
            </w:r>
          </w:p>
          <w:p>
            <w:pPr>
              <w:widowControl/>
              <w:spacing w:line="360" w:lineRule="exact"/>
              <w:jc w:val="left"/>
              <w:rPr>
                <w:rFonts w:hint="eastAsia" w:ascii="Times New Roman" w:hAnsi="Times New Roman"/>
                <w:bCs/>
                <w:szCs w:val="21"/>
              </w:rPr>
            </w:pPr>
            <w:r>
              <w:rPr>
                <w:rFonts w:hint="eastAsia" w:ascii="Times New Roman" w:hAnsi="Times New Roman"/>
                <w:bCs/>
                <w:szCs w:val="21"/>
              </w:rPr>
              <w:t>F份额业绩比较基准为2.65%；</w:t>
            </w:r>
          </w:p>
          <w:p>
            <w:pPr>
              <w:widowControl/>
              <w:spacing w:line="360" w:lineRule="exact"/>
              <w:jc w:val="left"/>
              <w:rPr>
                <w:rFonts w:hint="eastAsia" w:ascii="Times New Roman" w:hAnsi="Times New Roman"/>
                <w:bCs/>
                <w:szCs w:val="21"/>
              </w:rPr>
            </w:pPr>
            <w:r>
              <w:rPr>
                <w:rFonts w:hint="eastAsia" w:ascii="Times New Roman" w:hAnsi="Times New Roman"/>
                <w:bCs/>
                <w:szCs w:val="21"/>
              </w:rPr>
              <w:t>G份额业绩比较基准为2.7</w:t>
            </w:r>
            <w:r>
              <w:rPr>
                <w:rFonts w:ascii="Times New Roman" w:hAnsi="Times New Roman"/>
                <w:bCs/>
                <w:szCs w:val="21"/>
              </w:rPr>
              <w:t>0</w:t>
            </w:r>
            <w:r>
              <w:rPr>
                <w:rFonts w:hint="eastAsia" w:ascii="Times New Roman" w:hAnsi="Times New Roman"/>
                <w:bCs/>
                <w:szCs w:val="21"/>
              </w:rPr>
              <w:t>%。</w:t>
            </w:r>
          </w:p>
          <w:p>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pPr>
              <w:spacing w:line="276" w:lineRule="auto"/>
              <w:ind w:right="-107" w:rightChars="-51"/>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5867" w:type="dxa"/>
            <w:gridSpan w:val="2"/>
            <w:noWrap w:val="0"/>
            <w:vAlign w:val="top"/>
          </w:tcPr>
          <w:p>
            <w:pPr>
              <w:spacing w:line="276" w:lineRule="auto"/>
              <w:rPr>
                <w:rFonts w:ascii="Times New Roman" w:hAnsi="Times New Roman"/>
                <w:bCs/>
                <w:szCs w:val="21"/>
              </w:rPr>
            </w:pPr>
            <w:r>
              <w:rPr>
                <w:rFonts w:ascii="Times New Roman" w:hAnsi="Times New Roman"/>
                <w:bCs/>
                <w:szCs w:val="21"/>
              </w:rPr>
              <w:t>1.0000</w:t>
            </w:r>
            <w:r>
              <w:rPr>
                <w:rFonts w:hint="eastAsia" w:ascii="Times New Roman" w:hAnsi="Times New Roman"/>
                <w:bCs/>
                <w:szCs w:val="21"/>
              </w:rPr>
              <w:t>元</w:t>
            </w:r>
            <w:r>
              <w:rPr>
                <w:rFonts w:ascii="Times New Roman" w:hAnsi="Times New Roman"/>
                <w:bCs/>
                <w:szCs w:val="21"/>
              </w:rPr>
              <w:t>/</w:t>
            </w:r>
            <w:r>
              <w:rPr>
                <w:rFonts w:hint="eastAsia" w:ascii="Times New Roman" w:hAnsi="Times New Roman"/>
                <w:bCs/>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gridSpan w:val="2"/>
            <w:noWrap w:val="0"/>
            <w:vAlign w:val="center"/>
          </w:tcPr>
          <w:p>
            <w:pPr>
              <w:spacing w:line="276" w:lineRule="auto"/>
              <w:jc w:val="center"/>
              <w:rPr>
                <w:rFonts w:ascii="Times New Roman" w:hAnsi="Times New Roman"/>
                <w:b/>
                <w:szCs w:val="21"/>
              </w:rPr>
            </w:pPr>
            <w:r>
              <w:rPr>
                <w:rFonts w:hint="eastAsia" w:ascii="Times New Roman" w:hAnsi="Times New Roman"/>
                <w:b/>
                <w:szCs w:val="21"/>
              </w:rPr>
              <w:t>理财产品费用</w:t>
            </w:r>
          </w:p>
        </w:tc>
        <w:tc>
          <w:tcPr>
            <w:tcW w:w="5809" w:type="dxa"/>
            <w:noWrap w:val="0"/>
            <w:vAlign w:val="top"/>
          </w:tcPr>
          <w:p>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理财产品费用包含销售服务费、固定管理费、托管费、浮动管理费等相关费用，各费用率均为年化数值。</w:t>
            </w:r>
          </w:p>
          <w:p>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1</w:t>
            </w:r>
            <w:r>
              <w:rPr>
                <w:rFonts w:hint="eastAsia" w:ascii="Times New Roman" w:hAnsi="Times New Roman"/>
                <w:b/>
                <w:szCs w:val="21"/>
              </w:rPr>
              <w:t>、销售服务费率：A份额为0.30%，B份额为0.10%，C份额为0.30%，D份额为0.1</w:t>
            </w:r>
            <w:r>
              <w:rPr>
                <w:rFonts w:ascii="Times New Roman" w:hAnsi="Times New Roman"/>
                <w:b/>
                <w:szCs w:val="21"/>
              </w:rPr>
              <w:t>0</w:t>
            </w:r>
            <w:r>
              <w:rPr>
                <w:rFonts w:hint="eastAsia" w:ascii="Times New Roman" w:hAnsi="Times New Roman"/>
                <w:b/>
                <w:szCs w:val="21"/>
              </w:rPr>
              <w:t>%，E份额为0.2</w:t>
            </w:r>
            <w:r>
              <w:rPr>
                <w:rFonts w:ascii="Times New Roman" w:hAnsi="Times New Roman"/>
                <w:b/>
                <w:szCs w:val="21"/>
              </w:rPr>
              <w:t>0</w:t>
            </w:r>
            <w:r>
              <w:rPr>
                <w:rFonts w:hint="eastAsia" w:ascii="Times New Roman" w:hAnsi="Times New Roman"/>
                <w:b/>
                <w:szCs w:val="21"/>
              </w:rPr>
              <w:t>%，F份额为0.15%，G份额为0.</w:t>
            </w:r>
            <w:r>
              <w:rPr>
                <w:rFonts w:ascii="Times New Roman" w:hAnsi="Times New Roman"/>
                <w:b/>
                <w:szCs w:val="21"/>
              </w:rPr>
              <w:t>10</w:t>
            </w:r>
            <w:r>
              <w:rPr>
                <w:rFonts w:hint="eastAsia" w:ascii="Times New Roman" w:hAnsi="Times New Roman"/>
                <w:b/>
                <w:szCs w:val="21"/>
              </w:rPr>
              <w:t>%；</w:t>
            </w:r>
          </w:p>
          <w:p>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2</w:t>
            </w:r>
            <w:r>
              <w:rPr>
                <w:rFonts w:hint="eastAsia" w:ascii="Times New Roman" w:hAnsi="Times New Roman"/>
                <w:b/>
                <w:szCs w:val="21"/>
              </w:rPr>
              <w:t>、固定管理费率：A份额为0.10%，B份额为0.10%，C份额为0.10%，D份额为0.10%，E份额为0.10%，F份额为0.10%，G份额为0.10%;</w:t>
            </w:r>
          </w:p>
          <w:p>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4</w:t>
            </w:r>
            <w:r>
              <w:rPr>
                <w:rFonts w:hint="eastAsia" w:ascii="Times New Roman" w:hAnsi="Times New Roman"/>
                <w:b/>
                <w:szCs w:val="21"/>
              </w:rPr>
              <w:t>、</w:t>
            </w:r>
            <w:bookmarkStart w:id="13" w:name="_Hlk152862678"/>
            <w:r>
              <w:rPr>
                <w:rFonts w:hint="eastAsia" w:ascii="Times New Roman" w:hAnsi="Times New Roman"/>
                <w:b/>
                <w:szCs w:val="21"/>
              </w:rPr>
              <w:t>本产品收取浮动管理费，假设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份额、C份额、D份额、E份额、F份额、G份额折算的产品份额类别年化收益率分别为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E、</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R</w:t>
            </w:r>
            <w:r>
              <w:rPr>
                <w:rFonts w:hint="eastAsia" w:ascii="Times New Roman" w:hAnsi="Times New Roman"/>
                <w:b/>
                <w:szCs w:val="21"/>
                <w:vertAlign w:val="subscript"/>
              </w:rPr>
              <w:t>G</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E</w:t>
            </w:r>
            <w:r>
              <w:rPr>
                <w:rFonts w:hint="eastAsia" w:ascii="Times New Roman" w:hAnsi="Times New Roman"/>
                <w:b/>
                <w:szCs w:val="21"/>
              </w:rPr>
              <w:t>≤2.60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≤2.65%，R</w:t>
            </w:r>
            <w:r>
              <w:rPr>
                <w:rFonts w:hint="eastAsia" w:ascii="Times New Roman" w:hAnsi="Times New Roman"/>
                <w:b/>
                <w:szCs w:val="21"/>
                <w:shd w:val="clear" w:color="FFFFFF" w:fill="D9D9D9"/>
                <w:vertAlign w:val="subscript"/>
              </w:rPr>
              <w:t>G</w:t>
            </w:r>
            <w:r>
              <w:rPr>
                <w:rFonts w:hint="eastAsia" w:ascii="Times New Roman" w:hAnsi="Times New Roman"/>
                <w:b/>
                <w:szCs w:val="21"/>
              </w:rPr>
              <w:t>≤2.7</w:t>
            </w:r>
            <w:r>
              <w:rPr>
                <w:rFonts w:ascii="Times New Roman" w:hAnsi="Times New Roman"/>
                <w:b/>
                <w:szCs w:val="21"/>
              </w:rPr>
              <w:t>0</w:t>
            </w:r>
            <w:r>
              <w:rPr>
                <w:rFonts w:hint="eastAsia" w:ascii="Times New Roman" w:hAnsi="Times New Roman"/>
                <w:b/>
                <w:szCs w:val="21"/>
              </w:rPr>
              <w:t>%产品管理人不对该份额类别收取浮动管理费；若R</w:t>
            </w:r>
            <w:r>
              <w:rPr>
                <w:rFonts w:ascii="Times New Roman" w:hAnsi="Times New Roman"/>
                <w:b/>
                <w:szCs w:val="21"/>
                <w:vertAlign w:val="subscript"/>
              </w:rPr>
              <w:t>A</w:t>
            </w:r>
            <w:r>
              <w:rPr>
                <w:rFonts w:hint="eastAsia" w:ascii="Times New Roman" w:hAnsi="Times New Roman"/>
                <w:b/>
                <w:szCs w:val="21"/>
              </w:rPr>
              <w:t>&gt;2.50%，则超过部分10％归投资者所有，其余90％作为产品管理人的浮动管理费；若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E</w:t>
            </w:r>
            <w:r>
              <w:rPr>
                <w:rFonts w:ascii="Times New Roman" w:hAnsi="Times New Roman"/>
                <w:b/>
                <w:szCs w:val="21"/>
              </w:rPr>
              <w:t>&gt;</w:t>
            </w:r>
            <w:r>
              <w:rPr>
                <w:rFonts w:hint="eastAsia" w:ascii="Times New Roman" w:hAnsi="Times New Roman"/>
                <w:b/>
                <w:szCs w:val="21"/>
              </w:rPr>
              <w:t>2.60</w:t>
            </w:r>
            <w:r>
              <w:rPr>
                <w:rFonts w:ascii="Times New Roman" w:hAnsi="Times New Roman"/>
                <w:b/>
                <w:szCs w:val="21"/>
              </w:rPr>
              <w:t>%</w:t>
            </w:r>
            <w:r>
              <w:rPr>
                <w:rFonts w:hint="eastAsia" w:ascii="Times New Roman" w:hAnsi="Times New Roman"/>
                <w:b/>
                <w:szCs w:val="21"/>
              </w:rPr>
              <w:t>，则超过部分10％归投资者所有，其余90％作为产品管理人的浮动管理费；若R</w:t>
            </w:r>
            <w:r>
              <w:rPr>
                <w:rFonts w:hint="eastAsia" w:ascii="Times New Roman" w:hAnsi="Times New Roman"/>
                <w:b/>
                <w:szCs w:val="21"/>
                <w:vertAlign w:val="subscript"/>
              </w:rPr>
              <w:t>F</w:t>
            </w:r>
            <w:r>
              <w:rPr>
                <w:rFonts w:hint="eastAsia" w:ascii="Times New Roman" w:hAnsi="Times New Roman"/>
                <w:b/>
                <w:szCs w:val="21"/>
              </w:rPr>
              <w:t>&gt;2.65%，则超过部分10％归投资者所有，其余90％作为产品管理人的浮动管理费；若R</w:t>
            </w:r>
            <w:r>
              <w:rPr>
                <w:rFonts w:hint="eastAsia" w:ascii="Times New Roman" w:hAnsi="Times New Roman"/>
                <w:b/>
                <w:szCs w:val="21"/>
                <w:vertAlign w:val="subscript"/>
              </w:rPr>
              <w:t>G</w:t>
            </w:r>
            <w:r>
              <w:rPr>
                <w:rFonts w:hint="eastAsia" w:ascii="Times New Roman" w:hAnsi="Times New Roman"/>
                <w:b/>
                <w:szCs w:val="21"/>
              </w:rPr>
              <w:t>&gt;2.7</w:t>
            </w:r>
            <w:r>
              <w:rPr>
                <w:rFonts w:ascii="Times New Roman" w:hAnsi="Times New Roman"/>
                <w:b/>
                <w:szCs w:val="21"/>
              </w:rPr>
              <w:t>0</w:t>
            </w:r>
            <w:r>
              <w:rPr>
                <w:rFonts w:hint="eastAsia" w:ascii="Times New Roman" w:hAnsi="Times New Roman"/>
                <w:b/>
                <w:szCs w:val="21"/>
              </w:rPr>
              <w:t>%，则超过部分10％归投资者所有，其余90％作为产品管理人的浮动管理费</w:t>
            </w:r>
          </w:p>
          <w:bookmarkEnd w:id="13"/>
          <w:p>
            <w:pPr>
              <w:autoSpaceDE w:val="0"/>
              <w:autoSpaceDN w:val="0"/>
              <w:adjustRightInd w:val="0"/>
              <w:spacing w:line="276" w:lineRule="auto"/>
              <w:jc w:val="left"/>
              <w:rPr>
                <w:rFonts w:ascii="Times New Roman" w:hAnsi="Times New Roman"/>
                <w:b/>
                <w:szCs w:val="21"/>
              </w:rPr>
            </w:pPr>
            <w:r>
              <w:rPr>
                <w:rFonts w:ascii="Times New Roman" w:hAnsi="Times New Roman"/>
                <w:b/>
                <w:szCs w:val="21"/>
              </w:rPr>
              <w:t>5</w:t>
            </w:r>
            <w:r>
              <w:rPr>
                <w:rFonts w:hint="eastAsia" w:ascii="Times New Roman" w:hAnsi="Times New Roman"/>
                <w:b/>
                <w:szCs w:val="21"/>
              </w:rPr>
              <w:t>、其他费用。详细内容见以下“产品费用”条款。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5867" w:type="dxa"/>
            <w:gridSpan w:val="2"/>
            <w:noWrap w:val="0"/>
            <w:vAlign w:val="center"/>
          </w:tcPr>
          <w:p>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起点金额</w:t>
            </w:r>
          </w:p>
        </w:tc>
        <w:tc>
          <w:tcPr>
            <w:tcW w:w="5867" w:type="dxa"/>
            <w:gridSpan w:val="2"/>
            <w:noWrap w:val="0"/>
            <w:vAlign w:val="top"/>
          </w:tcPr>
          <w:p>
            <w:pPr>
              <w:spacing w:line="276" w:lineRule="auto"/>
              <w:rPr>
                <w:rFonts w:hint="eastAsia" w:ascii="Times New Roman" w:hAnsi="Times New Roman"/>
                <w:bCs/>
                <w:szCs w:val="21"/>
              </w:rPr>
            </w:pPr>
            <w:r>
              <w:rPr>
                <w:rFonts w:hint="eastAsia" w:ascii="Times New Roman" w:hAnsi="Times New Roman"/>
                <w:bCs/>
                <w:szCs w:val="21"/>
              </w:rPr>
              <w:t>A份额认购起点金额为1元，高于认购起点金额部分以1元的整数倍递增；</w:t>
            </w:r>
          </w:p>
          <w:p>
            <w:pPr>
              <w:spacing w:line="276" w:lineRule="auto"/>
              <w:rPr>
                <w:rFonts w:hint="eastAsia" w:ascii="Times New Roman" w:hAnsi="Times New Roman"/>
                <w:bCs/>
                <w:szCs w:val="21"/>
              </w:rPr>
            </w:pPr>
            <w:r>
              <w:rPr>
                <w:rFonts w:hint="eastAsia" w:ascii="Times New Roman" w:hAnsi="Times New Roman"/>
                <w:bCs/>
                <w:szCs w:val="21"/>
              </w:rPr>
              <w:t>B份额认购起点金额为1元，高于认购起点金额部分以1元的整数倍递增；</w:t>
            </w:r>
          </w:p>
          <w:p>
            <w:pPr>
              <w:spacing w:line="276" w:lineRule="auto"/>
              <w:rPr>
                <w:rFonts w:hint="eastAsia" w:ascii="Times New Roman" w:hAnsi="Times New Roman"/>
                <w:bCs/>
                <w:szCs w:val="21"/>
              </w:rPr>
            </w:pPr>
            <w:r>
              <w:rPr>
                <w:rFonts w:hint="eastAsia" w:ascii="Times New Roman" w:hAnsi="Times New Roman"/>
                <w:bCs/>
                <w:szCs w:val="21"/>
              </w:rPr>
              <w:t>C份额认购起点金额为1元，高于认购起点金额部分以1元的整数倍递增；</w:t>
            </w:r>
          </w:p>
          <w:p>
            <w:pPr>
              <w:spacing w:line="276" w:lineRule="auto"/>
              <w:rPr>
                <w:rFonts w:hint="eastAsia" w:ascii="Times New Roman" w:hAnsi="Times New Roman"/>
                <w:bCs/>
                <w:szCs w:val="21"/>
              </w:rPr>
            </w:pPr>
            <w:r>
              <w:rPr>
                <w:rFonts w:hint="eastAsia" w:ascii="Times New Roman" w:hAnsi="Times New Roman"/>
                <w:bCs/>
                <w:szCs w:val="21"/>
              </w:rPr>
              <w:t>D份额认购起点金额为1元，高于认购起点金额部分以1元的整数倍递增;</w:t>
            </w:r>
          </w:p>
          <w:p>
            <w:pPr>
              <w:spacing w:line="276" w:lineRule="auto"/>
              <w:rPr>
                <w:rFonts w:hint="eastAsia" w:eastAsia="方正仿宋_GBK"/>
                <w:bCs/>
                <w:kern w:val="0"/>
                <w:szCs w:val="21"/>
              </w:rPr>
            </w:pPr>
            <w:r>
              <w:rPr>
                <w:rFonts w:hint="eastAsia" w:ascii="Times New Roman" w:hAnsi="Times New Roman"/>
                <w:bCs/>
                <w:szCs w:val="21"/>
              </w:rPr>
              <w:t>E份额认购起点金额为1元，高于认购起点金额部分以1元的整数倍递增</w:t>
            </w:r>
            <w:r>
              <w:rPr>
                <w:rFonts w:hint="eastAsia" w:eastAsia="方正仿宋_GBK"/>
                <w:bCs/>
                <w:kern w:val="0"/>
                <w:szCs w:val="21"/>
              </w:rPr>
              <w:t>；</w:t>
            </w:r>
          </w:p>
          <w:p>
            <w:pPr>
              <w:spacing w:line="276" w:lineRule="auto"/>
              <w:rPr>
                <w:rFonts w:hint="eastAsia" w:ascii="Times New Roman" w:hAnsi="Times New Roman"/>
                <w:bCs/>
                <w:szCs w:val="21"/>
              </w:rPr>
            </w:pPr>
            <w:r>
              <w:rPr>
                <w:rFonts w:hint="eastAsia" w:ascii="Times New Roman" w:hAnsi="Times New Roman"/>
                <w:bCs/>
                <w:szCs w:val="21"/>
              </w:rPr>
              <w:t>F份额认购起点金额为1元，高于认购起点金额部分以1元的整数倍递增；</w:t>
            </w:r>
          </w:p>
          <w:p>
            <w:pPr>
              <w:spacing w:line="276" w:lineRule="auto"/>
              <w:rPr>
                <w:rFonts w:hint="eastAsia" w:ascii="Times New Roman" w:hAnsi="Times New Roman"/>
                <w:bCs/>
                <w:szCs w:val="21"/>
              </w:rPr>
            </w:pPr>
            <w:r>
              <w:rPr>
                <w:rFonts w:hint="eastAsia" w:ascii="Times New Roman" w:hAnsi="Times New Roman"/>
                <w:bCs/>
                <w:szCs w:val="21"/>
              </w:rPr>
              <w:t>G份额认购起点金额为1元，高于认购起点金额部分以1元的整数倍递增。</w:t>
            </w:r>
          </w:p>
          <w:p>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szCs w:val="21"/>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bCs/>
                <w:szCs w:val="21"/>
              </w:rPr>
            </w:pPr>
            <w:r>
              <w:rPr>
                <w:rFonts w:hint="eastAsia" w:ascii="Times New Roman" w:hAnsi="Times New Roman"/>
                <w:bCs/>
                <w:szCs w:val="21"/>
              </w:rPr>
              <w:t>销售（代理销售）机构</w:t>
            </w:r>
          </w:p>
        </w:tc>
        <w:tc>
          <w:tcPr>
            <w:tcW w:w="5867" w:type="dxa"/>
            <w:gridSpan w:val="2"/>
            <w:noWrap w:val="0"/>
            <w:vAlign w:val="top"/>
          </w:tcPr>
          <w:p>
            <w:pPr>
              <w:spacing w:line="276" w:lineRule="auto"/>
              <w:rPr>
                <w:rFonts w:hint="eastAsia" w:ascii="Times New Roman" w:hAnsi="Times New Roman"/>
                <w:szCs w:val="21"/>
              </w:rPr>
            </w:pPr>
            <w:r>
              <w:rPr>
                <w:rFonts w:hint="eastAsia" w:ascii="Times New Roman" w:hAnsi="Times New Roman"/>
                <w:szCs w:val="21"/>
              </w:rPr>
              <w:t>A份额的销售机构为海南银行股份有限公司、蒙商银行股份有限公司、秦皇岛银行股份有限公司、东营银行股份有限公司、赣州银行股份有限公司；</w:t>
            </w:r>
          </w:p>
          <w:p>
            <w:pPr>
              <w:spacing w:line="276" w:lineRule="auto"/>
              <w:rPr>
                <w:rFonts w:hint="eastAsia" w:ascii="Times New Roman" w:hAnsi="Times New Roman"/>
                <w:szCs w:val="21"/>
              </w:rPr>
            </w:pPr>
            <w:r>
              <w:rPr>
                <w:rFonts w:hint="eastAsia" w:ascii="Times New Roman" w:hAnsi="Times New Roman"/>
                <w:szCs w:val="21"/>
              </w:rPr>
              <w:t>B份额的销售机构为新疆昌吉农村商业银行股份有限公司、阿克苏塔里木农村商业银行股份有限公司、新疆天山农村商业银行股份有限公司、达州银行股份有限公司；</w:t>
            </w:r>
          </w:p>
          <w:p>
            <w:pPr>
              <w:spacing w:line="276" w:lineRule="auto"/>
              <w:rPr>
                <w:rFonts w:hint="eastAsia" w:ascii="Times New Roman" w:hAnsi="Times New Roman"/>
                <w:szCs w:val="21"/>
              </w:rPr>
            </w:pPr>
            <w:r>
              <w:rPr>
                <w:rFonts w:hint="eastAsia" w:ascii="Times New Roman" w:hAnsi="Times New Roman"/>
                <w:szCs w:val="21"/>
              </w:rPr>
              <w:t>C份额的销售机构为天津农村商业银行股份有限公司、宁夏银行股份有限公司；</w:t>
            </w:r>
          </w:p>
          <w:p>
            <w:pPr>
              <w:spacing w:line="276" w:lineRule="auto"/>
              <w:rPr>
                <w:rFonts w:hint="eastAsia" w:ascii="Times New Roman" w:hAnsi="Times New Roman"/>
                <w:szCs w:val="21"/>
              </w:rPr>
            </w:pPr>
            <w:r>
              <w:rPr>
                <w:rFonts w:hint="eastAsia" w:ascii="Times New Roman" w:hAnsi="Times New Roman"/>
                <w:szCs w:val="21"/>
              </w:rPr>
              <w:t>D份额的销售机构为重庆三峡银行股份有限公司；</w:t>
            </w:r>
          </w:p>
          <w:p>
            <w:pPr>
              <w:spacing w:line="276" w:lineRule="auto"/>
              <w:rPr>
                <w:rFonts w:hint="eastAsia" w:ascii="Times New Roman" w:hAnsi="Times New Roman"/>
                <w:szCs w:val="21"/>
              </w:rPr>
            </w:pPr>
            <w:r>
              <w:rPr>
                <w:rFonts w:hint="eastAsia" w:ascii="Times New Roman" w:hAnsi="Times New Roman"/>
                <w:szCs w:val="21"/>
              </w:rPr>
              <w:t>E份额的销售机构为新疆库尔勒农村商业银行股份有限公司；</w:t>
            </w:r>
          </w:p>
          <w:p>
            <w:pPr>
              <w:spacing w:line="276" w:lineRule="auto"/>
              <w:rPr>
                <w:rFonts w:hint="eastAsia" w:ascii="Times New Roman" w:hAnsi="Times New Roman"/>
                <w:szCs w:val="21"/>
              </w:rPr>
            </w:pPr>
            <w:r>
              <w:rPr>
                <w:rFonts w:hint="eastAsia" w:ascii="Times New Roman" w:hAnsi="Times New Roman"/>
                <w:szCs w:val="21"/>
              </w:rPr>
              <w:t>F份额的销售机构为湖北银行股份有限公司；</w:t>
            </w:r>
          </w:p>
          <w:p>
            <w:pPr>
              <w:spacing w:line="276" w:lineRule="auto"/>
              <w:rPr>
                <w:rFonts w:ascii="Times New Roman" w:hAnsi="Times New Roman"/>
                <w:szCs w:val="21"/>
              </w:rPr>
            </w:pPr>
            <w:r>
              <w:rPr>
                <w:rFonts w:hint="eastAsia" w:ascii="Times New Roman" w:hAnsi="Times New Roman"/>
                <w:szCs w:val="21"/>
              </w:rPr>
              <w:t>G份额的销售机构为武汉农村商业银行股份有限公司。</w:t>
            </w:r>
          </w:p>
          <w:p>
            <w:pPr>
              <w:spacing w:line="276" w:lineRule="auto"/>
              <w:rPr>
                <w:rFonts w:ascii="Times New Roman" w:hAnsi="Times New Roman"/>
                <w:bCs/>
                <w:szCs w:val="21"/>
              </w:rPr>
            </w:pPr>
            <w:r>
              <w:rPr>
                <w:rFonts w:hint="eastAsia" w:ascii="Times New Roman" w:hAnsi="Times New Roman"/>
                <w:szCs w:val="21"/>
              </w:rPr>
              <w:t>销售（代理销售）机构负责</w:t>
            </w:r>
            <w:r>
              <w:rPr>
                <w:rFonts w:hint="eastAsia" w:ascii="Times New Roman" w:hAnsi="Times New Roman"/>
                <w:sz w:val="22"/>
              </w:rPr>
              <w:t>产品销售渠道维护、投资者适当性管理和风险承受能力评估、</w:t>
            </w:r>
            <w:bookmarkStart w:id="14" w:name="_Hlk90486093"/>
            <w:r>
              <w:rPr>
                <w:rFonts w:hint="eastAsia" w:ascii="Times New Roman" w:hAnsi="Times New Roman"/>
                <w:sz w:val="22"/>
              </w:rPr>
              <w:t>提供产品申购赎回（如有）等服务</w:t>
            </w:r>
            <w:bookmarkEnd w:id="14"/>
            <w:r>
              <w:rPr>
                <w:rFonts w:hint="eastAsia" w:ascii="Times New Roman" w:hAnsi="Times New Roman"/>
                <w:sz w:val="22"/>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bCs/>
                <w:szCs w:val="21"/>
              </w:rPr>
            </w:pPr>
            <w:r>
              <w:rPr>
                <w:rFonts w:hint="eastAsia" w:ascii="Times New Roman" w:hAnsi="Times New Roman"/>
                <w:szCs w:val="21"/>
              </w:rPr>
              <w:t>理财产品托管人</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cs="宋体"/>
                <w:szCs w:val="21"/>
              </w:rPr>
              <w:t>招商银行股份有限公司。</w:t>
            </w:r>
            <w:r>
              <w:rPr>
                <w:rFonts w:ascii="Times New Roman" w:hAnsi="Times New Roman"/>
                <w:szCs w:val="21"/>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widowControl/>
              <w:spacing w:line="276" w:lineRule="auto"/>
              <w:jc w:val="center"/>
              <w:rPr>
                <w:rFonts w:ascii="Times New Roman" w:hAnsi="Times New Roman"/>
                <w:szCs w:val="21"/>
              </w:rPr>
            </w:pPr>
            <w:r>
              <w:rPr>
                <w:rFonts w:hint="eastAsia" w:ascii="Times New Roman" w:hAnsi="Times New Roman"/>
                <w:szCs w:val="21"/>
              </w:rPr>
              <w:t>投资合作机构</w:t>
            </w:r>
          </w:p>
        </w:tc>
        <w:tc>
          <w:tcPr>
            <w:tcW w:w="5867" w:type="dxa"/>
            <w:gridSpan w:val="2"/>
            <w:noWrap w:val="0"/>
            <w:vAlign w:val="top"/>
          </w:tcPr>
          <w:p>
            <w:pPr>
              <w:spacing w:line="276" w:lineRule="auto"/>
              <w:rPr>
                <w:rFonts w:ascii="Times New Roman" w:hAnsi="Times New Roman"/>
                <w:szCs w:val="21"/>
              </w:rPr>
            </w:pPr>
            <w:r>
              <w:rPr>
                <w:rFonts w:hint="eastAsia" w:ascii="Times New Roman" w:hAnsi="Times New Roman"/>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限责任公司、华润深国投信托有限公司、国投证券资产管理有限公司、信达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理财产品提前终止</w:t>
            </w:r>
            <w:r>
              <w:rPr>
                <w:rFonts w:hint="eastAsia" w:ascii="Times New Roman" w:hAnsi="Times New Roman"/>
                <w:bCs/>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税款</w:t>
            </w:r>
          </w:p>
        </w:tc>
        <w:tc>
          <w:tcPr>
            <w:tcW w:w="5867" w:type="dxa"/>
            <w:gridSpan w:val="2"/>
            <w:noWrap w:val="0"/>
            <w:vAlign w:val="top"/>
          </w:tcPr>
          <w:p>
            <w:pPr>
              <w:spacing w:line="276" w:lineRule="auto"/>
              <w:rPr>
                <w:rFonts w:ascii="Times New Roman" w:hAnsi="Times New Roman"/>
                <w:bCs/>
                <w:szCs w:val="21"/>
              </w:rPr>
            </w:pPr>
            <w:r>
              <w:rPr>
                <w:rFonts w:hint="eastAsia" w:ascii="Times New Roman" w:hAnsi="Times New Roman"/>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noWrap w:val="0"/>
            <w:vAlign w:val="center"/>
          </w:tcPr>
          <w:p>
            <w:pPr>
              <w:spacing w:line="276" w:lineRule="auto"/>
              <w:jc w:val="center"/>
              <w:rPr>
                <w:rFonts w:ascii="Times New Roman" w:hAnsi="Times New Roman"/>
                <w:bCs/>
                <w:szCs w:val="21"/>
              </w:rPr>
            </w:pPr>
            <w:r>
              <w:rPr>
                <w:rFonts w:hint="eastAsia" w:ascii="Times New Roman" w:hAnsi="Times New Roman"/>
                <w:bCs/>
                <w:szCs w:val="21"/>
              </w:rPr>
              <w:t>其他规定</w:t>
            </w:r>
          </w:p>
        </w:tc>
        <w:tc>
          <w:tcPr>
            <w:tcW w:w="5867" w:type="dxa"/>
            <w:gridSpan w:val="2"/>
            <w:noWrap w:val="0"/>
            <w:vAlign w:val="top"/>
          </w:tcPr>
          <w:p>
            <w:pPr>
              <w:spacing w:line="276" w:lineRule="auto"/>
              <w:rPr>
                <w:rFonts w:ascii="Times New Roman" w:hAnsi="Times New Roman"/>
                <w:b/>
                <w:szCs w:val="21"/>
              </w:rPr>
            </w:pPr>
            <w:r>
              <w:rPr>
                <w:rFonts w:hint="eastAsia" w:ascii="Times New Roman" w:hAnsi="Times New Roman"/>
                <w:b/>
                <w:szCs w:val="21"/>
              </w:rPr>
              <w:t>产品到期日或提前终止日至资金到账日期间投资者资金不计息。</w:t>
            </w:r>
          </w:p>
        </w:tc>
      </w:tr>
    </w:tbl>
    <w:p>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pPr>
        <w:snapToGrid w:val="0"/>
        <w:spacing w:line="276" w:lineRule="auto"/>
        <w:ind w:firstLine="420"/>
        <w:rPr>
          <w:rFonts w:hint="eastAsia" w:ascii="Times New Roman" w:hAnsi="Times New Roman"/>
          <w:bCs/>
          <w:szCs w:val="21"/>
        </w:rPr>
      </w:pPr>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tblPrEx>
          <w:tblLayout w:type="fixed"/>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jc w:val="center"/>
              <w:rPr>
                <w:rFonts w:ascii="Times New Roman" w:hAnsi="Times New Roman" w:cs="宋体"/>
                <w:sz w:val="21"/>
                <w:szCs w:val="21"/>
              </w:rPr>
            </w:pPr>
            <w:r>
              <w:rPr>
                <w:rFonts w:ascii="Times New Roman" w:hAnsi="Times New Roman" w:cs="宋体"/>
                <w:sz w:val="21"/>
                <w:szCs w:val="21"/>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right="-5"/>
              <w:jc w:val="center"/>
              <w:rPr>
                <w:rFonts w:ascii="Times New Roman" w:hAnsi="Times New Roman" w:cs="宋体"/>
                <w:sz w:val="21"/>
                <w:szCs w:val="21"/>
                <w:lang w:eastAsia="zh-CN"/>
              </w:rPr>
            </w:pPr>
            <w:r>
              <w:rPr>
                <w:rFonts w:hint="eastAsia" w:ascii="Times New Roman" w:hAnsi="Times New Roman" w:cs="宋体"/>
                <w:spacing w:val="-9"/>
                <w:sz w:val="21"/>
                <w:szCs w:val="21"/>
                <w:lang w:eastAsia="zh-CN"/>
              </w:rPr>
              <w:t>投资比例</w:t>
            </w:r>
          </w:p>
        </w:tc>
      </w:tr>
      <w:tr>
        <w:tblPrEx>
          <w:tblLayout w:type="fixed"/>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jc w:val="both"/>
              <w:rPr>
                <w:rFonts w:ascii="Times New Roman" w:hAnsi="Times New Roman" w:cs="宋体"/>
                <w:sz w:val="21"/>
                <w:szCs w:val="21"/>
              </w:rPr>
            </w:pPr>
            <w:r>
              <w:rPr>
                <w:rFonts w:hint="eastAsia" w:ascii="宋体" w:hAnsi="宋体" w:cs="宋体"/>
                <w:sz w:val="21"/>
                <w:szCs w:val="21"/>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jc w:val="center"/>
              <w:rPr>
                <w:rFonts w:ascii="Times New Roman" w:hAnsi="Times New Roman" w:cs="宋体"/>
                <w:sz w:val="21"/>
                <w:szCs w:val="21"/>
                <w:lang w:eastAsia="zh-CN"/>
              </w:rPr>
            </w:pPr>
            <w:r>
              <w:rPr>
                <w:rFonts w:hint="eastAsia" w:ascii="Times New Roman" w:hAnsi="Times New Roman" w:cs="宋体"/>
                <w:sz w:val="21"/>
                <w:szCs w:val="21"/>
                <w:lang w:eastAsia="zh-CN"/>
              </w:rPr>
              <w:t>80%-100%</w:t>
            </w:r>
          </w:p>
        </w:tc>
      </w:tr>
      <w:tr>
        <w:tblPrEx>
          <w:tblLayout w:type="fixed"/>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jc w:val="both"/>
              <w:rPr>
                <w:rFonts w:hint="eastAsia" w:ascii="宋体" w:hAnsi="宋体" w:cs="宋体"/>
                <w:sz w:val="21"/>
                <w:szCs w:val="21"/>
              </w:rPr>
            </w:pPr>
            <w:r>
              <w:rPr>
                <w:rFonts w:hint="eastAsia" w:ascii="宋体" w:hAnsi="宋体" w:cs="宋体"/>
                <w:sz w:val="21"/>
                <w:szCs w:val="21"/>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pPr>
              <w:pStyle w:val="33"/>
              <w:spacing w:line="276" w:lineRule="auto"/>
              <w:ind w:left="105"/>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0%-20%</w:t>
            </w:r>
          </w:p>
        </w:tc>
      </w:tr>
    </w:tbl>
    <w:p>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7"/>
          <w:rFonts w:hint="eastAsia" w:ascii="Times New Roman" w:hAnsi="Times New Roman"/>
        </w:rPr>
        <w:t>高风险资产类型超出以上投资比例范围的，将先取得投资者同意。</w:t>
      </w:r>
      <w:r>
        <w:rPr>
          <w:rFonts w:hint="eastAsia" w:ascii="Times New Roman" w:hAnsi="Times New Roman"/>
          <w:bCs/>
          <w:szCs w:val="21"/>
        </w:rPr>
        <w:t>非因渝农商理财有限责任公司主观因素导致突破前述比例限制的，渝农商理财有限责任公司将在流动性受限资产可出售、可转让或者恢复交易的</w:t>
      </w:r>
      <w:r>
        <w:rPr>
          <w:rFonts w:ascii="Times New Roman" w:hAnsi="Times New Roman"/>
          <w:bCs/>
          <w:szCs w:val="21"/>
        </w:rPr>
        <w:t>15</w:t>
      </w:r>
      <w:r>
        <w:rPr>
          <w:rFonts w:hint="eastAsia" w:ascii="Times New Roman" w:hAnsi="Times New Roman"/>
          <w:bCs/>
          <w:szCs w:val="21"/>
        </w:rPr>
        <w:t>个交易日内调整至符合相关要求</w:t>
      </w:r>
      <w:bookmarkStart w:id="15" w:name="_Hlk154677212"/>
      <w:r>
        <w:rPr>
          <w:rFonts w:hint="eastAsia" w:ascii="Times New Roman" w:hAnsi="Times New Roman"/>
          <w:bCs/>
          <w:szCs w:val="21"/>
        </w:rPr>
        <w:t>，法律法规或监管部门另有规定的以其规定为准</w:t>
      </w:r>
      <w:bookmarkEnd w:id="15"/>
      <w:r>
        <w:rPr>
          <w:rFonts w:hint="eastAsia" w:ascii="Times New Roman" w:hAnsi="Times New Roman"/>
          <w:bCs/>
          <w:szCs w:val="21"/>
        </w:rPr>
        <w:t>。</w:t>
      </w:r>
    </w:p>
    <w:p>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rPr>
      </w:pPr>
      <w:r>
        <w:rPr>
          <w:rFonts w:hint="eastAsia" w:ascii="Times New Roman" w:hAnsi="Times New Roman"/>
          <w:b/>
          <w:bCs/>
          <w:szCs w:val="21"/>
        </w:rPr>
        <w:t>三、理财产品认购</w:t>
      </w:r>
    </w:p>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、认购份额＝</w:t>
      </w:r>
      <w:r>
        <w:rPr>
          <w:rFonts w:ascii="Times New Roman" w:hAnsi="Times New Roman"/>
          <w:bCs/>
          <w:szCs w:val="21"/>
        </w:rPr>
        <w:t>[</w:t>
      </w:r>
      <w:r>
        <w:rPr>
          <w:rFonts w:hint="eastAsia" w:ascii="Times New Roman" w:hAnsi="Times New Roman"/>
          <w:bCs/>
          <w:szCs w:val="21"/>
        </w:rPr>
        <w:t>认购金额÷（</w:t>
      </w:r>
      <w:r>
        <w:rPr>
          <w:rFonts w:ascii="Times New Roman" w:hAnsi="Times New Roman"/>
          <w:bCs/>
          <w:szCs w:val="21"/>
        </w:rPr>
        <w:t>1+</w:t>
      </w:r>
      <w:r>
        <w:rPr>
          <w:rFonts w:hint="eastAsia" w:ascii="Times New Roman" w:hAnsi="Times New Roman"/>
          <w:bCs/>
          <w:szCs w:val="21"/>
        </w:rPr>
        <w:t>认购费率）</w:t>
      </w:r>
      <w:r>
        <w:rPr>
          <w:rFonts w:ascii="Times New Roman" w:hAnsi="Times New Roman"/>
          <w:bCs/>
          <w:szCs w:val="21"/>
        </w:rPr>
        <w:t>]</w:t>
      </w:r>
      <w:r>
        <w:rPr>
          <w:rFonts w:hint="eastAsia" w:ascii="Times New Roman" w:hAnsi="Times New Roman"/>
          <w:bCs/>
          <w:szCs w:val="21"/>
        </w:rPr>
        <w:t>÷初始单位净值。认购份额保留至</w:t>
      </w:r>
      <w:r>
        <w:rPr>
          <w:rFonts w:ascii="Times New Roman" w:hAnsi="Times New Roman"/>
          <w:bCs/>
          <w:szCs w:val="21"/>
        </w:rPr>
        <w:t>0.01</w:t>
      </w:r>
      <w:r>
        <w:rPr>
          <w:rFonts w:hint="eastAsia" w:ascii="Times New Roman" w:hAnsi="Times New Roman"/>
          <w:bCs/>
          <w:szCs w:val="21"/>
        </w:rPr>
        <w:t>份，小数点后两位以下四舍五入。</w:t>
      </w:r>
    </w:p>
    <w:p>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w:t>
      </w:r>
      <w:bookmarkStart w:id="16" w:name="_Hlk160202245"/>
      <w:r>
        <w:rPr>
          <w:rFonts w:hint="eastAsia" w:ascii="Times New Roman" w:hAnsi="Times New Roman"/>
          <w:b/>
          <w:szCs w:val="21"/>
        </w:rPr>
        <w:t>申请</w:t>
      </w:r>
      <w:bookmarkEnd w:id="16"/>
      <w:r>
        <w:rPr>
          <w:rFonts w:hint="eastAsia" w:ascii="Times New Roman" w:hAnsi="Times New Roman"/>
          <w:b/>
          <w:szCs w:val="21"/>
        </w:rPr>
        <w:t>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w:t>
      </w:r>
      <w:r>
        <w:rPr>
          <w:rFonts w:ascii="Times New Roman" w:hAnsi="Times New Roman"/>
          <w:bCs/>
          <w:szCs w:val="21"/>
        </w:rPr>
        <w:t>50,000.00</w:t>
      </w:r>
      <w:r>
        <w:rPr>
          <w:rFonts w:hint="eastAsia" w:ascii="Times New Roman" w:hAnsi="Times New Roman"/>
          <w:bCs/>
          <w:szCs w:val="21"/>
        </w:rPr>
        <w:t>元认购本产品</w:t>
      </w:r>
      <w:bookmarkStart w:id="17" w:name="_Hlk128659724"/>
      <w:r>
        <w:rPr>
          <w:rFonts w:ascii="Times New Roman" w:hAnsi="Times New Roman"/>
          <w:bCs/>
          <w:szCs w:val="21"/>
        </w:rPr>
        <w:t>A</w:t>
      </w:r>
      <w:r>
        <w:rPr>
          <w:rFonts w:hint="eastAsia" w:ascii="Times New Roman" w:hAnsi="Times New Roman"/>
          <w:bCs/>
          <w:szCs w:val="21"/>
        </w:rPr>
        <w:t>份额</w:t>
      </w:r>
      <w:bookmarkEnd w:id="17"/>
      <w:r>
        <w:rPr>
          <w:rFonts w:hint="eastAsia" w:ascii="Times New Roman" w:hAnsi="Times New Roman"/>
          <w:bCs/>
          <w:szCs w:val="21"/>
        </w:rPr>
        <w:t>，则其可得到的认购份额计算如下：</w:t>
      </w:r>
    </w:p>
    <w:p>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w:t>
      </w:r>
      <w:r>
        <w:rPr>
          <w:rFonts w:ascii="Times New Roman" w:hAnsi="Times New Roman"/>
          <w:bCs/>
          <w:szCs w:val="21"/>
        </w:rPr>
        <w:t>50,000.00</w:t>
      </w:r>
      <w:r>
        <w:rPr>
          <w:rFonts w:hint="eastAsia" w:ascii="Times New Roman" w:hAnsi="Times New Roman"/>
          <w:bCs/>
          <w:szCs w:val="21"/>
        </w:rPr>
        <w:t>÷（</w:t>
      </w:r>
      <w:r>
        <w:rPr>
          <w:rFonts w:ascii="Times New Roman" w:hAnsi="Times New Roman"/>
          <w:bCs/>
          <w:szCs w:val="21"/>
        </w:rPr>
        <w:t>1+0%</w:t>
      </w:r>
      <w:r>
        <w:rPr>
          <w:rFonts w:hint="eastAsia" w:ascii="Times New Roman" w:hAnsi="Times New Roman"/>
          <w:bCs/>
          <w:szCs w:val="21"/>
        </w:rPr>
        <w:t>）]÷</w:t>
      </w:r>
      <w:r>
        <w:rPr>
          <w:rFonts w:ascii="Times New Roman" w:hAnsi="Times New Roman"/>
          <w:bCs/>
          <w:szCs w:val="21"/>
        </w:rPr>
        <w:t>1.0000</w:t>
      </w:r>
      <w:r>
        <w:rPr>
          <w:rFonts w:hint="eastAsia" w:ascii="Times New Roman" w:hAnsi="Times New Roman"/>
          <w:bCs/>
          <w:szCs w:val="21"/>
        </w:rPr>
        <w:t>＝</w:t>
      </w:r>
      <w:r>
        <w:rPr>
          <w:rFonts w:ascii="Times New Roman" w:hAnsi="Times New Roman"/>
          <w:bCs/>
          <w:szCs w:val="21"/>
        </w:rPr>
        <w:t>50,000.00</w:t>
      </w:r>
      <w:r>
        <w:rPr>
          <w:rFonts w:hint="eastAsia" w:ascii="Times New Roman" w:hAnsi="Times New Roman"/>
          <w:bCs/>
          <w:szCs w:val="21"/>
        </w:rPr>
        <w:t>份。</w:t>
      </w:r>
    </w:p>
    <w:p>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四、理财产品提前终止</w:t>
      </w:r>
      <w:r>
        <w:rPr>
          <w:rFonts w:ascii="Times New Roman" w:hAnsi="Times New Roman"/>
          <w:b/>
          <w:bCs/>
          <w:szCs w:val="21"/>
        </w:rPr>
        <w:t xml:space="preserve"> </w:t>
      </w:r>
    </w:p>
    <w:p>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在理财产品投资运作期间内，</w:t>
      </w:r>
      <w:r>
        <w:rPr>
          <w:rFonts w:hint="eastAsia" w:ascii="Times New Roman" w:hAnsi="Times New Roman"/>
          <w:szCs w:val="21"/>
        </w:rPr>
        <w:t>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18" w:name="_Hlk128659748"/>
      <w:r>
        <w:rPr>
          <w:rFonts w:hint="eastAsia" w:ascii="Times New Roman" w:hAnsi="Times New Roman"/>
          <w:bCs/>
          <w:szCs w:val="21"/>
        </w:rPr>
        <w:t>或本理财产品某一份额类别</w:t>
      </w:r>
      <w:bookmarkEnd w:id="18"/>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w:t>
      </w:r>
      <w:bookmarkStart w:id="19" w:name="_Hlk128659765"/>
      <w:r>
        <w:rPr>
          <w:rFonts w:hint="eastAsia" w:ascii="Times New Roman" w:hAnsi="Times New Roman"/>
          <w:bCs/>
          <w:szCs w:val="21"/>
        </w:rPr>
        <w:t>或本理财产品某一份额类别</w:t>
      </w:r>
      <w:bookmarkEnd w:id="19"/>
      <w:r>
        <w:rPr>
          <w:rFonts w:hint="eastAsia" w:ascii="Times New Roman" w:hAnsi="Times New Roman"/>
          <w:bCs/>
          <w:szCs w:val="21"/>
        </w:rPr>
        <w:t>。如本产品</w:t>
      </w:r>
      <w:bookmarkStart w:id="20" w:name="_Hlk128659772"/>
      <w:r>
        <w:rPr>
          <w:rFonts w:hint="eastAsia" w:ascii="Times New Roman" w:hAnsi="Times New Roman"/>
          <w:bCs/>
          <w:szCs w:val="21"/>
        </w:rPr>
        <w:t>或某一份额类别</w:t>
      </w:r>
      <w:bookmarkEnd w:id="20"/>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rPr>
          <w:rFonts w:ascii="Times New Roman" w:hAnsi="Times New Roman"/>
        </w:rPr>
        <w:fldChar w:fldCharType="begin"/>
      </w:r>
      <w:r>
        <w:rPr>
          <w:rFonts w:ascii="Times New Roman" w:hAnsi="Times New Roman"/>
        </w:rPr>
        <w:instrText xml:space="preserve">HYPERLINK</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bCs/>
          <w:szCs w:val="21"/>
        </w:rPr>
        <w:t>约定的信息披露渠道发布相关信息，并于提前终止日后2个工作日内将</w:t>
      </w:r>
      <w:r>
        <w:rPr>
          <w:rFonts w:hint="eastAsia" w:ascii="Times New Roman" w:hAnsi="Times New Roman"/>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w:t>
      </w:r>
      <w:r>
        <w:rPr>
          <w:rFonts w:hint="eastAsia" w:ascii="Times New Roman" w:hAnsi="Times New Roman"/>
          <w:b/>
          <w:szCs w:val="21"/>
        </w:rPr>
        <w:t>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rPr>
      </w:pPr>
      <w:r>
        <w:rPr>
          <w:rFonts w:hint="eastAsia" w:ascii="Times New Roman" w:hAnsi="Times New Roman"/>
          <w:b/>
          <w:bCs/>
          <w:szCs w:val="21"/>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、理财产品</w:t>
      </w:r>
      <w:bookmarkStart w:id="21" w:name="_Hlk153379766"/>
      <w:r>
        <w:rPr>
          <w:rFonts w:hint="eastAsia" w:ascii="Times New Roman" w:hAnsi="Times New Roman"/>
          <w:bCs/>
          <w:szCs w:val="21"/>
        </w:rPr>
        <w:t>资产净值</w:t>
      </w:r>
      <w:r>
        <w:rPr>
          <w:rFonts w:ascii="Times New Roman" w:hAnsi="Times New Roman"/>
          <w:bCs/>
          <w:szCs w:val="21"/>
        </w:rPr>
        <w:t>/</w:t>
      </w:r>
      <w:bookmarkEnd w:id="21"/>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理财产品累计终止和分红总金额。</w:t>
      </w:r>
    </w:p>
    <w:p>
      <w:pPr>
        <w:autoSpaceDE w:val="0"/>
        <w:autoSpaceDN w:val="0"/>
        <w:adjustRightInd w:val="0"/>
        <w:spacing w:line="276" w:lineRule="auto"/>
        <w:ind w:left="210" w:right="210" w:firstLine="420" w:firstLineChars="200"/>
        <w:jc w:val="left"/>
        <w:rPr>
          <w:rFonts w:hint="eastAsia" w:ascii="Times New Roman" w:hAnsi="Times New Roman"/>
          <w:bCs/>
          <w:szCs w:val="21"/>
        </w:rPr>
      </w:pPr>
      <w:bookmarkStart w:id="22" w:name="_Hlk153268173"/>
      <w:r>
        <w:rPr>
          <w:rFonts w:hint="eastAsia" w:ascii="Times New Roman" w:hAnsi="Times New Roman"/>
          <w:bCs/>
          <w:szCs w:val="21"/>
        </w:rPr>
        <w:t>理财产品某份额类别资产净值</w:t>
      </w:r>
      <w:r>
        <w:rPr>
          <w:rFonts w:ascii="Times New Roman" w:hAnsi="Times New Roman"/>
          <w:bCs/>
          <w:szCs w:val="21"/>
        </w:rPr>
        <w:t>/</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理财产品某份额类别累计终止和分红总金额。</w:t>
      </w:r>
    </w:p>
    <w:bookmarkEnd w:id="22"/>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理财产品总净值÷理财产品总存续份额。单位净值保留至小数点后四位（小数点四位以下舍位）。</w:t>
      </w:r>
    </w:p>
    <w:p>
      <w:pPr>
        <w:autoSpaceDE w:val="0"/>
        <w:autoSpaceDN w:val="0"/>
        <w:adjustRightInd w:val="0"/>
        <w:spacing w:line="276" w:lineRule="auto"/>
        <w:ind w:firstLine="420" w:firstLineChars="200"/>
        <w:jc w:val="left"/>
        <w:rPr>
          <w:rFonts w:ascii="Times New Roman" w:hAnsi="Times New Roman"/>
          <w:bCs/>
          <w:szCs w:val="21"/>
        </w:rPr>
      </w:pPr>
      <w:bookmarkStart w:id="23" w:name="_Hlk153380244"/>
      <w:bookmarkStart w:id="24" w:name="_Hlk153268219"/>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p>
    <w:bookmarkEnd w:id="23"/>
    <w:p>
      <w:pPr>
        <w:autoSpaceDE w:val="0"/>
        <w:autoSpaceDN w:val="0"/>
        <w:adjustRightInd w:val="0"/>
        <w:spacing w:line="276" w:lineRule="auto"/>
        <w:ind w:firstLine="420" w:firstLineChars="200"/>
        <w:jc w:val="left"/>
        <w:rPr>
          <w:rFonts w:ascii="Times New Roman" w:hAnsi="Times New Roman"/>
          <w:bCs/>
          <w:szCs w:val="21"/>
        </w:rPr>
      </w:pPr>
      <w:bookmarkStart w:id="25" w:name="_Hlk153380147"/>
      <w:r>
        <w:rPr>
          <w:rFonts w:ascii="Times New Roman" w:hAnsi="Times New Roman"/>
          <w:bCs/>
          <w:szCs w:val="21"/>
        </w:rPr>
        <w:t>3</w:t>
      </w:r>
      <w:r>
        <w:rPr>
          <w:rFonts w:hint="eastAsia" w:ascii="Times New Roman" w:hAnsi="Times New Roman"/>
          <w:bCs/>
          <w:szCs w:val="21"/>
        </w:rPr>
        <w:t>、理财产品累计单位净值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历次累计单位分红。累计</w:t>
      </w:r>
      <w:bookmarkStart w:id="26" w:name="_Hlk153376937"/>
      <w:r>
        <w:rPr>
          <w:rFonts w:hint="eastAsia" w:ascii="Times New Roman" w:hAnsi="Times New Roman"/>
          <w:bCs/>
          <w:szCs w:val="21"/>
        </w:rPr>
        <w:t>单位</w:t>
      </w:r>
      <w:bookmarkEnd w:id="26"/>
      <w:r>
        <w:rPr>
          <w:rFonts w:hint="eastAsia" w:ascii="Times New Roman" w:hAnsi="Times New Roman"/>
          <w:bCs/>
          <w:szCs w:val="21"/>
        </w:rPr>
        <w:t>净值保留至小数点后四位（小数点四位以下舍位）。</w:t>
      </w:r>
    </w:p>
    <w:p>
      <w:pPr>
        <w:autoSpaceDE w:val="0"/>
        <w:autoSpaceDN w:val="0"/>
        <w:adjustRightInd w:val="0"/>
        <w:spacing w:line="276" w:lineRule="auto"/>
        <w:ind w:firstLine="420" w:firstLineChars="200"/>
        <w:jc w:val="left"/>
        <w:rPr>
          <w:rFonts w:ascii="Times New Roman" w:hAnsi="Times New Roman"/>
          <w:bCs/>
          <w:szCs w:val="21"/>
        </w:rPr>
      </w:pPr>
      <w:bookmarkStart w:id="27" w:name="_Hlk153281969"/>
      <w:r>
        <w:rPr>
          <w:rFonts w:hint="eastAsia" w:ascii="Times New Roman" w:hAnsi="Times New Roman"/>
          <w:bCs/>
          <w:szCs w:val="21"/>
        </w:rPr>
        <w:t>理财产品某份额类别累计单位净值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理财产品该份额类别单位净值</w:t>
      </w:r>
      <w:r>
        <w:rPr>
          <w:rFonts w:ascii="Times New Roman" w:hAnsi="Times New Roman"/>
          <w:bCs/>
          <w:szCs w:val="21"/>
        </w:rPr>
        <w:t>+</w:t>
      </w:r>
      <w:r>
        <w:rPr>
          <w:rFonts w:hint="eastAsia" w:ascii="Times New Roman" w:hAnsi="Times New Roman"/>
          <w:bCs/>
          <w:szCs w:val="21"/>
        </w:rPr>
        <w:t>该份额类别历次累计单位分红。累计单位净值保留至小数点后四位（小数点四位以下舍位）。</w:t>
      </w:r>
      <w:bookmarkEnd w:id="27"/>
    </w:p>
    <w:bookmarkEnd w:id="24"/>
    <w:bookmarkEnd w:id="25"/>
    <w:p>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8" w:name="_Hlk128659839"/>
      <w:r>
        <w:rPr>
          <w:rFonts w:hint="eastAsia" w:ascii="Times New Roman" w:hAnsi="Times New Roman"/>
          <w:b/>
          <w:szCs w:val="21"/>
        </w:rPr>
        <w:t>本产品收取销售服务费、固定管理费和托管费，各费用自产品成立日起每日计提。具体计提方式如下：</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）销售服务费：A份额为0.30%，B份额为0.10%，C份额为0.30%，D份额为0.1</w:t>
      </w:r>
      <w:r>
        <w:rPr>
          <w:rFonts w:ascii="Times New Roman" w:hAnsi="Times New Roman"/>
          <w:b/>
          <w:szCs w:val="21"/>
        </w:rPr>
        <w:t>0</w:t>
      </w:r>
      <w:r>
        <w:rPr>
          <w:rFonts w:hint="eastAsia" w:ascii="Times New Roman" w:hAnsi="Times New Roman"/>
          <w:b/>
          <w:szCs w:val="21"/>
        </w:rPr>
        <w:t>%，E份额为0.2</w:t>
      </w:r>
      <w:r>
        <w:rPr>
          <w:rFonts w:ascii="Times New Roman" w:hAnsi="Times New Roman"/>
          <w:b/>
          <w:szCs w:val="21"/>
        </w:rPr>
        <w:t>0</w:t>
      </w:r>
      <w:r>
        <w:rPr>
          <w:rFonts w:hint="eastAsia" w:ascii="Times New Roman" w:hAnsi="Times New Roman"/>
          <w:b/>
          <w:szCs w:val="21"/>
        </w:rPr>
        <w:t>%，F份额为0.15%，G份额为0.1</w:t>
      </w:r>
      <w:r>
        <w:rPr>
          <w:rFonts w:ascii="Times New Roman" w:hAnsi="Times New Roman"/>
          <w:b/>
          <w:szCs w:val="21"/>
        </w:rPr>
        <w:t>0</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）固定管理费：A份额为0.10%，B份额为0.10%，C份额为0.10%，D份额为0.10%，E份额为0.10%，F份额为0.10%，G份额为0.10%，各费用率均为年化数值。以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份额前一自然日资产净值×0.10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w:t>
      </w:r>
      <w:bookmarkStart w:id="29" w:name="_Hlk153268556"/>
      <w:r>
        <w:rPr>
          <w:rFonts w:hint="eastAsia" w:ascii="Times New Roman" w:hAnsi="Times New Roman"/>
          <w:b/>
          <w:szCs w:val="21"/>
        </w:rPr>
        <w:t>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bookmarkEnd w:id="28"/>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w:t>
      </w:r>
      <w:bookmarkEnd w:id="29"/>
      <w:bookmarkStart w:id="30" w:name="_Hlk128658429"/>
      <w:r>
        <w:rPr>
          <w:rFonts w:hint="eastAsia" w:ascii="Times New Roman" w:hAnsi="Times New Roman"/>
          <w:b/>
          <w:szCs w:val="21"/>
        </w:rPr>
        <w:t>本产品收取浮动管理费，</w:t>
      </w:r>
      <w:bookmarkStart w:id="31" w:name="_Hlk153268602"/>
      <w:bookmarkStart w:id="32" w:name="_Hlk152881332"/>
      <w:r>
        <w:rPr>
          <w:rFonts w:hint="eastAsia" w:ascii="Times New Roman" w:hAnsi="Times New Roman"/>
          <w:b/>
          <w:szCs w:val="21"/>
        </w:rPr>
        <w:t>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份额、C份额、D份额、E份额、F份额、G份额折算的产品份额类别年化收益率分别为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E、</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R</w:t>
      </w:r>
      <w:r>
        <w:rPr>
          <w:rFonts w:hint="eastAsia" w:ascii="Times New Roman" w:hAnsi="Times New Roman"/>
          <w:b/>
          <w:szCs w:val="21"/>
          <w:vertAlign w:val="subscript"/>
        </w:rPr>
        <w:t>G，</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E</w:t>
      </w:r>
      <w:r>
        <w:rPr>
          <w:rFonts w:hint="eastAsia" w:ascii="Times New Roman" w:hAnsi="Times New Roman"/>
          <w:b/>
          <w:szCs w:val="21"/>
        </w:rPr>
        <w:t>≤2.60</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≤2.65%，R</w:t>
      </w:r>
      <w:r>
        <w:rPr>
          <w:rFonts w:hint="eastAsia" w:ascii="Times New Roman" w:hAnsi="Times New Roman"/>
          <w:b/>
          <w:szCs w:val="21"/>
          <w:vertAlign w:val="subscript"/>
        </w:rPr>
        <w:t>G</w:t>
      </w:r>
      <w:r>
        <w:rPr>
          <w:rFonts w:hint="eastAsia" w:ascii="Times New Roman" w:hAnsi="Times New Roman"/>
          <w:b/>
          <w:szCs w:val="21"/>
        </w:rPr>
        <w:t>≤2.7</w:t>
      </w:r>
      <w:r>
        <w:rPr>
          <w:rFonts w:ascii="Times New Roman" w:hAnsi="Times New Roman"/>
          <w:b/>
          <w:szCs w:val="21"/>
        </w:rPr>
        <w:t>0</w:t>
      </w:r>
      <w:r>
        <w:rPr>
          <w:rFonts w:hint="eastAsia" w:ascii="Times New Roman" w:hAnsi="Times New Roman"/>
          <w:b/>
          <w:szCs w:val="21"/>
        </w:rPr>
        <w:t>%产品管理人不对该份额类别收取浮动管理费；</w:t>
      </w:r>
    </w:p>
    <w:bookmarkEnd w:id="31"/>
    <w:bookmarkEnd w:id="32"/>
    <w:p>
      <w:pPr>
        <w:autoSpaceDE w:val="0"/>
        <w:autoSpaceDN w:val="0"/>
        <w:adjustRightInd w:val="0"/>
        <w:spacing w:line="276" w:lineRule="auto"/>
        <w:ind w:firstLine="422" w:firstLineChars="200"/>
        <w:jc w:val="left"/>
        <w:rPr>
          <w:rFonts w:ascii="Times New Roman" w:hAnsi="Times New Roman"/>
          <w:b/>
          <w:szCs w:val="21"/>
        </w:rPr>
      </w:pPr>
      <w:bookmarkStart w:id="33" w:name="_Hlk159428106"/>
      <w:r>
        <w:rPr>
          <w:rFonts w:hint="eastAsia" w:ascii="Times New Roman" w:hAnsi="Times New Roman"/>
          <w:b/>
          <w:szCs w:val="21"/>
        </w:rPr>
        <w:t>若R</w:t>
      </w:r>
      <w:r>
        <w:rPr>
          <w:rFonts w:ascii="Times New Roman" w:hAnsi="Times New Roman"/>
          <w:b/>
          <w:szCs w:val="21"/>
          <w:vertAlign w:val="subscript"/>
        </w:rPr>
        <w:t>A</w:t>
      </w:r>
      <w:r>
        <w:rPr>
          <w:rFonts w:hint="eastAsia" w:ascii="Times New Roman" w:hAnsi="Times New Roman"/>
          <w:b/>
          <w:szCs w:val="21"/>
        </w:rPr>
        <w:t>&gt;2.50%，则超过部分10％归投资者所有，其余90％作为产品管理人的浮动管理费；若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E</w:t>
      </w:r>
      <w:r>
        <w:rPr>
          <w:rFonts w:ascii="Times New Roman" w:hAnsi="Times New Roman"/>
          <w:b/>
          <w:szCs w:val="21"/>
        </w:rPr>
        <w:t>&gt;</w:t>
      </w:r>
      <w:r>
        <w:rPr>
          <w:rFonts w:hint="eastAsia" w:ascii="Times New Roman" w:hAnsi="Times New Roman"/>
          <w:b/>
          <w:szCs w:val="21"/>
        </w:rPr>
        <w:t>2.60</w:t>
      </w:r>
      <w:r>
        <w:rPr>
          <w:rFonts w:ascii="Times New Roman" w:hAnsi="Times New Roman"/>
          <w:b/>
          <w:szCs w:val="21"/>
        </w:rPr>
        <w:t>%</w:t>
      </w:r>
      <w:r>
        <w:rPr>
          <w:rFonts w:hint="eastAsia" w:ascii="Times New Roman" w:hAnsi="Times New Roman"/>
          <w:b/>
          <w:szCs w:val="21"/>
        </w:rPr>
        <w:t>，则超过部分10％归投资者所有，其余90％作为产品管理人的浮动管理费；若R</w:t>
      </w:r>
      <w:r>
        <w:rPr>
          <w:rFonts w:hint="eastAsia" w:ascii="Times New Roman" w:hAnsi="Times New Roman"/>
          <w:b/>
          <w:szCs w:val="21"/>
          <w:vertAlign w:val="subscript"/>
        </w:rPr>
        <w:t>F</w:t>
      </w:r>
      <w:r>
        <w:rPr>
          <w:rFonts w:hint="eastAsia" w:ascii="Times New Roman" w:hAnsi="Times New Roman"/>
          <w:b/>
          <w:szCs w:val="21"/>
        </w:rPr>
        <w:t>&gt;2.65%，则超过部分10％归投资者所有，其余90％作为产品管理人的浮动管理费；若R</w:t>
      </w:r>
      <w:r>
        <w:rPr>
          <w:rFonts w:hint="eastAsia" w:ascii="Times New Roman" w:hAnsi="Times New Roman"/>
          <w:b/>
          <w:szCs w:val="21"/>
          <w:vertAlign w:val="subscript"/>
        </w:rPr>
        <w:t>G</w:t>
      </w:r>
      <w:r>
        <w:rPr>
          <w:rFonts w:hint="eastAsia" w:ascii="Times New Roman" w:hAnsi="Times New Roman"/>
          <w:b/>
          <w:szCs w:val="21"/>
        </w:rPr>
        <w:t>&gt;2.7</w:t>
      </w:r>
      <w:r>
        <w:rPr>
          <w:rFonts w:ascii="Times New Roman" w:hAnsi="Times New Roman"/>
          <w:b/>
          <w:szCs w:val="21"/>
        </w:rPr>
        <w:t>0</w:t>
      </w:r>
      <w:r>
        <w:rPr>
          <w:rFonts w:hint="eastAsia" w:ascii="Times New Roman" w:hAnsi="Times New Roman"/>
          <w:b/>
          <w:szCs w:val="21"/>
        </w:rPr>
        <w:t>%，则超过部分10％归投资者所有，其余90％作为产品管理人的浮动管理费。</w:t>
      </w:r>
    </w:p>
    <w:bookmarkEnd w:id="33"/>
    <w:p>
      <w:pPr>
        <w:autoSpaceDE w:val="0"/>
        <w:autoSpaceDN w:val="0"/>
        <w:adjustRightInd w:val="0"/>
        <w:spacing w:line="276" w:lineRule="auto"/>
        <w:ind w:firstLine="422" w:firstLineChars="200"/>
        <w:jc w:val="left"/>
        <w:rPr>
          <w:rFonts w:ascii="Times New Roman" w:hAnsi="Times New Roman"/>
          <w:b/>
          <w:szCs w:val="21"/>
        </w:rPr>
      </w:pPr>
      <w:bookmarkStart w:id="34" w:name="_Hlk153379824"/>
      <w:r>
        <w:rPr>
          <w:rFonts w:hint="eastAsia" w:ascii="Times New Roman" w:hAnsi="Times New Roman"/>
          <w:b/>
          <w:szCs w:val="21"/>
        </w:rPr>
        <w:t>浮动管理费每日计提，以</w:t>
      </w:r>
      <w:r>
        <w:rPr>
          <w:rFonts w:ascii="Times New Roman" w:hAnsi="Times New Roman"/>
          <w:b/>
          <w:szCs w:val="21"/>
        </w:rPr>
        <w:t>A</w:t>
      </w:r>
      <w:r>
        <w:rPr>
          <w:rFonts w:hint="eastAsia" w:ascii="Times New Roman" w:hAnsi="Times New Roman"/>
          <w:b/>
          <w:szCs w:val="21"/>
        </w:rPr>
        <w:t>份额为例，若</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&gt;</w:t>
      </w:r>
      <w:r>
        <w:rPr>
          <w:rFonts w:hint="eastAsia" w:ascii="Times New Roman" w:hAnsi="Times New Roman"/>
          <w:b/>
          <w:szCs w:val="21"/>
        </w:rPr>
        <w:t>2.50％，</w:t>
      </w:r>
      <w:r>
        <w:rPr>
          <w:rFonts w:ascii="Times New Roman" w:hAnsi="Times New Roman"/>
          <w:b/>
          <w:szCs w:val="21"/>
        </w:rPr>
        <w:t>A</w:t>
      </w:r>
      <w:r>
        <w:rPr>
          <w:rFonts w:hint="eastAsia" w:ascii="Times New Roman" w:hAnsi="Times New Roman"/>
          <w:b/>
          <w:szCs w:val="21"/>
        </w:rPr>
        <w:t>份额累积应计提的浮动管理费</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w:t>
      </w:r>
      <w:r>
        <w:rPr>
          <w:rFonts w:hint="eastAsia" w:ascii="Times New Roman" w:hAnsi="Times New Roman"/>
          <w:b/>
          <w:szCs w:val="21"/>
        </w:rPr>
        <w:t>2.50％）×计提周期÷</w:t>
      </w:r>
      <w:r>
        <w:rPr>
          <w:rFonts w:ascii="Times New Roman" w:hAnsi="Times New Roman"/>
          <w:b/>
          <w:szCs w:val="21"/>
        </w:rPr>
        <w:t>365</w:t>
      </w:r>
      <w:r>
        <w:rPr>
          <w:rFonts w:hint="eastAsia" w:ascii="Times New Roman" w:hAnsi="Times New Roman"/>
          <w:b/>
          <w:szCs w:val="21"/>
        </w:rPr>
        <w:t>×计提基础×计提比例90％</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其中：</w:t>
      </w:r>
    </w:p>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指计提当日按</w:t>
      </w:r>
      <w:r>
        <w:rPr>
          <w:rFonts w:ascii="Times New Roman" w:hAnsi="Times New Roman"/>
          <w:b/>
          <w:szCs w:val="21"/>
        </w:rPr>
        <w:t>A</w:t>
      </w:r>
      <w:r>
        <w:rPr>
          <w:rFonts w:hint="eastAsia" w:ascii="Times New Roman" w:hAnsi="Times New Roman"/>
          <w:b/>
          <w:szCs w:val="21"/>
        </w:rPr>
        <w:t>份额费前累计单位净值（即扣除销售服务费、固定管理费、托管费等相关税费，但不扣除浮动管理费计算的累计单位净值）折算的</w:t>
      </w:r>
      <w:r>
        <w:rPr>
          <w:rFonts w:ascii="Times New Roman" w:hAnsi="Times New Roman"/>
          <w:b/>
          <w:szCs w:val="21"/>
        </w:rPr>
        <w:t>A</w:t>
      </w:r>
      <w:r>
        <w:rPr>
          <w:rFonts w:hint="eastAsia" w:ascii="Times New Roman" w:hAnsi="Times New Roman"/>
          <w:b/>
          <w:szCs w:val="21"/>
        </w:rPr>
        <w:t>份额年化收益率；</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计提周期指</w:t>
      </w:r>
      <w:r>
        <w:rPr>
          <w:rFonts w:ascii="Times New Roman" w:hAnsi="Times New Roman"/>
          <w:b/>
          <w:szCs w:val="21"/>
        </w:rPr>
        <w:t>A</w:t>
      </w:r>
      <w:r>
        <w:rPr>
          <w:rFonts w:hint="eastAsia" w:ascii="Times New Roman" w:hAnsi="Times New Roman"/>
          <w:b/>
          <w:szCs w:val="21"/>
        </w:rPr>
        <w:t>份额成立日（含）至计提日（含）的实际天数；</w:t>
      </w:r>
    </w:p>
    <w:p>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计提基础</w:t>
      </w:r>
      <w:r>
        <w:rPr>
          <w:rFonts w:ascii="Times New Roman" w:hAnsi="Times New Roman"/>
          <w:b/>
          <w:szCs w:val="21"/>
        </w:rPr>
        <w:t>=</w:t>
      </w:r>
      <w:r>
        <w:rPr>
          <w:rFonts w:hint="eastAsia" w:ascii="Times New Roman" w:hAnsi="Times New Roman"/>
          <w:b/>
          <w:szCs w:val="21"/>
        </w:rPr>
        <w:t>初始单位净值×</w:t>
      </w:r>
      <w:r>
        <w:rPr>
          <w:rFonts w:ascii="Times New Roman" w:hAnsi="Times New Roman"/>
          <w:b/>
          <w:szCs w:val="21"/>
        </w:rPr>
        <w:t>A</w:t>
      </w:r>
      <w:r>
        <w:rPr>
          <w:rFonts w:hint="eastAsia" w:ascii="Times New Roman" w:hAnsi="Times New Roman"/>
          <w:b/>
          <w:szCs w:val="21"/>
        </w:rPr>
        <w:t>份额成立日总份额。</w:t>
      </w:r>
    </w:p>
    <w:p>
      <w:pPr>
        <w:autoSpaceDE w:val="0"/>
        <w:autoSpaceDN w:val="0"/>
        <w:adjustRightInd w:val="0"/>
        <w:spacing w:line="276" w:lineRule="auto"/>
        <w:ind w:firstLine="422" w:firstLineChars="200"/>
        <w:jc w:val="left"/>
        <w:rPr>
          <w:rFonts w:ascii="Times New Roman" w:hAnsi="Times New Roman"/>
          <w:b/>
          <w:szCs w:val="21"/>
        </w:rPr>
      </w:pPr>
      <w:bookmarkStart w:id="35" w:name="_Hlk153372779"/>
      <w:r>
        <w:rPr>
          <w:rFonts w:hint="eastAsia" w:ascii="Times New Roman" w:hAnsi="Times New Roman"/>
          <w:b/>
          <w:szCs w:val="21"/>
        </w:rPr>
        <w:t>对于每一份额类别，</w:t>
      </w:r>
      <w:bookmarkEnd w:id="35"/>
      <w:r>
        <w:rPr>
          <w:rFonts w:hint="eastAsia" w:ascii="Times New Roman" w:hAnsi="Times New Roman"/>
          <w:b/>
          <w:szCs w:val="21"/>
        </w:rPr>
        <w:t>每日计提的浮动管理费仅作为暂估数据，用于该份额类别会计核算和估值日估值；仅份额类别终止日当天确认计提的浮动管理费作为该份额类别浮动管理费的结算依据。</w:t>
      </w:r>
      <w:bookmarkEnd w:id="34"/>
    </w:p>
    <w:bookmarkEnd w:id="30"/>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pPr>
        <w:spacing w:line="276" w:lineRule="auto"/>
        <w:ind w:firstLine="420"/>
        <w:rPr>
          <w:rFonts w:ascii="Times New Roman" w:hAnsi="Times New Roman"/>
          <w:szCs w:val="21"/>
        </w:rPr>
      </w:pPr>
      <w:r>
        <w:rPr>
          <w:rFonts w:hint="eastAsia" w:ascii="Times New Roman" w:hAnsi="Times New Roman"/>
          <w:szCs w:val="21"/>
        </w:rPr>
        <w:t>（以产品期限为</w:t>
      </w:r>
      <w:r>
        <w:rPr>
          <w:rFonts w:ascii="Times New Roman" w:hAnsi="Times New Roman"/>
          <w:szCs w:val="21"/>
        </w:rPr>
        <w:t>730</w:t>
      </w:r>
      <w:r>
        <w:rPr>
          <w:rFonts w:hint="eastAsia" w:ascii="Times New Roman" w:hAnsi="Times New Roman"/>
          <w:szCs w:val="21"/>
        </w:rPr>
        <w:t>天，</w:t>
      </w:r>
      <w:r>
        <w:rPr>
          <w:rFonts w:ascii="Times New Roman" w:hAnsi="Times New Roman"/>
          <w:szCs w:val="21"/>
        </w:rPr>
        <w:t>A</w:t>
      </w:r>
      <w:r>
        <w:rPr>
          <w:rFonts w:hint="eastAsia" w:ascii="Times New Roman" w:hAnsi="Times New Roman"/>
          <w:szCs w:val="21"/>
        </w:rPr>
        <w:t>份额</w:t>
      </w:r>
      <w:bookmarkStart w:id="36" w:name="_Hlk153268706"/>
      <w:bookmarkStart w:id="37" w:name="_Hlk152879316"/>
      <w:r>
        <w:rPr>
          <w:rFonts w:hint="eastAsia" w:ascii="Times New Roman" w:hAnsi="Times New Roman"/>
          <w:szCs w:val="21"/>
        </w:rPr>
        <w:t>折算的年化收益率超过</w:t>
      </w:r>
      <w:bookmarkEnd w:id="36"/>
      <w:r>
        <w:rPr>
          <w:rFonts w:ascii="Times New Roman" w:hAnsi="Times New Roman"/>
          <w:szCs w:val="21"/>
        </w:rPr>
        <w:t>4.85%</w:t>
      </w:r>
      <w:r>
        <w:rPr>
          <w:rFonts w:hint="eastAsia" w:ascii="Times New Roman" w:hAnsi="Times New Roman"/>
          <w:szCs w:val="21"/>
        </w:rPr>
        <w:t>，</w:t>
      </w:r>
      <w:bookmarkStart w:id="38" w:name="_Hlk153268752"/>
      <w:r>
        <w:rPr>
          <w:rFonts w:hint="eastAsia" w:ascii="Times New Roman" w:hAnsi="Times New Roman"/>
          <w:szCs w:val="21"/>
        </w:rPr>
        <w:t>则超过部分</w:t>
      </w:r>
      <w:r>
        <w:rPr>
          <w:rFonts w:ascii="Times New Roman" w:hAnsi="Times New Roman"/>
          <w:szCs w:val="21"/>
        </w:rPr>
        <w:t>80</w:t>
      </w:r>
      <w:r>
        <w:rPr>
          <w:rFonts w:hint="eastAsia" w:ascii="Times New Roman" w:hAnsi="Times New Roman"/>
          <w:szCs w:val="21"/>
        </w:rPr>
        <w:t>％作为产品管理人的浮动管理费为例</w:t>
      </w:r>
      <w:bookmarkEnd w:id="37"/>
      <w:bookmarkEnd w:id="38"/>
      <w:r>
        <w:rPr>
          <w:rFonts w:hint="eastAsia" w:ascii="Times New Roman" w:hAnsi="Times New Roman"/>
          <w:szCs w:val="21"/>
        </w:rPr>
        <w:t>）</w:t>
      </w:r>
    </w:p>
    <w:p>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1</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39" w:name="_Hlk128658531"/>
      <w:r>
        <w:rPr>
          <w:rFonts w:ascii="Times New Roman" w:hAnsi="Times New Roman"/>
          <w:szCs w:val="21"/>
        </w:rPr>
        <w:t>A</w:t>
      </w:r>
      <w:r>
        <w:rPr>
          <w:rFonts w:hint="eastAsia" w:ascii="Times New Roman" w:hAnsi="Times New Roman"/>
          <w:szCs w:val="21"/>
        </w:rPr>
        <w:t>份额</w:t>
      </w:r>
      <w:bookmarkEnd w:id="39"/>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bookmarkStart w:id="40" w:name="_Hlk153477528"/>
      <w:r>
        <w:rPr>
          <w:rFonts w:ascii="Times New Roman" w:hAnsi="Times New Roman"/>
          <w:szCs w:val="21"/>
        </w:rPr>
        <w:t>100,000.00</w:t>
      </w:r>
      <w:bookmarkEnd w:id="40"/>
      <w:r>
        <w:rPr>
          <w:rFonts w:hint="eastAsia" w:ascii="Times New Roman" w:hAnsi="Times New Roman"/>
          <w:szCs w:val="21"/>
        </w:rPr>
        <w:t>份（即存续中未发生提前终止或提前赎回），扣除销售服务费、固定管理费、托管费等相关税费后，单位净值为</w:t>
      </w:r>
      <w:bookmarkStart w:id="41" w:name="_Hlk153461012"/>
      <w:r>
        <w:rPr>
          <w:rFonts w:ascii="Times New Roman" w:hAnsi="Times New Roman"/>
          <w:szCs w:val="21"/>
        </w:rPr>
        <w:t>1.1100</w:t>
      </w:r>
      <w:bookmarkEnd w:id="41"/>
      <w:r>
        <w:rPr>
          <w:rFonts w:hint="eastAsia" w:ascii="Times New Roman" w:hAnsi="Times New Roman"/>
          <w:szCs w:val="21"/>
        </w:rPr>
        <w:t>，</w:t>
      </w:r>
      <w:bookmarkStart w:id="42" w:name="_Hlk153460986"/>
      <w:r>
        <w:rPr>
          <w:rFonts w:ascii="Times New Roman" w:hAnsi="Times New Roman"/>
          <w:szCs w:val="21"/>
        </w:rPr>
        <w:t>A</w:t>
      </w:r>
      <w:r>
        <w:rPr>
          <w:rFonts w:hint="eastAsia" w:ascii="Times New Roman" w:hAnsi="Times New Roman"/>
          <w:szCs w:val="21"/>
        </w:rPr>
        <w:t>份额存续期内无分红，</w:t>
      </w:r>
      <w:bookmarkEnd w:id="42"/>
      <w:r>
        <w:rPr>
          <w:rFonts w:hint="eastAsia" w:ascii="Times New Roman" w:hAnsi="Times New Roman"/>
          <w:szCs w:val="21"/>
        </w:rPr>
        <w:t>此时，（</w:t>
      </w:r>
      <w:r>
        <w:rPr>
          <w:rFonts w:ascii="Times New Roman" w:hAnsi="Times New Roman"/>
          <w:szCs w:val="21"/>
        </w:rPr>
        <w:t>1.1100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730=5.50%&gt;4.85%</w:t>
      </w:r>
      <w:r>
        <w:rPr>
          <w:rFonts w:hint="eastAsia" w:ascii="Times New Roman" w:hAnsi="Times New Roman"/>
          <w:szCs w:val="21"/>
        </w:rPr>
        <w:t>，则产品管理人对超过</w:t>
      </w:r>
      <w:r>
        <w:rPr>
          <w:rFonts w:ascii="Times New Roman" w:hAnsi="Times New Roman"/>
          <w:szCs w:val="21"/>
        </w:rPr>
        <w:t>4.85%</w:t>
      </w:r>
      <w:r>
        <w:rPr>
          <w:rFonts w:hint="eastAsia" w:ascii="Times New Roman" w:hAnsi="Times New Roman"/>
          <w:szCs w:val="21"/>
        </w:rPr>
        <w:t>的部分收取浮动管理费，浮动管理费为：</w:t>
      </w:r>
    </w:p>
    <w:p>
      <w:pPr>
        <w:spacing w:line="276" w:lineRule="auto"/>
        <w:ind w:firstLine="420"/>
        <w:rPr>
          <w:rFonts w:ascii="Times New Roman" w:hAnsi="Times New Roman"/>
          <w:szCs w:val="21"/>
        </w:rPr>
      </w:pPr>
      <w:bookmarkStart w:id="43" w:name="_Hlk153461106"/>
      <w:r>
        <w:rPr>
          <w:rFonts w:hint="eastAsia" w:ascii="Times New Roman" w:hAnsi="Times New Roman"/>
          <w:szCs w:val="21"/>
        </w:rPr>
        <w:t>（</w:t>
      </w:r>
      <w:r>
        <w:rPr>
          <w:rFonts w:ascii="Times New Roman" w:hAnsi="Times New Roman"/>
          <w:szCs w:val="21"/>
        </w:rPr>
        <w:t>5.50%-4.85%</w:t>
      </w:r>
      <w:r>
        <w:rPr>
          <w:rFonts w:hint="eastAsia" w:ascii="Times New Roman" w:hAnsi="Times New Roman"/>
          <w:szCs w:val="21"/>
        </w:rPr>
        <w:t>）×</w:t>
      </w:r>
      <w:r>
        <w:rPr>
          <w:rFonts w:ascii="Times New Roman" w:hAnsi="Times New Roman"/>
          <w:szCs w:val="21"/>
        </w:rPr>
        <w:t>730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80%</w:t>
      </w:r>
      <w:bookmarkEnd w:id="43"/>
      <w:r>
        <w:rPr>
          <w:rFonts w:ascii="Times New Roman" w:hAnsi="Times New Roman"/>
          <w:szCs w:val="21"/>
        </w:rPr>
        <w:t>= 1,040.00</w:t>
      </w:r>
      <w:r>
        <w:rPr>
          <w:rFonts w:hint="eastAsia" w:ascii="Times New Roman" w:hAnsi="Times New Roman"/>
          <w:szCs w:val="21"/>
        </w:rPr>
        <w:t>元</w:t>
      </w:r>
      <w:r>
        <w:rPr>
          <w:rFonts w:ascii="Times New Roman" w:hAnsi="Times New Roman"/>
          <w:szCs w:val="21"/>
        </w:rPr>
        <w:t xml:space="preserve"> </w:t>
      </w:r>
    </w:p>
    <w:p>
      <w:pPr>
        <w:spacing w:line="276" w:lineRule="auto"/>
        <w:ind w:firstLine="420"/>
        <w:rPr>
          <w:rFonts w:ascii="Times New Roman" w:hAnsi="Times New Roman"/>
          <w:szCs w:val="21"/>
        </w:rPr>
      </w:pPr>
      <w:r>
        <w:rPr>
          <w:rFonts w:hint="eastAsia" w:ascii="Times New Roman" w:hAnsi="Times New Roman"/>
          <w:szCs w:val="21"/>
        </w:rPr>
        <w:t>扣除浮动管理费后，</w:t>
      </w:r>
      <w:bookmarkStart w:id="44" w:name="_Hlk128671329"/>
      <w:bookmarkStart w:id="45" w:name="_Hlk128658601"/>
      <w:r>
        <w:rPr>
          <w:rFonts w:ascii="Times New Roman" w:hAnsi="Times New Roman"/>
          <w:szCs w:val="21"/>
        </w:rPr>
        <w:t>A</w:t>
      </w:r>
      <w:r>
        <w:rPr>
          <w:rFonts w:hint="eastAsia" w:ascii="Times New Roman" w:hAnsi="Times New Roman"/>
          <w:szCs w:val="21"/>
        </w:rPr>
        <w:t>份额</w:t>
      </w:r>
      <w:bookmarkEnd w:id="44"/>
      <w:r>
        <w:rPr>
          <w:rFonts w:hint="eastAsia" w:ascii="Times New Roman" w:hAnsi="Times New Roman"/>
          <w:szCs w:val="21"/>
        </w:rPr>
        <w:t>投资者</w:t>
      </w:r>
      <w:bookmarkEnd w:id="45"/>
      <w:r>
        <w:rPr>
          <w:rFonts w:hint="eastAsia" w:ascii="Times New Roman" w:hAnsi="Times New Roman"/>
          <w:szCs w:val="21"/>
        </w:rPr>
        <w:t>最终收益为：</w:t>
      </w:r>
    </w:p>
    <w:p>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1.1100-</w:t>
      </w:r>
      <w:bookmarkStart w:id="46" w:name="_Hlk153461199"/>
      <w:r>
        <w:rPr>
          <w:rFonts w:ascii="Times New Roman" w:hAnsi="Times New Roman"/>
          <w:szCs w:val="21"/>
        </w:rPr>
        <w:t>100,000.00</w:t>
      </w:r>
      <w:bookmarkEnd w:id="46"/>
      <w:r>
        <w:rPr>
          <w:rFonts w:ascii="Times New Roman" w:hAnsi="Times New Roman"/>
          <w:szCs w:val="21"/>
        </w:rPr>
        <w:t>-1,040.00=9,960.00</w:t>
      </w:r>
      <w:r>
        <w:rPr>
          <w:rFonts w:hint="eastAsia" w:ascii="Times New Roman" w:hAnsi="Times New Roman"/>
          <w:szCs w:val="21"/>
        </w:rPr>
        <w:t>元，产品到期时，</w:t>
      </w:r>
      <w:bookmarkStart w:id="47" w:name="_Hlk128658612"/>
      <w:r>
        <w:rPr>
          <w:rFonts w:ascii="Times New Roman" w:hAnsi="Times New Roman"/>
          <w:szCs w:val="21"/>
        </w:rPr>
        <w:t>A</w:t>
      </w:r>
      <w:r>
        <w:rPr>
          <w:rFonts w:hint="eastAsia" w:ascii="Times New Roman" w:hAnsi="Times New Roman"/>
          <w:szCs w:val="21"/>
        </w:rPr>
        <w:t>份额</w:t>
      </w:r>
      <w:bookmarkEnd w:id="47"/>
      <w:r>
        <w:rPr>
          <w:rFonts w:hint="eastAsia" w:ascii="Times New Roman" w:hAnsi="Times New Roman"/>
          <w:szCs w:val="21"/>
        </w:rPr>
        <w:t>投资者获得的实际收益相当于达到年化收益率水平为：</w:t>
      </w:r>
      <w:r>
        <w:rPr>
          <w:rFonts w:ascii="Times New Roman" w:hAnsi="Times New Roman"/>
          <w:szCs w:val="21"/>
        </w:rPr>
        <w:t>9,960.00</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730=4.98%</w:t>
      </w:r>
      <w:r>
        <w:rPr>
          <w:rFonts w:hint="eastAsia" w:ascii="Times New Roman" w:hAnsi="Times New Roman"/>
          <w:szCs w:val="21"/>
        </w:rPr>
        <w:t>。</w:t>
      </w:r>
    </w:p>
    <w:p>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2</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48" w:name="_Hlk128658621"/>
      <w:r>
        <w:rPr>
          <w:rFonts w:ascii="Times New Roman" w:hAnsi="Times New Roman"/>
          <w:szCs w:val="21"/>
        </w:rPr>
        <w:t>A</w:t>
      </w:r>
      <w:r>
        <w:rPr>
          <w:rFonts w:hint="eastAsia" w:ascii="Times New Roman" w:hAnsi="Times New Roman"/>
          <w:szCs w:val="21"/>
        </w:rPr>
        <w:t>份额</w:t>
      </w:r>
      <w:bookmarkEnd w:id="48"/>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1.0900</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份额存续期内无分红，此时，</w:t>
      </w:r>
      <w:r>
        <w:rPr>
          <w:rFonts w:ascii="Times New Roman" w:hAnsi="Times New Roman"/>
          <w:szCs w:val="21"/>
        </w:rPr>
        <w:t>(1.0900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730=4.50%&lt;4.85%</w:t>
      </w:r>
      <w:r>
        <w:rPr>
          <w:rFonts w:hint="eastAsia" w:ascii="Times New Roman" w:hAnsi="Times New Roman"/>
          <w:szCs w:val="21"/>
        </w:rPr>
        <w:t>，则产品管理人不收取浮动管理费，</w:t>
      </w:r>
      <w:bookmarkStart w:id="49" w:name="_Hlk128658667"/>
      <w:bookmarkStart w:id="50" w:name="_Hlk128658659"/>
      <w:r>
        <w:rPr>
          <w:rFonts w:ascii="Times New Roman" w:hAnsi="Times New Roman"/>
          <w:szCs w:val="21"/>
        </w:rPr>
        <w:t>A</w:t>
      </w:r>
      <w:r>
        <w:rPr>
          <w:rFonts w:hint="eastAsia" w:ascii="Times New Roman" w:hAnsi="Times New Roman"/>
          <w:szCs w:val="21"/>
        </w:rPr>
        <w:t>份额</w:t>
      </w:r>
      <w:bookmarkEnd w:id="49"/>
      <w:r>
        <w:rPr>
          <w:rFonts w:hint="eastAsia" w:ascii="Times New Roman" w:hAnsi="Times New Roman"/>
          <w:szCs w:val="21"/>
        </w:rPr>
        <w:t>投资者</w:t>
      </w:r>
      <w:bookmarkEnd w:id="50"/>
      <w:r>
        <w:rPr>
          <w:rFonts w:hint="eastAsia" w:ascii="Times New Roman" w:hAnsi="Times New Roman"/>
          <w:szCs w:val="21"/>
        </w:rPr>
        <w:t>最终收益为：</w:t>
      </w:r>
    </w:p>
    <w:p>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1.0900-100,000.00= 9,000.00</w:t>
      </w:r>
      <w:r>
        <w:rPr>
          <w:rFonts w:hint="eastAsia" w:ascii="Times New Roman" w:hAnsi="Times New Roman"/>
          <w:szCs w:val="21"/>
        </w:rPr>
        <w:t>元。</w:t>
      </w:r>
    </w:p>
    <w:p>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3</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51" w:name="_Hlk128658675"/>
      <w:r>
        <w:rPr>
          <w:rFonts w:ascii="Times New Roman" w:hAnsi="Times New Roman"/>
          <w:szCs w:val="21"/>
        </w:rPr>
        <w:t>A</w:t>
      </w:r>
      <w:r>
        <w:rPr>
          <w:rFonts w:hint="eastAsia" w:ascii="Times New Roman" w:hAnsi="Times New Roman"/>
          <w:szCs w:val="21"/>
        </w:rPr>
        <w:t>份额</w:t>
      </w:r>
      <w:bookmarkEnd w:id="51"/>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0.9975</w:t>
      </w:r>
      <w:r>
        <w:rPr>
          <w:rFonts w:hint="eastAsia" w:ascii="Times New Roman" w:hAnsi="Times New Roman"/>
          <w:szCs w:val="21"/>
        </w:rPr>
        <w:t>，</w:t>
      </w:r>
      <w:bookmarkStart w:id="52" w:name="_Hlk153477290"/>
      <w:r>
        <w:rPr>
          <w:rFonts w:ascii="Times New Roman" w:hAnsi="Times New Roman"/>
          <w:szCs w:val="21"/>
        </w:rPr>
        <w:t>A</w:t>
      </w:r>
      <w:r>
        <w:rPr>
          <w:rFonts w:hint="eastAsia" w:ascii="Times New Roman" w:hAnsi="Times New Roman"/>
          <w:szCs w:val="21"/>
        </w:rPr>
        <w:t>份额存续期内无分红，</w:t>
      </w:r>
      <w:bookmarkEnd w:id="52"/>
      <w:r>
        <w:rPr>
          <w:rFonts w:hint="eastAsia" w:ascii="Times New Roman" w:hAnsi="Times New Roman"/>
          <w:szCs w:val="21"/>
        </w:rPr>
        <w:t>则产品管理人不收取浮动管理费，</w:t>
      </w:r>
      <w:bookmarkStart w:id="53" w:name="_Hlk128661289"/>
      <w:r>
        <w:rPr>
          <w:rFonts w:ascii="Times New Roman" w:hAnsi="Times New Roman"/>
          <w:szCs w:val="21"/>
        </w:rPr>
        <w:t>A</w:t>
      </w:r>
      <w:r>
        <w:rPr>
          <w:rFonts w:hint="eastAsia" w:ascii="Times New Roman" w:hAnsi="Times New Roman"/>
          <w:szCs w:val="21"/>
        </w:rPr>
        <w:t>份额</w:t>
      </w:r>
      <w:bookmarkEnd w:id="53"/>
      <w:r>
        <w:rPr>
          <w:rFonts w:hint="eastAsia" w:ascii="Times New Roman" w:hAnsi="Times New Roman"/>
          <w:szCs w:val="21"/>
        </w:rPr>
        <w:t>投资者最终收益为：</w:t>
      </w:r>
    </w:p>
    <w:p>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0.9975-100,000.00=-250.00</w:t>
      </w:r>
      <w:r>
        <w:rPr>
          <w:rFonts w:hint="eastAsia" w:ascii="Times New Roman" w:hAnsi="Times New Roman"/>
          <w:szCs w:val="21"/>
        </w:rPr>
        <w:t>元。</w:t>
      </w:r>
    </w:p>
    <w:p>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（四）产品到期日或提前终止日至资金到账日期间投资者资金不计息。</w:t>
      </w:r>
    </w:p>
    <w:p>
      <w:pPr>
        <w:spacing w:line="276" w:lineRule="auto"/>
        <w:ind w:firstLine="422" w:firstLineChars="200"/>
        <w:outlineLvl w:val="0"/>
        <w:rPr>
          <w:rFonts w:ascii="Times New Roman" w:hAnsi="Times New Roman"/>
          <w:b/>
          <w:szCs w:val="21"/>
        </w:rPr>
      </w:pPr>
      <w:r>
        <w:rPr>
          <w:rFonts w:hint="eastAsia" w:ascii="Times New Roman" w:hAnsi="Times New Roman"/>
          <w:b/>
          <w:szCs w:val="21"/>
        </w:rPr>
        <w:t>六、理财产品估值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（一）估值原则</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本理财产品估值日为每周五（如遇非工作日顺延至下一个工作日）及理财产品到期日或提前终止日。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1</w:t>
      </w:r>
      <w:r>
        <w:rPr>
          <w:rFonts w:hint="eastAsia" w:ascii="Times New Roman" w:hAnsi="Times New Roman"/>
          <w:bCs/>
          <w:szCs w:val="21"/>
        </w:rPr>
        <w:t>、债券类资产</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2</w:t>
      </w:r>
      <w:r>
        <w:rPr>
          <w:rFonts w:hint="eastAsia" w:ascii="Times New Roman" w:hAnsi="Times New Roman"/>
          <w:bCs/>
          <w:szCs w:val="21"/>
        </w:rPr>
        <w:t>、银行存款（含证券交易保证金）及回购（包含正、逆回购）以买入成本列示，按商定利率在实际持有期间内逐日计提利息。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3</w:t>
      </w:r>
      <w:r>
        <w:rPr>
          <w:rFonts w:hint="eastAsia" w:ascii="Times New Roman" w:hAnsi="Times New Roman"/>
          <w:bCs/>
          <w:szCs w:val="21"/>
        </w:rPr>
        <w:t>、股票类资产</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4</w:t>
      </w:r>
      <w:r>
        <w:rPr>
          <w:rFonts w:hint="eastAsia" w:ascii="Times New Roman" w:hAnsi="Times New Roman"/>
          <w:bCs/>
          <w:szCs w:val="21"/>
        </w:rPr>
        <w:t>、投资于信托计划、资产管理计划等的资产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5</w:t>
      </w:r>
      <w:r>
        <w:rPr>
          <w:rFonts w:hint="eastAsia" w:ascii="Times New Roman" w:hAnsi="Times New Roman"/>
          <w:bCs/>
          <w:szCs w:val="21"/>
        </w:rPr>
        <w:t>、证券投资基金</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）非上市基金估值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）上市基金估值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w:t>
      </w:r>
      <w:r>
        <w:rPr>
          <w:rFonts w:ascii="Times New Roman" w:hAnsi="Times New Roman"/>
          <w:bCs/>
          <w:szCs w:val="21"/>
        </w:rPr>
        <w:t>ETF</w:t>
      </w:r>
      <w:r>
        <w:rPr>
          <w:rFonts w:hint="eastAsia" w:ascii="Times New Roman" w:hAnsi="Times New Roman"/>
          <w:bCs/>
          <w:szCs w:val="21"/>
        </w:rPr>
        <w:t>基金，按所投资</w:t>
      </w:r>
      <w:r>
        <w:rPr>
          <w:rFonts w:ascii="Times New Roman" w:hAnsi="Times New Roman"/>
          <w:bCs/>
          <w:szCs w:val="21"/>
        </w:rPr>
        <w:t>ETF</w:t>
      </w:r>
      <w:r>
        <w:rPr>
          <w:rFonts w:hint="eastAsia" w:ascii="Times New Roman" w:hAnsi="Times New Roman"/>
          <w:bCs/>
          <w:szCs w:val="21"/>
        </w:rPr>
        <w:t>基金估值日的收盘价估值；理财产品投资的境内上市开放式基金（</w:t>
      </w:r>
      <w:r>
        <w:rPr>
          <w:rFonts w:ascii="Times New Roman" w:hAnsi="Times New Roman"/>
          <w:bCs/>
          <w:szCs w:val="21"/>
        </w:rPr>
        <w:t>LOF</w:t>
      </w:r>
      <w:r>
        <w:rPr>
          <w:rFonts w:hint="eastAsia" w:ascii="Times New Roman" w:hAnsi="Times New Roman"/>
          <w:bCs/>
          <w:szCs w:val="21"/>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）特殊情况处理</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a</w:t>
      </w:r>
      <w:r>
        <w:rPr>
          <w:rFonts w:hint="eastAsia" w:ascii="Times New Roman" w:hAnsi="Times New Roman"/>
          <w:bCs/>
          <w:szCs w:val="21"/>
        </w:rPr>
        <w:t>）以所投资基金的基金份额净值估值的，若所投资基金与理财产品估值频率一致但未公布估值日基金份额净值，按其最近公布的基金份额净值为基础估值。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d</w:t>
      </w:r>
      <w:r>
        <w:rPr>
          <w:rFonts w:hint="eastAsia" w:ascii="Times New Roman" w:hAnsi="Times New Roman"/>
          <w:bCs/>
          <w:szCs w:val="21"/>
        </w:rPr>
        <w:t>）当理财产品管理人认为所投资基金按上述（</w:t>
      </w:r>
      <w:r>
        <w:rPr>
          <w:rFonts w:ascii="Times New Roman" w:hAnsi="Times New Roman"/>
          <w:bCs/>
          <w:szCs w:val="21"/>
        </w:rPr>
        <w:t>a</w:t>
      </w: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6</w:t>
      </w:r>
      <w:r>
        <w:rPr>
          <w:rFonts w:hint="eastAsia" w:ascii="Times New Roman" w:hAnsi="Times New Roman"/>
          <w:bCs/>
          <w:szCs w:val="21"/>
        </w:rPr>
        <w:t>、若理财产品存续期间持有其他投资品种，以理财产品管理人和理财产品托管人共同认可的方法计算其价值。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7</w:t>
      </w:r>
      <w:r>
        <w:rPr>
          <w:rFonts w:hint="eastAsia" w:ascii="Times New Roman" w:hAnsi="Times New Roman"/>
          <w:bCs/>
          <w:szCs w:val="21"/>
        </w:rPr>
        <w:t>、国家有最新规定的，按其规定进行估值。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8</w:t>
      </w:r>
      <w:r>
        <w:rPr>
          <w:rFonts w:hint="eastAsia" w:ascii="Times New Roman" w:hAnsi="Times New Roman"/>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位以内（含第</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位）发生估值错误时，视为理财产品单位净值错误。</w:t>
      </w:r>
    </w:p>
    <w:p>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pPr>
        <w:pStyle w:val="9"/>
        <w:spacing w:before="0" w:beforeAutospacing="0" w:after="0" w:afterAutospacing="0" w:line="276" w:lineRule="auto"/>
        <w:ind w:firstLine="42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）由于理财产品管理人或理财产品托管人自身的过错造成估值错误，导致投资者遭受损失的，由估值错误责任方按照各自过错程度对该估值错误导致投资者遭受的直接损失给予赔偿，承担赔偿责任。</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）当估值出现错误时，因估值错误而获得不当得利的投资者负有及时返还不当得利的义务。</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5</w:t>
      </w:r>
      <w:r>
        <w:rPr>
          <w:rFonts w:hint="eastAsia" w:ascii="Times New Roman" w:hAnsi="Times New Roman" w:cs="Times New Roman"/>
          <w:bCs/>
          <w:kern w:val="2"/>
          <w:sz w:val="21"/>
          <w:szCs w:val="21"/>
        </w:rPr>
        <w:t>）按法律法规规定的其他原则处理估值错误。</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 xml:space="preserve"> 2</w:t>
      </w:r>
      <w:r>
        <w:rPr>
          <w:rFonts w:hint="eastAsia" w:ascii="Times New Roman" w:hAnsi="Times New Roman" w:cs="Times New Roman"/>
          <w:bCs/>
          <w:kern w:val="2"/>
          <w:sz w:val="21"/>
          <w:szCs w:val="21"/>
        </w:rPr>
        <w:t>、估值错误处理程序</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）查明估值错误发生的原因，列明所有的管理人和托管人并根据估值错误发生的原因确定估值错误的责任方；</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）根据估值错误处理原则对因估值错误造成的损失进行评估；</w:t>
      </w:r>
    </w:p>
    <w:p>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pPr>
        <w:pStyle w:val="9"/>
        <w:spacing w:before="0" w:beforeAutospacing="0" w:after="0" w:afterAutospacing="0" w:line="276" w:lineRule="auto"/>
        <w:ind w:firstLine="404"/>
        <w:rPr>
          <w:rFonts w:ascii="Times New Roman" w:hAnsi="Times New Roman" w:cs="Times New Roman"/>
          <w:b/>
          <w:kern w:val="2"/>
          <w:sz w:val="21"/>
          <w:szCs w:val="21"/>
        </w:rPr>
      </w:pP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pPr>
        <w:spacing w:line="276" w:lineRule="auto"/>
        <w:ind w:firstLine="422" w:firstLineChars="200"/>
        <w:jc w:val="left"/>
        <w:rPr>
          <w:rFonts w:ascii="Times New Roman" w:hAnsi="Times New Roman"/>
          <w:szCs w:val="21"/>
        </w:rPr>
      </w:pPr>
      <w:r>
        <w:rPr>
          <w:rFonts w:hint="eastAsia" w:ascii="Times New Roman" w:hAnsi="Times New Roman"/>
          <w:b/>
          <w:bCs/>
          <w:szCs w:val="21"/>
        </w:rPr>
        <w:t>本理财产品的公开信息披露将通过</w:t>
      </w:r>
      <w:r>
        <w:rPr>
          <w:rFonts w:ascii="Times New Roman" w:hAnsi="Times New Roman"/>
          <w:b/>
          <w:bCs/>
          <w:szCs w:val="21"/>
        </w:rPr>
        <w:fldChar w:fldCharType="begin"/>
      </w:r>
      <w:r>
        <w:rPr>
          <w:rFonts w:ascii="Times New Roman" w:hAnsi="Times New Roman"/>
          <w:b/>
          <w:bCs/>
          <w:szCs w:val="21"/>
        </w:rPr>
        <w:instrText xml:space="preserve"> HYPERLINK "http://" </w:instrText>
      </w:r>
      <w:r>
        <w:rPr>
          <w:rFonts w:ascii="Times New Roman" w:hAnsi="Times New Roman"/>
          <w:b/>
          <w:bCs/>
          <w:szCs w:val="21"/>
        </w:rP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电子销售渠道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w:t>
      </w:r>
      <w:r>
        <w:rPr>
          <w:rFonts w:ascii="Times New Roman" w:hAnsi="Times New Roman"/>
          <w:szCs w:val="21"/>
        </w:rPr>
        <w:t>5</w:t>
      </w:r>
      <w:r>
        <w:rPr>
          <w:rFonts w:hint="eastAsia" w:ascii="Times New Roman" w:hAnsi="Times New Roman"/>
          <w:szCs w:val="21"/>
        </w:rPr>
        <w:t>个工作日内公布本产品发行公告。</w:t>
      </w:r>
    </w:p>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w:t>
      </w:r>
      <w:r>
        <w:rPr>
          <w:rFonts w:ascii="Times New Roman" w:hAnsi="Times New Roman"/>
          <w:bCs/>
          <w:szCs w:val="21"/>
        </w:rPr>
        <w:t>5</w:t>
      </w:r>
      <w:r>
        <w:rPr>
          <w:rFonts w:hint="eastAsia" w:ascii="Times New Roman" w:hAnsi="Times New Roman"/>
          <w:bCs/>
          <w:szCs w:val="21"/>
        </w:rPr>
        <w:t>个工作日内公布本产品到期公告。</w:t>
      </w:r>
    </w:p>
    <w:p>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、净值公告：渝农商理财有限责任公司在每周五（如遇非工作日顺延至下一个工作日）后的</w:t>
      </w:r>
      <w:r>
        <w:rPr>
          <w:rFonts w:ascii="Times New Roman" w:hAnsi="Times New Roman"/>
          <w:szCs w:val="21"/>
        </w:rPr>
        <w:t>2</w:t>
      </w:r>
      <w:bookmarkStart w:id="54" w:name="_Hlk152882228"/>
      <w:r>
        <w:rPr>
          <w:rFonts w:hint="eastAsia" w:ascii="Times New Roman" w:hAnsi="Times New Roman"/>
          <w:szCs w:val="21"/>
        </w:rPr>
        <w:t>个</w:t>
      </w:r>
      <w:bookmarkEnd w:id="54"/>
      <w:r>
        <w:rPr>
          <w:rFonts w:hint="eastAsia" w:ascii="Times New Roman" w:hAnsi="Times New Roman"/>
          <w:szCs w:val="21"/>
        </w:rPr>
        <w:t>工作日内披露本理财产品的份额净值等。</w:t>
      </w:r>
      <w:r>
        <w:rPr>
          <w:rFonts w:ascii="Times New Roman" w:hAnsi="Times New Roman"/>
          <w:szCs w:val="21"/>
        </w:rPr>
        <w:t xml:space="preserve"> </w:t>
      </w:r>
    </w:p>
    <w:p>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w:t>
      </w:r>
      <w:r>
        <w:rPr>
          <w:rFonts w:ascii="Times New Roman" w:hAnsi="Times New Roman"/>
          <w:bCs/>
          <w:szCs w:val="21"/>
        </w:rPr>
        <w:t>15</w:t>
      </w:r>
      <w:r>
        <w:rPr>
          <w:rFonts w:hint="eastAsia" w:ascii="Times New Roman" w:hAnsi="Times New Roman"/>
          <w:bCs/>
          <w:szCs w:val="21"/>
        </w:rPr>
        <w:t>个工作日内公布上季度末产品的季度报告，在上半年结束之日起</w:t>
      </w:r>
      <w:r>
        <w:rPr>
          <w:rFonts w:ascii="Times New Roman" w:hAnsi="Times New Roman"/>
          <w:bCs/>
          <w:szCs w:val="21"/>
        </w:rPr>
        <w:t>60</w:t>
      </w:r>
      <w:r>
        <w:rPr>
          <w:rFonts w:hint="eastAsia" w:ascii="Times New Roman" w:hAnsi="Times New Roman"/>
          <w:bCs/>
          <w:szCs w:val="21"/>
        </w:rPr>
        <w:t>个工作日内公布产品半年度报告，在每年结束之日起</w:t>
      </w:r>
      <w:r>
        <w:rPr>
          <w:rFonts w:ascii="Times New Roman" w:hAnsi="Times New Roman"/>
          <w:bCs/>
          <w:szCs w:val="21"/>
        </w:rPr>
        <w:t>90</w:t>
      </w:r>
      <w:r>
        <w:rPr>
          <w:rFonts w:hint="eastAsia" w:ascii="Times New Roman" w:hAnsi="Times New Roman"/>
          <w:bCs/>
          <w:szCs w:val="21"/>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rPr>
        <w:t>90</w:t>
      </w:r>
      <w:r>
        <w:rPr>
          <w:rFonts w:hint="eastAsia" w:ascii="Times New Roman" w:hAnsi="Times New Roman"/>
          <w:bCs/>
          <w:szCs w:val="21"/>
        </w:rPr>
        <w:t>个工作日或者剩余存续期不超过</w:t>
      </w:r>
      <w:r>
        <w:rPr>
          <w:rFonts w:ascii="Times New Roman" w:hAnsi="Times New Roman"/>
          <w:bCs/>
          <w:szCs w:val="21"/>
        </w:rPr>
        <w:t>90</w:t>
      </w:r>
      <w:r>
        <w:rPr>
          <w:rFonts w:hint="eastAsia" w:ascii="Times New Roman" w:hAnsi="Times New Roman"/>
          <w:bCs/>
          <w:szCs w:val="21"/>
        </w:rPr>
        <w:t>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w:t>
      </w:r>
      <w:r>
        <w:rPr>
          <w:rFonts w:ascii="Times New Roman" w:hAnsi="Times New Roman"/>
          <w:bCs/>
          <w:szCs w:val="21"/>
        </w:rPr>
        <w:t>2</w:t>
      </w:r>
      <w:r>
        <w:rPr>
          <w:rFonts w:hint="eastAsia" w:ascii="Times New Roman" w:hAnsi="Times New Roman"/>
          <w:bCs/>
          <w:szCs w:val="21"/>
        </w:rPr>
        <w:t>个工作日内发布重大事项公告。</w:t>
      </w:r>
    </w:p>
    <w:p>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、临时性信息披露：若发生理财产品不成立、变更募集期、提前终止、规模调整等经</w:t>
      </w:r>
      <w:r>
        <w:rPr>
          <w:rFonts w:hint="eastAsia" w:ascii="Times New Roman" w:hAnsi="Times New Roman"/>
          <w:szCs w:val="21"/>
        </w:rPr>
        <w:t>渝农商理财有限责任公司</w:t>
      </w:r>
      <w:r>
        <w:rPr>
          <w:rFonts w:hint="eastAsia" w:ascii="Times New Roman" w:hAnsi="Times New Roman"/>
          <w:bCs/>
          <w:szCs w:val="21"/>
        </w:rPr>
        <w:t>判断可能对投资者产生影响的事项时，或按法律法规、监管政策规定必须披露的，</w:t>
      </w:r>
      <w:r>
        <w:rPr>
          <w:rFonts w:hint="eastAsia" w:ascii="Times New Roman" w:hAnsi="Times New Roman"/>
          <w:szCs w:val="21"/>
        </w:rPr>
        <w:t>渝农商理财有限责任公司</w:t>
      </w:r>
      <w:r>
        <w:rPr>
          <w:rFonts w:hint="eastAsia" w:ascii="Times New Roman" w:hAnsi="Times New Roman"/>
          <w:bCs/>
          <w:szCs w:val="21"/>
        </w:rPr>
        <w:t>将及时进行临时信息披露。</w:t>
      </w:r>
    </w:p>
    <w:p>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pPr>
        <w:spacing w:line="276" w:lineRule="auto"/>
        <w:ind w:firstLine="420"/>
        <w:rPr>
          <w:rFonts w:ascii="Times New Roman" w:hAnsi="Times New Roman"/>
          <w:bCs/>
          <w:szCs w:val="21"/>
        </w:rPr>
      </w:pPr>
      <w:bookmarkStart w:id="55" w:name="_Hlk38481213"/>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pPr>
        <w:spacing w:line="276" w:lineRule="auto"/>
        <w:ind w:firstLine="42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w:t>
      </w:r>
      <w:r>
        <w:rPr>
          <w:rFonts w:ascii="Times New Roman" w:hAnsi="Times New Roman"/>
          <w:bCs/>
          <w:szCs w:val="21"/>
        </w:rPr>
        <w:t>30</w:t>
      </w:r>
      <w:r>
        <w:rPr>
          <w:rFonts w:hint="eastAsia" w:ascii="Times New Roman" w:hAnsi="Times New Roman"/>
          <w:bCs/>
          <w:szCs w:val="21"/>
        </w:rPr>
        <w:t>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pPr>
        <w:spacing w:line="276" w:lineRule="auto"/>
        <w:ind w:firstLine="420"/>
        <w:rPr>
          <w:rFonts w:ascii="Times New Roman" w:hAnsi="Times New Roman"/>
          <w:szCs w:val="21"/>
        </w:rPr>
      </w:pPr>
      <w:r>
        <w:rPr>
          <w:rFonts w:hint="eastAsia" w:ascii="Times New Roman" w:hAnsi="Times New Roman"/>
          <w:szCs w:val="21"/>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szCs w:val="21"/>
        </w:rPr>
      </w:pPr>
      <w:r>
        <w:rPr>
          <w:rFonts w:hint="eastAsia" w:ascii="Times New Roman" w:hAnsi="Times New Roman"/>
          <w:szCs w:val="21"/>
        </w:rPr>
        <w:t>（四）渝农商理财有限责任公司统一社会信用代码【</w:t>
      </w:r>
      <w:r>
        <w:rPr>
          <w:rFonts w:ascii="Times New Roman" w:hAnsi="Times New Roman"/>
          <w:szCs w:val="21"/>
        </w:rPr>
        <w:t>91500105MA610TKW7P</w:t>
      </w:r>
      <w:r>
        <w:rPr>
          <w:rFonts w:hint="eastAsia" w:ascii="Times New Roman" w:hAnsi="Times New Roman"/>
          <w:szCs w:val="21"/>
        </w:rPr>
        <w:t>】</w:t>
      </w:r>
      <w:r>
        <w:rPr>
          <w:rFonts w:hint="eastAsia" w:ascii="Times New Roman" w:hAnsi="Times New Roman"/>
          <w:color w:val="000000"/>
          <w:kern w:val="0"/>
          <w:szCs w:val="21"/>
        </w:rPr>
        <w:t>；</w:t>
      </w:r>
      <w:r>
        <w:rPr>
          <w:rFonts w:hint="eastAsia" w:ascii="Times New Roman" w:hAnsi="Times New Roman"/>
          <w:szCs w:val="21"/>
        </w:rPr>
        <w:t>渝农商理财有限责任公司金融机构代码【</w:t>
      </w:r>
      <w:r>
        <w:rPr>
          <w:rFonts w:ascii="Times New Roman" w:hAnsi="Times New Roman"/>
          <w:szCs w:val="21"/>
        </w:rPr>
        <w:t>Z0028H250000001</w:t>
      </w:r>
      <w:r>
        <w:rPr>
          <w:rFonts w:hint="eastAsia" w:ascii="Times New Roman" w:hAnsi="Times New Roman"/>
          <w:szCs w:val="21"/>
        </w:rPr>
        <w:t>】。</w:t>
      </w:r>
    </w:p>
    <w:p>
      <w:pPr>
        <w:spacing w:line="276" w:lineRule="auto"/>
        <w:ind w:firstLine="420"/>
        <w:rPr>
          <w:rFonts w:ascii="Times New Roman" w:hAnsi="Times New Roman"/>
          <w:b/>
          <w:bCs/>
          <w:szCs w:val="21"/>
        </w:rPr>
      </w:pPr>
      <w:r>
        <w:rPr>
          <w:rFonts w:hint="eastAsia" w:ascii="Times New Roman" w:hAnsi="Times New Roman"/>
          <w:b/>
          <w:bCs/>
          <w:szCs w:val="21"/>
        </w:rPr>
        <w:t>（五）如需咨询或投诉请通过投资者权益须知上载明的渠道反馈。</w:t>
      </w:r>
    </w:p>
    <w:bookmarkEnd w:id="55"/>
    <w:p>
      <w:pPr>
        <w:spacing w:line="276" w:lineRule="auto"/>
        <w:rPr>
          <w:rFonts w:ascii="Times New Roman" w:hAnsi="Times New Roman"/>
          <w:szCs w:val="21"/>
        </w:rPr>
      </w:pPr>
    </w:p>
    <w:p>
      <w:pPr>
        <w:spacing w:line="276" w:lineRule="auto"/>
        <w:ind w:firstLine="5565" w:firstLineChars="2650"/>
        <w:rPr>
          <w:rFonts w:ascii="Times New Roman" w:hAnsi="Times New Roman"/>
          <w:kern w:val="0"/>
          <w:szCs w:val="21"/>
        </w:rPr>
      </w:pPr>
    </w:p>
    <w:p>
      <w:pPr>
        <w:spacing w:line="276" w:lineRule="auto"/>
        <w:rPr>
          <w:rFonts w:ascii="Times New Roman" w:hAnsi="Times New Roman"/>
          <w:szCs w:val="21"/>
        </w:rPr>
      </w:pPr>
      <w:r>
        <w:rPr>
          <w:rFonts w:hint="eastAsia" w:ascii="Times New Roman" w:hAnsi="Times New Roman"/>
          <w:szCs w:val="21"/>
        </w:rPr>
        <w:t>个人投资者签字：</w:t>
      </w:r>
    </w:p>
    <w:p>
      <w:pPr>
        <w:spacing w:line="276" w:lineRule="auto"/>
        <w:rPr>
          <w:rFonts w:ascii="Times New Roman" w:hAnsi="Times New Roman"/>
          <w:szCs w:val="21"/>
        </w:rPr>
      </w:pPr>
    </w:p>
    <w:p>
      <w:pPr>
        <w:spacing w:line="276" w:lineRule="auto"/>
        <w:rPr>
          <w:rFonts w:ascii="Times New Roman" w:hAnsi="Times New Roman"/>
          <w:szCs w:val="21"/>
        </w:rPr>
      </w:pPr>
      <w:r>
        <w:rPr>
          <w:rFonts w:hint="eastAsia" w:ascii="Times New Roman" w:hAnsi="Times New Roman"/>
          <w:szCs w:val="21"/>
        </w:rPr>
        <w:t>机构投资者（盖章）：</w:t>
      </w:r>
    </w:p>
    <w:p>
      <w:pPr>
        <w:spacing w:line="276" w:lineRule="auto"/>
        <w:rPr>
          <w:rFonts w:ascii="Times New Roman" w:hAnsi="Times New Roman"/>
          <w:szCs w:val="21"/>
        </w:rPr>
      </w:pPr>
    </w:p>
    <w:p>
      <w:pPr>
        <w:spacing w:line="276" w:lineRule="auto"/>
        <w:rPr>
          <w:rFonts w:ascii="Times New Roman" w:hAnsi="Times New Roman"/>
          <w:szCs w:val="21"/>
        </w:rPr>
      </w:pPr>
      <w:r>
        <w:rPr>
          <w:rFonts w:hint="eastAsia" w:ascii="Times New Roman" w:hAnsi="Times New Roman"/>
          <w:szCs w:val="21"/>
        </w:rPr>
        <w:t>机构投资者法定代表人或授权代表（签字或盖章）</w:t>
      </w:r>
      <w:r>
        <w:rPr>
          <w:rFonts w:ascii="Times New Roman" w:hAnsi="Times New Roman"/>
          <w:szCs w:val="21"/>
        </w:rPr>
        <w:t>:</w:t>
      </w:r>
    </w:p>
    <w:p>
      <w:pPr>
        <w:spacing w:line="276" w:lineRule="auto"/>
        <w:rPr>
          <w:rFonts w:ascii="Times New Roman" w:hAnsi="Times New Roman"/>
          <w:szCs w:val="21"/>
        </w:rPr>
      </w:pPr>
      <w:r>
        <w:rPr>
          <w:rFonts w:hint="eastAsia" w:ascii="Times New Roman" w:hAnsi="Times New Roman"/>
          <w:szCs w:val="21"/>
        </w:rPr>
        <w:t>日期：</w:t>
      </w:r>
    </w:p>
    <w:p>
      <w:pPr>
        <w:spacing w:line="276" w:lineRule="auto"/>
        <w:rPr>
          <w:rFonts w:ascii="Times New Roman" w:hAnsi="Times New Roman"/>
          <w:szCs w:val="21"/>
        </w:rPr>
      </w:pPr>
    </w:p>
    <w:p/>
    <w:p/>
    <w:p>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pPr>
        <w:snapToGrid w:val="0"/>
        <w:spacing w:line="276" w:lineRule="auto"/>
        <w:jc w:val="center"/>
        <w:rPr>
          <w:rFonts w:ascii="宋体" w:hAnsi="宋体"/>
          <w:b/>
          <w:sz w:val="30"/>
          <w:szCs w:val="30"/>
        </w:rPr>
      </w:pPr>
      <w:r>
        <w:rPr>
          <w:rFonts w:hint="eastAsia" w:ascii="宋体" w:hAnsi="宋体"/>
          <w:b/>
          <w:sz w:val="30"/>
          <w:szCs w:val="30"/>
        </w:rPr>
        <w:t>理财产品投资协议书</w:t>
      </w:r>
    </w:p>
    <w:p>
      <w:pPr>
        <w:snapToGrid w:val="0"/>
        <w:spacing w:line="276" w:lineRule="auto"/>
        <w:jc w:val="center"/>
        <w:rPr>
          <w:rFonts w:ascii="仿宋_GB2312" w:hAnsi="Times New Roman" w:eastAsia="仿宋_GB2312"/>
          <w:szCs w:val="21"/>
        </w:rPr>
      </w:pPr>
    </w:p>
    <w:p>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56" w:name="_Hlk76411382"/>
      <w:r>
        <w:rPr>
          <w:rFonts w:hint="eastAsia" w:ascii="宋体" w:hAnsi="宋体"/>
          <w:szCs w:val="21"/>
        </w:rPr>
        <w:t>、反恐怖融资活动及非居民金融账户涉税信息尽职调查</w:t>
      </w:r>
      <w:bookmarkEnd w:id="56"/>
      <w:r>
        <w:rPr>
          <w:rFonts w:hint="eastAsia" w:ascii="宋体" w:hAnsi="宋体"/>
          <w:szCs w:val="21"/>
        </w:rPr>
        <w:t>，及时、真实、准确、完整提供身份信息及资金来源等信息。</w:t>
      </w:r>
    </w:p>
    <w:p>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57" w:name="_Hlk46953337"/>
      <w:r>
        <w:rPr>
          <w:rFonts w:hint="eastAsia" w:ascii="宋体" w:hAnsi="宋体"/>
          <w:szCs w:val="21"/>
        </w:rPr>
        <w:t>方进行理财产品份额的收益分配和资金清算分配并将</w:t>
      </w:r>
      <w:bookmarkEnd w:id="57"/>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58" w:name="_Hlk46953385"/>
      <w:r>
        <w:rPr>
          <w:rFonts w:hint="eastAsia" w:ascii="宋体" w:hAnsi="宋体"/>
          <w:b/>
          <w:bCs/>
          <w:szCs w:val="21"/>
        </w:rPr>
        <w:t>将从追索回来的款项中优先扣除</w:t>
      </w:r>
      <w:bookmarkEnd w:id="58"/>
      <w:r>
        <w:rPr>
          <w:rFonts w:hint="eastAsia" w:ascii="宋体" w:hAnsi="宋体"/>
          <w:szCs w:val="21"/>
        </w:rPr>
        <w:t>。</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59" w:name="_Hlk155300765"/>
      <w:r>
        <w:rPr>
          <w:rFonts w:hint="eastAsia" w:ascii="宋体" w:hAnsi="宋体"/>
          <w:szCs w:val="21"/>
        </w:rPr>
        <w:t>如双方对协议份数另有要求的，经双方协商一致并签署生效后亦具有同等法律效力</w:t>
      </w:r>
      <w:bookmarkEnd w:id="59"/>
      <w:r>
        <w:rPr>
          <w:rFonts w:hint="eastAsia" w:ascii="宋体" w:hAnsi="宋体"/>
          <w:szCs w:val="21"/>
        </w:rPr>
        <w:t>。</w:t>
      </w:r>
    </w:p>
    <w:p>
      <w:pPr>
        <w:spacing w:line="276" w:lineRule="auto"/>
        <w:ind w:right="840" w:firstLine="422" w:firstLineChars="200"/>
        <w:rPr>
          <w:rFonts w:hint="eastAsia" w:ascii="宋体"/>
          <w:b/>
          <w:bCs/>
          <w:szCs w:val="21"/>
        </w:rPr>
      </w:pPr>
      <w:r>
        <w:rPr>
          <w:rFonts w:hint="eastAsia" w:ascii="宋体"/>
          <w:b/>
          <w:bCs/>
          <w:szCs w:val="21"/>
        </w:rPr>
        <w:t>八、法律适用与争议解决</w:t>
      </w:r>
    </w:p>
    <w:p>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pPr>
        <w:autoSpaceDE w:val="0"/>
        <w:autoSpaceDN w:val="0"/>
        <w:adjustRightInd w:val="0"/>
        <w:snapToGrid w:val="0"/>
        <w:spacing w:line="276" w:lineRule="auto"/>
        <w:ind w:firstLine="420" w:firstLineChars="200"/>
        <w:rPr>
          <w:rFonts w:ascii="宋体" w:hAnsi="宋体"/>
          <w:szCs w:val="21"/>
        </w:rPr>
      </w:pPr>
    </w:p>
    <w:p>
      <w:pPr>
        <w:autoSpaceDE w:val="0"/>
        <w:autoSpaceDN w:val="0"/>
        <w:adjustRightInd w:val="0"/>
        <w:snapToGrid w:val="0"/>
        <w:spacing w:line="276" w:lineRule="auto"/>
        <w:ind w:firstLine="420" w:firstLineChars="200"/>
        <w:rPr>
          <w:rFonts w:hint="eastAsia" w:ascii="宋体" w:hAnsi="宋体"/>
          <w:szCs w:val="21"/>
        </w:rPr>
      </w:pPr>
    </w:p>
    <w:p>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pPr>
        <w:spacing w:line="276" w:lineRule="auto"/>
        <w:rPr>
          <w:rFonts w:ascii="Times New Roman" w:hAnsi="Times New Roman" w:cs="Arial"/>
          <w:szCs w:val="21"/>
        </w:rPr>
      </w:pPr>
    </w:p>
    <w:p>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pPr>
        <w:spacing w:line="276" w:lineRule="auto"/>
        <w:rPr>
          <w:rFonts w:ascii="Times New Roman" w:hAnsi="Times New Roman" w:cs="Arial"/>
          <w:szCs w:val="21"/>
        </w:rPr>
      </w:pPr>
    </w:p>
    <w:p>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pPr>
        <w:spacing w:line="276" w:lineRule="auto"/>
        <w:rPr>
          <w:rFonts w:ascii="Times New Roman" w:hAnsi="Times New Roman" w:cs="Arial"/>
          <w:szCs w:val="21"/>
        </w:rPr>
      </w:pPr>
    </w:p>
    <w:p>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渝农商理财有限责任公司</w:t>
      </w:r>
    </w:p>
    <w:p>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理财产品投资者权益须知</w:t>
      </w:r>
    </w:p>
    <w:p>
      <w:pPr>
        <w:spacing w:line="276" w:lineRule="auto"/>
        <w:rPr>
          <w:rFonts w:ascii="Times New Roman" w:hAnsi="Times New Roman" w:eastAsia="宋体"/>
          <w:szCs w:val="21"/>
        </w:rPr>
      </w:pPr>
    </w:p>
    <w:p>
      <w:pPr>
        <w:spacing w:line="276" w:lineRule="auto"/>
        <w:rPr>
          <w:rFonts w:ascii="Times New Roman" w:hAnsi="Times New Roman" w:eastAsia="宋体"/>
          <w:szCs w:val="21"/>
        </w:rPr>
      </w:pPr>
      <w:r>
        <w:rPr>
          <w:rFonts w:hint="eastAsia" w:ascii="Times New Roman" w:hAnsi="Times New Roman" w:eastAsia="宋体"/>
          <w:szCs w:val="21"/>
        </w:rPr>
        <w:t>尊敬的投资者：</w:t>
      </w:r>
    </w:p>
    <w:p>
      <w:pPr>
        <w:spacing w:line="276" w:lineRule="auto"/>
        <w:ind w:firstLine="422" w:firstLineChars="200"/>
        <w:rPr>
          <w:rFonts w:ascii="Times New Roman" w:hAnsi="Times New Roman" w:eastAsia="宋体"/>
          <w:b/>
          <w:bCs/>
          <w:szCs w:val="21"/>
        </w:rPr>
      </w:pPr>
      <w:r>
        <w:rPr>
          <w:rFonts w:hint="eastAsia" w:ascii="Times New Roman" w:hAnsi="Times New Roman" w:eastAsia="宋体"/>
          <w:b/>
          <w:bCs/>
          <w:szCs w:val="21"/>
        </w:rPr>
        <w:t>理财非存款，产品有风险，投资须谨慎。</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感谢您购买渝农商理财有限责任公司（以下简称“本公司”或“产品管理人”）的理财产品，请仔细阅读本《投资者权益须知》，行使您在本业务项下的权益。</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一、您投资的理财产品由渝农商理财有限责任公司发行与管理，</w:t>
      </w:r>
      <w:r>
        <w:rPr>
          <w:rFonts w:hint="eastAsia" w:ascii="Times New Roman" w:hAnsi="Times New Roman" w:eastAsia="宋体"/>
          <w:bCs/>
          <w:szCs w:val="21"/>
          <w:highlight w:val="none"/>
        </w:rPr>
        <w:t>海南银行股份有限公司</w:t>
      </w:r>
      <w:r>
        <w:rPr>
          <w:rFonts w:hint="eastAsia"/>
        </w:rPr>
        <w:t>仅为理财产品的代理销售机构，</w:t>
      </w:r>
      <w:r>
        <w:rPr>
          <w:rFonts w:hint="eastAsia" w:ascii="Times New Roman" w:hAnsi="Times New Roman" w:eastAsia="宋体"/>
          <w:bCs/>
          <w:szCs w:val="21"/>
        </w:rPr>
        <w:t>非理财产品的发行机构与管理机构。</w:t>
      </w:r>
      <w:r>
        <w:rPr>
          <w:rFonts w:hint="eastAsia" w:ascii="Times New Roman" w:hAnsi="Times New Roman" w:eastAsia="宋体"/>
          <w:b/>
          <w:szCs w:val="21"/>
        </w:rPr>
        <w:t>为保障您的合法权益，请您在进行投资时，警惕任何人与机构假借本公司理财产品之名推介、推销其他类型金融产品。</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您投资的理财产品可能产生风险，在发生最不利情况下（可能但并不一定发生），您可能无法取得收益，并可能面临损失本金的风险，</w:t>
      </w:r>
      <w:r>
        <w:rPr>
          <w:rFonts w:hint="eastAsia" w:ascii="Times New Roman" w:hAnsi="Times New Roman" w:eastAsia="宋体"/>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二、理财产品购买流程</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（一）开立或持有代理销售机构账户，该账户用于本产品的理财资金划转及兑付，您应确保持有本产品期间所指定账户不做销户。</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（二）接受并完成代理销售机构对个人投资者的风险承受能力评估。为了及时更新您的财务状况，明确您的投资目标，</w:t>
      </w:r>
      <w:r>
        <w:rPr>
          <w:rFonts w:hint="eastAsia" w:ascii="Times New Roman" w:hAnsi="Times New Roman" w:eastAsia="宋体"/>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宋体"/>
          <w:bCs/>
          <w:szCs w:val="21"/>
        </w:rPr>
        <w:t>请您根据风险承受能力评估结果选择与您风险承受能力相匹配的理财产品。</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w:t>
      </w:r>
      <w:bookmarkStart w:id="60" w:name="_Hlk46953554"/>
      <w:r>
        <w:rPr>
          <w:rFonts w:hint="eastAsia" w:ascii="Times New Roman" w:hAnsi="Times New Roman" w:eastAsia="宋体"/>
          <w:b/>
          <w:szCs w:val="21"/>
        </w:rPr>
        <w:t>请仔细阅读《理财产品投资协议书》</w:t>
      </w:r>
      <w:bookmarkEnd w:id="60"/>
      <w:r>
        <w:rPr>
          <w:rFonts w:hint="eastAsia" w:ascii="Times New Roman" w:hAnsi="Times New Roman" w:eastAsia="宋体"/>
          <w:b/>
          <w:szCs w:val="21"/>
        </w:rPr>
        <w:t>、《销售（代理销售）协议书》、《理财产品说明书》、《风险揭示书》、《投资者权益须知》以及其他有关文件（如有），确认已同意相关内容、充分了解相关风险并无疑问和异议后，签署相关销售文件，并办理购买手续。</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（四）代理销售机构营业网点、电子渠道（包括但不限于网上银行、手机银行等）可办理理财产品的购买手续，请以代理销售机构最终实际发售渠道为准。</w:t>
      </w:r>
    </w:p>
    <w:p>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三、关于风险承受能力评估</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bCs w:val="0"/>
          <w:szCs w:val="21"/>
        </w:rPr>
        <w:t>个人投资者应仔细阅读、填写风险评估问卷，以准确反映您的风险承受能力。</w:t>
      </w:r>
      <w:r>
        <w:rPr>
          <w:rFonts w:hint="eastAsia" w:ascii="Times New Roman" w:hAnsi="Times New Roman" w:eastAsia="宋体"/>
          <w:bCs/>
          <w:szCs w:val="21"/>
        </w:rPr>
        <w:t>风险评估问卷的填写、评分过程是代理销售机构对个人投资者风险承受能力的评估过程。</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根据风险承受能力的不同，理财产品投资者可以分为以下几类。</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保守型投资者：</w:t>
      </w:r>
      <w:r>
        <w:rPr>
          <w:rFonts w:hint="eastAsia" w:ascii="Times New Roman" w:hAnsi="Times New Roman" w:eastAsia="宋体"/>
          <w:bCs/>
          <w:szCs w:val="21"/>
        </w:rPr>
        <w:t>不希望自己的投资本金承担风险，对任何短期波动都会感到不安，不愿意通过承担风险换取额外收益，您适合投资于本公司风险评级为一级的理财产品。</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稳健型投资者：</w:t>
      </w:r>
      <w:r>
        <w:rPr>
          <w:rFonts w:hint="eastAsia" w:ascii="Times New Roman" w:hAnsi="Times New Roman" w:eastAsia="宋体"/>
          <w:bCs/>
          <w:szCs w:val="21"/>
        </w:rPr>
        <w:t>不希望自己的投资本金承担风险，愿意通过承担较小的风险获取更高的收益，您适合投资于本公司风险评级为二级及以下的理财产品。</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平衡型投资者：</w:t>
      </w:r>
      <w:r>
        <w:rPr>
          <w:rFonts w:hint="eastAsia" w:ascii="Times New Roman" w:hAnsi="Times New Roman" w:eastAsia="宋体"/>
          <w:bCs/>
          <w:szCs w:val="21"/>
        </w:rPr>
        <w:t>愿意承担中等的投资风险和波动，愿意接受随时出现的短期损失，以期获得更高的投资收益</w:t>
      </w:r>
      <w:r>
        <w:rPr>
          <w:rFonts w:hint="eastAsia" w:ascii="Times New Roman" w:hAnsi="Times New Roman" w:eastAsia="宋体"/>
          <w:szCs w:val="21"/>
        </w:rPr>
        <w:t>，</w:t>
      </w:r>
      <w:r>
        <w:rPr>
          <w:rFonts w:hint="eastAsia" w:ascii="Times New Roman" w:hAnsi="Times New Roman" w:eastAsia="宋体"/>
          <w:bCs/>
          <w:szCs w:val="21"/>
        </w:rPr>
        <w:t>您适合投资于本公司风险评级为三级及以下的理财产品。</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highlight w:val="none"/>
        </w:rPr>
        <w:t>积极型投资者：</w:t>
      </w:r>
      <w:r>
        <w:rPr>
          <w:rFonts w:hint="eastAsia" w:ascii="Times New Roman" w:hAnsi="Times New Roman" w:eastAsia="宋体"/>
          <w:bCs/>
          <w:szCs w:val="21"/>
          <w:highlight w:val="none"/>
        </w:rPr>
        <w:t>愿意承担较高的投资风险和本金损失来获取更高的投资收益</w:t>
      </w:r>
      <w:r>
        <w:rPr>
          <w:rFonts w:hint="eastAsia" w:ascii="Times New Roman" w:hAnsi="Times New Roman" w:eastAsia="宋体"/>
          <w:szCs w:val="21"/>
          <w:highlight w:val="none"/>
        </w:rPr>
        <w:t>，</w:t>
      </w:r>
      <w:r>
        <w:rPr>
          <w:rFonts w:hint="eastAsia" w:ascii="Times New Roman" w:hAnsi="Times New Roman" w:eastAsia="宋体"/>
          <w:bCs/>
          <w:szCs w:val="21"/>
          <w:highlight w:val="none"/>
        </w:rPr>
        <w:t>您适合投资于本公司风险评级为四级及以下的理财产品。</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激进型投资者：</w:t>
      </w:r>
      <w:r>
        <w:rPr>
          <w:rFonts w:hint="eastAsia" w:ascii="Times New Roman" w:hAnsi="Times New Roman" w:eastAsia="宋体"/>
          <w:bCs/>
          <w:szCs w:val="21"/>
        </w:rPr>
        <w:t>愿意承担高的投资风险和大幅波动，且愿意通过承担几乎所有本金损失的风险来博取更高的投资回报，您适合投资于本公司风险评级为五级及以下的理财产品。</w:t>
      </w:r>
    </w:p>
    <w:p>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以上分类为产品管理人内部设置的标准，仅供参考。</w:t>
      </w:r>
      <w:r>
        <w:rPr>
          <w:rFonts w:hint="eastAsia" w:ascii="Times New Roman" w:hAnsi="Times New Roman" w:eastAsia="宋体"/>
          <w:b/>
          <w:szCs w:val="21"/>
        </w:rPr>
        <w:t>理财产品通过代理销售机构渠道销售的，理财产品评级应当以代理销售机构最终披露的评级结果为准。</w:t>
      </w:r>
    </w:p>
    <w:p>
      <w:pPr>
        <w:spacing w:line="276" w:lineRule="auto"/>
        <w:ind w:right="-159" w:firstLine="422" w:firstLineChars="200"/>
        <w:rPr>
          <w:rFonts w:ascii="Times New Roman" w:hAnsi="Times New Roman" w:eastAsia="宋体"/>
          <w:b/>
          <w:szCs w:val="21"/>
        </w:rPr>
      </w:pPr>
      <w:r>
        <w:rPr>
          <w:rFonts w:hint="eastAsia" w:ascii="Times New Roman" w:hAnsi="Times New Roman" w:eastAsia="宋体"/>
          <w:b/>
          <w:szCs w:val="21"/>
        </w:rPr>
        <w:t>风险评估的有效期为</w:t>
      </w:r>
      <w:r>
        <w:rPr>
          <w:rFonts w:ascii="Times New Roman" w:hAnsi="Times New Roman" w:eastAsia="宋体"/>
          <w:b/>
          <w:szCs w:val="21"/>
        </w:rPr>
        <w:t>1</w:t>
      </w:r>
      <w:r>
        <w:rPr>
          <w:rFonts w:hint="eastAsia" w:ascii="Times New Roman" w:hAnsi="Times New Roman" w:eastAsia="宋体"/>
          <w:b/>
          <w:szCs w:val="21"/>
        </w:rPr>
        <w:t>年，超过</w:t>
      </w:r>
      <w:r>
        <w:rPr>
          <w:rFonts w:ascii="Times New Roman" w:hAnsi="Times New Roman" w:eastAsia="宋体"/>
          <w:b/>
          <w:szCs w:val="21"/>
        </w:rPr>
        <w:t>1</w:t>
      </w:r>
      <w:r>
        <w:rPr>
          <w:rFonts w:hint="eastAsia" w:ascii="Times New Roman" w:hAnsi="Times New Roman" w:eastAsia="宋体"/>
          <w:b/>
          <w:szCs w:val="21"/>
        </w:rPr>
        <w:t>年未进行风险承受能力评估或发生可能影响自身风险承受能力的情况，必须重新完成风险承受能力评估。</w:t>
      </w:r>
    </w:p>
    <w:p>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四、关于理财产品信息披露</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本公司将以公告或与客户约定的形式进行理财产品信息披露。</w:t>
      </w:r>
    </w:p>
    <w:p>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本公司理财产品信息披露的渠道包括但不限于：渝农商理财有限责任公司网站（</w:t>
      </w:r>
      <w:r>
        <w:rPr>
          <w:rFonts w:ascii="Times New Roman" w:hAnsi="Times New Roman" w:eastAsia="宋体"/>
          <w:b/>
          <w:szCs w:val="21"/>
        </w:rPr>
        <w:t>wm.cqrcb.com</w:t>
      </w:r>
      <w:r>
        <w:rPr>
          <w:rFonts w:hint="eastAsia" w:ascii="Times New Roman" w:hAnsi="Times New Roman" w:eastAsia="宋体"/>
          <w:b/>
          <w:szCs w:val="21"/>
        </w:rPr>
        <w:t>）、代理销售机构网站、营业网点、手机银行、网上银行等渠道，以及其他法律法规规定或与客户约定的形式</w:t>
      </w:r>
      <w:r>
        <w:rPr>
          <w:rFonts w:hint="eastAsia" w:ascii="Times New Roman" w:hAnsi="Times New Roman" w:eastAsia="宋体"/>
          <w:b/>
          <w:bCs w:val="0"/>
          <w:szCs w:val="21"/>
        </w:rPr>
        <w:t>；具体信息披露渠道和频率遵循《理财产品说明书》的约定。</w:t>
      </w:r>
      <w:r>
        <w:rPr>
          <w:rFonts w:hint="eastAsia" w:ascii="Times New Roman" w:hAnsi="Times New Roman" w:eastAsia="宋体"/>
          <w:bCs/>
          <w:szCs w:val="21"/>
        </w:rPr>
        <w:t>信息披露的渠道如需变更，本公司将通过公告或与客户约定的形式告知。</w:t>
      </w:r>
    </w:p>
    <w:p>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五、关于投诉与建议</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投资者对理财产品有任何投诉与建议，可通过以下渠道反映：</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（一）代理销售机构的工作人员；</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（二）代理销售机构客户服务热线：</w:t>
      </w:r>
      <w:r>
        <w:rPr>
          <w:rFonts w:hint="eastAsia" w:ascii="Times New Roman" w:hAnsi="Times New Roman" w:eastAsia="宋体"/>
          <w:bCs/>
          <w:szCs w:val="21"/>
          <w:highlight w:val="none"/>
        </w:rPr>
        <w:t>海南银行股份有限公司客户服务热线（0898-96566）</w:t>
      </w:r>
      <w:r>
        <w:rPr>
          <w:rFonts w:hint="eastAsia" w:ascii="Times New Roman" w:hAnsi="Times New Roman" w:eastAsia="宋体"/>
          <w:bCs/>
          <w:szCs w:val="21"/>
          <w:highlight w:val="none"/>
          <w:lang w:eastAsia="zh-CN"/>
        </w:rPr>
        <w:t>，</w:t>
      </w:r>
      <w:r>
        <w:rPr>
          <w:rFonts w:hint="eastAsia" w:ascii="Times New Roman" w:hAnsi="Times New Roman" w:eastAsia="宋体"/>
          <w:bCs/>
          <w:szCs w:val="21"/>
        </w:rPr>
        <w:t>负责受理和处理投资者对代理销售机构理财产品销售业务活动中的相关投诉与建议；</w:t>
      </w:r>
    </w:p>
    <w:p>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pPr>
        <w:spacing w:line="276" w:lineRule="auto"/>
        <w:ind w:right="-159"/>
      </w:pPr>
    </w:p>
    <w:p>
      <w:pPr>
        <w:spacing w:line="276" w:lineRule="auto"/>
        <w:ind w:right="-159"/>
      </w:pPr>
    </w:p>
    <w:p>
      <w:pPr>
        <w:snapToGrid w:val="0"/>
        <w:jc w:val="left"/>
        <w:rPr>
          <w:rFonts w:ascii="Times New Roman" w:hAnsi="Times New Roman" w:eastAsia="宋体"/>
          <w:bCs/>
          <w:szCs w:val="21"/>
        </w:rPr>
      </w:pPr>
      <w:r>
        <w:rPr>
          <w:rFonts w:ascii="Times New Roman" w:hAnsi="Times New Roman" w:eastAsia="宋体"/>
          <w:bCs/>
          <w:szCs w:val="21"/>
        </w:rPr>
        <w:t>【本</w:t>
      </w:r>
      <w:r>
        <w:rPr>
          <w:rFonts w:hint="eastAsia" w:ascii="Times New Roman" w:hAnsi="Times New Roman" w:eastAsia="宋体"/>
          <w:bCs/>
          <w:szCs w:val="21"/>
        </w:rPr>
        <w:t>人/本</w:t>
      </w:r>
      <w:r>
        <w:rPr>
          <w:rFonts w:ascii="Times New Roman" w:hAnsi="Times New Roman" w:eastAsia="宋体"/>
          <w:bCs/>
          <w:szCs w:val="21"/>
        </w:rPr>
        <w:t>机构已阅读并理解前述权益须知】</w:t>
      </w:r>
    </w:p>
    <w:p>
      <w:pPr>
        <w:spacing w:line="276" w:lineRule="auto"/>
        <w:rPr>
          <w:rFonts w:ascii="Times New Roman" w:hAnsi="Times New Roman"/>
          <w:kern w:val="0"/>
          <w:szCs w:val="21"/>
        </w:rPr>
      </w:pPr>
    </w:p>
    <w:p>
      <w:pPr>
        <w:spacing w:line="276" w:lineRule="auto"/>
        <w:rPr>
          <w:rFonts w:ascii="Times New Roman" w:hAnsi="Times New Roman" w:cs="Arial"/>
          <w:szCs w:val="21"/>
        </w:rPr>
      </w:pPr>
      <w:r>
        <w:rPr>
          <w:rFonts w:hint="eastAsia" w:ascii="Times New Roman" w:hAnsi="Times New Roman" w:cs="Arial"/>
          <w:szCs w:val="21"/>
        </w:rPr>
        <w:t>个人投资者签字：</w:t>
      </w:r>
    </w:p>
    <w:p>
      <w:pPr>
        <w:spacing w:line="276" w:lineRule="auto"/>
        <w:rPr>
          <w:rFonts w:ascii="Times New Roman" w:hAnsi="Times New Roman" w:cs="Arial"/>
          <w:szCs w:val="21"/>
        </w:rPr>
      </w:pPr>
    </w:p>
    <w:p>
      <w:pPr>
        <w:spacing w:line="276" w:lineRule="auto"/>
        <w:rPr>
          <w:rFonts w:ascii="Times New Roman" w:hAnsi="Times New Roman" w:cs="Arial"/>
          <w:szCs w:val="21"/>
        </w:rPr>
      </w:pPr>
      <w:r>
        <w:rPr>
          <w:rFonts w:hint="eastAsia" w:ascii="Times New Roman" w:hAnsi="Times New Roman" w:cs="Arial"/>
          <w:szCs w:val="21"/>
        </w:rPr>
        <w:t>机构投资者（盖章）：</w:t>
      </w:r>
    </w:p>
    <w:p>
      <w:pPr>
        <w:spacing w:line="276" w:lineRule="auto"/>
        <w:rPr>
          <w:rFonts w:ascii="Times New Roman" w:hAnsi="Times New Roman" w:cs="Arial"/>
          <w:szCs w:val="21"/>
        </w:rPr>
      </w:pPr>
    </w:p>
    <w:p>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宋体"/>
          <w:szCs w:val="21"/>
        </w:rPr>
        <w:t xml:space="preserve">    </w:t>
      </w:r>
    </w:p>
    <w:p>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pPr>
        <w:snapToGrid w:val="0"/>
        <w:spacing w:line="276" w:lineRule="auto"/>
        <w:jc w:val="center"/>
        <w:rPr>
          <w:rFonts w:ascii="Times New Roman" w:hAnsi="Times New Roman" w:eastAsia="仿宋_GB2312"/>
          <w:szCs w:val="21"/>
        </w:rPr>
      </w:pPr>
    </w:p>
    <w:p>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pPr>
        <w:autoSpaceDE w:val="0"/>
        <w:autoSpaceDN w:val="0"/>
        <w:adjustRightInd w:val="0"/>
        <w:snapToGrid w:val="0"/>
        <w:spacing w:line="276" w:lineRule="auto"/>
        <w:ind w:firstLine="420" w:firstLineChars="200"/>
        <w:rPr>
          <w:rFonts w:ascii="Times New Roman" w:hAnsi="Times New Roman"/>
          <w:szCs w:val="21"/>
          <w:highlight w:val="none"/>
        </w:rPr>
      </w:pPr>
    </w:p>
    <w:p>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pPr>
        <w:spacing w:line="276" w:lineRule="auto"/>
        <w:ind w:left="7440" w:hanging="7440"/>
        <w:rPr>
          <w:rFonts w:ascii="Times New Roman" w:hAnsi="Times New Roman"/>
          <w:szCs w:val="21"/>
          <w:highlight w:val="none"/>
        </w:rPr>
      </w:pPr>
    </w:p>
    <w:p>
      <w:pPr>
        <w:spacing w:line="276" w:lineRule="auto"/>
        <w:ind w:left="7440" w:hanging="7440"/>
        <w:rPr>
          <w:rFonts w:ascii="Times New Roman" w:hAnsi="Times New Roman"/>
          <w:sz w:val="24"/>
        </w:rPr>
      </w:pPr>
      <w:r>
        <w:rPr>
          <w:rFonts w:ascii="Times New Roman" w:hAnsi="Times New Roman"/>
          <w:szCs w:val="21"/>
        </w:rPr>
        <w:t xml:space="preserve">个人投资者签字：                              </w:t>
      </w:r>
    </w:p>
    <w:p>
      <w:pPr>
        <w:spacing w:line="276" w:lineRule="auto"/>
        <w:rPr>
          <w:rFonts w:ascii="Times New Roman" w:hAnsi="Times New Roman"/>
          <w:szCs w:val="21"/>
        </w:rPr>
      </w:pPr>
    </w:p>
    <w:p>
      <w:pPr>
        <w:spacing w:line="276" w:lineRule="auto"/>
        <w:rPr>
          <w:rFonts w:ascii="Times New Roman" w:hAnsi="Times New Roman"/>
          <w:szCs w:val="21"/>
        </w:rPr>
      </w:pPr>
      <w:r>
        <w:rPr>
          <w:rFonts w:ascii="Times New Roman" w:hAnsi="Times New Roman"/>
          <w:szCs w:val="21"/>
        </w:rPr>
        <w:t xml:space="preserve">机构投资者（盖章）：                           </w:t>
      </w:r>
    </w:p>
    <w:p>
      <w:pPr>
        <w:spacing w:line="276" w:lineRule="auto"/>
        <w:rPr>
          <w:rFonts w:ascii="Times New Roman" w:hAnsi="Times New Roman"/>
          <w:szCs w:val="21"/>
        </w:rPr>
      </w:pPr>
    </w:p>
    <w:p>
      <w:pPr>
        <w:spacing w:line="276" w:lineRule="auto"/>
        <w:rPr>
          <w:rFonts w:ascii="Times New Roman" w:hAnsi="Times New Roman"/>
          <w:szCs w:val="21"/>
        </w:rPr>
      </w:pPr>
      <w:r>
        <w:rPr>
          <w:rFonts w:ascii="Times New Roman" w:hAnsi="Times New Roman"/>
          <w:szCs w:val="21"/>
        </w:rPr>
        <w:t>机构投资者法定代表人或授权代表（签字或盖章）:</w:t>
      </w:r>
    </w:p>
    <w:p>
      <w:pPr>
        <w:spacing w:line="276" w:lineRule="auto"/>
        <w:rPr>
          <w:rFonts w:ascii="Times New Roman" w:hAnsi="Times New Roman"/>
          <w:szCs w:val="21"/>
        </w:rPr>
      </w:pPr>
    </w:p>
    <w:p>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utoSpaceDE w:val="0"/>
        <w:autoSpaceDN w:val="0"/>
        <w:adjustRightInd w:val="0"/>
        <w:snapToGrid w:val="0"/>
        <w:spacing w:line="276" w:lineRule="auto"/>
        <w:ind w:firstLine="420" w:firstLineChars="200"/>
        <w:rPr>
          <w:rFonts w:ascii="Times New Roman" w:hAnsi="Times New Roman"/>
          <w:szCs w:val="21"/>
        </w:rPr>
      </w:pPr>
    </w:p>
    <w:p>
      <w:pPr>
        <w:adjustRightInd w:val="0"/>
        <w:snapToGrid w:val="0"/>
        <w:spacing w:line="276" w:lineRule="auto"/>
        <w:rPr>
          <w:rFonts w:ascii="Times New Roman" w:hAnsi="Times New Roman"/>
        </w:rPr>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t xml:space="preserve">                  </w:t>
    </w:r>
  </w:p>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0136"/>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145"/>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7C1"/>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2FE8"/>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19E7"/>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6B4"/>
    <w:rsid w:val="003E1A23"/>
    <w:rsid w:val="003E2667"/>
    <w:rsid w:val="003E45A4"/>
    <w:rsid w:val="003E4C00"/>
    <w:rsid w:val="003E5823"/>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5EDD"/>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5897"/>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17AAE"/>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50B5"/>
    <w:rsid w:val="005452AF"/>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1399"/>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3607"/>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55F6F"/>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164A"/>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050"/>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3B6"/>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47719"/>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687D"/>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480F"/>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6A1B"/>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66EB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4708"/>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447E91"/>
    <w:rsid w:val="01670DA4"/>
    <w:rsid w:val="019D4BDD"/>
    <w:rsid w:val="01A87AFF"/>
    <w:rsid w:val="01AF0E8E"/>
    <w:rsid w:val="01D129DD"/>
    <w:rsid w:val="01EC73B2"/>
    <w:rsid w:val="01FC5B06"/>
    <w:rsid w:val="0204566B"/>
    <w:rsid w:val="02126D18"/>
    <w:rsid w:val="02203B3A"/>
    <w:rsid w:val="022117B2"/>
    <w:rsid w:val="02216217"/>
    <w:rsid w:val="023612EF"/>
    <w:rsid w:val="023C3156"/>
    <w:rsid w:val="025965D9"/>
    <w:rsid w:val="02625B11"/>
    <w:rsid w:val="02810A7C"/>
    <w:rsid w:val="02826E0B"/>
    <w:rsid w:val="028C60DA"/>
    <w:rsid w:val="029C7664"/>
    <w:rsid w:val="02A52F84"/>
    <w:rsid w:val="02A604E3"/>
    <w:rsid w:val="02AB60C3"/>
    <w:rsid w:val="02BB6539"/>
    <w:rsid w:val="02C36240"/>
    <w:rsid w:val="02C62150"/>
    <w:rsid w:val="02CE3FCE"/>
    <w:rsid w:val="02DD7F65"/>
    <w:rsid w:val="02E6693D"/>
    <w:rsid w:val="02E66D7F"/>
    <w:rsid w:val="02F82B20"/>
    <w:rsid w:val="03045209"/>
    <w:rsid w:val="03097136"/>
    <w:rsid w:val="033E157C"/>
    <w:rsid w:val="037D175F"/>
    <w:rsid w:val="03960C14"/>
    <w:rsid w:val="03A5756D"/>
    <w:rsid w:val="03BE420D"/>
    <w:rsid w:val="03D505A6"/>
    <w:rsid w:val="03DD6186"/>
    <w:rsid w:val="03FA543F"/>
    <w:rsid w:val="03FB768C"/>
    <w:rsid w:val="03FD3A90"/>
    <w:rsid w:val="04197785"/>
    <w:rsid w:val="041C59A5"/>
    <w:rsid w:val="042B0F68"/>
    <w:rsid w:val="043866EB"/>
    <w:rsid w:val="046C7060"/>
    <w:rsid w:val="04911A3F"/>
    <w:rsid w:val="049435DE"/>
    <w:rsid w:val="049B6BF7"/>
    <w:rsid w:val="04AE18D1"/>
    <w:rsid w:val="04B06E2E"/>
    <w:rsid w:val="04B34E0B"/>
    <w:rsid w:val="04BE439C"/>
    <w:rsid w:val="04BF763A"/>
    <w:rsid w:val="04D05965"/>
    <w:rsid w:val="04F16345"/>
    <w:rsid w:val="05017170"/>
    <w:rsid w:val="051F457C"/>
    <w:rsid w:val="0526358A"/>
    <w:rsid w:val="052E22F7"/>
    <w:rsid w:val="0530521E"/>
    <w:rsid w:val="05346807"/>
    <w:rsid w:val="05401FBF"/>
    <w:rsid w:val="05570F90"/>
    <w:rsid w:val="05601EAC"/>
    <w:rsid w:val="059F328F"/>
    <w:rsid w:val="05A479D1"/>
    <w:rsid w:val="05B21852"/>
    <w:rsid w:val="05B226DF"/>
    <w:rsid w:val="05CA273A"/>
    <w:rsid w:val="05D70DED"/>
    <w:rsid w:val="05E07987"/>
    <w:rsid w:val="06021ED4"/>
    <w:rsid w:val="06202B83"/>
    <w:rsid w:val="064F32DE"/>
    <w:rsid w:val="06562220"/>
    <w:rsid w:val="06626468"/>
    <w:rsid w:val="06676258"/>
    <w:rsid w:val="067032E2"/>
    <w:rsid w:val="067963A7"/>
    <w:rsid w:val="067A3382"/>
    <w:rsid w:val="06816F5A"/>
    <w:rsid w:val="068269B0"/>
    <w:rsid w:val="06863DEE"/>
    <w:rsid w:val="06977A52"/>
    <w:rsid w:val="06A15F9A"/>
    <w:rsid w:val="06AC3BBA"/>
    <w:rsid w:val="06AE0575"/>
    <w:rsid w:val="06AF1D5A"/>
    <w:rsid w:val="06B37672"/>
    <w:rsid w:val="06B50A07"/>
    <w:rsid w:val="06BD299E"/>
    <w:rsid w:val="06BD6291"/>
    <w:rsid w:val="06EA5A5A"/>
    <w:rsid w:val="06EE19FC"/>
    <w:rsid w:val="06F279F3"/>
    <w:rsid w:val="06F52F81"/>
    <w:rsid w:val="07033385"/>
    <w:rsid w:val="070D552B"/>
    <w:rsid w:val="073836D3"/>
    <w:rsid w:val="074501F5"/>
    <w:rsid w:val="074B589B"/>
    <w:rsid w:val="074E5935"/>
    <w:rsid w:val="076B0523"/>
    <w:rsid w:val="07834C41"/>
    <w:rsid w:val="07855EC7"/>
    <w:rsid w:val="079170D6"/>
    <w:rsid w:val="07925AB4"/>
    <w:rsid w:val="07A82607"/>
    <w:rsid w:val="07C10944"/>
    <w:rsid w:val="07C708B3"/>
    <w:rsid w:val="07CA6A21"/>
    <w:rsid w:val="07EF3E54"/>
    <w:rsid w:val="081D3738"/>
    <w:rsid w:val="082D4034"/>
    <w:rsid w:val="0830171C"/>
    <w:rsid w:val="0844749F"/>
    <w:rsid w:val="08485031"/>
    <w:rsid w:val="08492363"/>
    <w:rsid w:val="084F09BE"/>
    <w:rsid w:val="085F360E"/>
    <w:rsid w:val="0873410F"/>
    <w:rsid w:val="0875775F"/>
    <w:rsid w:val="087D5842"/>
    <w:rsid w:val="08845B45"/>
    <w:rsid w:val="089222EC"/>
    <w:rsid w:val="08A3206C"/>
    <w:rsid w:val="08A90D2D"/>
    <w:rsid w:val="08AA23AF"/>
    <w:rsid w:val="08B50282"/>
    <w:rsid w:val="08BC4E8A"/>
    <w:rsid w:val="08BF19FF"/>
    <w:rsid w:val="08C85A63"/>
    <w:rsid w:val="08D00067"/>
    <w:rsid w:val="08EB1B89"/>
    <w:rsid w:val="08F07D49"/>
    <w:rsid w:val="08FA167D"/>
    <w:rsid w:val="090B40F9"/>
    <w:rsid w:val="0911242E"/>
    <w:rsid w:val="091606BA"/>
    <w:rsid w:val="092C1FDD"/>
    <w:rsid w:val="092D370C"/>
    <w:rsid w:val="09384460"/>
    <w:rsid w:val="0967467E"/>
    <w:rsid w:val="096A6E1E"/>
    <w:rsid w:val="096F272B"/>
    <w:rsid w:val="098B2857"/>
    <w:rsid w:val="09975064"/>
    <w:rsid w:val="099D239C"/>
    <w:rsid w:val="09B20303"/>
    <w:rsid w:val="09C925AD"/>
    <w:rsid w:val="09C92F7B"/>
    <w:rsid w:val="09D63345"/>
    <w:rsid w:val="09E049B0"/>
    <w:rsid w:val="09EF2E7B"/>
    <w:rsid w:val="0A00281A"/>
    <w:rsid w:val="0A1A16B9"/>
    <w:rsid w:val="0A285C81"/>
    <w:rsid w:val="0A382368"/>
    <w:rsid w:val="0A3D4649"/>
    <w:rsid w:val="0A4A5F70"/>
    <w:rsid w:val="0A5D0BAC"/>
    <w:rsid w:val="0A60095D"/>
    <w:rsid w:val="0A663641"/>
    <w:rsid w:val="0A7669ED"/>
    <w:rsid w:val="0AA3355A"/>
    <w:rsid w:val="0AB24678"/>
    <w:rsid w:val="0AC52375"/>
    <w:rsid w:val="0AC77577"/>
    <w:rsid w:val="0ACC4688"/>
    <w:rsid w:val="0AD64979"/>
    <w:rsid w:val="0ADA5433"/>
    <w:rsid w:val="0ADD7937"/>
    <w:rsid w:val="0B124AEB"/>
    <w:rsid w:val="0B24314B"/>
    <w:rsid w:val="0B3D4278"/>
    <w:rsid w:val="0B413AAA"/>
    <w:rsid w:val="0B41524D"/>
    <w:rsid w:val="0B42014F"/>
    <w:rsid w:val="0B505490"/>
    <w:rsid w:val="0B50723E"/>
    <w:rsid w:val="0B64292B"/>
    <w:rsid w:val="0B663DE8"/>
    <w:rsid w:val="0B7F034B"/>
    <w:rsid w:val="0B8B471A"/>
    <w:rsid w:val="0BA03E78"/>
    <w:rsid w:val="0BA457DB"/>
    <w:rsid w:val="0BAD34E7"/>
    <w:rsid w:val="0BBF0095"/>
    <w:rsid w:val="0BCD082B"/>
    <w:rsid w:val="0BD54287"/>
    <w:rsid w:val="0BDF5698"/>
    <w:rsid w:val="0BE856C8"/>
    <w:rsid w:val="0BEA1635"/>
    <w:rsid w:val="0BF627B7"/>
    <w:rsid w:val="0C1741FF"/>
    <w:rsid w:val="0C7C105F"/>
    <w:rsid w:val="0C860147"/>
    <w:rsid w:val="0C874029"/>
    <w:rsid w:val="0C94305A"/>
    <w:rsid w:val="0CCC6D98"/>
    <w:rsid w:val="0CD0255A"/>
    <w:rsid w:val="0CEA36C2"/>
    <w:rsid w:val="0CF52535"/>
    <w:rsid w:val="0CF73632"/>
    <w:rsid w:val="0D076E67"/>
    <w:rsid w:val="0D101543"/>
    <w:rsid w:val="0D1B0EDE"/>
    <w:rsid w:val="0D2E5445"/>
    <w:rsid w:val="0D4508F8"/>
    <w:rsid w:val="0D602922"/>
    <w:rsid w:val="0D64053F"/>
    <w:rsid w:val="0D6920E5"/>
    <w:rsid w:val="0D7718CD"/>
    <w:rsid w:val="0D7835F0"/>
    <w:rsid w:val="0D7F4F0B"/>
    <w:rsid w:val="0D8D4A86"/>
    <w:rsid w:val="0D9227D5"/>
    <w:rsid w:val="0DA74FCD"/>
    <w:rsid w:val="0DAC4610"/>
    <w:rsid w:val="0DB0141C"/>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D646C"/>
    <w:rsid w:val="0EB74E9A"/>
    <w:rsid w:val="0EC94DAD"/>
    <w:rsid w:val="0ED16387"/>
    <w:rsid w:val="0EEA3195"/>
    <w:rsid w:val="0EEB3F81"/>
    <w:rsid w:val="0EF065D2"/>
    <w:rsid w:val="0EF419A8"/>
    <w:rsid w:val="0EF755E5"/>
    <w:rsid w:val="0EF77800"/>
    <w:rsid w:val="0EF937ED"/>
    <w:rsid w:val="0EF97AB3"/>
    <w:rsid w:val="0EFA20B7"/>
    <w:rsid w:val="0EFC51C5"/>
    <w:rsid w:val="0F0913B0"/>
    <w:rsid w:val="0F135802"/>
    <w:rsid w:val="0F1C4F85"/>
    <w:rsid w:val="0F1C6D55"/>
    <w:rsid w:val="0F2A424A"/>
    <w:rsid w:val="0F362BEE"/>
    <w:rsid w:val="0F492922"/>
    <w:rsid w:val="0F4C7850"/>
    <w:rsid w:val="0F5C2A59"/>
    <w:rsid w:val="0F7537C4"/>
    <w:rsid w:val="0F835FDD"/>
    <w:rsid w:val="0F9D7EC1"/>
    <w:rsid w:val="0FA3222D"/>
    <w:rsid w:val="0FA5776A"/>
    <w:rsid w:val="0FB621DF"/>
    <w:rsid w:val="0FBC7BD7"/>
    <w:rsid w:val="0FD83068"/>
    <w:rsid w:val="0FE73EE9"/>
    <w:rsid w:val="0FEA7AD8"/>
    <w:rsid w:val="10121681"/>
    <w:rsid w:val="103A3448"/>
    <w:rsid w:val="103F10DC"/>
    <w:rsid w:val="1055024C"/>
    <w:rsid w:val="105C46D9"/>
    <w:rsid w:val="10645539"/>
    <w:rsid w:val="10660469"/>
    <w:rsid w:val="106B23FC"/>
    <w:rsid w:val="10716E2F"/>
    <w:rsid w:val="107604D1"/>
    <w:rsid w:val="1084222A"/>
    <w:rsid w:val="108D145C"/>
    <w:rsid w:val="10917146"/>
    <w:rsid w:val="109A0756"/>
    <w:rsid w:val="10DA645D"/>
    <w:rsid w:val="10E4370F"/>
    <w:rsid w:val="10ED1E6F"/>
    <w:rsid w:val="10F70A11"/>
    <w:rsid w:val="11011C7B"/>
    <w:rsid w:val="111331E7"/>
    <w:rsid w:val="11141F8E"/>
    <w:rsid w:val="1122342A"/>
    <w:rsid w:val="11485DC9"/>
    <w:rsid w:val="114E1136"/>
    <w:rsid w:val="11542DC8"/>
    <w:rsid w:val="11570795"/>
    <w:rsid w:val="115832F0"/>
    <w:rsid w:val="11682464"/>
    <w:rsid w:val="117B3A57"/>
    <w:rsid w:val="11823EAA"/>
    <w:rsid w:val="11984FE0"/>
    <w:rsid w:val="11AE4CBE"/>
    <w:rsid w:val="11B5130D"/>
    <w:rsid w:val="11B614D0"/>
    <w:rsid w:val="11B85B3D"/>
    <w:rsid w:val="11BD170A"/>
    <w:rsid w:val="11F528ED"/>
    <w:rsid w:val="11FC5875"/>
    <w:rsid w:val="12010D01"/>
    <w:rsid w:val="120668A8"/>
    <w:rsid w:val="120D11E8"/>
    <w:rsid w:val="12394ECF"/>
    <w:rsid w:val="1247103E"/>
    <w:rsid w:val="124E6688"/>
    <w:rsid w:val="124F1F07"/>
    <w:rsid w:val="1250100A"/>
    <w:rsid w:val="12564A7C"/>
    <w:rsid w:val="125F08A3"/>
    <w:rsid w:val="12800DCF"/>
    <w:rsid w:val="12891287"/>
    <w:rsid w:val="128F6A36"/>
    <w:rsid w:val="129E7D9A"/>
    <w:rsid w:val="12B427A8"/>
    <w:rsid w:val="12C164FE"/>
    <w:rsid w:val="12C7072D"/>
    <w:rsid w:val="12C92452"/>
    <w:rsid w:val="12CD73C6"/>
    <w:rsid w:val="12CF6EA8"/>
    <w:rsid w:val="12D746E8"/>
    <w:rsid w:val="12EC6397"/>
    <w:rsid w:val="12F62C2B"/>
    <w:rsid w:val="12FF35A9"/>
    <w:rsid w:val="13005F25"/>
    <w:rsid w:val="13006303"/>
    <w:rsid w:val="13064DFC"/>
    <w:rsid w:val="130A686C"/>
    <w:rsid w:val="13137EEA"/>
    <w:rsid w:val="13161391"/>
    <w:rsid w:val="13295D77"/>
    <w:rsid w:val="13520633"/>
    <w:rsid w:val="135E3402"/>
    <w:rsid w:val="135F4624"/>
    <w:rsid w:val="1383579B"/>
    <w:rsid w:val="13845687"/>
    <w:rsid w:val="138A5A29"/>
    <w:rsid w:val="139945EA"/>
    <w:rsid w:val="13A52762"/>
    <w:rsid w:val="13AE66BB"/>
    <w:rsid w:val="13C17DCA"/>
    <w:rsid w:val="13C8395B"/>
    <w:rsid w:val="13D44784"/>
    <w:rsid w:val="13E75ED3"/>
    <w:rsid w:val="13FC13F1"/>
    <w:rsid w:val="14071DBC"/>
    <w:rsid w:val="14112D90"/>
    <w:rsid w:val="142F7969"/>
    <w:rsid w:val="14394544"/>
    <w:rsid w:val="143C619B"/>
    <w:rsid w:val="144A109F"/>
    <w:rsid w:val="145544EF"/>
    <w:rsid w:val="14575AE1"/>
    <w:rsid w:val="149D4EA0"/>
    <w:rsid w:val="149F4D92"/>
    <w:rsid w:val="14A039EA"/>
    <w:rsid w:val="14C551AE"/>
    <w:rsid w:val="14D07641"/>
    <w:rsid w:val="14D63F09"/>
    <w:rsid w:val="14E41726"/>
    <w:rsid w:val="14FB2FA1"/>
    <w:rsid w:val="150A7F74"/>
    <w:rsid w:val="152E3529"/>
    <w:rsid w:val="15346204"/>
    <w:rsid w:val="15372ED8"/>
    <w:rsid w:val="155A6493"/>
    <w:rsid w:val="155D6659"/>
    <w:rsid w:val="15724254"/>
    <w:rsid w:val="157E0E4B"/>
    <w:rsid w:val="158422F6"/>
    <w:rsid w:val="1598229B"/>
    <w:rsid w:val="15A33F38"/>
    <w:rsid w:val="15A37A4F"/>
    <w:rsid w:val="15C238C0"/>
    <w:rsid w:val="15CC1BB7"/>
    <w:rsid w:val="15CD5756"/>
    <w:rsid w:val="15E22B61"/>
    <w:rsid w:val="15EF2F5D"/>
    <w:rsid w:val="161377E5"/>
    <w:rsid w:val="161947F6"/>
    <w:rsid w:val="161A5018"/>
    <w:rsid w:val="16290DB7"/>
    <w:rsid w:val="163A16A6"/>
    <w:rsid w:val="164B2756"/>
    <w:rsid w:val="164B51D1"/>
    <w:rsid w:val="164C6000"/>
    <w:rsid w:val="1654404A"/>
    <w:rsid w:val="165D6894"/>
    <w:rsid w:val="16675845"/>
    <w:rsid w:val="16690257"/>
    <w:rsid w:val="16742F3B"/>
    <w:rsid w:val="16900FA7"/>
    <w:rsid w:val="16BD5411"/>
    <w:rsid w:val="16CB1B99"/>
    <w:rsid w:val="16D35DD7"/>
    <w:rsid w:val="16F46197"/>
    <w:rsid w:val="16F63AF9"/>
    <w:rsid w:val="16FE0845"/>
    <w:rsid w:val="17012B61"/>
    <w:rsid w:val="17023E31"/>
    <w:rsid w:val="1709284B"/>
    <w:rsid w:val="17101F77"/>
    <w:rsid w:val="17111A1C"/>
    <w:rsid w:val="171C51C5"/>
    <w:rsid w:val="171C6B6E"/>
    <w:rsid w:val="1723614E"/>
    <w:rsid w:val="17256FB1"/>
    <w:rsid w:val="17266F09"/>
    <w:rsid w:val="17397720"/>
    <w:rsid w:val="17410382"/>
    <w:rsid w:val="17546ED5"/>
    <w:rsid w:val="17575DF8"/>
    <w:rsid w:val="175F21C9"/>
    <w:rsid w:val="176B320C"/>
    <w:rsid w:val="176E75A7"/>
    <w:rsid w:val="17846B99"/>
    <w:rsid w:val="17983C66"/>
    <w:rsid w:val="17987B29"/>
    <w:rsid w:val="179C380B"/>
    <w:rsid w:val="17A473EA"/>
    <w:rsid w:val="17AE4142"/>
    <w:rsid w:val="17E55E8F"/>
    <w:rsid w:val="17F34B5C"/>
    <w:rsid w:val="1800022F"/>
    <w:rsid w:val="18196D0F"/>
    <w:rsid w:val="181E7872"/>
    <w:rsid w:val="18207E7E"/>
    <w:rsid w:val="18532A8C"/>
    <w:rsid w:val="18624667"/>
    <w:rsid w:val="1869099F"/>
    <w:rsid w:val="18785B2F"/>
    <w:rsid w:val="1896452C"/>
    <w:rsid w:val="1898788C"/>
    <w:rsid w:val="189C6321"/>
    <w:rsid w:val="189C6C3D"/>
    <w:rsid w:val="18BB0E0C"/>
    <w:rsid w:val="18CB43A7"/>
    <w:rsid w:val="18E55E64"/>
    <w:rsid w:val="18EC24E5"/>
    <w:rsid w:val="191E11E3"/>
    <w:rsid w:val="192E095E"/>
    <w:rsid w:val="19377C8F"/>
    <w:rsid w:val="193E20D4"/>
    <w:rsid w:val="19437B09"/>
    <w:rsid w:val="1969283A"/>
    <w:rsid w:val="197B401F"/>
    <w:rsid w:val="19A90B8D"/>
    <w:rsid w:val="19AA5F23"/>
    <w:rsid w:val="19AE621E"/>
    <w:rsid w:val="19CF699B"/>
    <w:rsid w:val="19D20DC4"/>
    <w:rsid w:val="19D93400"/>
    <w:rsid w:val="19DA7809"/>
    <w:rsid w:val="19EE6EA0"/>
    <w:rsid w:val="19F33BB6"/>
    <w:rsid w:val="19FA389C"/>
    <w:rsid w:val="19FF18B5"/>
    <w:rsid w:val="1A0C4C78"/>
    <w:rsid w:val="1A2F67CB"/>
    <w:rsid w:val="1A444376"/>
    <w:rsid w:val="1A541C1F"/>
    <w:rsid w:val="1A60199B"/>
    <w:rsid w:val="1A982E1D"/>
    <w:rsid w:val="1AA44508"/>
    <w:rsid w:val="1AAB26E2"/>
    <w:rsid w:val="1AB80E35"/>
    <w:rsid w:val="1AB958C8"/>
    <w:rsid w:val="1AC94917"/>
    <w:rsid w:val="1AF06347"/>
    <w:rsid w:val="1AF35840"/>
    <w:rsid w:val="1B373F76"/>
    <w:rsid w:val="1B414DF5"/>
    <w:rsid w:val="1B4548E5"/>
    <w:rsid w:val="1B7358B1"/>
    <w:rsid w:val="1B8076CB"/>
    <w:rsid w:val="1B833934"/>
    <w:rsid w:val="1B895BAE"/>
    <w:rsid w:val="1B8A22F8"/>
    <w:rsid w:val="1B8E7514"/>
    <w:rsid w:val="1B950C9D"/>
    <w:rsid w:val="1BAA299A"/>
    <w:rsid w:val="1BC60C21"/>
    <w:rsid w:val="1BE1199E"/>
    <w:rsid w:val="1BE218A1"/>
    <w:rsid w:val="1BE51C60"/>
    <w:rsid w:val="1BEE0A0D"/>
    <w:rsid w:val="1BFB523A"/>
    <w:rsid w:val="1C0E3C03"/>
    <w:rsid w:val="1C140F09"/>
    <w:rsid w:val="1C2915CA"/>
    <w:rsid w:val="1C2E5379"/>
    <w:rsid w:val="1C585372"/>
    <w:rsid w:val="1CA406B7"/>
    <w:rsid w:val="1CAD702B"/>
    <w:rsid w:val="1CAF31DD"/>
    <w:rsid w:val="1CB00E0D"/>
    <w:rsid w:val="1CD93D59"/>
    <w:rsid w:val="1CDA4C05"/>
    <w:rsid w:val="1CE0536B"/>
    <w:rsid w:val="1CED10F1"/>
    <w:rsid w:val="1D082E47"/>
    <w:rsid w:val="1D1B3BE1"/>
    <w:rsid w:val="1D1F2568"/>
    <w:rsid w:val="1D261642"/>
    <w:rsid w:val="1D307FA5"/>
    <w:rsid w:val="1D4B5A24"/>
    <w:rsid w:val="1D4C7B56"/>
    <w:rsid w:val="1D864FFD"/>
    <w:rsid w:val="1D9A6FED"/>
    <w:rsid w:val="1DAA7589"/>
    <w:rsid w:val="1DAD07A0"/>
    <w:rsid w:val="1DAF5708"/>
    <w:rsid w:val="1DB0673C"/>
    <w:rsid w:val="1DB90122"/>
    <w:rsid w:val="1DD85D04"/>
    <w:rsid w:val="1DDE1341"/>
    <w:rsid w:val="1DF0292D"/>
    <w:rsid w:val="1E0A165A"/>
    <w:rsid w:val="1E103F77"/>
    <w:rsid w:val="1E123586"/>
    <w:rsid w:val="1E1E3D5D"/>
    <w:rsid w:val="1E20781D"/>
    <w:rsid w:val="1E254605"/>
    <w:rsid w:val="1E42510C"/>
    <w:rsid w:val="1E6B5ACF"/>
    <w:rsid w:val="1E745361"/>
    <w:rsid w:val="1E7938D0"/>
    <w:rsid w:val="1E8275DC"/>
    <w:rsid w:val="1E940E22"/>
    <w:rsid w:val="1E94611D"/>
    <w:rsid w:val="1E997A7A"/>
    <w:rsid w:val="1EB50D13"/>
    <w:rsid w:val="1EBD27DC"/>
    <w:rsid w:val="1ED16069"/>
    <w:rsid w:val="1ED42FB5"/>
    <w:rsid w:val="1ED85A70"/>
    <w:rsid w:val="1EDF0881"/>
    <w:rsid w:val="1EE1185E"/>
    <w:rsid w:val="1EFB70E2"/>
    <w:rsid w:val="1F0028D1"/>
    <w:rsid w:val="1F0B1EAE"/>
    <w:rsid w:val="1F0E21D3"/>
    <w:rsid w:val="1F4A046A"/>
    <w:rsid w:val="1F5350F7"/>
    <w:rsid w:val="1F561F9F"/>
    <w:rsid w:val="1F630CAC"/>
    <w:rsid w:val="1F67173C"/>
    <w:rsid w:val="1F8A1047"/>
    <w:rsid w:val="1F9201B8"/>
    <w:rsid w:val="1F935EB8"/>
    <w:rsid w:val="1F9D35A9"/>
    <w:rsid w:val="1F9D3C37"/>
    <w:rsid w:val="1FD72A6A"/>
    <w:rsid w:val="1FE10BC9"/>
    <w:rsid w:val="1FE57655"/>
    <w:rsid w:val="1FF75769"/>
    <w:rsid w:val="1FF90157"/>
    <w:rsid w:val="2008554C"/>
    <w:rsid w:val="200A23BE"/>
    <w:rsid w:val="200B1B5D"/>
    <w:rsid w:val="200C77F2"/>
    <w:rsid w:val="201B3E66"/>
    <w:rsid w:val="2025255D"/>
    <w:rsid w:val="2042642B"/>
    <w:rsid w:val="20445AA3"/>
    <w:rsid w:val="20496F6F"/>
    <w:rsid w:val="20600FB2"/>
    <w:rsid w:val="206753EC"/>
    <w:rsid w:val="20855F4F"/>
    <w:rsid w:val="209217BE"/>
    <w:rsid w:val="209E489E"/>
    <w:rsid w:val="20C36671"/>
    <w:rsid w:val="20E10DCC"/>
    <w:rsid w:val="21123491"/>
    <w:rsid w:val="211A0CF7"/>
    <w:rsid w:val="214E3DC8"/>
    <w:rsid w:val="21677D3E"/>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A21C9"/>
    <w:rsid w:val="221C0C67"/>
    <w:rsid w:val="22323B2C"/>
    <w:rsid w:val="22437B49"/>
    <w:rsid w:val="22455C1C"/>
    <w:rsid w:val="22544C52"/>
    <w:rsid w:val="22625D7D"/>
    <w:rsid w:val="22632691"/>
    <w:rsid w:val="226F27CC"/>
    <w:rsid w:val="228753C4"/>
    <w:rsid w:val="22A17696"/>
    <w:rsid w:val="22A30143"/>
    <w:rsid w:val="22A6359C"/>
    <w:rsid w:val="22BF0ABC"/>
    <w:rsid w:val="22CC58EC"/>
    <w:rsid w:val="22D411B0"/>
    <w:rsid w:val="22E8426B"/>
    <w:rsid w:val="22F95F4E"/>
    <w:rsid w:val="22FE44E8"/>
    <w:rsid w:val="2329540A"/>
    <w:rsid w:val="2336446C"/>
    <w:rsid w:val="235662D5"/>
    <w:rsid w:val="235D7CB6"/>
    <w:rsid w:val="23785B3A"/>
    <w:rsid w:val="238A6CB2"/>
    <w:rsid w:val="23985C92"/>
    <w:rsid w:val="239E67E3"/>
    <w:rsid w:val="23A85BCB"/>
    <w:rsid w:val="23AB5D00"/>
    <w:rsid w:val="23BC0F45"/>
    <w:rsid w:val="23BE191D"/>
    <w:rsid w:val="23CE7442"/>
    <w:rsid w:val="23D16265"/>
    <w:rsid w:val="23E174F1"/>
    <w:rsid w:val="23FB594B"/>
    <w:rsid w:val="244024B2"/>
    <w:rsid w:val="244461C3"/>
    <w:rsid w:val="244468C2"/>
    <w:rsid w:val="2446475C"/>
    <w:rsid w:val="244F3FB4"/>
    <w:rsid w:val="2460453E"/>
    <w:rsid w:val="246555E1"/>
    <w:rsid w:val="247441A2"/>
    <w:rsid w:val="24816262"/>
    <w:rsid w:val="248C79AC"/>
    <w:rsid w:val="24921DFF"/>
    <w:rsid w:val="24A90E05"/>
    <w:rsid w:val="24C256EF"/>
    <w:rsid w:val="24D3760E"/>
    <w:rsid w:val="24D40EFB"/>
    <w:rsid w:val="24DB0A4E"/>
    <w:rsid w:val="250A6257"/>
    <w:rsid w:val="250D57C2"/>
    <w:rsid w:val="25132DB3"/>
    <w:rsid w:val="25147993"/>
    <w:rsid w:val="252E0198"/>
    <w:rsid w:val="2530049A"/>
    <w:rsid w:val="25331C52"/>
    <w:rsid w:val="2544587E"/>
    <w:rsid w:val="254E2EC2"/>
    <w:rsid w:val="256E7B3E"/>
    <w:rsid w:val="257C0FE6"/>
    <w:rsid w:val="25AC4B4B"/>
    <w:rsid w:val="25B63EDA"/>
    <w:rsid w:val="25D9472B"/>
    <w:rsid w:val="25EB4FC1"/>
    <w:rsid w:val="26031625"/>
    <w:rsid w:val="261879B0"/>
    <w:rsid w:val="261E5917"/>
    <w:rsid w:val="262677C1"/>
    <w:rsid w:val="262C04D6"/>
    <w:rsid w:val="263D1162"/>
    <w:rsid w:val="26466FAC"/>
    <w:rsid w:val="26532465"/>
    <w:rsid w:val="26553296"/>
    <w:rsid w:val="26681488"/>
    <w:rsid w:val="26747079"/>
    <w:rsid w:val="268C3900"/>
    <w:rsid w:val="269F4746"/>
    <w:rsid w:val="26B76FA1"/>
    <w:rsid w:val="26C56CD2"/>
    <w:rsid w:val="26D02321"/>
    <w:rsid w:val="26EA701B"/>
    <w:rsid w:val="27133AE9"/>
    <w:rsid w:val="271B3EE0"/>
    <w:rsid w:val="27286C34"/>
    <w:rsid w:val="273036BA"/>
    <w:rsid w:val="273B2BEC"/>
    <w:rsid w:val="274A7289"/>
    <w:rsid w:val="27591A14"/>
    <w:rsid w:val="2765746C"/>
    <w:rsid w:val="276B5AE1"/>
    <w:rsid w:val="27831351"/>
    <w:rsid w:val="27A24800"/>
    <w:rsid w:val="27AC1848"/>
    <w:rsid w:val="27C608B1"/>
    <w:rsid w:val="27CB0988"/>
    <w:rsid w:val="27CE39BA"/>
    <w:rsid w:val="27CE7A10"/>
    <w:rsid w:val="27D97AC5"/>
    <w:rsid w:val="27DF5779"/>
    <w:rsid w:val="28114F83"/>
    <w:rsid w:val="283A2317"/>
    <w:rsid w:val="283F050A"/>
    <w:rsid w:val="28550131"/>
    <w:rsid w:val="28697739"/>
    <w:rsid w:val="28710FAC"/>
    <w:rsid w:val="287A36F4"/>
    <w:rsid w:val="288602EB"/>
    <w:rsid w:val="288B105E"/>
    <w:rsid w:val="28935C72"/>
    <w:rsid w:val="289C6301"/>
    <w:rsid w:val="289D5779"/>
    <w:rsid w:val="28B44E58"/>
    <w:rsid w:val="28B53B10"/>
    <w:rsid w:val="28BA39B9"/>
    <w:rsid w:val="28C0162C"/>
    <w:rsid w:val="28C9190E"/>
    <w:rsid w:val="28D76955"/>
    <w:rsid w:val="28FF5D1A"/>
    <w:rsid w:val="291E1E74"/>
    <w:rsid w:val="292C120C"/>
    <w:rsid w:val="294361DC"/>
    <w:rsid w:val="29662F97"/>
    <w:rsid w:val="296D30C5"/>
    <w:rsid w:val="296F0D7F"/>
    <w:rsid w:val="296F5223"/>
    <w:rsid w:val="297D6EF2"/>
    <w:rsid w:val="29870887"/>
    <w:rsid w:val="298A7967"/>
    <w:rsid w:val="2990740B"/>
    <w:rsid w:val="299429FD"/>
    <w:rsid w:val="299B7DC6"/>
    <w:rsid w:val="29A221B1"/>
    <w:rsid w:val="29A5263A"/>
    <w:rsid w:val="29A72A29"/>
    <w:rsid w:val="29A81673"/>
    <w:rsid w:val="29AA100F"/>
    <w:rsid w:val="29AE7AF9"/>
    <w:rsid w:val="29BA5BB3"/>
    <w:rsid w:val="29E304D2"/>
    <w:rsid w:val="29EC635A"/>
    <w:rsid w:val="29F416E2"/>
    <w:rsid w:val="29FD6E2B"/>
    <w:rsid w:val="2A014CB2"/>
    <w:rsid w:val="2A15080A"/>
    <w:rsid w:val="2A206C9C"/>
    <w:rsid w:val="2A294FD8"/>
    <w:rsid w:val="2A3224D8"/>
    <w:rsid w:val="2A4144C9"/>
    <w:rsid w:val="2A5702ED"/>
    <w:rsid w:val="2A602286"/>
    <w:rsid w:val="2A6A07A5"/>
    <w:rsid w:val="2A793ADF"/>
    <w:rsid w:val="2A7F7260"/>
    <w:rsid w:val="2A8002F1"/>
    <w:rsid w:val="2A952C10"/>
    <w:rsid w:val="2AAF593A"/>
    <w:rsid w:val="2AAF7FF7"/>
    <w:rsid w:val="2ABF1387"/>
    <w:rsid w:val="2AC037B0"/>
    <w:rsid w:val="2AC670C5"/>
    <w:rsid w:val="2AD03A9F"/>
    <w:rsid w:val="2AD11833"/>
    <w:rsid w:val="2AE337D3"/>
    <w:rsid w:val="2AF1518E"/>
    <w:rsid w:val="2AF92FF6"/>
    <w:rsid w:val="2B0E1193"/>
    <w:rsid w:val="2B0F5352"/>
    <w:rsid w:val="2B1600AB"/>
    <w:rsid w:val="2B17061D"/>
    <w:rsid w:val="2B474166"/>
    <w:rsid w:val="2B5B5A5F"/>
    <w:rsid w:val="2B8724A6"/>
    <w:rsid w:val="2BA9438B"/>
    <w:rsid w:val="2BB55D57"/>
    <w:rsid w:val="2BBD2276"/>
    <w:rsid w:val="2BDB07D6"/>
    <w:rsid w:val="2BE50A13"/>
    <w:rsid w:val="2BE86B47"/>
    <w:rsid w:val="2BED31E1"/>
    <w:rsid w:val="2BF13CCD"/>
    <w:rsid w:val="2C130A91"/>
    <w:rsid w:val="2C1B6177"/>
    <w:rsid w:val="2C1C001B"/>
    <w:rsid w:val="2C1D52A1"/>
    <w:rsid w:val="2C1E22D8"/>
    <w:rsid w:val="2C3460F1"/>
    <w:rsid w:val="2C3F1AB6"/>
    <w:rsid w:val="2C474EFD"/>
    <w:rsid w:val="2C5B187D"/>
    <w:rsid w:val="2C6432F7"/>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055B9"/>
    <w:rsid w:val="2D511972"/>
    <w:rsid w:val="2D786BEA"/>
    <w:rsid w:val="2D8A22FE"/>
    <w:rsid w:val="2D8D5C78"/>
    <w:rsid w:val="2D900C50"/>
    <w:rsid w:val="2D9E1C33"/>
    <w:rsid w:val="2DA952BD"/>
    <w:rsid w:val="2DB465AC"/>
    <w:rsid w:val="2DCA4089"/>
    <w:rsid w:val="2DD75DDB"/>
    <w:rsid w:val="2E0E0B66"/>
    <w:rsid w:val="2E1B4040"/>
    <w:rsid w:val="2E451E14"/>
    <w:rsid w:val="2E543F86"/>
    <w:rsid w:val="2E5608D5"/>
    <w:rsid w:val="2E5C5CFB"/>
    <w:rsid w:val="2E90270F"/>
    <w:rsid w:val="2EA8720D"/>
    <w:rsid w:val="2EAE5D17"/>
    <w:rsid w:val="2ED33B5E"/>
    <w:rsid w:val="2EFC409C"/>
    <w:rsid w:val="2EFD1604"/>
    <w:rsid w:val="2F1C29AF"/>
    <w:rsid w:val="2F587CB1"/>
    <w:rsid w:val="2F671976"/>
    <w:rsid w:val="2F6C45EF"/>
    <w:rsid w:val="2F6E4B95"/>
    <w:rsid w:val="2F756F0F"/>
    <w:rsid w:val="2F9430A8"/>
    <w:rsid w:val="2FA82013"/>
    <w:rsid w:val="2FAC6889"/>
    <w:rsid w:val="2FAD20A6"/>
    <w:rsid w:val="2FB02589"/>
    <w:rsid w:val="2FB069A9"/>
    <w:rsid w:val="2FB973A2"/>
    <w:rsid w:val="2FBE7CE6"/>
    <w:rsid w:val="2FD12795"/>
    <w:rsid w:val="2FD1390C"/>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9F5A48"/>
    <w:rsid w:val="30AB5B62"/>
    <w:rsid w:val="30E10E01"/>
    <w:rsid w:val="30E447A3"/>
    <w:rsid w:val="30EE5A1B"/>
    <w:rsid w:val="30F648E7"/>
    <w:rsid w:val="30FD2286"/>
    <w:rsid w:val="311013CA"/>
    <w:rsid w:val="3116698C"/>
    <w:rsid w:val="31315510"/>
    <w:rsid w:val="313506DF"/>
    <w:rsid w:val="31552E12"/>
    <w:rsid w:val="315544DE"/>
    <w:rsid w:val="315C608D"/>
    <w:rsid w:val="31624FB6"/>
    <w:rsid w:val="317E4255"/>
    <w:rsid w:val="31A96619"/>
    <w:rsid w:val="31B25E16"/>
    <w:rsid w:val="31D675DA"/>
    <w:rsid w:val="31E44462"/>
    <w:rsid w:val="31FD7870"/>
    <w:rsid w:val="31FE7229"/>
    <w:rsid w:val="3226564E"/>
    <w:rsid w:val="32270668"/>
    <w:rsid w:val="32483069"/>
    <w:rsid w:val="324A338C"/>
    <w:rsid w:val="32533B4D"/>
    <w:rsid w:val="32786007"/>
    <w:rsid w:val="327B2543"/>
    <w:rsid w:val="3291620A"/>
    <w:rsid w:val="329F4483"/>
    <w:rsid w:val="32B9629D"/>
    <w:rsid w:val="32C45892"/>
    <w:rsid w:val="32D3412D"/>
    <w:rsid w:val="32E227E6"/>
    <w:rsid w:val="333D6FFE"/>
    <w:rsid w:val="337C47C4"/>
    <w:rsid w:val="337D3BF0"/>
    <w:rsid w:val="33A028AD"/>
    <w:rsid w:val="33A1549F"/>
    <w:rsid w:val="33A70302"/>
    <w:rsid w:val="33B026C0"/>
    <w:rsid w:val="33B3697E"/>
    <w:rsid w:val="33DF54ED"/>
    <w:rsid w:val="33F6650B"/>
    <w:rsid w:val="3408116D"/>
    <w:rsid w:val="34097D62"/>
    <w:rsid w:val="343167EF"/>
    <w:rsid w:val="34467FAA"/>
    <w:rsid w:val="344B5E75"/>
    <w:rsid w:val="344E20B6"/>
    <w:rsid w:val="345E36CA"/>
    <w:rsid w:val="3471748E"/>
    <w:rsid w:val="34832EDA"/>
    <w:rsid w:val="348C0A37"/>
    <w:rsid w:val="34B31013"/>
    <w:rsid w:val="34BD7997"/>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5CE2E93"/>
    <w:rsid w:val="35D249C9"/>
    <w:rsid w:val="35E96382"/>
    <w:rsid w:val="361A5F03"/>
    <w:rsid w:val="36237040"/>
    <w:rsid w:val="3628478F"/>
    <w:rsid w:val="362B6BB7"/>
    <w:rsid w:val="363C648D"/>
    <w:rsid w:val="364F6AC1"/>
    <w:rsid w:val="36687AEC"/>
    <w:rsid w:val="366C6D72"/>
    <w:rsid w:val="36701478"/>
    <w:rsid w:val="367B0D63"/>
    <w:rsid w:val="368D7AB7"/>
    <w:rsid w:val="36924265"/>
    <w:rsid w:val="36963DEF"/>
    <w:rsid w:val="369D5D0F"/>
    <w:rsid w:val="36C00E6C"/>
    <w:rsid w:val="36E547A3"/>
    <w:rsid w:val="370F6C13"/>
    <w:rsid w:val="37357164"/>
    <w:rsid w:val="374B4BD9"/>
    <w:rsid w:val="374E10B6"/>
    <w:rsid w:val="37560ADB"/>
    <w:rsid w:val="377C0897"/>
    <w:rsid w:val="37820AEE"/>
    <w:rsid w:val="3788641D"/>
    <w:rsid w:val="3794274B"/>
    <w:rsid w:val="379D57CF"/>
    <w:rsid w:val="37BA58BB"/>
    <w:rsid w:val="37CE6FEB"/>
    <w:rsid w:val="37D14004"/>
    <w:rsid w:val="37F54B45"/>
    <w:rsid w:val="380F04FA"/>
    <w:rsid w:val="38183E33"/>
    <w:rsid w:val="38324913"/>
    <w:rsid w:val="38684DD8"/>
    <w:rsid w:val="386900B9"/>
    <w:rsid w:val="386A29CB"/>
    <w:rsid w:val="387E56F1"/>
    <w:rsid w:val="38A41074"/>
    <w:rsid w:val="38A8475D"/>
    <w:rsid w:val="38AB7A97"/>
    <w:rsid w:val="38BA6D2F"/>
    <w:rsid w:val="38C04E66"/>
    <w:rsid w:val="38E67C24"/>
    <w:rsid w:val="39080BF4"/>
    <w:rsid w:val="39194863"/>
    <w:rsid w:val="39221B9C"/>
    <w:rsid w:val="39236D33"/>
    <w:rsid w:val="39252E20"/>
    <w:rsid w:val="392C3471"/>
    <w:rsid w:val="3930052B"/>
    <w:rsid w:val="39521E19"/>
    <w:rsid w:val="39584310"/>
    <w:rsid w:val="39586677"/>
    <w:rsid w:val="395A2A9B"/>
    <w:rsid w:val="3970413A"/>
    <w:rsid w:val="397F0B6A"/>
    <w:rsid w:val="398A714C"/>
    <w:rsid w:val="398D1C3C"/>
    <w:rsid w:val="39A07FE8"/>
    <w:rsid w:val="39A36229"/>
    <w:rsid w:val="39AC69BE"/>
    <w:rsid w:val="39B527DE"/>
    <w:rsid w:val="39DD3AE3"/>
    <w:rsid w:val="39F57E48"/>
    <w:rsid w:val="39FF3A59"/>
    <w:rsid w:val="3A1B3F83"/>
    <w:rsid w:val="3A2B2AA0"/>
    <w:rsid w:val="3A546596"/>
    <w:rsid w:val="3A5B2F63"/>
    <w:rsid w:val="3A6B51A0"/>
    <w:rsid w:val="3A781ED0"/>
    <w:rsid w:val="3A7B4EF4"/>
    <w:rsid w:val="3ABC5B5E"/>
    <w:rsid w:val="3ABD4C62"/>
    <w:rsid w:val="3AD666FC"/>
    <w:rsid w:val="3ADC3D9A"/>
    <w:rsid w:val="3AE96BE3"/>
    <w:rsid w:val="3AEF2916"/>
    <w:rsid w:val="3AF871E6"/>
    <w:rsid w:val="3AFF39B6"/>
    <w:rsid w:val="3B0451DD"/>
    <w:rsid w:val="3B223CA0"/>
    <w:rsid w:val="3B4A34D8"/>
    <w:rsid w:val="3B4F2940"/>
    <w:rsid w:val="3B6212CC"/>
    <w:rsid w:val="3B677B08"/>
    <w:rsid w:val="3B696769"/>
    <w:rsid w:val="3B777B94"/>
    <w:rsid w:val="3B872CFC"/>
    <w:rsid w:val="3B8C756F"/>
    <w:rsid w:val="3B9C7DBB"/>
    <w:rsid w:val="3BA36168"/>
    <w:rsid w:val="3BA746E9"/>
    <w:rsid w:val="3BB82AEB"/>
    <w:rsid w:val="3BBA49EA"/>
    <w:rsid w:val="3BCE5DD9"/>
    <w:rsid w:val="3BD15712"/>
    <w:rsid w:val="3BED5C86"/>
    <w:rsid w:val="3BFD1CD0"/>
    <w:rsid w:val="3C083A2A"/>
    <w:rsid w:val="3C144518"/>
    <w:rsid w:val="3C1F03E3"/>
    <w:rsid w:val="3C252E3E"/>
    <w:rsid w:val="3C345B6C"/>
    <w:rsid w:val="3C4E2A76"/>
    <w:rsid w:val="3C5A0933"/>
    <w:rsid w:val="3C7E1430"/>
    <w:rsid w:val="3C83149C"/>
    <w:rsid w:val="3CA56B3A"/>
    <w:rsid w:val="3CC258EF"/>
    <w:rsid w:val="3CE26A58"/>
    <w:rsid w:val="3CE82143"/>
    <w:rsid w:val="3CF356A8"/>
    <w:rsid w:val="3CF47398"/>
    <w:rsid w:val="3D01079A"/>
    <w:rsid w:val="3D0C0D83"/>
    <w:rsid w:val="3D1A2297"/>
    <w:rsid w:val="3D1B06CB"/>
    <w:rsid w:val="3D2D6BF0"/>
    <w:rsid w:val="3D393726"/>
    <w:rsid w:val="3D402D06"/>
    <w:rsid w:val="3D42644D"/>
    <w:rsid w:val="3D5B2F2C"/>
    <w:rsid w:val="3D6E54A0"/>
    <w:rsid w:val="3D74475E"/>
    <w:rsid w:val="3D8C1216"/>
    <w:rsid w:val="3D9471A6"/>
    <w:rsid w:val="3D9714F7"/>
    <w:rsid w:val="3D9863C3"/>
    <w:rsid w:val="3DA57483"/>
    <w:rsid w:val="3DBD6105"/>
    <w:rsid w:val="3DE87B0A"/>
    <w:rsid w:val="3DF977CF"/>
    <w:rsid w:val="3DFB1F13"/>
    <w:rsid w:val="3E045FD2"/>
    <w:rsid w:val="3E062C19"/>
    <w:rsid w:val="3E0E31D8"/>
    <w:rsid w:val="3E12649C"/>
    <w:rsid w:val="3E245FEF"/>
    <w:rsid w:val="3E3C5C56"/>
    <w:rsid w:val="3E4E63F6"/>
    <w:rsid w:val="3E55797D"/>
    <w:rsid w:val="3E5B28EE"/>
    <w:rsid w:val="3E5D3260"/>
    <w:rsid w:val="3E633332"/>
    <w:rsid w:val="3E652608"/>
    <w:rsid w:val="3E6A40D9"/>
    <w:rsid w:val="3E8409D1"/>
    <w:rsid w:val="3E8A3801"/>
    <w:rsid w:val="3E9871FB"/>
    <w:rsid w:val="3ECB4852"/>
    <w:rsid w:val="3ED86ACD"/>
    <w:rsid w:val="3EF5435A"/>
    <w:rsid w:val="3EFE0783"/>
    <w:rsid w:val="3F014E2E"/>
    <w:rsid w:val="3F0A7928"/>
    <w:rsid w:val="3F1C50AD"/>
    <w:rsid w:val="3F276B01"/>
    <w:rsid w:val="3F2F6B8F"/>
    <w:rsid w:val="3F3B4C0C"/>
    <w:rsid w:val="3F4D5D17"/>
    <w:rsid w:val="3F532B6A"/>
    <w:rsid w:val="3F693D6C"/>
    <w:rsid w:val="3F77694A"/>
    <w:rsid w:val="3FAD7450"/>
    <w:rsid w:val="3FB50B39"/>
    <w:rsid w:val="3FF328E8"/>
    <w:rsid w:val="4000052B"/>
    <w:rsid w:val="400071F5"/>
    <w:rsid w:val="40052915"/>
    <w:rsid w:val="400C0B72"/>
    <w:rsid w:val="4013200C"/>
    <w:rsid w:val="402266F3"/>
    <w:rsid w:val="402E2219"/>
    <w:rsid w:val="40485138"/>
    <w:rsid w:val="404B727A"/>
    <w:rsid w:val="404B7AC0"/>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280CB6"/>
    <w:rsid w:val="41392906"/>
    <w:rsid w:val="41554ECA"/>
    <w:rsid w:val="416D019F"/>
    <w:rsid w:val="417252AC"/>
    <w:rsid w:val="418A6A80"/>
    <w:rsid w:val="418B4F8A"/>
    <w:rsid w:val="418F6742"/>
    <w:rsid w:val="41C51A2C"/>
    <w:rsid w:val="41D96695"/>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910A8"/>
    <w:rsid w:val="42CF508C"/>
    <w:rsid w:val="42F13F4F"/>
    <w:rsid w:val="42FB2755"/>
    <w:rsid w:val="42FF340C"/>
    <w:rsid w:val="430D7E5B"/>
    <w:rsid w:val="4320516C"/>
    <w:rsid w:val="43241646"/>
    <w:rsid w:val="434350C8"/>
    <w:rsid w:val="435A7DD4"/>
    <w:rsid w:val="436D1F73"/>
    <w:rsid w:val="43853221"/>
    <w:rsid w:val="439B4AEA"/>
    <w:rsid w:val="43AA0BE5"/>
    <w:rsid w:val="43B254D1"/>
    <w:rsid w:val="43BC7AAA"/>
    <w:rsid w:val="43CD6976"/>
    <w:rsid w:val="43FA64A2"/>
    <w:rsid w:val="441016CB"/>
    <w:rsid w:val="441F56E6"/>
    <w:rsid w:val="4427077C"/>
    <w:rsid w:val="44281AE8"/>
    <w:rsid w:val="44302CD1"/>
    <w:rsid w:val="444255F6"/>
    <w:rsid w:val="444F3CEC"/>
    <w:rsid w:val="44506705"/>
    <w:rsid w:val="44665D7C"/>
    <w:rsid w:val="447A209A"/>
    <w:rsid w:val="448879D9"/>
    <w:rsid w:val="448B6557"/>
    <w:rsid w:val="44BE6249"/>
    <w:rsid w:val="44D81A76"/>
    <w:rsid w:val="44ED46F9"/>
    <w:rsid w:val="44FE4278"/>
    <w:rsid w:val="45174536"/>
    <w:rsid w:val="451A2AA5"/>
    <w:rsid w:val="454206C9"/>
    <w:rsid w:val="454F51DE"/>
    <w:rsid w:val="456A6B72"/>
    <w:rsid w:val="45827F5F"/>
    <w:rsid w:val="45925B0F"/>
    <w:rsid w:val="459357F3"/>
    <w:rsid w:val="459765C9"/>
    <w:rsid w:val="459A6082"/>
    <w:rsid w:val="45A25E67"/>
    <w:rsid w:val="45A82FFD"/>
    <w:rsid w:val="45B06CE9"/>
    <w:rsid w:val="45B27872"/>
    <w:rsid w:val="45BE2A1A"/>
    <w:rsid w:val="45C45C8D"/>
    <w:rsid w:val="45C631E6"/>
    <w:rsid w:val="45DB2814"/>
    <w:rsid w:val="45DC3F74"/>
    <w:rsid w:val="45F63CE4"/>
    <w:rsid w:val="460409EA"/>
    <w:rsid w:val="46263364"/>
    <w:rsid w:val="462816FA"/>
    <w:rsid w:val="46496D4F"/>
    <w:rsid w:val="464A0752"/>
    <w:rsid w:val="464B4401"/>
    <w:rsid w:val="464E668C"/>
    <w:rsid w:val="46661275"/>
    <w:rsid w:val="46B44DD5"/>
    <w:rsid w:val="46B5206F"/>
    <w:rsid w:val="46C06A79"/>
    <w:rsid w:val="46D002A4"/>
    <w:rsid w:val="46D85D5E"/>
    <w:rsid w:val="46DD5122"/>
    <w:rsid w:val="46E576DC"/>
    <w:rsid w:val="46EB5A91"/>
    <w:rsid w:val="471B0DFB"/>
    <w:rsid w:val="47461AE0"/>
    <w:rsid w:val="47486A40"/>
    <w:rsid w:val="475007E7"/>
    <w:rsid w:val="475177C2"/>
    <w:rsid w:val="47525B10"/>
    <w:rsid w:val="47582C8D"/>
    <w:rsid w:val="4770243A"/>
    <w:rsid w:val="479A52CC"/>
    <w:rsid w:val="479B6BA5"/>
    <w:rsid w:val="47A0653B"/>
    <w:rsid w:val="47B25343"/>
    <w:rsid w:val="47BC742D"/>
    <w:rsid w:val="47BF0C2B"/>
    <w:rsid w:val="47C02A7A"/>
    <w:rsid w:val="47E4539E"/>
    <w:rsid w:val="47F15329"/>
    <w:rsid w:val="47FC3AEE"/>
    <w:rsid w:val="47FF2B92"/>
    <w:rsid w:val="480D7C89"/>
    <w:rsid w:val="480F04B4"/>
    <w:rsid w:val="4829646D"/>
    <w:rsid w:val="482F0824"/>
    <w:rsid w:val="483313C5"/>
    <w:rsid w:val="4838259F"/>
    <w:rsid w:val="484F3DFE"/>
    <w:rsid w:val="4856268A"/>
    <w:rsid w:val="486414CE"/>
    <w:rsid w:val="487B4F82"/>
    <w:rsid w:val="488717E9"/>
    <w:rsid w:val="48967C7F"/>
    <w:rsid w:val="48BB76E5"/>
    <w:rsid w:val="48D931F4"/>
    <w:rsid w:val="490D27E6"/>
    <w:rsid w:val="49180694"/>
    <w:rsid w:val="49295FD6"/>
    <w:rsid w:val="492A2433"/>
    <w:rsid w:val="492C7B93"/>
    <w:rsid w:val="493C17A0"/>
    <w:rsid w:val="4954172D"/>
    <w:rsid w:val="499D05A3"/>
    <w:rsid w:val="49A32653"/>
    <w:rsid w:val="49A53B9C"/>
    <w:rsid w:val="49B642F8"/>
    <w:rsid w:val="49C03205"/>
    <w:rsid w:val="49C83E68"/>
    <w:rsid w:val="49CF67CC"/>
    <w:rsid w:val="49D608EA"/>
    <w:rsid w:val="49D903B4"/>
    <w:rsid w:val="49E538D1"/>
    <w:rsid w:val="49F96E56"/>
    <w:rsid w:val="4A010545"/>
    <w:rsid w:val="4A11580F"/>
    <w:rsid w:val="4A1570FB"/>
    <w:rsid w:val="4A1D0322"/>
    <w:rsid w:val="4A28456A"/>
    <w:rsid w:val="4A316FC8"/>
    <w:rsid w:val="4A426737"/>
    <w:rsid w:val="4A4A03AB"/>
    <w:rsid w:val="4A4C0A76"/>
    <w:rsid w:val="4A4C15BD"/>
    <w:rsid w:val="4A5D0745"/>
    <w:rsid w:val="4A5E4294"/>
    <w:rsid w:val="4A6460BD"/>
    <w:rsid w:val="4A7330EF"/>
    <w:rsid w:val="4A7A4B3B"/>
    <w:rsid w:val="4A8170F0"/>
    <w:rsid w:val="4AB74AB2"/>
    <w:rsid w:val="4ABB573D"/>
    <w:rsid w:val="4ACF6618"/>
    <w:rsid w:val="4AD60806"/>
    <w:rsid w:val="4AE72A13"/>
    <w:rsid w:val="4AF806CE"/>
    <w:rsid w:val="4AF85F20"/>
    <w:rsid w:val="4B0215FB"/>
    <w:rsid w:val="4B076C12"/>
    <w:rsid w:val="4B0B2254"/>
    <w:rsid w:val="4B115B10"/>
    <w:rsid w:val="4B164EF1"/>
    <w:rsid w:val="4B227BFA"/>
    <w:rsid w:val="4B26504F"/>
    <w:rsid w:val="4B394AC8"/>
    <w:rsid w:val="4B464FAD"/>
    <w:rsid w:val="4B542126"/>
    <w:rsid w:val="4B647BC0"/>
    <w:rsid w:val="4B6A2199"/>
    <w:rsid w:val="4B70529F"/>
    <w:rsid w:val="4B791343"/>
    <w:rsid w:val="4B931B59"/>
    <w:rsid w:val="4B9761E7"/>
    <w:rsid w:val="4B98716F"/>
    <w:rsid w:val="4B9F5557"/>
    <w:rsid w:val="4BA10FA3"/>
    <w:rsid w:val="4BA23E2D"/>
    <w:rsid w:val="4BB20D1E"/>
    <w:rsid w:val="4BBE2ED6"/>
    <w:rsid w:val="4BC94E27"/>
    <w:rsid w:val="4BD444F8"/>
    <w:rsid w:val="4BF21670"/>
    <w:rsid w:val="4BFA7ED1"/>
    <w:rsid w:val="4C0433D9"/>
    <w:rsid w:val="4C06528D"/>
    <w:rsid w:val="4C087A13"/>
    <w:rsid w:val="4C0C5ACE"/>
    <w:rsid w:val="4C175D9E"/>
    <w:rsid w:val="4C237A7B"/>
    <w:rsid w:val="4C383968"/>
    <w:rsid w:val="4C4474B1"/>
    <w:rsid w:val="4C4E3B4D"/>
    <w:rsid w:val="4C5C4819"/>
    <w:rsid w:val="4C5E1F6C"/>
    <w:rsid w:val="4C5F530B"/>
    <w:rsid w:val="4C6205A3"/>
    <w:rsid w:val="4C801FC0"/>
    <w:rsid w:val="4C9E338E"/>
    <w:rsid w:val="4CA706AC"/>
    <w:rsid w:val="4CBA45F6"/>
    <w:rsid w:val="4CBD6E5F"/>
    <w:rsid w:val="4CC3003A"/>
    <w:rsid w:val="4CC82009"/>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C47774"/>
    <w:rsid w:val="4DE04C8E"/>
    <w:rsid w:val="4DEB2F41"/>
    <w:rsid w:val="4DF06069"/>
    <w:rsid w:val="4DF2260A"/>
    <w:rsid w:val="4E1354BA"/>
    <w:rsid w:val="4E203865"/>
    <w:rsid w:val="4E2875CB"/>
    <w:rsid w:val="4E2E77CF"/>
    <w:rsid w:val="4E43218A"/>
    <w:rsid w:val="4E44419E"/>
    <w:rsid w:val="4E5D01B7"/>
    <w:rsid w:val="4E611B9A"/>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504BB7"/>
    <w:rsid w:val="506159A2"/>
    <w:rsid w:val="50642410"/>
    <w:rsid w:val="506C1755"/>
    <w:rsid w:val="506F6034"/>
    <w:rsid w:val="50745877"/>
    <w:rsid w:val="50854860"/>
    <w:rsid w:val="50A56689"/>
    <w:rsid w:val="50D15CF8"/>
    <w:rsid w:val="50EC4FB2"/>
    <w:rsid w:val="50F6750C"/>
    <w:rsid w:val="51243685"/>
    <w:rsid w:val="512701BF"/>
    <w:rsid w:val="512A0C17"/>
    <w:rsid w:val="51387430"/>
    <w:rsid w:val="513A41A7"/>
    <w:rsid w:val="51524C1F"/>
    <w:rsid w:val="515B2E98"/>
    <w:rsid w:val="515F57DB"/>
    <w:rsid w:val="5170084F"/>
    <w:rsid w:val="51716F5A"/>
    <w:rsid w:val="517F7562"/>
    <w:rsid w:val="51842372"/>
    <w:rsid w:val="51894976"/>
    <w:rsid w:val="518C5952"/>
    <w:rsid w:val="519A4B8C"/>
    <w:rsid w:val="519F4057"/>
    <w:rsid w:val="51A2283B"/>
    <w:rsid w:val="51B43E95"/>
    <w:rsid w:val="51B578E0"/>
    <w:rsid w:val="51C13C7D"/>
    <w:rsid w:val="51C413B8"/>
    <w:rsid w:val="51C52122"/>
    <w:rsid w:val="51D27F79"/>
    <w:rsid w:val="51DE3ED9"/>
    <w:rsid w:val="51E14384"/>
    <w:rsid w:val="51EA353A"/>
    <w:rsid w:val="52275A58"/>
    <w:rsid w:val="52376E71"/>
    <w:rsid w:val="523B1252"/>
    <w:rsid w:val="52483141"/>
    <w:rsid w:val="524962BD"/>
    <w:rsid w:val="524C2934"/>
    <w:rsid w:val="5264702A"/>
    <w:rsid w:val="526A56C0"/>
    <w:rsid w:val="528079D5"/>
    <w:rsid w:val="528352F5"/>
    <w:rsid w:val="52C431E7"/>
    <w:rsid w:val="52D018DB"/>
    <w:rsid w:val="52D72101"/>
    <w:rsid w:val="52D731CF"/>
    <w:rsid w:val="52E11A99"/>
    <w:rsid w:val="530556F1"/>
    <w:rsid w:val="531620E8"/>
    <w:rsid w:val="531D6F5D"/>
    <w:rsid w:val="53285977"/>
    <w:rsid w:val="532C1939"/>
    <w:rsid w:val="533A6A6A"/>
    <w:rsid w:val="534A3350"/>
    <w:rsid w:val="535E583D"/>
    <w:rsid w:val="535F2C1F"/>
    <w:rsid w:val="53876B42"/>
    <w:rsid w:val="53897DC2"/>
    <w:rsid w:val="53A2476D"/>
    <w:rsid w:val="53AB30B6"/>
    <w:rsid w:val="53BF0D3F"/>
    <w:rsid w:val="53C41B44"/>
    <w:rsid w:val="53D21107"/>
    <w:rsid w:val="540642E7"/>
    <w:rsid w:val="5407600F"/>
    <w:rsid w:val="54085ED4"/>
    <w:rsid w:val="54104EF2"/>
    <w:rsid w:val="54215767"/>
    <w:rsid w:val="543710C2"/>
    <w:rsid w:val="54685420"/>
    <w:rsid w:val="54834C66"/>
    <w:rsid w:val="548D0188"/>
    <w:rsid w:val="548D7115"/>
    <w:rsid w:val="54AE1308"/>
    <w:rsid w:val="54B53D60"/>
    <w:rsid w:val="54BF2F03"/>
    <w:rsid w:val="54C03CBE"/>
    <w:rsid w:val="54C044F7"/>
    <w:rsid w:val="54CA318A"/>
    <w:rsid w:val="54CB6F02"/>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183DBD"/>
    <w:rsid w:val="56231755"/>
    <w:rsid w:val="5627752B"/>
    <w:rsid w:val="562B1F37"/>
    <w:rsid w:val="562C6149"/>
    <w:rsid w:val="56452B83"/>
    <w:rsid w:val="5654061C"/>
    <w:rsid w:val="566219F5"/>
    <w:rsid w:val="566D7935"/>
    <w:rsid w:val="56747930"/>
    <w:rsid w:val="56757125"/>
    <w:rsid w:val="56A812A9"/>
    <w:rsid w:val="56AF336A"/>
    <w:rsid w:val="56B508CA"/>
    <w:rsid w:val="56B9366E"/>
    <w:rsid w:val="56BB4A78"/>
    <w:rsid w:val="56C105BC"/>
    <w:rsid w:val="56C755B8"/>
    <w:rsid w:val="56D71B8E"/>
    <w:rsid w:val="56F3685F"/>
    <w:rsid w:val="57072A68"/>
    <w:rsid w:val="570D735E"/>
    <w:rsid w:val="57266671"/>
    <w:rsid w:val="57272B15"/>
    <w:rsid w:val="57325BD1"/>
    <w:rsid w:val="57336482"/>
    <w:rsid w:val="573572FB"/>
    <w:rsid w:val="574940D8"/>
    <w:rsid w:val="57672DA3"/>
    <w:rsid w:val="576B1646"/>
    <w:rsid w:val="576D7562"/>
    <w:rsid w:val="577E546F"/>
    <w:rsid w:val="577E7CA3"/>
    <w:rsid w:val="578C3EA9"/>
    <w:rsid w:val="57992D36"/>
    <w:rsid w:val="57A0068E"/>
    <w:rsid w:val="57A378B1"/>
    <w:rsid w:val="57B43AB3"/>
    <w:rsid w:val="57B62CB8"/>
    <w:rsid w:val="57CD696A"/>
    <w:rsid w:val="57E24C8E"/>
    <w:rsid w:val="57FA4485"/>
    <w:rsid w:val="5806097D"/>
    <w:rsid w:val="581307F2"/>
    <w:rsid w:val="581C2B1D"/>
    <w:rsid w:val="58356873"/>
    <w:rsid w:val="583755C6"/>
    <w:rsid w:val="58476BDB"/>
    <w:rsid w:val="58573A67"/>
    <w:rsid w:val="5871267A"/>
    <w:rsid w:val="587B6A68"/>
    <w:rsid w:val="5885199A"/>
    <w:rsid w:val="588E774A"/>
    <w:rsid w:val="58B101BD"/>
    <w:rsid w:val="58C55F8B"/>
    <w:rsid w:val="58CA0C4D"/>
    <w:rsid w:val="58CF5213"/>
    <w:rsid w:val="58DF3F49"/>
    <w:rsid w:val="58F65EFC"/>
    <w:rsid w:val="58F85485"/>
    <w:rsid w:val="58FC5D17"/>
    <w:rsid w:val="5904431A"/>
    <w:rsid w:val="590F7AB2"/>
    <w:rsid w:val="59142A9B"/>
    <w:rsid w:val="59246D36"/>
    <w:rsid w:val="592E3B9C"/>
    <w:rsid w:val="593B4656"/>
    <w:rsid w:val="594B23BF"/>
    <w:rsid w:val="594C7839"/>
    <w:rsid w:val="59505C28"/>
    <w:rsid w:val="59617814"/>
    <w:rsid w:val="5962388D"/>
    <w:rsid w:val="596E6130"/>
    <w:rsid w:val="5980475F"/>
    <w:rsid w:val="598565E8"/>
    <w:rsid w:val="598633F7"/>
    <w:rsid w:val="59892614"/>
    <w:rsid w:val="5989474C"/>
    <w:rsid w:val="59A71857"/>
    <w:rsid w:val="59B54A5B"/>
    <w:rsid w:val="59B83951"/>
    <w:rsid w:val="59B91EE8"/>
    <w:rsid w:val="59C604DE"/>
    <w:rsid w:val="59D3486F"/>
    <w:rsid w:val="5A063E40"/>
    <w:rsid w:val="5A0C1B4F"/>
    <w:rsid w:val="5A0D7290"/>
    <w:rsid w:val="5A0F6A0F"/>
    <w:rsid w:val="5A2C5613"/>
    <w:rsid w:val="5A2D6DD0"/>
    <w:rsid w:val="5A2F3ACE"/>
    <w:rsid w:val="5A3A616B"/>
    <w:rsid w:val="5A3F4386"/>
    <w:rsid w:val="5A5808FE"/>
    <w:rsid w:val="5A6E61AB"/>
    <w:rsid w:val="5A733ECB"/>
    <w:rsid w:val="5A786F30"/>
    <w:rsid w:val="5A7D62F0"/>
    <w:rsid w:val="5A894828"/>
    <w:rsid w:val="5A8C0C48"/>
    <w:rsid w:val="5A985E06"/>
    <w:rsid w:val="5ADD606E"/>
    <w:rsid w:val="5AE76999"/>
    <w:rsid w:val="5AF7354A"/>
    <w:rsid w:val="5AFB3D67"/>
    <w:rsid w:val="5AFE44C2"/>
    <w:rsid w:val="5B0114C6"/>
    <w:rsid w:val="5B04316E"/>
    <w:rsid w:val="5B0E50CA"/>
    <w:rsid w:val="5B11371F"/>
    <w:rsid w:val="5B24610C"/>
    <w:rsid w:val="5B370E89"/>
    <w:rsid w:val="5B371B94"/>
    <w:rsid w:val="5B372BFB"/>
    <w:rsid w:val="5B394E34"/>
    <w:rsid w:val="5B414D68"/>
    <w:rsid w:val="5B435A44"/>
    <w:rsid w:val="5B4902D3"/>
    <w:rsid w:val="5B6104F4"/>
    <w:rsid w:val="5B7C726D"/>
    <w:rsid w:val="5B8037C4"/>
    <w:rsid w:val="5B8D6EB5"/>
    <w:rsid w:val="5B9371A5"/>
    <w:rsid w:val="5BA13D24"/>
    <w:rsid w:val="5BA40562"/>
    <w:rsid w:val="5BB827B5"/>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35FC8"/>
    <w:rsid w:val="5CC90B04"/>
    <w:rsid w:val="5CC977D1"/>
    <w:rsid w:val="5CD341B0"/>
    <w:rsid w:val="5CD7234D"/>
    <w:rsid w:val="5CE85274"/>
    <w:rsid w:val="5CFC40FC"/>
    <w:rsid w:val="5D00374B"/>
    <w:rsid w:val="5D0B1127"/>
    <w:rsid w:val="5D3339F9"/>
    <w:rsid w:val="5D7243EB"/>
    <w:rsid w:val="5D81608A"/>
    <w:rsid w:val="5DA050A2"/>
    <w:rsid w:val="5DA36667"/>
    <w:rsid w:val="5DB16588"/>
    <w:rsid w:val="5DBF03C3"/>
    <w:rsid w:val="5DC66ADB"/>
    <w:rsid w:val="5DE83F7A"/>
    <w:rsid w:val="5DEC07D7"/>
    <w:rsid w:val="5DEC5001"/>
    <w:rsid w:val="5DEC7CA6"/>
    <w:rsid w:val="5E044F63"/>
    <w:rsid w:val="5E084D23"/>
    <w:rsid w:val="5E131AE1"/>
    <w:rsid w:val="5E2E2F23"/>
    <w:rsid w:val="5E4044BD"/>
    <w:rsid w:val="5E460857"/>
    <w:rsid w:val="5E7F4A6F"/>
    <w:rsid w:val="5E900467"/>
    <w:rsid w:val="5E955ABB"/>
    <w:rsid w:val="5E99274C"/>
    <w:rsid w:val="5EA04F5B"/>
    <w:rsid w:val="5EAB0FBA"/>
    <w:rsid w:val="5EB033F0"/>
    <w:rsid w:val="5EB34C8F"/>
    <w:rsid w:val="5EB6652D"/>
    <w:rsid w:val="5EBC5418"/>
    <w:rsid w:val="5EC719AC"/>
    <w:rsid w:val="5EC84006"/>
    <w:rsid w:val="5ECA31DC"/>
    <w:rsid w:val="5ECB7717"/>
    <w:rsid w:val="5EE64974"/>
    <w:rsid w:val="5F1249CD"/>
    <w:rsid w:val="5F14652A"/>
    <w:rsid w:val="5F176DE0"/>
    <w:rsid w:val="5F221E14"/>
    <w:rsid w:val="5F2F5787"/>
    <w:rsid w:val="5F4B3119"/>
    <w:rsid w:val="5F4E1420"/>
    <w:rsid w:val="5F623A14"/>
    <w:rsid w:val="5F884ED1"/>
    <w:rsid w:val="5F8A2A77"/>
    <w:rsid w:val="5FCC24AC"/>
    <w:rsid w:val="5FD00B55"/>
    <w:rsid w:val="5FD60F35"/>
    <w:rsid w:val="600D4872"/>
    <w:rsid w:val="6023135D"/>
    <w:rsid w:val="60301597"/>
    <w:rsid w:val="60301B08"/>
    <w:rsid w:val="606A06FB"/>
    <w:rsid w:val="607E715C"/>
    <w:rsid w:val="607F2AF7"/>
    <w:rsid w:val="608F03B6"/>
    <w:rsid w:val="608F5A87"/>
    <w:rsid w:val="609C20AA"/>
    <w:rsid w:val="609F259D"/>
    <w:rsid w:val="60A46563"/>
    <w:rsid w:val="60A642C7"/>
    <w:rsid w:val="60A70823"/>
    <w:rsid w:val="60C4111A"/>
    <w:rsid w:val="60DB6459"/>
    <w:rsid w:val="60E12643"/>
    <w:rsid w:val="60E350DD"/>
    <w:rsid w:val="60FF23DE"/>
    <w:rsid w:val="61047A23"/>
    <w:rsid w:val="61066FA1"/>
    <w:rsid w:val="611960C9"/>
    <w:rsid w:val="6125252F"/>
    <w:rsid w:val="61273B0C"/>
    <w:rsid w:val="6131633F"/>
    <w:rsid w:val="614E1F23"/>
    <w:rsid w:val="615663BD"/>
    <w:rsid w:val="615D05FB"/>
    <w:rsid w:val="615D6E31"/>
    <w:rsid w:val="61635134"/>
    <w:rsid w:val="617526CF"/>
    <w:rsid w:val="617F08A1"/>
    <w:rsid w:val="618229A0"/>
    <w:rsid w:val="618943CD"/>
    <w:rsid w:val="61904A04"/>
    <w:rsid w:val="6196185F"/>
    <w:rsid w:val="61A35F0F"/>
    <w:rsid w:val="61B22F79"/>
    <w:rsid w:val="61B86C8F"/>
    <w:rsid w:val="61D34FA6"/>
    <w:rsid w:val="61E35018"/>
    <w:rsid w:val="61F6605A"/>
    <w:rsid w:val="61FA2BD4"/>
    <w:rsid w:val="6207212C"/>
    <w:rsid w:val="621041A6"/>
    <w:rsid w:val="621F4F13"/>
    <w:rsid w:val="62261C1B"/>
    <w:rsid w:val="622D3BA7"/>
    <w:rsid w:val="623035F8"/>
    <w:rsid w:val="62350DF4"/>
    <w:rsid w:val="6252656D"/>
    <w:rsid w:val="625B3400"/>
    <w:rsid w:val="625E3163"/>
    <w:rsid w:val="626C3349"/>
    <w:rsid w:val="6270043C"/>
    <w:rsid w:val="62886432"/>
    <w:rsid w:val="62B15989"/>
    <w:rsid w:val="62C13FE8"/>
    <w:rsid w:val="62C77E4A"/>
    <w:rsid w:val="62C87BB1"/>
    <w:rsid w:val="62DA7E43"/>
    <w:rsid w:val="62E96BF4"/>
    <w:rsid w:val="630D133D"/>
    <w:rsid w:val="632B2C60"/>
    <w:rsid w:val="63384CE6"/>
    <w:rsid w:val="633D0FCB"/>
    <w:rsid w:val="633E7061"/>
    <w:rsid w:val="63505342"/>
    <w:rsid w:val="63543403"/>
    <w:rsid w:val="635932B2"/>
    <w:rsid w:val="639332E1"/>
    <w:rsid w:val="63A636D4"/>
    <w:rsid w:val="63AC13E0"/>
    <w:rsid w:val="63EE6769"/>
    <w:rsid w:val="63FF28D7"/>
    <w:rsid w:val="64116981"/>
    <w:rsid w:val="641316BC"/>
    <w:rsid w:val="642A4523"/>
    <w:rsid w:val="643028DD"/>
    <w:rsid w:val="644929EA"/>
    <w:rsid w:val="6459178F"/>
    <w:rsid w:val="646161D5"/>
    <w:rsid w:val="64756940"/>
    <w:rsid w:val="6481138B"/>
    <w:rsid w:val="64882AF3"/>
    <w:rsid w:val="64A47651"/>
    <w:rsid w:val="64A84B6A"/>
    <w:rsid w:val="64AD03D2"/>
    <w:rsid w:val="64B82FFF"/>
    <w:rsid w:val="64C75579"/>
    <w:rsid w:val="65076560"/>
    <w:rsid w:val="65185CE3"/>
    <w:rsid w:val="65211D6A"/>
    <w:rsid w:val="652628BC"/>
    <w:rsid w:val="6531690D"/>
    <w:rsid w:val="65394E30"/>
    <w:rsid w:val="65633B3F"/>
    <w:rsid w:val="6575400C"/>
    <w:rsid w:val="657B5DDA"/>
    <w:rsid w:val="65976069"/>
    <w:rsid w:val="65AA60B9"/>
    <w:rsid w:val="65AC1274"/>
    <w:rsid w:val="65D43C32"/>
    <w:rsid w:val="65D57718"/>
    <w:rsid w:val="65FB4A91"/>
    <w:rsid w:val="66073C63"/>
    <w:rsid w:val="661B7A99"/>
    <w:rsid w:val="663210F7"/>
    <w:rsid w:val="663542C7"/>
    <w:rsid w:val="66430367"/>
    <w:rsid w:val="66782244"/>
    <w:rsid w:val="667E5B82"/>
    <w:rsid w:val="6686712D"/>
    <w:rsid w:val="668A09CB"/>
    <w:rsid w:val="668C5C8D"/>
    <w:rsid w:val="66941025"/>
    <w:rsid w:val="66A22B82"/>
    <w:rsid w:val="66BD6235"/>
    <w:rsid w:val="66BF79C8"/>
    <w:rsid w:val="675B264D"/>
    <w:rsid w:val="67695AC5"/>
    <w:rsid w:val="67696066"/>
    <w:rsid w:val="676B33FC"/>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413887"/>
    <w:rsid w:val="68440C3C"/>
    <w:rsid w:val="6852631D"/>
    <w:rsid w:val="68532153"/>
    <w:rsid w:val="687679BB"/>
    <w:rsid w:val="688431F8"/>
    <w:rsid w:val="68861B58"/>
    <w:rsid w:val="68A025F1"/>
    <w:rsid w:val="68BA190C"/>
    <w:rsid w:val="68D4107D"/>
    <w:rsid w:val="68E85B36"/>
    <w:rsid w:val="68EE5729"/>
    <w:rsid w:val="6908207B"/>
    <w:rsid w:val="69283598"/>
    <w:rsid w:val="692C39A2"/>
    <w:rsid w:val="69352B76"/>
    <w:rsid w:val="693A7F09"/>
    <w:rsid w:val="694B26A8"/>
    <w:rsid w:val="69576BD8"/>
    <w:rsid w:val="698273F4"/>
    <w:rsid w:val="69954C7A"/>
    <w:rsid w:val="699E2DBA"/>
    <w:rsid w:val="69A7307A"/>
    <w:rsid w:val="69B80282"/>
    <w:rsid w:val="69DB3B96"/>
    <w:rsid w:val="69EE7273"/>
    <w:rsid w:val="6A0B6935"/>
    <w:rsid w:val="6A207324"/>
    <w:rsid w:val="6A2B1544"/>
    <w:rsid w:val="6A381905"/>
    <w:rsid w:val="6A415844"/>
    <w:rsid w:val="6A4B0471"/>
    <w:rsid w:val="6A603986"/>
    <w:rsid w:val="6A6257BB"/>
    <w:rsid w:val="6A8B37B0"/>
    <w:rsid w:val="6AC0197F"/>
    <w:rsid w:val="6AD20653"/>
    <w:rsid w:val="6AEA56A2"/>
    <w:rsid w:val="6AFF300A"/>
    <w:rsid w:val="6B1F33C6"/>
    <w:rsid w:val="6B2262B2"/>
    <w:rsid w:val="6B2E300D"/>
    <w:rsid w:val="6B314B92"/>
    <w:rsid w:val="6B6A78A0"/>
    <w:rsid w:val="6B6D3C09"/>
    <w:rsid w:val="6B715636"/>
    <w:rsid w:val="6B774CA4"/>
    <w:rsid w:val="6B9E0A74"/>
    <w:rsid w:val="6BA23027"/>
    <w:rsid w:val="6BB209A1"/>
    <w:rsid w:val="6BB87D88"/>
    <w:rsid w:val="6BBA0CF6"/>
    <w:rsid w:val="6BBC54C9"/>
    <w:rsid w:val="6BC95263"/>
    <w:rsid w:val="6BCF1BD7"/>
    <w:rsid w:val="6BDF5315"/>
    <w:rsid w:val="6C0141DB"/>
    <w:rsid w:val="6C1504DA"/>
    <w:rsid w:val="6C3E50BB"/>
    <w:rsid w:val="6C3F5DB4"/>
    <w:rsid w:val="6C752831"/>
    <w:rsid w:val="6C847636"/>
    <w:rsid w:val="6C907051"/>
    <w:rsid w:val="6CC16276"/>
    <w:rsid w:val="6CDF36BC"/>
    <w:rsid w:val="6CE74725"/>
    <w:rsid w:val="6CED01F4"/>
    <w:rsid w:val="6CF131BE"/>
    <w:rsid w:val="6CF56F18"/>
    <w:rsid w:val="6D0F678D"/>
    <w:rsid w:val="6D134C09"/>
    <w:rsid w:val="6D140FEE"/>
    <w:rsid w:val="6D4713C4"/>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F760DE"/>
    <w:rsid w:val="6E0077C5"/>
    <w:rsid w:val="6E061822"/>
    <w:rsid w:val="6E096679"/>
    <w:rsid w:val="6E2442BB"/>
    <w:rsid w:val="6E255522"/>
    <w:rsid w:val="6E3348A1"/>
    <w:rsid w:val="6E3556C0"/>
    <w:rsid w:val="6E46167B"/>
    <w:rsid w:val="6E692145"/>
    <w:rsid w:val="6E7964CB"/>
    <w:rsid w:val="6E7C0244"/>
    <w:rsid w:val="6E7E353C"/>
    <w:rsid w:val="6EBA5BC5"/>
    <w:rsid w:val="6EE61EE3"/>
    <w:rsid w:val="6F0E32B2"/>
    <w:rsid w:val="6F207752"/>
    <w:rsid w:val="6F284E18"/>
    <w:rsid w:val="6F295B5D"/>
    <w:rsid w:val="6F3E6FC2"/>
    <w:rsid w:val="6F4122B8"/>
    <w:rsid w:val="6F484CA9"/>
    <w:rsid w:val="6F7E0A39"/>
    <w:rsid w:val="6F8260B0"/>
    <w:rsid w:val="6F996E27"/>
    <w:rsid w:val="6F9F4119"/>
    <w:rsid w:val="6FB52916"/>
    <w:rsid w:val="6FC92B54"/>
    <w:rsid w:val="6FD17A92"/>
    <w:rsid w:val="6FE77C9A"/>
    <w:rsid w:val="6FE975DF"/>
    <w:rsid w:val="6FEA4288"/>
    <w:rsid w:val="6FED61BC"/>
    <w:rsid w:val="701205A6"/>
    <w:rsid w:val="701A4D55"/>
    <w:rsid w:val="701F7D05"/>
    <w:rsid w:val="70426A01"/>
    <w:rsid w:val="70590B2B"/>
    <w:rsid w:val="705B71A1"/>
    <w:rsid w:val="706117B4"/>
    <w:rsid w:val="706B361B"/>
    <w:rsid w:val="706F2826"/>
    <w:rsid w:val="70757FF6"/>
    <w:rsid w:val="70AC28EE"/>
    <w:rsid w:val="70BC75C6"/>
    <w:rsid w:val="70C745D3"/>
    <w:rsid w:val="70C76378"/>
    <w:rsid w:val="70D41D82"/>
    <w:rsid w:val="70D87D93"/>
    <w:rsid w:val="70E87B49"/>
    <w:rsid w:val="70F817A8"/>
    <w:rsid w:val="710F784F"/>
    <w:rsid w:val="71193077"/>
    <w:rsid w:val="713F52C5"/>
    <w:rsid w:val="71670DBF"/>
    <w:rsid w:val="7167651A"/>
    <w:rsid w:val="716C5C41"/>
    <w:rsid w:val="71765292"/>
    <w:rsid w:val="718921AB"/>
    <w:rsid w:val="71A70423"/>
    <w:rsid w:val="720415CD"/>
    <w:rsid w:val="72143D3F"/>
    <w:rsid w:val="7217044F"/>
    <w:rsid w:val="721E6633"/>
    <w:rsid w:val="72206B03"/>
    <w:rsid w:val="72385BE1"/>
    <w:rsid w:val="723C4228"/>
    <w:rsid w:val="72477710"/>
    <w:rsid w:val="7258408A"/>
    <w:rsid w:val="726E0D34"/>
    <w:rsid w:val="726E15A2"/>
    <w:rsid w:val="7273017A"/>
    <w:rsid w:val="727B3FBB"/>
    <w:rsid w:val="727E5625"/>
    <w:rsid w:val="729026FE"/>
    <w:rsid w:val="72CE1C3F"/>
    <w:rsid w:val="72DC2D13"/>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3E86D31"/>
    <w:rsid w:val="74160F85"/>
    <w:rsid w:val="741E4F2D"/>
    <w:rsid w:val="742F78CB"/>
    <w:rsid w:val="743141BC"/>
    <w:rsid w:val="74591FBF"/>
    <w:rsid w:val="747373E5"/>
    <w:rsid w:val="74960C39"/>
    <w:rsid w:val="74AB499C"/>
    <w:rsid w:val="74C464D6"/>
    <w:rsid w:val="74E9073F"/>
    <w:rsid w:val="74ED5A8F"/>
    <w:rsid w:val="74EE7EA5"/>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AB44BA"/>
    <w:rsid w:val="75B5111E"/>
    <w:rsid w:val="75B87057"/>
    <w:rsid w:val="75C1376C"/>
    <w:rsid w:val="75CC1179"/>
    <w:rsid w:val="75DB566E"/>
    <w:rsid w:val="75E66E1A"/>
    <w:rsid w:val="75F00D6A"/>
    <w:rsid w:val="75F70B22"/>
    <w:rsid w:val="75F75951"/>
    <w:rsid w:val="76116918"/>
    <w:rsid w:val="761E2DC9"/>
    <w:rsid w:val="76320737"/>
    <w:rsid w:val="76354BBB"/>
    <w:rsid w:val="763E5539"/>
    <w:rsid w:val="76572C36"/>
    <w:rsid w:val="76652241"/>
    <w:rsid w:val="76766876"/>
    <w:rsid w:val="767A3729"/>
    <w:rsid w:val="768209F7"/>
    <w:rsid w:val="7692450D"/>
    <w:rsid w:val="769A6A08"/>
    <w:rsid w:val="769C1F90"/>
    <w:rsid w:val="76AA3F45"/>
    <w:rsid w:val="76BA5152"/>
    <w:rsid w:val="76C65B32"/>
    <w:rsid w:val="76CC1BA1"/>
    <w:rsid w:val="76E25CB9"/>
    <w:rsid w:val="76EC5788"/>
    <w:rsid w:val="76F63BF6"/>
    <w:rsid w:val="76F81A0D"/>
    <w:rsid w:val="77192F79"/>
    <w:rsid w:val="771A448C"/>
    <w:rsid w:val="771A5453"/>
    <w:rsid w:val="7727418A"/>
    <w:rsid w:val="772B7660"/>
    <w:rsid w:val="77370C4E"/>
    <w:rsid w:val="77552A92"/>
    <w:rsid w:val="777233E5"/>
    <w:rsid w:val="777A4444"/>
    <w:rsid w:val="777B06D6"/>
    <w:rsid w:val="777C6F6A"/>
    <w:rsid w:val="779D1DEB"/>
    <w:rsid w:val="77AC4D34"/>
    <w:rsid w:val="77B14631"/>
    <w:rsid w:val="77BA6D4B"/>
    <w:rsid w:val="77C27783"/>
    <w:rsid w:val="77C31ACD"/>
    <w:rsid w:val="77DE5600"/>
    <w:rsid w:val="77E32730"/>
    <w:rsid w:val="77FC6460"/>
    <w:rsid w:val="78040838"/>
    <w:rsid w:val="780A7D9A"/>
    <w:rsid w:val="780E00F9"/>
    <w:rsid w:val="780E7403"/>
    <w:rsid w:val="78365B96"/>
    <w:rsid w:val="7838223F"/>
    <w:rsid w:val="7843330F"/>
    <w:rsid w:val="7847671C"/>
    <w:rsid w:val="784A33A1"/>
    <w:rsid w:val="785753FE"/>
    <w:rsid w:val="78613571"/>
    <w:rsid w:val="787F693D"/>
    <w:rsid w:val="789E5A3E"/>
    <w:rsid w:val="78AA071C"/>
    <w:rsid w:val="78C16ABD"/>
    <w:rsid w:val="78CD62B4"/>
    <w:rsid w:val="78D652D4"/>
    <w:rsid w:val="78E42830"/>
    <w:rsid w:val="78E73665"/>
    <w:rsid w:val="78EB5359"/>
    <w:rsid w:val="791547BD"/>
    <w:rsid w:val="7930632C"/>
    <w:rsid w:val="794562DB"/>
    <w:rsid w:val="794F088F"/>
    <w:rsid w:val="79592B0E"/>
    <w:rsid w:val="795D10B9"/>
    <w:rsid w:val="797262FA"/>
    <w:rsid w:val="79783C61"/>
    <w:rsid w:val="79806824"/>
    <w:rsid w:val="79895EA7"/>
    <w:rsid w:val="798A7103"/>
    <w:rsid w:val="798B1DEE"/>
    <w:rsid w:val="799B5684"/>
    <w:rsid w:val="799C16EC"/>
    <w:rsid w:val="79A6014E"/>
    <w:rsid w:val="79B67D3E"/>
    <w:rsid w:val="79CA5745"/>
    <w:rsid w:val="79D264B9"/>
    <w:rsid w:val="79D815F5"/>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AF1471D"/>
    <w:rsid w:val="7B033D66"/>
    <w:rsid w:val="7B11758C"/>
    <w:rsid w:val="7B1A08A6"/>
    <w:rsid w:val="7B440B92"/>
    <w:rsid w:val="7B461E69"/>
    <w:rsid w:val="7B7565CC"/>
    <w:rsid w:val="7B7A1290"/>
    <w:rsid w:val="7B8707E1"/>
    <w:rsid w:val="7B8A50A7"/>
    <w:rsid w:val="7B8C152C"/>
    <w:rsid w:val="7B917164"/>
    <w:rsid w:val="7BB15291"/>
    <w:rsid w:val="7BE35CA3"/>
    <w:rsid w:val="7BEA0634"/>
    <w:rsid w:val="7BF265BF"/>
    <w:rsid w:val="7BF857F0"/>
    <w:rsid w:val="7BF87F40"/>
    <w:rsid w:val="7C114E84"/>
    <w:rsid w:val="7C296138"/>
    <w:rsid w:val="7C306904"/>
    <w:rsid w:val="7C502B4E"/>
    <w:rsid w:val="7C7E262E"/>
    <w:rsid w:val="7C7F10AF"/>
    <w:rsid w:val="7C907F65"/>
    <w:rsid w:val="7CAA3DAD"/>
    <w:rsid w:val="7CBD2F00"/>
    <w:rsid w:val="7CF7561F"/>
    <w:rsid w:val="7D00523D"/>
    <w:rsid w:val="7D007482"/>
    <w:rsid w:val="7D0D253A"/>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4687A"/>
    <w:rsid w:val="7EA80BAA"/>
    <w:rsid w:val="7EA96824"/>
    <w:rsid w:val="7EAF6DC9"/>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35"/>
    <w:unhideWhenUsed/>
    <w:qFormat/>
    <w:uiPriority w:val="99"/>
    <w:rPr>
      <w:rFonts w:ascii="宋体" w:hAnsi="Calibri" w:eastAsia="宋体" w:cs="Times New Roman"/>
      <w:sz w:val="24"/>
      <w:szCs w:val="24"/>
    </w:rPr>
  </w:style>
  <w:style w:type="paragraph" w:styleId="3">
    <w:name w:val="annotation text"/>
    <w:basedOn w:val="1"/>
    <w:link w:val="45"/>
    <w:unhideWhenUsed/>
    <w:qFormat/>
    <w:uiPriority w:val="99"/>
    <w:pPr>
      <w:jc w:val="left"/>
    </w:pPr>
  </w:style>
  <w:style w:type="paragraph" w:styleId="4">
    <w:name w:val="Body Text Indent"/>
    <w:basedOn w:val="1"/>
    <w:qFormat/>
    <w:uiPriority w:val="0"/>
    <w:pPr>
      <w:spacing w:after="120"/>
      <w:ind w:left="420" w:leftChars="200"/>
    </w:pPr>
    <w:rPr>
      <w:kern w:val="0"/>
      <w:sz w:val="20"/>
    </w:rPr>
  </w:style>
  <w:style w:type="paragraph" w:styleId="5">
    <w:name w:val="Balloon Text"/>
    <w:basedOn w:val="1"/>
    <w:link w:val="42"/>
    <w:unhideWhenUsed/>
    <w:qFormat/>
    <w:uiPriority w:val="99"/>
    <w:rPr>
      <w:sz w:val="18"/>
      <w:szCs w:val="18"/>
    </w:rPr>
  </w:style>
  <w:style w:type="paragraph" w:styleId="6">
    <w:name w:val="footer"/>
    <w:basedOn w:val="1"/>
    <w:link w:val="43"/>
    <w:unhideWhenUsed/>
    <w:qFormat/>
    <w:uiPriority w:val="99"/>
    <w:pPr>
      <w:tabs>
        <w:tab w:val="center" w:pos="4153"/>
        <w:tab w:val="right" w:pos="8306"/>
      </w:tabs>
      <w:snapToGrid w:val="0"/>
      <w:jc w:val="left"/>
    </w:pPr>
    <w:rPr>
      <w:sz w:val="18"/>
      <w:szCs w:val="18"/>
    </w:rPr>
  </w:style>
  <w:style w:type="paragraph" w:styleId="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6"/>
    <w:unhideWhenUsed/>
    <w:qFormat/>
    <w:uiPriority w:val="99"/>
    <w:pPr>
      <w:snapToGrid w:val="0"/>
      <w:jc w:val="left"/>
    </w:pPr>
    <w:rPr>
      <w:rFonts w:ascii="Calibri" w:hAnsi="Calibri" w:eastAsia="宋体" w:cs="Times New Roman"/>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44"/>
    <w:unhideWhenUsed/>
    <w:qFormat/>
    <w:uiPriority w:val="99"/>
    <w:rPr>
      <w:b/>
      <w:bCs/>
    </w:rPr>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4">
    <w:name w:val="Strong"/>
    <w:qFormat/>
    <w:uiPriority w:val="22"/>
    <w:rPr>
      <w:rFonts w:ascii="Calibri" w:hAnsi="Calibri" w:eastAsia="宋体" w:cs="Times New Roman"/>
      <w:b/>
      <w:bCs/>
    </w:rPr>
  </w:style>
  <w:style w:type="character" w:styleId="15">
    <w:name w:val="page number"/>
    <w:qFormat/>
    <w:uiPriority w:val="0"/>
    <w:rPr>
      <w:rFonts w:ascii="Times New Roman" w:hAnsi="Times New Roman" w:eastAsia="宋体" w:cs="Times New Roman"/>
      <w:lang w:val="en-US" w:eastAsia="zh-CN" w:bidi="ar-SA"/>
    </w:rPr>
  </w:style>
  <w:style w:type="character" w:styleId="16">
    <w:name w:val="Hyperlink"/>
    <w:basedOn w:val="13"/>
    <w:unhideWhenUsed/>
    <w:qFormat/>
    <w:uiPriority w:val="99"/>
    <w:rPr>
      <w:rFonts w:ascii="Times New Roman" w:hAnsi="Times New Roman" w:eastAsia="宋体" w:cs="Times New Roman"/>
      <w:color w:val="0000FF"/>
      <w:u w:val="single"/>
    </w:rPr>
  </w:style>
  <w:style w:type="character" w:styleId="17">
    <w:name w:val="annotation reference"/>
    <w:basedOn w:val="13"/>
    <w:unhideWhenUsed/>
    <w:qFormat/>
    <w:uiPriority w:val="99"/>
    <w:rPr>
      <w:rFonts w:ascii="Times New Roman" w:hAnsi="Times New Roman" w:eastAsia="宋体" w:cs="Times New Roman"/>
      <w:sz w:val="21"/>
      <w:szCs w:val="21"/>
      <w:lang w:val="en-US" w:eastAsia="zh-CN" w:bidi="ar-SA"/>
    </w:rPr>
  </w:style>
  <w:style w:type="character" w:styleId="18">
    <w:name w:val="footnote reference"/>
    <w:unhideWhenUsed/>
    <w:qFormat/>
    <w:uiPriority w:val="99"/>
    <w:rPr>
      <w:rFonts w:ascii="Times New Roman" w:hAnsi="Times New Roman" w:eastAsia="宋体" w:cs="Times New Roman"/>
      <w:vertAlign w:val="superscript"/>
    </w:rPr>
  </w:style>
  <w:style w:type="character" w:customStyle="1" w:styleId="19">
    <w:name w:val="页眉 Char"/>
    <w:basedOn w:val="13"/>
    <w:link w:val="7"/>
    <w:qFormat/>
    <w:uiPriority w:val="99"/>
    <w:rPr>
      <w:rFonts w:ascii="Times New Roman" w:hAnsi="Times New Roman" w:eastAsia="宋体" w:cs="Times New Roman"/>
      <w:sz w:val="18"/>
      <w:szCs w:val="18"/>
      <w:lang w:val="en-US" w:eastAsia="zh-CN" w:bidi="ar-SA"/>
    </w:rPr>
  </w:style>
  <w:style w:type="character" w:customStyle="1" w:styleId="20">
    <w:name w:val="页脚 Char"/>
    <w:basedOn w:val="13"/>
    <w:link w:val="6"/>
    <w:qFormat/>
    <w:uiPriority w:val="99"/>
    <w:rPr>
      <w:rFonts w:ascii="Times New Roman" w:hAnsi="Times New Roman" w:eastAsia="宋体" w:cs="Times New Roman"/>
      <w:sz w:val="18"/>
      <w:szCs w:val="18"/>
      <w:lang w:val="en-US" w:eastAsia="zh-CN" w:bidi="ar-SA"/>
    </w:rPr>
  </w:style>
  <w:style w:type="paragraph" w:customStyle="1" w:styleId="21">
    <w:name w:val="列表段落1"/>
    <w:basedOn w:val="1"/>
    <w:qFormat/>
    <w:uiPriority w:val="99"/>
    <w:pPr>
      <w:ind w:firstLine="420" w:firstLineChars="200"/>
    </w:pPr>
    <w:rPr>
      <w:rFonts w:ascii="Times New Roman" w:hAnsi="Times New Roman" w:eastAsia="宋体" w:cs="Times New Roman"/>
      <w:szCs w:val="24"/>
    </w:rPr>
  </w:style>
  <w:style w:type="paragraph" w:customStyle="1" w:styleId="2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文字 Char"/>
    <w:basedOn w:val="13"/>
    <w:link w:val="3"/>
    <w:semiHidden/>
    <w:qFormat/>
    <w:uiPriority w:val="99"/>
    <w:rPr>
      <w:rFonts w:ascii="Times New Roman" w:hAnsi="Times New Roman" w:eastAsia="宋体" w:cs="Times New Roman"/>
      <w:lang w:val="en-US" w:eastAsia="zh-CN" w:bidi="ar-SA"/>
    </w:rPr>
  </w:style>
  <w:style w:type="character" w:customStyle="1" w:styleId="24">
    <w:name w:val="批注主题 Char"/>
    <w:basedOn w:val="23"/>
    <w:link w:val="10"/>
    <w:semiHidden/>
    <w:qFormat/>
    <w:uiPriority w:val="99"/>
    <w:rPr>
      <w:b/>
      <w:bCs/>
    </w:rPr>
  </w:style>
  <w:style w:type="character" w:customStyle="1" w:styleId="25">
    <w:name w:val="批注框文本 Char"/>
    <w:basedOn w:val="13"/>
    <w:link w:val="5"/>
    <w:semiHidden/>
    <w:qFormat/>
    <w:uiPriority w:val="99"/>
    <w:rPr>
      <w:rFonts w:ascii="Times New Roman" w:hAnsi="Times New Roman" w:eastAsia="宋体" w:cs="Times New Roman"/>
      <w:sz w:val="18"/>
      <w:szCs w:val="18"/>
      <w:lang w:val="en-US" w:eastAsia="zh-CN" w:bidi="ar-SA"/>
    </w:rPr>
  </w:style>
  <w:style w:type="character" w:customStyle="1" w:styleId="26">
    <w:name w:val="fontstyle01"/>
    <w:basedOn w:val="13"/>
    <w:qFormat/>
    <w:uiPriority w:val="0"/>
    <w:rPr>
      <w:rFonts w:hint="default" w:ascii="FZSSK--GBK1-0" w:hAnsi="FZSSK--GBK1-0" w:eastAsia="宋体" w:cs="Times New Roman"/>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Char Char Char Char Char Char Char Char Char Char Char Char"/>
    <w:basedOn w:val="1"/>
    <w:qFormat/>
    <w:uiPriority w:val="0"/>
    <w:pPr>
      <w:widowControl/>
      <w:spacing w:after="160" w:line="240" w:lineRule="exact"/>
      <w:jc w:val="left"/>
    </w:pPr>
    <w:rPr>
      <w:rFonts w:ascii="Tahoma" w:hAnsi="Tahoma" w:eastAsia="宋体" w:cs="Tahoma"/>
      <w:szCs w:val="21"/>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paragraph" w:customStyle="1" w:styleId="32">
    <w:name w:val="列出段落2"/>
    <w:basedOn w:val="1"/>
    <w:unhideWhenUsed/>
    <w:qFormat/>
    <w:uiPriority w:val="99"/>
    <w:pPr>
      <w:ind w:firstLine="420" w:firstLineChars="200"/>
    </w:pPr>
    <w:rPr>
      <w:rFonts w:ascii="Calibri" w:hAnsi="Calibri" w:eastAsia="宋体" w:cs="Times New Roman"/>
    </w:rPr>
  </w:style>
  <w:style w:type="paragraph" w:customStyle="1" w:styleId="33">
    <w:name w:val="Table Paragraph"/>
    <w:basedOn w:val="1"/>
    <w:qFormat/>
    <w:uiPriority w:val="1"/>
    <w:pPr>
      <w:jc w:val="left"/>
    </w:pPr>
    <w:rPr>
      <w:rFonts w:ascii="Calibri" w:hAnsi="Calibri" w:eastAsia="宋体" w:cs="Times New Roman"/>
      <w:kern w:val="0"/>
      <w:sz w:val="22"/>
      <w:lang w:eastAsia="en-US"/>
    </w:rPr>
  </w:style>
  <w:style w:type="paragraph" w:customStyle="1" w:styleId="34">
    <w:name w:val="Revision"/>
    <w:semiHidden/>
    <w:qFormat/>
    <w:uiPriority w:val="99"/>
    <w:rPr>
      <w:rFonts w:ascii="Calibri" w:hAnsi="Calibri" w:eastAsia="宋体" w:cs="Times New Roman"/>
      <w:kern w:val="2"/>
      <w:sz w:val="21"/>
      <w:szCs w:val="22"/>
      <w:lang w:val="en-US" w:eastAsia="zh-CN" w:bidi="ar-SA"/>
    </w:rPr>
  </w:style>
  <w:style w:type="character" w:customStyle="1" w:styleId="35">
    <w:name w:val="文档结构图 Char"/>
    <w:link w:val="2"/>
    <w:qFormat/>
    <w:uiPriority w:val="99"/>
    <w:rPr>
      <w:rFonts w:ascii="宋体" w:hAnsi="Calibri" w:eastAsia="宋体" w:cs="Times New Roman"/>
      <w:kern w:val="2"/>
      <w:sz w:val="24"/>
      <w:szCs w:val="24"/>
    </w:rPr>
  </w:style>
  <w:style w:type="character" w:customStyle="1" w:styleId="36">
    <w:name w:val="脚注文本 Char"/>
    <w:link w:val="8"/>
    <w:semiHidden/>
    <w:qFormat/>
    <w:uiPriority w:val="99"/>
    <w:rPr>
      <w:rFonts w:ascii="Calibri" w:hAnsi="Calibri" w:eastAsia="宋体" w:cs="Times New Roman"/>
      <w:kern w:val="2"/>
      <w:sz w:val="18"/>
      <w:szCs w:val="18"/>
    </w:rPr>
  </w:style>
  <w:style w:type="character" w:customStyle="1" w:styleId="37">
    <w:name w:val="页眉 字符1"/>
    <w:link w:val="7"/>
    <w:semiHidden/>
    <w:qFormat/>
    <w:uiPriority w:val="0"/>
    <w:rPr>
      <w:rFonts w:ascii="Calibri" w:hAnsi="Calibri" w:eastAsia="宋体" w:cs="Times New Roman"/>
      <w:sz w:val="18"/>
      <w:szCs w:val="18"/>
      <w:lang w:val="en-US" w:eastAsia="zh-CN" w:bidi="ar-SA"/>
    </w:rPr>
  </w:style>
  <w:style w:type="character" w:customStyle="1" w:styleId="38">
    <w:name w:val="批注文字 字符1"/>
    <w:link w:val="3"/>
    <w:qFormat/>
    <w:uiPriority w:val="99"/>
    <w:rPr>
      <w:rFonts w:ascii="Calibri" w:hAnsi="Calibri" w:eastAsia="宋体" w:cs="Times New Roman"/>
      <w:kern w:val="2"/>
      <w:sz w:val="21"/>
      <w:szCs w:val="22"/>
    </w:rPr>
  </w:style>
  <w:style w:type="table" w:customStyle="1" w:styleId="39">
    <w:name w:val="Table Normal"/>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paragraph" w:customStyle="1" w:styleId="40">
    <w:name w:val="_Style 39"/>
    <w:unhideWhenUsed/>
    <w:qFormat/>
    <w:uiPriority w:val="99"/>
    <w:rPr>
      <w:rFonts w:ascii="Calibri" w:hAnsi="Calibri" w:eastAsia="宋体" w:cs="Times New Roman"/>
      <w:kern w:val="2"/>
      <w:sz w:val="21"/>
      <w:szCs w:val="22"/>
      <w:lang w:val="en-US" w:eastAsia="zh-CN" w:bidi="ar-SA"/>
    </w:rPr>
  </w:style>
  <w:style w:type="paragraph" w:customStyle="1" w:styleId="41">
    <w:name w:val="彩色底纹 - 强调文字颜色 11"/>
    <w:qFormat/>
    <w:uiPriority w:val="71"/>
    <w:rPr>
      <w:rFonts w:ascii="Calibri" w:hAnsi="Calibri" w:eastAsia="宋体" w:cs="Times New Roman"/>
      <w:kern w:val="2"/>
      <w:sz w:val="21"/>
      <w:szCs w:val="22"/>
      <w:lang w:val="en-US" w:eastAsia="zh-CN" w:bidi="ar-SA"/>
    </w:rPr>
  </w:style>
  <w:style w:type="character" w:customStyle="1" w:styleId="42">
    <w:name w:val="批注框文本 字符"/>
    <w:basedOn w:val="13"/>
    <w:link w:val="5"/>
    <w:uiPriority w:val="0"/>
    <w:rPr>
      <w:rFonts w:ascii="Calibri" w:hAnsi="Calibri" w:eastAsia="宋体" w:cs="Times New Roman"/>
      <w:sz w:val="18"/>
      <w:szCs w:val="18"/>
    </w:rPr>
  </w:style>
  <w:style w:type="character" w:customStyle="1" w:styleId="43">
    <w:name w:val="页脚 字符"/>
    <w:basedOn w:val="13"/>
    <w:link w:val="6"/>
    <w:semiHidden/>
    <w:qFormat/>
    <w:uiPriority w:val="0"/>
    <w:rPr>
      <w:rFonts w:ascii="Calibri" w:hAnsi="Calibri" w:eastAsia="宋体" w:cs="Times New Roman"/>
      <w:kern w:val="0"/>
      <w:sz w:val="18"/>
      <w:szCs w:val="18"/>
    </w:rPr>
  </w:style>
  <w:style w:type="character" w:customStyle="1" w:styleId="44">
    <w:name w:val="批注主题 字符"/>
    <w:basedOn w:val="45"/>
    <w:link w:val="10"/>
    <w:uiPriority w:val="0"/>
    <w:rPr>
      <w:rFonts w:ascii="Calibri" w:hAnsi="Calibri" w:eastAsia="宋体" w:cs="Times New Roman"/>
      <w:b/>
      <w:bCs/>
    </w:rPr>
  </w:style>
  <w:style w:type="character" w:customStyle="1" w:styleId="45">
    <w:name w:val="批注文字 字符"/>
    <w:basedOn w:val="13"/>
    <w:link w:val="3"/>
    <w:qFormat/>
    <w:uiPriority w:val="0"/>
    <w:rPr>
      <w:rFonts w:ascii="Calibri" w:hAnsi="Calibri" w:eastAsia="宋体" w:cs="Times New Roman"/>
      <w:kern w:val="2"/>
      <w:sz w:val="21"/>
      <w:szCs w:val="22"/>
    </w:rPr>
  </w:style>
  <w:style w:type="character" w:customStyle="1" w:styleId="46">
    <w:name w:val="页眉 字符"/>
    <w:basedOn w:val="13"/>
    <w:link w:val="7"/>
    <w:qFormat/>
    <w:uiPriority w:val="99"/>
    <w:rPr>
      <w:rFonts w:ascii="Calibri" w:hAnsi="Calibri" w:eastAsia="宋体" w:cs="Times New Roman"/>
    </w:rPr>
  </w:style>
  <w:style w:type="character" w:customStyle="1" w:styleId="47">
    <w:name w:val="未处理的提及1"/>
    <w:basedOn w:val="13"/>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811</Words>
  <Characters>4623</Characters>
  <Lines>38</Lines>
  <Paragraphs>10</Paragraphs>
  <TotalTime>1</TotalTime>
  <ScaleCrop>false</ScaleCrop>
  <LinksUpToDate>false</LinksUpToDate>
  <CharactersWithSpaces>5424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2025-04-15T03:17:00Z</dcterms:created>
  <dc:creator>匿名用户</dc:creator>
  <cp:lastModifiedBy>HYM</cp:lastModifiedBy>
  <cp:lastPrinted>2024-07-29T03:32:00Z</cp:lastPrinted>
  <dcterms:modified xsi:type="dcterms:W3CDTF">2025-04-15T08:59:51Z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y fmtid="{D5CDD505-2E9C-101B-9397-08002B2CF9AE}" pid="5" name="KSOTemplateDocerSaveRecord">
    <vt:lpwstr>eyJoZGlkIjoiODYyZDQwNzVhYWUzODA0M2M0NWYzNDUwMTdhMjY3ZTciLCJ1c2VySWQiOiIzNDM5ODc4NDkifQ==</vt:lpwstr>
  </property>
</Properties>
</file>